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_GB2312" w:cs="Times New Roman"/>
          <w:color w:val="auto"/>
          <w:sz w:val="36"/>
          <w:szCs w:val="36"/>
          <w:highlight w:val="none"/>
        </w:rPr>
      </w:pPr>
      <w:bookmarkStart w:id="0" w:name="_Hlk57883707"/>
    </w:p>
    <w:p>
      <w:pPr>
        <w:rPr>
          <w:rFonts w:hint="default" w:ascii="Times New Roman" w:hAnsi="Times New Roman" w:eastAsia="仿宋_GB2312" w:cs="Times New Roman"/>
          <w:color w:val="auto"/>
          <w:sz w:val="36"/>
          <w:szCs w:val="36"/>
          <w:highlight w:val="none"/>
        </w:rPr>
      </w:pPr>
    </w:p>
    <w:p>
      <w:pPr>
        <w:rPr>
          <w:rFonts w:hint="default" w:ascii="Times New Roman" w:hAnsi="Times New Roman" w:eastAsia="仿宋_GB2312" w:cs="Times New Roman"/>
          <w:color w:val="auto"/>
          <w:sz w:val="36"/>
          <w:szCs w:val="36"/>
          <w:highlight w:val="none"/>
        </w:rPr>
      </w:pPr>
    </w:p>
    <w:p>
      <w:pPr>
        <w:rPr>
          <w:rFonts w:hint="default" w:ascii="Times New Roman" w:hAnsi="Times New Roman" w:eastAsia="仿宋_GB2312" w:cs="Times New Roman"/>
          <w:color w:val="auto"/>
          <w:sz w:val="36"/>
          <w:szCs w:val="36"/>
          <w:highlight w:val="none"/>
        </w:rPr>
      </w:pPr>
    </w:p>
    <w:bookmarkEnd w:id="0"/>
    <w:p>
      <w:pPr>
        <w:adjustRightInd w:val="0"/>
        <w:snapToGrid w:val="0"/>
        <w:jc w:val="center"/>
        <w:outlineLvl w:val="0"/>
        <w:rPr>
          <w:rFonts w:hint="default" w:ascii="Times New Roman" w:hAnsi="Times New Roman" w:eastAsia="方正小标宋_GBK" w:cs="Times New Roman"/>
          <w:bCs/>
          <w:color w:val="auto"/>
          <w:sz w:val="72"/>
          <w:szCs w:val="72"/>
          <w:highlight w:val="none"/>
        </w:rPr>
      </w:pPr>
      <w:bookmarkStart w:id="1" w:name="_Toc5725"/>
      <w:bookmarkStart w:id="2" w:name="_Toc19180"/>
      <w:bookmarkStart w:id="3" w:name="_Toc2999"/>
      <w:bookmarkStart w:id="4" w:name="_Toc197413051"/>
      <w:bookmarkStart w:id="5" w:name="_Toc197412917"/>
      <w:bookmarkStart w:id="6" w:name="_Toc14238"/>
      <w:bookmarkStart w:id="7" w:name="_Toc14929"/>
      <w:r>
        <w:rPr>
          <w:rFonts w:hint="default" w:ascii="Times New Roman" w:hAnsi="Times New Roman" w:eastAsia="方正小标宋_GBK" w:cs="Times New Roman"/>
          <w:bCs/>
          <w:color w:val="auto"/>
          <w:sz w:val="72"/>
          <w:szCs w:val="72"/>
          <w:highlight w:val="none"/>
        </w:rPr>
        <w:t>建设项目</w:t>
      </w:r>
      <w:r>
        <w:rPr>
          <w:rFonts w:hint="eastAsia" w:ascii="Times New Roman" w:eastAsia="方正小标宋_GBK" w:cs="Times New Roman"/>
          <w:bCs/>
          <w:color w:val="auto"/>
          <w:sz w:val="72"/>
          <w:szCs w:val="72"/>
          <w:highlight w:val="none"/>
          <w:lang w:val="en-US" w:eastAsia="zh-CN"/>
        </w:rPr>
        <w:t>生态</w:t>
      </w:r>
      <w:r>
        <w:rPr>
          <w:rFonts w:hint="default" w:ascii="Times New Roman" w:hAnsi="Times New Roman" w:eastAsia="方正小标宋_GBK" w:cs="Times New Roman"/>
          <w:bCs/>
          <w:color w:val="auto"/>
          <w:sz w:val="72"/>
          <w:szCs w:val="72"/>
          <w:highlight w:val="none"/>
        </w:rPr>
        <w:t>环境影响</w:t>
      </w:r>
      <w:bookmarkEnd w:id="1"/>
    </w:p>
    <w:p>
      <w:pPr>
        <w:adjustRightInd w:val="0"/>
        <w:snapToGrid w:val="0"/>
        <w:jc w:val="center"/>
        <w:outlineLvl w:val="0"/>
        <w:rPr>
          <w:rFonts w:hint="default" w:ascii="Times New Roman" w:hAnsi="Times New Roman" w:eastAsia="方正小标宋_GBK" w:cs="Times New Roman"/>
          <w:bCs/>
          <w:color w:val="auto"/>
          <w:sz w:val="72"/>
          <w:szCs w:val="72"/>
          <w:highlight w:val="none"/>
        </w:rPr>
      </w:pPr>
      <w:bookmarkStart w:id="8" w:name="_Toc32179"/>
      <w:r>
        <w:rPr>
          <w:rFonts w:hint="default" w:ascii="Times New Roman" w:hAnsi="Times New Roman" w:eastAsia="方正小标宋_GBK" w:cs="Times New Roman"/>
          <w:bCs/>
          <w:color w:val="auto"/>
          <w:sz w:val="72"/>
          <w:szCs w:val="72"/>
          <w:highlight w:val="none"/>
        </w:rPr>
        <w:t>报告表</w:t>
      </w:r>
      <w:bookmarkEnd w:id="2"/>
      <w:bookmarkEnd w:id="3"/>
      <w:bookmarkEnd w:id="4"/>
      <w:bookmarkEnd w:id="5"/>
      <w:bookmarkEnd w:id="6"/>
      <w:bookmarkEnd w:id="7"/>
      <w:bookmarkEnd w:id="8"/>
    </w:p>
    <w:p>
      <w:pPr>
        <w:adjustRightInd w:val="0"/>
        <w:snapToGrid w:val="0"/>
        <w:spacing w:before="192" w:beforeLines="80"/>
        <w:jc w:val="center"/>
        <w:rPr>
          <w:rFonts w:hint="default" w:ascii="Times New Roman" w:hAnsi="Times New Roman" w:eastAsia="方正楷体_GB2312" w:cs="Times New Roman"/>
          <w:bCs/>
          <w:color w:val="auto"/>
          <w:sz w:val="48"/>
          <w:szCs w:val="48"/>
          <w:highlight w:val="none"/>
        </w:rPr>
      </w:pPr>
      <w:r>
        <w:rPr>
          <w:rFonts w:hint="default" w:ascii="Times New Roman" w:hAnsi="Times New Roman" w:eastAsia="方正楷体_GB2312" w:cs="Times New Roman"/>
          <w:bCs/>
          <w:color w:val="auto"/>
          <w:sz w:val="48"/>
          <w:szCs w:val="48"/>
          <w:highlight w:val="none"/>
        </w:rPr>
        <w:t>（生态影响类）</w:t>
      </w:r>
    </w:p>
    <w:p>
      <w:pPr>
        <w:adjustRightInd w:val="0"/>
        <w:snapToGrid w:val="0"/>
        <w:spacing w:before="192" w:beforeLines="80"/>
        <w:jc w:val="center"/>
        <w:rPr>
          <w:rFonts w:hint="default" w:ascii="Times New Roman" w:hAnsi="Times New Roman" w:eastAsia="华文仿宋" w:cs="Times New Roman"/>
          <w:color w:val="auto"/>
          <w:kern w:val="44"/>
          <w:sz w:val="36"/>
          <w:szCs w:val="36"/>
          <w:highlight w:val="none"/>
        </w:rPr>
      </w:pPr>
      <w:bookmarkStart w:id="9" w:name="_Hlk57883728"/>
      <w:r>
        <w:rPr>
          <w:rFonts w:hint="eastAsia" w:ascii="方正楷体_GB2312" w:hAnsi="方正楷体_GB2312" w:eastAsia="方正楷体_GB2312" w:cs="方正楷体_GB2312"/>
          <w:color w:val="auto"/>
          <w:kern w:val="44"/>
          <w:sz w:val="40"/>
          <w:szCs w:val="40"/>
          <w:highlight w:val="none"/>
        </w:rPr>
        <w:t>（</w:t>
      </w:r>
      <w:r>
        <w:rPr>
          <w:rFonts w:hint="eastAsia" w:ascii="方正楷体_GB2312" w:hAnsi="方正楷体_GB2312" w:eastAsia="方正楷体_GB2312" w:cs="方正楷体_GB2312"/>
          <w:color w:val="auto"/>
          <w:kern w:val="44"/>
          <w:sz w:val="40"/>
          <w:szCs w:val="40"/>
          <w:highlight w:val="none"/>
          <w:lang w:val="en-US" w:eastAsia="zh-CN"/>
        </w:rPr>
        <w:t>报批版）</w:t>
      </w:r>
    </w:p>
    <w:p>
      <w:pPr>
        <w:pStyle w:val="12"/>
        <w:rPr>
          <w:rFonts w:hint="default" w:ascii="Times New Roman" w:hAnsi="Times New Roman" w:eastAsia="华文仿宋" w:cs="Times New Roman"/>
          <w:color w:val="0000FF"/>
          <w:kern w:val="44"/>
          <w:sz w:val="28"/>
          <w:szCs w:val="28"/>
          <w:highlight w:val="none"/>
        </w:rPr>
      </w:pPr>
    </w:p>
    <w:p>
      <w:pPr>
        <w:rPr>
          <w:rFonts w:hint="default" w:ascii="Times New Roman" w:hAnsi="Times New Roman" w:eastAsia="仿宋" w:cs="Times New Roman"/>
          <w:color w:val="0000FF"/>
          <w:sz w:val="28"/>
          <w:szCs w:val="28"/>
          <w:highlight w:val="none"/>
        </w:rPr>
      </w:pPr>
    </w:p>
    <w:p>
      <w:pPr>
        <w:pStyle w:val="12"/>
        <w:rPr>
          <w:rFonts w:hint="default" w:ascii="Times New Roman" w:hAnsi="Times New Roman" w:eastAsia="仿宋" w:cs="Times New Roman"/>
          <w:color w:val="0000FF"/>
          <w:sz w:val="28"/>
          <w:szCs w:val="28"/>
          <w:highlight w:val="none"/>
        </w:rPr>
      </w:pPr>
    </w:p>
    <w:p>
      <w:pPr>
        <w:rPr>
          <w:rFonts w:hint="default" w:ascii="Times New Roman" w:hAnsi="Times New Roman" w:eastAsia="仿宋" w:cs="Times New Roman"/>
          <w:color w:val="0000FF"/>
          <w:sz w:val="28"/>
          <w:szCs w:val="28"/>
          <w:highlight w:val="none"/>
        </w:rPr>
      </w:pPr>
    </w:p>
    <w:p>
      <w:pPr>
        <w:pStyle w:val="12"/>
        <w:rPr>
          <w:rFonts w:hint="default" w:ascii="Times New Roman" w:hAnsi="Times New Roman" w:eastAsia="仿宋" w:cs="Times New Roman"/>
          <w:color w:val="0000FF"/>
          <w:sz w:val="28"/>
          <w:szCs w:val="28"/>
          <w:highlight w:val="none"/>
        </w:rPr>
      </w:pPr>
    </w:p>
    <w:p>
      <w:pPr>
        <w:pStyle w:val="24"/>
        <w:rPr>
          <w:rFonts w:hint="default"/>
          <w:sz w:val="28"/>
          <w:szCs w:val="28"/>
        </w:rPr>
      </w:pPr>
      <w:r>
        <w:drawing>
          <wp:anchor distT="0" distB="0" distL="0" distR="0" simplePos="0" relativeHeight="251667456" behindDoc="1" locked="0" layoutInCell="1" allowOverlap="1">
            <wp:simplePos x="0" y="0"/>
            <wp:positionH relativeFrom="column">
              <wp:posOffset>1974850</wp:posOffset>
            </wp:positionH>
            <wp:positionV relativeFrom="paragraph">
              <wp:posOffset>31750</wp:posOffset>
            </wp:positionV>
            <wp:extent cx="1448435" cy="1400175"/>
            <wp:effectExtent l="0" t="0" r="18415" b="9525"/>
            <wp:wrapNone/>
            <wp:docPr id="5" name="IM 6"/>
            <wp:cNvGraphicFramePr/>
            <a:graphic xmlns:a="http://schemas.openxmlformats.org/drawingml/2006/main">
              <a:graphicData uri="http://schemas.openxmlformats.org/drawingml/2006/picture">
                <pic:pic xmlns:pic="http://schemas.openxmlformats.org/drawingml/2006/picture">
                  <pic:nvPicPr>
                    <pic:cNvPr id="5" name="IM 6"/>
                    <pic:cNvPicPr/>
                  </pic:nvPicPr>
                  <pic:blipFill>
                    <a:blip r:embed="rId14">
                      <a:lum bright="-6000" contrast="-12000"/>
                    </a:blip>
                    <a:stretch>
                      <a:fillRect/>
                    </a:stretch>
                  </pic:blipFill>
                  <pic:spPr>
                    <a:xfrm>
                      <a:off x="0" y="0"/>
                      <a:ext cx="1448435" cy="1400175"/>
                    </a:xfrm>
                    <a:prstGeom prst="rect">
                      <a:avLst/>
                    </a:prstGeom>
                  </pic:spPr>
                </pic:pic>
              </a:graphicData>
            </a:graphic>
          </wp:anchor>
        </w:drawing>
      </w:r>
    </w:p>
    <w:bookmarkEnd w:id="9"/>
    <w:p>
      <w:pPr>
        <w:keepNext w:val="0"/>
        <w:keepLines w:val="0"/>
        <w:pageBreakBefore w:val="0"/>
        <w:widowControl w:val="0"/>
        <w:kinsoku/>
        <w:wordWrap/>
        <w:overflowPunct/>
        <w:topLinePunct w:val="0"/>
        <w:autoSpaceDE/>
        <w:autoSpaceDN/>
        <w:bidi w:val="0"/>
        <w:adjustRightInd w:val="0"/>
        <w:snapToGrid w:val="0"/>
        <w:spacing w:line="600" w:lineRule="exact"/>
        <w:ind w:left="840" w:leftChars="400" w:firstLine="0"/>
        <w:textAlignment w:val="auto"/>
        <w:rPr>
          <w:rFonts w:hint="default" w:ascii="Times New Roman" w:hAnsi="Times New Roman" w:eastAsia="仿宋_GB2312" w:cs="Times New Roman"/>
          <w:color w:val="000000" w:themeColor="text1"/>
          <w:sz w:val="32"/>
          <w:szCs w:val="32"/>
          <w:highlight w:val="none"/>
          <w:u w:val="single"/>
          <w14:textFill>
            <w14:solidFill>
              <w14:schemeClr w14:val="tx1"/>
            </w14:solidFill>
          </w14:textFill>
        </w:rPr>
      </w:pPr>
      <w:r>
        <w:rPr>
          <w:rFonts w:hint="default" w:ascii="Times New Roman" w:hAnsi="Times New Roman" w:eastAsia="仿宋_GB2312" w:cs="Times New Roman"/>
          <w:color w:val="000000" w:themeColor="text1"/>
          <w:spacing w:val="160"/>
          <w:kern w:val="0"/>
          <w:sz w:val="32"/>
          <w:szCs w:val="32"/>
          <w:highlight w:val="none"/>
          <w:fitText w:val="2880" w:id="1238642704"/>
          <w14:textFill>
            <w14:solidFill>
              <w14:schemeClr w14:val="tx1"/>
            </w14:solidFill>
          </w14:textFill>
        </w:rPr>
        <w:t>项目名称</w:t>
      </w:r>
      <w:r>
        <w:rPr>
          <w:rFonts w:hint="default" w:ascii="Times New Roman" w:hAnsi="Times New Roman" w:eastAsia="仿宋_GB2312" w:cs="Times New Roman"/>
          <w:color w:val="000000" w:themeColor="text1"/>
          <w:spacing w:val="0"/>
          <w:kern w:val="0"/>
          <w:sz w:val="32"/>
          <w:szCs w:val="32"/>
          <w:highlight w:val="none"/>
          <w:fitText w:val="2880" w:id="1238642704"/>
          <w14:textFill>
            <w14:solidFill>
              <w14:schemeClr w14:val="tx1"/>
            </w14:solidFill>
          </w14:textFill>
        </w:rPr>
        <w:t>：</w:t>
      </w:r>
      <w:r>
        <w:rPr>
          <w:rFonts w:hint="eastAsia" w:ascii="Times New Roman" w:eastAsia="仿宋_GB2312" w:cs="Times New Roman"/>
          <w:color w:val="000000" w:themeColor="text1"/>
          <w:sz w:val="32"/>
          <w:szCs w:val="32"/>
          <w:highlight w:val="none"/>
          <w:u w:val="single"/>
          <w:lang w:val="en-US" w:eastAsia="zh-CN"/>
          <w14:textFill>
            <w14:solidFill>
              <w14:schemeClr w14:val="tx1"/>
            </w14:solidFill>
          </w14:textFill>
        </w:rPr>
        <w:t>中寒5井</w:t>
      </w:r>
      <w:r>
        <w:rPr>
          <w:rFonts w:hint="default" w:ascii="Times New Roman" w:hAnsi="Times New Roman" w:eastAsia="仿宋_GB2312" w:cs="Times New Roman"/>
          <w:color w:val="000000" w:themeColor="text1"/>
          <w:sz w:val="32"/>
          <w:szCs w:val="32"/>
          <w:highlight w:val="none"/>
          <w:u w:val="single"/>
          <w:lang w:eastAsia="zh-CN"/>
          <w14:textFill>
            <w14:solidFill>
              <w14:schemeClr w14:val="tx1"/>
            </w14:solidFill>
          </w14:textFill>
        </w:rPr>
        <w:t>（勘探井）钻井工程</w:t>
      </w:r>
      <w:r>
        <w:rPr>
          <w:rFonts w:hint="default" w:ascii="Times New Roman" w:hAnsi="Times New Roman" w:eastAsia="仿宋_GB2312" w:cs="Times New Roman"/>
          <w:color w:val="000000" w:themeColor="text1"/>
          <w:sz w:val="32"/>
          <w:szCs w:val="32"/>
          <w:highlight w:val="none"/>
          <w:u w:val="single"/>
          <w14:textFill>
            <w14:solidFill>
              <w14:schemeClr w14:val="tx1"/>
            </w14:solidFill>
          </w14:textFill>
        </w:rPr>
        <w:t xml:space="preserve"> </w:t>
      </w:r>
      <w:r>
        <w:rPr>
          <w:rFonts w:hint="eastAsia" w:ascii="Times New Roman" w:eastAsia="仿宋_GB2312"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val="0"/>
        <w:snapToGrid w:val="0"/>
        <w:spacing w:line="600" w:lineRule="exact"/>
        <w:ind w:left="3720" w:leftChars="400" w:hanging="2880" w:hangingChars="900"/>
        <w:textAlignment w:val="auto"/>
        <w:rPr>
          <w:rFonts w:hint="default" w:ascii="Times New Roman" w:hAnsi="Times New Roman" w:eastAsia="仿宋_GB2312" w:cs="Times New Roman"/>
          <w:color w:val="000000" w:themeColor="text1"/>
          <w:sz w:val="32"/>
          <w:szCs w:val="32"/>
          <w:highlight w:val="none"/>
          <w:u w:val="single"/>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highlight w:val="none"/>
          <w:fitText w:val="2880" w:id="1238642704"/>
          <w14:textFill>
            <w14:solidFill>
              <w14:schemeClr w14:val="tx1"/>
            </w14:solidFill>
          </w14:textFill>
        </w:rPr>
        <w:t>建设单位（盖章）：</w:t>
      </w:r>
      <w:r>
        <w:rPr>
          <w:rFonts w:hint="default" w:ascii="Times New Roman" w:hAnsi="Times New Roman" w:eastAsia="仿宋_GB2312" w:cs="Times New Roman"/>
          <w:color w:val="000000" w:themeColor="text1"/>
          <w:sz w:val="32"/>
          <w:szCs w:val="32"/>
          <w:highlight w:val="none"/>
          <w:u w:val="single"/>
          <w14:textFill>
            <w14:solidFill>
              <w14:schemeClr w14:val="tx1"/>
            </w14:solidFill>
          </w14:textFill>
        </w:rPr>
        <w:t xml:space="preserve">中国石油天然气股份有限公司塔里木油田分公司                     </w:t>
      </w:r>
      <w:r>
        <w:rPr>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val="0"/>
        <w:snapToGrid w:val="0"/>
        <w:spacing w:line="600" w:lineRule="exact"/>
        <w:ind w:left="840" w:leftChars="400" w:firstLine="0"/>
        <w:textAlignment w:val="auto"/>
        <w:rPr>
          <w:rFonts w:hint="default" w:ascii="Times New Roman" w:hAnsi="Times New Roman" w:eastAsia="仿宋_GB2312" w:cs="Times New Roman"/>
          <w:color w:val="000000" w:themeColor="text1"/>
          <w:sz w:val="32"/>
          <w:szCs w:val="32"/>
          <w:highlight w:val="none"/>
          <w:u w:val="single"/>
          <w14:textFill>
            <w14:solidFill>
              <w14:schemeClr w14:val="tx1"/>
            </w14:solidFill>
          </w14:textFill>
        </w:rPr>
      </w:pPr>
      <w:r>
        <w:rPr>
          <w:rFonts w:hint="default" w:ascii="Times New Roman" w:hAnsi="Times New Roman" w:eastAsia="仿宋_GB2312" w:cs="Times New Roman"/>
          <w:color w:val="000000" w:themeColor="text1"/>
          <w:spacing w:val="160"/>
          <w:kern w:val="0"/>
          <w:sz w:val="32"/>
          <w:szCs w:val="32"/>
          <w:highlight w:val="none"/>
          <w:fitText w:val="2880" w:id="1238642704"/>
          <w14:textFill>
            <w14:solidFill>
              <w14:schemeClr w14:val="tx1"/>
            </w14:solidFill>
          </w14:textFill>
        </w:rPr>
        <w:t>编制日期</w:t>
      </w:r>
      <w:r>
        <w:rPr>
          <w:rFonts w:hint="default" w:ascii="Times New Roman" w:hAnsi="Times New Roman" w:eastAsia="仿宋_GB2312" w:cs="Times New Roman"/>
          <w:color w:val="000000" w:themeColor="text1"/>
          <w:spacing w:val="0"/>
          <w:kern w:val="0"/>
          <w:sz w:val="32"/>
          <w:szCs w:val="32"/>
          <w:highlight w:val="none"/>
          <w:fitText w:val="2880" w:id="1238642704"/>
          <w14:textFill>
            <w14:solidFill>
              <w14:schemeClr w14:val="tx1"/>
            </w14:solidFill>
          </w14:textFill>
        </w:rPr>
        <w:t>：</w:t>
      </w:r>
      <w:r>
        <w:rPr>
          <w:rFonts w:hint="eastAsia" w:ascii="Times New Roman" w:eastAsia="仿宋_GB2312" w:cs="Times New Roman"/>
          <w:color w:val="000000" w:themeColor="text1"/>
          <w:kern w:val="0"/>
          <w:sz w:val="32"/>
          <w:szCs w:val="32"/>
          <w:highlight w:val="none"/>
          <w:u w:val="single"/>
          <w:lang w:val="en-US" w:eastAsia="zh-CN"/>
          <w14:textFill>
            <w14:solidFill>
              <w14:schemeClr w14:val="tx1"/>
            </w14:solidFill>
          </w14:textFill>
        </w:rPr>
        <w:t xml:space="preserve">       </w:t>
      </w:r>
      <w:r>
        <w:rPr>
          <w:rFonts w:hint="eastAsia" w:ascii="Times New Roman" w:eastAsia="仿宋_GB2312" w:cs="Times New Roman"/>
          <w:color w:val="000000" w:themeColor="text1"/>
          <w:sz w:val="32"/>
          <w:szCs w:val="32"/>
          <w:highlight w:val="none"/>
          <w:u w:val="single"/>
          <w:lang w:val="en-US" w:eastAsia="zh-CN"/>
          <w14:textFill>
            <w14:solidFill>
              <w14:schemeClr w14:val="tx1"/>
            </w14:solidFill>
          </w14:textFill>
        </w:rPr>
        <w:t>二〇二六</w:t>
      </w:r>
      <w:r>
        <w:rPr>
          <w:rFonts w:hint="default" w:ascii="Times New Roman" w:hAnsi="Times New Roman" w:eastAsia="仿宋_GB2312" w:cs="Times New Roman"/>
          <w:color w:val="000000" w:themeColor="text1"/>
          <w:sz w:val="32"/>
          <w:szCs w:val="32"/>
          <w:highlight w:val="none"/>
          <w:u w:val="single"/>
          <w14:textFill>
            <w14:solidFill>
              <w14:schemeClr w14:val="tx1"/>
            </w14:solidFill>
          </w14:textFill>
        </w:rPr>
        <w:t>年</w:t>
      </w:r>
      <w:r>
        <w:rPr>
          <w:rFonts w:hint="eastAsia" w:ascii="Times New Roman" w:eastAsia="仿宋_GB2312" w:cs="Times New Roman"/>
          <w:color w:val="000000" w:themeColor="text1"/>
          <w:sz w:val="32"/>
          <w:szCs w:val="32"/>
          <w:highlight w:val="none"/>
          <w:u w:val="single"/>
          <w:lang w:val="en-US" w:eastAsia="zh-CN"/>
          <w14:textFill>
            <w14:solidFill>
              <w14:schemeClr w14:val="tx1"/>
            </w14:solidFill>
          </w14:textFill>
        </w:rPr>
        <w:t>九</w:t>
      </w:r>
      <w:r>
        <w:rPr>
          <w:rFonts w:hint="default" w:ascii="Times New Roman" w:hAnsi="Times New Roman" w:eastAsia="仿宋_GB2312" w:cs="Times New Roman"/>
          <w:color w:val="000000" w:themeColor="text1"/>
          <w:sz w:val="32"/>
          <w:szCs w:val="32"/>
          <w:highlight w:val="none"/>
          <w:u w:val="single"/>
          <w14:textFill>
            <w14:solidFill>
              <w14:schemeClr w14:val="tx1"/>
            </w14:solidFill>
          </w14:textFill>
        </w:rPr>
        <w:t xml:space="preserve">月     </w:t>
      </w:r>
      <w:r>
        <w:rPr>
          <w:rFonts w:hint="default" w:ascii="Times New Roman" w:hAnsi="Times New Roman" w:eastAsia="仿宋_GB2312"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u w:val="single"/>
          <w14:textFill>
            <w14:solidFill>
              <w14:schemeClr w14:val="tx1"/>
            </w14:solidFill>
          </w14:textFill>
        </w:rPr>
        <w:t xml:space="preserve">     </w:t>
      </w:r>
    </w:p>
    <w:p>
      <w:pPr>
        <w:adjustRightInd w:val="0"/>
        <w:snapToGrid w:val="0"/>
        <w:spacing w:line="600" w:lineRule="exact"/>
        <w:ind w:firstLine="1040"/>
        <w:rPr>
          <w:rFonts w:hint="default" w:ascii="Times New Roman" w:hAnsi="Times New Roman" w:eastAsia="仿宋_GB2312" w:cs="Times New Roman"/>
          <w:color w:val="000000" w:themeColor="text1"/>
          <w:sz w:val="24"/>
          <w:szCs w:val="24"/>
          <w:highlight w:val="none"/>
          <w:u w:val="single"/>
          <w14:textFill>
            <w14:solidFill>
              <w14:schemeClr w14:val="tx1"/>
            </w14:solidFill>
          </w14:textFill>
        </w:rPr>
      </w:pPr>
    </w:p>
    <w:p>
      <w:pPr>
        <w:pStyle w:val="12"/>
        <w:rPr>
          <w:rFonts w:hint="default" w:ascii="Times New Roman" w:hAnsi="Times New Roman" w:eastAsia="华文仿宋" w:cs="Times New Roman"/>
          <w:color w:val="000000" w:themeColor="text1"/>
          <w:kern w:val="44"/>
          <w:sz w:val="24"/>
          <w:szCs w:val="24"/>
          <w:highlight w:val="none"/>
          <w14:textFill>
            <w14:solidFill>
              <w14:schemeClr w14:val="tx1"/>
            </w14:solidFill>
          </w14:textFill>
        </w:rPr>
      </w:pPr>
    </w:p>
    <w:p>
      <w:pPr>
        <w:pStyle w:val="12"/>
        <w:rPr>
          <w:rFonts w:hint="default" w:ascii="Times New Roman" w:hAnsi="Times New Roman" w:eastAsia="华文仿宋" w:cs="Times New Roman"/>
          <w:color w:val="000000" w:themeColor="text1"/>
          <w:kern w:val="44"/>
          <w:sz w:val="24"/>
          <w:szCs w:val="24"/>
          <w:highlight w:val="none"/>
          <w14:textFill>
            <w14:solidFill>
              <w14:schemeClr w14:val="tx1"/>
            </w14:solidFill>
          </w14:textFill>
        </w:rPr>
      </w:pPr>
    </w:p>
    <w:p>
      <w:pPr>
        <w:pStyle w:val="24"/>
        <w:rPr>
          <w:rFonts w:hint="default" w:ascii="Times New Roman" w:hAnsi="Times New Roman" w:eastAsia="华文仿宋" w:cs="Times New Roman"/>
          <w:color w:val="000000" w:themeColor="text1"/>
          <w:kern w:val="44"/>
          <w:sz w:val="24"/>
          <w:szCs w:val="24"/>
          <w:highlight w:val="none"/>
          <w14:textFill>
            <w14:solidFill>
              <w14:schemeClr w14:val="tx1"/>
            </w14:solidFill>
          </w14:textFill>
        </w:rPr>
      </w:pPr>
    </w:p>
    <w:p>
      <w:pPr>
        <w:rPr>
          <w:rFonts w:hint="default"/>
        </w:rPr>
      </w:pPr>
    </w:p>
    <w:p>
      <w:pPr>
        <w:adjustRightInd w:val="0"/>
        <w:snapToGrid w:val="0"/>
        <w:spacing w:line="288" w:lineRule="auto"/>
        <w:jc w:val="center"/>
        <w:rPr>
          <w:rFonts w:hint="default" w:ascii="Times New Roman" w:hAnsi="Times New Roman" w:eastAsia="方正楷体_GB2312" w:cs="Times New Roman"/>
          <w:color w:val="000000" w:themeColor="text1"/>
          <w:sz w:val="36"/>
          <w:szCs w:val="36"/>
          <w:highlight w:val="none"/>
          <w14:textFill>
            <w14:solidFill>
              <w14:schemeClr w14:val="tx1"/>
            </w14:solidFill>
          </w14:textFill>
        </w:rPr>
      </w:pPr>
      <w:r>
        <w:rPr>
          <w:rFonts w:hint="default" w:ascii="Times New Roman" w:hAnsi="Times New Roman" w:eastAsia="方正楷体_GB2312" w:cs="Times New Roman"/>
          <w:color w:val="000000" w:themeColor="text1"/>
          <w:sz w:val="36"/>
          <w:szCs w:val="36"/>
          <w:highlight w:val="none"/>
          <w14:textFill>
            <w14:solidFill>
              <w14:schemeClr w14:val="tx1"/>
            </w14:solidFill>
          </w14:textFill>
        </w:rPr>
        <w:t>中华人民共和国生态环境部制</w:t>
      </w:r>
    </w:p>
    <w:p>
      <w:pPr>
        <w:adjustRightInd w:val="0"/>
        <w:snapToGrid w:val="0"/>
        <w:spacing w:line="288" w:lineRule="auto"/>
        <w:jc w:val="center"/>
        <w:rPr>
          <w:rFonts w:hint="default" w:ascii="Times New Roman" w:hAnsi="Times New Roman" w:eastAsia="方正楷体_GB2312" w:cs="Times New Roman"/>
          <w:color w:val="000000" w:themeColor="text1"/>
          <w:sz w:val="36"/>
          <w:szCs w:val="36"/>
          <w:highlight w:val="none"/>
          <w14:textFill>
            <w14:solidFill>
              <w14:schemeClr w14:val="tx1"/>
            </w14:solidFill>
          </w14:textFill>
        </w:rPr>
      </w:pPr>
    </w:p>
    <w:p>
      <w:pPr>
        <w:adjustRightInd w:val="0"/>
        <w:snapToGrid w:val="0"/>
        <w:spacing w:line="288" w:lineRule="auto"/>
        <w:ind w:firstLine="1040"/>
        <w:rPr>
          <w:rFonts w:hint="default" w:ascii="Times New Roman" w:hAnsi="Times New Roman" w:eastAsia="仿宋_GB2312" w:cs="Times New Roman"/>
          <w:color w:val="000000" w:themeColor="text1"/>
          <w:sz w:val="36"/>
          <w:szCs w:val="36"/>
          <w:highlight w:val="none"/>
          <w14:textFill>
            <w14:solidFill>
              <w14:schemeClr w14:val="tx1"/>
            </w14:solidFill>
          </w14:textFill>
        </w:rPr>
        <w:sectPr>
          <w:headerReference r:id="rId3" w:type="default"/>
          <w:footerReference r:id="rId4" w:type="default"/>
          <w:footerReference r:id="rId5" w:type="even"/>
          <w:pgSz w:w="11906" w:h="16838"/>
          <w:pgMar w:top="1701" w:right="1531" w:bottom="1701" w:left="1531" w:header="851" w:footer="1077" w:gutter="0"/>
          <w:pgBorders>
            <w:top w:val="none" w:sz="0" w:space="0"/>
            <w:left w:val="none" w:sz="0" w:space="0"/>
            <w:bottom w:val="none" w:sz="0" w:space="0"/>
            <w:right w:val="none" w:sz="0" w:space="0"/>
          </w:pgBorders>
          <w:pgNumType w:fmt="decimal" w:start="21"/>
          <w:cols w:space="720" w:num="1"/>
          <w:docGrid w:linePitch="312" w:charSpace="0"/>
        </w:sectPr>
      </w:pPr>
    </w:p>
    <w:p>
      <w:pPr>
        <w:rPr>
          <w:rFonts w:hint="default" w:ascii="Times New Roman" w:hAnsi="Times New Roman" w:eastAsia="宋体" w:cs="Times New Roman"/>
          <w:color w:val="0000FF"/>
          <w:sz w:val="28"/>
          <w:szCs w:val="28"/>
          <w:highlight w:val="none"/>
        </w:rPr>
      </w:pPr>
      <w:r>
        <w:rPr>
          <w:rFonts w:hint="default" w:ascii="Times New Roman" w:hAnsi="Times New Roman" w:eastAsia="宋体" w:cs="Times New Roman"/>
          <w:color w:val="0000FF"/>
          <w:sz w:val="28"/>
          <w:szCs w:val="28"/>
          <w:highlight w:val="none"/>
        </w:rPr>
        <w:br w:type="page"/>
      </w:r>
    </w:p>
    <w:p>
      <w:pPr>
        <w:adjustRightInd w:val="0"/>
        <w:snapToGrid w:val="0"/>
        <w:spacing w:line="288" w:lineRule="auto"/>
        <w:jc w:val="center"/>
        <w:rPr>
          <w:rFonts w:hint="default" w:ascii="Times New Roman" w:hAnsi="Times New Roman" w:eastAsia="宋体" w:cs="Times New Roman"/>
          <w:color w:val="0000FF"/>
          <w:sz w:val="28"/>
          <w:szCs w:val="28"/>
          <w:highlight w:val="none"/>
        </w:rPr>
      </w:pPr>
    </w:p>
    <w:p>
      <w:pPr>
        <w:adjustRightInd w:val="0"/>
        <w:snapToGrid w:val="0"/>
        <w:spacing w:line="288" w:lineRule="auto"/>
        <w:jc w:val="center"/>
        <w:rPr>
          <w:rFonts w:hint="default" w:ascii="Times New Roman" w:hAnsi="Times New Roman" w:eastAsia="宋体" w:cs="Times New Roman"/>
          <w:color w:val="0000FF"/>
          <w:sz w:val="28"/>
          <w:szCs w:val="28"/>
          <w:highlight w:val="none"/>
        </w:rPr>
        <w:sectPr>
          <w:headerReference r:id="rId6" w:type="default"/>
          <w:footerReference r:id="rId7" w:type="default"/>
          <w:footerReference r:id="rId8" w:type="even"/>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pPr>
        <w:pStyle w:val="29"/>
        <w:adjustRightInd w:val="0"/>
        <w:snapToGrid w:val="0"/>
        <w:spacing w:before="0" w:beforeAutospacing="0" w:after="0" w:afterAutospacing="0" w:line="360" w:lineRule="auto"/>
        <w:ind w:firstLine="560" w:firstLineChars="200"/>
        <w:jc w:val="center"/>
        <w:rPr>
          <w:rFonts w:hint="default" w:ascii="Times New Roman" w:hAnsi="Times New Roman" w:eastAsia="宋体" w:cs="Times New Roman"/>
          <w:snapToGrid w:val="0"/>
          <w:color w:val="auto"/>
          <w:kern w:val="0"/>
          <w:sz w:val="28"/>
          <w:szCs w:val="28"/>
          <w:highlight w:val="none"/>
          <w:lang w:val="en-US" w:eastAsia="zh-CN" w:bidi="ar-SA"/>
        </w:rPr>
      </w:pPr>
      <w:r>
        <w:rPr>
          <w:rFonts w:hint="default" w:ascii="Times New Roman" w:hAnsi="Times New Roman" w:eastAsia="宋体" w:cs="Times New Roman"/>
          <w:color w:val="auto"/>
          <w:sz w:val="28"/>
          <w:szCs w:val="28"/>
          <w:highlight w:val="none"/>
        </w:rPr>
        <w:t>目 录</w:t>
      </w:r>
      <w:r>
        <w:rPr>
          <w:rFonts w:hint="default" w:ascii="Times New Roman" w:hAnsi="Times New Roman" w:eastAsia="宋体" w:cs="Times New Roman"/>
          <w:snapToGrid w:val="0"/>
          <w:color w:val="auto"/>
          <w:sz w:val="28"/>
          <w:szCs w:val="28"/>
          <w:highlight w:val="none"/>
        </w:rPr>
        <w:fldChar w:fldCharType="begin"/>
      </w:r>
      <w:r>
        <w:rPr>
          <w:rFonts w:hint="default" w:ascii="Times New Roman" w:hAnsi="Times New Roman" w:eastAsia="宋体" w:cs="Times New Roman"/>
          <w:snapToGrid w:val="0"/>
          <w:color w:val="auto"/>
          <w:sz w:val="28"/>
          <w:szCs w:val="28"/>
          <w:highlight w:val="none"/>
        </w:rPr>
        <w:instrText xml:space="preserve">TOC \o "1-1" \h \u </w:instrText>
      </w:r>
      <w:r>
        <w:rPr>
          <w:rFonts w:hint="default" w:ascii="Times New Roman" w:hAnsi="Times New Roman" w:eastAsia="宋体" w:cs="Times New Roman"/>
          <w:snapToGrid w:val="0"/>
          <w:color w:val="auto"/>
          <w:sz w:val="28"/>
          <w:szCs w:val="28"/>
          <w:highlight w:val="none"/>
        </w:rPr>
        <w:fldChar w:fldCharType="separate"/>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_Toc22256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napToGrid w:val="0"/>
          <w:sz w:val="28"/>
          <w:szCs w:val="40"/>
          <w:highlight w:val="none"/>
        </w:rPr>
        <w:t>一、建设项目基本情况</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_Toc22256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_Toc14890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bCs/>
          <w:snapToGrid w:val="0"/>
          <w:sz w:val="28"/>
          <w:szCs w:val="40"/>
          <w:highlight w:val="none"/>
        </w:rPr>
        <w:t>二、建设内容</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_Toc14890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40</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_Toc11671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bCs/>
          <w:snapToGrid w:val="0"/>
          <w:sz w:val="28"/>
          <w:szCs w:val="40"/>
          <w:highlight w:val="none"/>
        </w:rPr>
        <w:t>三、生态环境现状、保护目标及评价标准</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_Toc11671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64</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_Toc32305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bCs/>
          <w:snapToGrid w:val="0"/>
          <w:sz w:val="28"/>
          <w:szCs w:val="40"/>
          <w:highlight w:val="none"/>
        </w:rPr>
        <w:t>四、生态环境影响分析</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_Toc32305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74</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_Toc17717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bCs/>
          <w:snapToGrid w:val="0"/>
          <w:sz w:val="28"/>
          <w:szCs w:val="40"/>
          <w:highlight w:val="none"/>
        </w:rPr>
        <w:t>五、主要生态环境保护措施</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_Toc17717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104</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_Toc22886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bCs/>
          <w:snapToGrid w:val="0"/>
          <w:sz w:val="28"/>
          <w:szCs w:val="40"/>
          <w:highlight w:val="none"/>
        </w:rPr>
        <w:t>六、生态环境保护措施监督检查清单</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_Toc22886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135</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_Toc29586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bCs/>
          <w:snapToGrid w:val="0"/>
          <w:sz w:val="28"/>
          <w:szCs w:val="40"/>
          <w:highlight w:val="none"/>
        </w:rPr>
        <w:t>七、结论</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_Toc29586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139</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_Toc14256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highlight w:val="none"/>
          <w:lang w:val="en-US" w:eastAsia="zh-CN"/>
        </w:rPr>
        <w:t>附图1：项目地位置图</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_Toc14256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140</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_Toc29990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highlight w:val="none"/>
          <w:lang w:val="en-US" w:eastAsia="zh-CN"/>
        </w:rPr>
        <w:t>附图2：项目周边关系图</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_Toc29990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141</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_Toc14344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highlight w:val="none"/>
          <w:lang w:val="en-US" w:eastAsia="zh-CN"/>
        </w:rPr>
        <w:t>附图3：钻井期井场平面布置图</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_Toc14344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142</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_Toc29571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highlight w:val="none"/>
          <w:lang w:val="en-US" w:eastAsia="zh-CN"/>
        </w:rPr>
        <w:t>附体4：区域土地利用类型图</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_Toc29571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143</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_Toc4828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highlight w:val="none"/>
          <w:lang w:val="en-US" w:eastAsia="zh-CN"/>
        </w:rPr>
        <w:t>附图5：区域植被类型图</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_Toc4828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144</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_Toc25826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lang w:val="en-US" w:eastAsia="zh-CN"/>
        </w:rPr>
        <w:t>附图6：区域土壤类型图</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_Toc25826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145</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_Toc11854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lang w:val="en-US" w:eastAsia="zh-CN"/>
        </w:rPr>
        <w:t>附图7：项目与新疆生态环境保护红线位置关系图</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_Toc11854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146</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_Toc25724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lang w:val="en-US" w:eastAsia="zh-CN"/>
        </w:rPr>
        <w:t>附图8：土地沙化现状图</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_Toc25724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147</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_Toc22478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lang w:val="en-US" w:eastAsia="zh-CN"/>
        </w:rPr>
        <w:t>附图9：生态功能区划图</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_Toc22478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148</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_Toc5301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lang w:val="en-US" w:eastAsia="zh-CN"/>
        </w:rPr>
        <w:t>附图10：巴音郭楞蒙古自治州综合管控单元分布图</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_Toc5301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149</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_Toc20503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lang w:val="en-US" w:eastAsia="zh-CN"/>
        </w:rPr>
        <w:t>附图11：生态恢复措施示意图</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_Toc20503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150</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_Toc25502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lang w:val="en-US" w:eastAsia="zh-CN"/>
        </w:rPr>
        <w:t>附件1：委托书</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_Toc25502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151</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_Toc17457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highlight w:val="none"/>
          <w:lang w:val="en-US" w:eastAsia="zh-CN"/>
        </w:rPr>
        <w:t>附件2：建设单位承诺书</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_Toc17457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152</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_Toc19568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highlight w:val="none"/>
          <w:lang w:val="en-US" w:eastAsia="zh-CN"/>
        </w:rPr>
        <w:t>附件3：采矿许可证</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_Toc19568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153</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_Toc892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highlight w:val="none"/>
          <w:lang w:val="en-US" w:eastAsia="zh-CN"/>
        </w:rPr>
        <w:t>附件4：关于《塔里木油田“十四五”发展规划环境影响报告书》的审查意见</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_Toc892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156</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_Toc17901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highlight w:val="none"/>
          <w:lang w:val="en-US" w:eastAsia="zh-CN"/>
        </w:rPr>
        <w:t>附件5：《关于塔里木油田富源区块钻试修废液处理项目环境影响报告书的批复》</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_Toc17901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163</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_Toc778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highlight w:val="none"/>
          <w:lang w:val="en-US" w:eastAsia="zh-CN"/>
        </w:rPr>
        <w:t>附件6：《关于塔里木油田钻试修废弃物环保处理站工程（哈拉哈塘 轮南 克拉苏 英买力 塔中 塔河南岸 塔西南区块）环境影响报告书的批复》</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_Toc778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169</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8"/>
          <w:szCs w:val="36"/>
        </w:rPr>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_Toc19665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highlight w:val="none"/>
          <w:lang w:val="en-US" w:eastAsia="zh-CN"/>
        </w:rPr>
        <w:t>附件7：《关于塔里木油田钻试修废弃物环保处理站工程（轮南、塔中、塔河南岸区块）自主验收合格的批复》</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_Toc19665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174</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pStyle w:val="9"/>
        <w:keepNext w:val="0"/>
        <w:keepLines w:val="0"/>
        <w:pageBreakBefore w:val="0"/>
        <w:widowControl w:val="0"/>
        <w:tabs>
          <w:tab w:val="right" w:leader="dot" w:pos="8844"/>
        </w:tabs>
        <w:kinsoku/>
        <w:wordWrap/>
        <w:overflowPunct/>
        <w:topLinePunct w:val="0"/>
        <w:autoSpaceDE/>
        <w:autoSpaceDN/>
        <w:bidi w:val="0"/>
        <w:adjustRightInd/>
        <w:snapToGrid/>
        <w:spacing w:line="440" w:lineRule="exact"/>
        <w:textAlignment w:val="auto"/>
      </w:pPr>
      <w:r>
        <w:rPr>
          <w:rFonts w:hint="default" w:ascii="Times New Roman" w:hAnsi="Times New Roman" w:eastAsia="宋体" w:cs="Times New Roman"/>
          <w:snapToGrid w:val="0"/>
          <w:color w:val="auto"/>
          <w:sz w:val="28"/>
          <w:szCs w:val="40"/>
          <w:highlight w:val="none"/>
        </w:rPr>
        <w:fldChar w:fldCharType="begin"/>
      </w:r>
      <w:r>
        <w:rPr>
          <w:rFonts w:hint="default" w:ascii="Times New Roman" w:hAnsi="Times New Roman" w:eastAsia="宋体" w:cs="Times New Roman"/>
          <w:snapToGrid w:val="0"/>
          <w:sz w:val="28"/>
          <w:szCs w:val="40"/>
          <w:highlight w:val="none"/>
        </w:rPr>
        <w:instrText xml:space="preserve"> HYPERLINK \l _Toc213 </w:instrText>
      </w:r>
      <w:r>
        <w:rPr>
          <w:rFonts w:hint="default" w:ascii="Times New Roman" w:hAnsi="Times New Roman" w:eastAsia="宋体" w:cs="Times New Roman"/>
          <w:snapToGrid w:val="0"/>
          <w:sz w:val="28"/>
          <w:szCs w:val="40"/>
          <w:highlight w:val="none"/>
        </w:rPr>
        <w:fldChar w:fldCharType="separate"/>
      </w:r>
      <w:r>
        <w:rPr>
          <w:rFonts w:hint="default" w:ascii="Times New Roman" w:hAnsi="Times New Roman" w:eastAsia="宋体" w:cs="Times New Roman"/>
          <w:sz w:val="28"/>
          <w:szCs w:val="36"/>
          <w:highlight w:val="none"/>
          <w:lang w:val="en-US" w:eastAsia="zh-CN"/>
        </w:rPr>
        <w:t>附件8：编制单位其他材料</w:t>
      </w:r>
      <w:r>
        <w:rPr>
          <w:rFonts w:hint="default" w:ascii="Times New Roman" w:hAnsi="Times New Roman" w:eastAsia="宋体" w:cs="Times New Roman"/>
          <w:sz w:val="28"/>
          <w:szCs w:val="36"/>
        </w:rPr>
        <w:tab/>
      </w:r>
      <w:r>
        <w:rPr>
          <w:rFonts w:hint="default" w:ascii="Times New Roman" w:hAnsi="Times New Roman" w:eastAsia="宋体" w:cs="Times New Roman"/>
          <w:sz w:val="28"/>
          <w:szCs w:val="36"/>
        </w:rPr>
        <w:fldChar w:fldCharType="begin"/>
      </w:r>
      <w:r>
        <w:rPr>
          <w:rFonts w:hint="default" w:ascii="Times New Roman" w:hAnsi="Times New Roman" w:eastAsia="宋体" w:cs="Times New Roman"/>
          <w:sz w:val="28"/>
          <w:szCs w:val="36"/>
        </w:rPr>
        <w:instrText xml:space="preserve"> PAGEREF _Toc213 \h </w:instrText>
      </w:r>
      <w:r>
        <w:rPr>
          <w:rFonts w:hint="default" w:ascii="Times New Roman" w:hAnsi="Times New Roman" w:eastAsia="宋体" w:cs="Times New Roman"/>
          <w:sz w:val="28"/>
          <w:szCs w:val="36"/>
        </w:rPr>
        <w:fldChar w:fldCharType="separate"/>
      </w:r>
      <w:r>
        <w:rPr>
          <w:rFonts w:hint="default" w:ascii="Times New Roman" w:hAnsi="Times New Roman" w:eastAsia="宋体" w:cs="Times New Roman"/>
          <w:sz w:val="28"/>
          <w:szCs w:val="36"/>
        </w:rPr>
        <w:t>176</w:t>
      </w:r>
      <w:r>
        <w:rPr>
          <w:rFonts w:hint="default" w:ascii="Times New Roman" w:hAnsi="Times New Roman" w:eastAsia="宋体" w:cs="Times New Roman"/>
          <w:sz w:val="28"/>
          <w:szCs w:val="36"/>
        </w:rPr>
        <w:fldChar w:fldCharType="end"/>
      </w:r>
      <w:r>
        <w:rPr>
          <w:rFonts w:hint="default" w:ascii="Times New Roman" w:hAnsi="Times New Roman" w:eastAsia="宋体" w:cs="Times New Roman"/>
          <w:snapToGrid w:val="0"/>
          <w:color w:val="auto"/>
          <w:sz w:val="28"/>
          <w:szCs w:val="40"/>
          <w:highlight w:val="none"/>
        </w:rPr>
        <w:fldChar w:fldCharType="end"/>
      </w:r>
    </w:p>
    <w:p>
      <w:pPr>
        <w:adjustRightInd w:val="0"/>
        <w:snapToGrid w:val="0"/>
        <w:spacing w:before="0" w:beforeAutospacing="0" w:after="0" w:afterAutospacing="0" w:line="288" w:lineRule="auto"/>
        <w:ind w:firstLine="560" w:firstLineChars="200"/>
        <w:jc w:val="center"/>
        <w:rPr>
          <w:rFonts w:hint="default" w:ascii="Times New Roman" w:hAnsi="Times New Roman" w:cs="Times New Roman"/>
          <w:snapToGrid w:val="0"/>
          <w:color w:val="0000FF"/>
          <w:szCs w:val="24"/>
          <w:highlight w:val="none"/>
          <w:lang w:val="en-US" w:eastAsia="zh-CN"/>
        </w:rPr>
      </w:pPr>
      <w:r>
        <w:rPr>
          <w:rFonts w:hint="default" w:ascii="Times New Roman" w:hAnsi="Times New Roman" w:eastAsia="宋体" w:cs="Times New Roman"/>
          <w:snapToGrid w:val="0"/>
          <w:color w:val="auto"/>
          <w:sz w:val="28"/>
          <w:szCs w:val="28"/>
          <w:highlight w:val="none"/>
        </w:rPr>
        <w:fldChar w:fldCharType="end"/>
      </w:r>
    </w:p>
    <w:p>
      <w:pPr>
        <w:pStyle w:val="29"/>
        <w:jc w:val="center"/>
        <w:outlineLvl w:val="0"/>
        <w:rPr>
          <w:rFonts w:hint="default" w:ascii="Times New Roman" w:hAnsi="Times New Roman" w:eastAsia="黑体" w:cs="Times New Roman"/>
          <w:snapToGrid w:val="0"/>
          <w:color w:val="auto"/>
          <w:sz w:val="30"/>
          <w:szCs w:val="30"/>
          <w:highlight w:val="none"/>
        </w:rPr>
        <w:sectPr>
          <w:footerReference r:id="rId10" w:type="default"/>
          <w:headerReference r:id="rId9" w:type="even"/>
          <w:footerReference r:id="rId11" w:type="even"/>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bookmarkStart w:id="10" w:name="_Toc22256"/>
    </w:p>
    <w:p>
      <w:pPr>
        <w:pStyle w:val="29"/>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一、建设项目基本情况</w:t>
      </w:r>
      <w:bookmarkEnd w:id="10"/>
    </w:p>
    <w:tbl>
      <w:tblPr>
        <w:tblStyle w:val="32"/>
        <w:tblW w:w="917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27"/>
        <w:gridCol w:w="2779"/>
        <w:gridCol w:w="1665"/>
        <w:gridCol w:w="330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名称</w:t>
            </w:r>
          </w:p>
        </w:tc>
        <w:tc>
          <w:tcPr>
            <w:tcW w:w="7747" w:type="dxa"/>
            <w:gridSpan w:val="3"/>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val="en-US" w:eastAsia="zh-CN"/>
              </w:rPr>
              <w:t>中寒5井</w:t>
            </w:r>
            <w:r>
              <w:rPr>
                <w:rFonts w:hint="default" w:ascii="Times New Roman" w:hAnsi="Times New Roman" w:cs="Times New Roman"/>
                <w:color w:val="auto"/>
                <w:sz w:val="24"/>
                <w:szCs w:val="24"/>
                <w:highlight w:val="none"/>
                <w:lang w:eastAsia="zh-CN"/>
              </w:rPr>
              <w:t>（勘探井）钻井工程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项目代码</w:t>
            </w:r>
          </w:p>
        </w:tc>
        <w:tc>
          <w:tcPr>
            <w:tcW w:w="7747" w:type="dxa"/>
            <w:gridSpan w:val="3"/>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建设单位</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联系人</w:t>
            </w:r>
          </w:p>
        </w:tc>
        <w:tc>
          <w:tcPr>
            <w:tcW w:w="2779" w:type="dxa"/>
            <w:shd w:val="clear" w:color="auto" w:fill="auto"/>
            <w:noWrap w:val="0"/>
            <w:tcMar>
              <w:top w:w="16" w:type="dxa"/>
              <w:left w:w="108" w:type="dxa"/>
              <w:right w:w="108" w:type="dxa"/>
            </w:tcMar>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4"/>
                <w:szCs w:val="24"/>
                <w:lang w:val="en-US" w:eastAsia="zh-CN" w:bidi="ar-SA"/>
              </w:rPr>
            </w:pPr>
          </w:p>
        </w:tc>
        <w:tc>
          <w:tcPr>
            <w:tcW w:w="1665" w:type="dxa"/>
            <w:shd w:val="clear" w:color="auto" w:fill="auto"/>
            <w:noWrap w:val="0"/>
            <w:tcMar>
              <w:top w:w="16" w:type="dxa"/>
            </w:tcMar>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4"/>
                <w:szCs w:val="24"/>
                <w:lang w:val="en-US" w:eastAsia="zh-CN" w:bidi="ar-SA"/>
              </w:rPr>
            </w:pPr>
            <w:r>
              <w:rPr>
                <w:rFonts w:hint="default"/>
                <w:color w:val="auto"/>
                <w:sz w:val="24"/>
                <w:highlight w:val="none"/>
              </w:rPr>
              <w:t>联系方式</w:t>
            </w:r>
          </w:p>
        </w:tc>
        <w:tc>
          <w:tcPr>
            <w:tcW w:w="3303" w:type="dxa"/>
            <w:shd w:val="clear" w:color="auto" w:fill="auto"/>
            <w:noWrap w:val="0"/>
            <w:tcMar>
              <w:top w:w="16" w:type="dxa"/>
            </w:tcMar>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4"/>
                <w:szCs w:val="24"/>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建设地点</w:t>
            </w:r>
          </w:p>
        </w:tc>
        <w:tc>
          <w:tcPr>
            <w:tcW w:w="7747" w:type="dxa"/>
            <w:gridSpan w:val="3"/>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eastAsia" w:ascii="Times New Roman" w:cs="Times New Roman"/>
                <w:color w:val="auto"/>
                <w:sz w:val="24"/>
                <w:szCs w:val="24"/>
                <w:highlight w:val="none"/>
                <w:lang w:eastAsia="zh-CN"/>
              </w:rPr>
              <w:t>新疆巴音郭楞蒙古自治州且末县塔中镇东北侧15.8km处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地理坐标</w:t>
            </w:r>
          </w:p>
        </w:tc>
        <w:tc>
          <w:tcPr>
            <w:tcW w:w="7747" w:type="dxa"/>
            <w:gridSpan w:val="3"/>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行业类别</w:t>
            </w:r>
          </w:p>
        </w:tc>
        <w:tc>
          <w:tcPr>
            <w:tcW w:w="2779"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46-099陆地矿产资源地质勘查（含油气资源勘探）</w:t>
            </w:r>
          </w:p>
        </w:tc>
        <w:tc>
          <w:tcPr>
            <w:tcW w:w="1665" w:type="dxa"/>
            <w:noWrap w:val="0"/>
            <w:tcMar>
              <w:top w:w="16"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用地（用海）面积（m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）/长度（km）</w:t>
            </w:r>
          </w:p>
        </w:tc>
        <w:tc>
          <w:tcPr>
            <w:tcW w:w="3303" w:type="dxa"/>
            <w:noWrap w:val="0"/>
            <w:tcMar>
              <w:top w:w="16"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val="en-US" w:eastAsia="zh-CN"/>
              </w:rPr>
              <w:t>20330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z w:val="24"/>
                <w:highlight w:val="none"/>
                <w:lang w:val="en-US" w:eastAsia="zh-CN" w:bidi="ar"/>
              </w:rPr>
              <w:t>临时占地，道路长度</w:t>
            </w:r>
            <w:r>
              <w:rPr>
                <w:rFonts w:hint="eastAsia" w:ascii="Times New Roman" w:cs="Times New Roman"/>
                <w:color w:val="auto"/>
                <w:sz w:val="24"/>
                <w:highlight w:val="none"/>
                <w:lang w:val="en-US" w:eastAsia="zh-CN" w:bidi="ar"/>
              </w:rPr>
              <w:t>405</w:t>
            </w:r>
            <w:r>
              <w:rPr>
                <w:rFonts w:hint="eastAsia" w:ascii="Times New Roman" w:hAnsi="Times New Roman" w:cs="Times New Roman"/>
                <w:color w:val="auto"/>
                <w:sz w:val="24"/>
                <w:highlight w:val="none"/>
                <w:lang w:val="en-US" w:eastAsia="zh-CN" w:bidi="ar"/>
              </w:rPr>
              <w:t>m</w:t>
            </w: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suppressLineNumbers w:val="0"/>
              <w:adjustRightInd w:val="0"/>
              <w:spacing w:before="0" w:beforeAutospacing="0" w:after="0" w:afterAutospacing="0" w:line="240"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建设性质</w:t>
            </w:r>
          </w:p>
        </w:tc>
        <w:tc>
          <w:tcPr>
            <w:tcW w:w="2779"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新建（迁建）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改建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扩建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技术改造</w:t>
            </w:r>
          </w:p>
        </w:tc>
        <w:tc>
          <w:tcPr>
            <w:tcW w:w="1665" w:type="dxa"/>
            <w:noWrap w:val="0"/>
            <w:tcMar>
              <w:top w:w="16"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申报情形</w:t>
            </w:r>
          </w:p>
        </w:tc>
        <w:tc>
          <w:tcPr>
            <w:tcW w:w="3303" w:type="dxa"/>
            <w:noWrap w:val="0"/>
            <w:tcMar>
              <w:top w:w="16"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首次申报项目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不予批准后再次申报项目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超五年重新审核项目</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项目审批（核准/备案）部门（选填）</w:t>
            </w:r>
          </w:p>
        </w:tc>
        <w:tc>
          <w:tcPr>
            <w:tcW w:w="2779"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1665" w:type="dxa"/>
            <w:noWrap w:val="0"/>
            <w:tcMar>
              <w:top w:w="16"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项目审批（核准/备案）文号（选填）</w:t>
            </w:r>
          </w:p>
        </w:tc>
        <w:tc>
          <w:tcPr>
            <w:tcW w:w="3303" w:type="dxa"/>
            <w:noWrap w:val="0"/>
            <w:tcMar>
              <w:top w:w="16"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总投资（</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万元）</w:t>
            </w:r>
          </w:p>
        </w:tc>
        <w:tc>
          <w:tcPr>
            <w:tcW w:w="2779" w:type="dxa"/>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eastAsia" w:ascii="Times New Roman" w:cs="Times New Roman"/>
                <w:color w:val="auto"/>
                <w:sz w:val="24"/>
                <w:szCs w:val="24"/>
                <w:highlight w:val="none"/>
                <w:lang w:val="en-US" w:eastAsia="zh-CN"/>
              </w:rPr>
              <w:t>9900</w:t>
            </w:r>
          </w:p>
        </w:tc>
        <w:tc>
          <w:tcPr>
            <w:tcW w:w="1665"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（万元）</w:t>
            </w:r>
          </w:p>
        </w:tc>
        <w:tc>
          <w:tcPr>
            <w:tcW w:w="3303" w:type="dxa"/>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cs="Times New Roman"/>
                <w:color w:val="auto"/>
                <w:sz w:val="24"/>
                <w:szCs w:val="24"/>
                <w:highlight w:val="none"/>
                <w:lang w:val="en-US" w:eastAsia="zh-CN"/>
              </w:rPr>
              <w:t>150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环保投资占比（%）</w:t>
            </w:r>
          </w:p>
        </w:tc>
        <w:tc>
          <w:tcPr>
            <w:tcW w:w="2779" w:type="dxa"/>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eastAsia" w:ascii="Times New Roman" w:cs="Times New Roman"/>
                <w:color w:val="auto"/>
                <w:sz w:val="24"/>
                <w:szCs w:val="24"/>
                <w:highlight w:val="none"/>
                <w:lang w:val="en-US" w:eastAsia="zh-CN"/>
              </w:rPr>
              <w:t>1.5</w:t>
            </w:r>
          </w:p>
        </w:tc>
        <w:tc>
          <w:tcPr>
            <w:tcW w:w="1665"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施工工期（天）</w:t>
            </w:r>
          </w:p>
        </w:tc>
        <w:tc>
          <w:tcPr>
            <w:tcW w:w="3303" w:type="dxa"/>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cs="Times New Roman"/>
                <w:color w:val="auto"/>
                <w:sz w:val="24"/>
                <w:szCs w:val="24"/>
                <w:highlight w:val="none"/>
                <w:lang w:val="en-US" w:eastAsia="zh-CN"/>
              </w:rPr>
              <w:t>190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是否开工建设</w:t>
            </w:r>
          </w:p>
        </w:tc>
        <w:tc>
          <w:tcPr>
            <w:tcW w:w="7747" w:type="dxa"/>
            <w:gridSpan w:val="3"/>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否</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是：</w:t>
            </w:r>
            <w:r>
              <w:rPr>
                <w:rFonts w:hint="default" w:ascii="Times New Roman" w:hAnsi="Times New Roman" w:eastAsia="宋体" w:cs="Times New Roman"/>
                <w:color w:val="auto"/>
                <w:sz w:val="24"/>
                <w:szCs w:val="24"/>
                <w:highlight w:val="none"/>
                <w:u w:val="single"/>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专项评价设置情况</w:t>
            </w:r>
          </w:p>
        </w:tc>
        <w:tc>
          <w:tcPr>
            <w:tcW w:w="7747" w:type="dxa"/>
            <w:gridSpan w:val="3"/>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6"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4"/>
                <w:szCs w:val="24"/>
                <w:highlight w:val="none"/>
              </w:rPr>
              <w:t>规划情况</w:t>
            </w:r>
          </w:p>
        </w:tc>
        <w:tc>
          <w:tcPr>
            <w:tcW w:w="7747" w:type="dxa"/>
            <w:gridSpan w:val="3"/>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文件名称：《塔里木油田“十四五”发展规划》</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审查单位：中国石油天然气股份有限公司勘探与生产分公司</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4"/>
                <w:szCs w:val="24"/>
                <w:highlight w:val="none"/>
              </w:rPr>
              <w:t>审查文件名称及文号</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规划环境影响评价情况</w:t>
            </w:r>
          </w:p>
        </w:tc>
        <w:tc>
          <w:tcPr>
            <w:tcW w:w="7747" w:type="dxa"/>
            <w:gridSpan w:val="3"/>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规划环境影响评价文件名称：《塔里木油田“十四五”发展规划环境影响报告书》</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召集审查机关：新疆维吾尔自治区生态环境厅</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审查文件名称：关于《塔里木油田“十四五”发展规划环境影响报告书》的审查意见</w:t>
            </w:r>
          </w:p>
          <w:p>
            <w:pPr>
              <w:keepNext w:val="0"/>
              <w:keepLines w:val="0"/>
              <w:pageBreakBefore w:val="0"/>
              <w:suppressLineNumbers w:val="0"/>
              <w:kinsoku/>
              <w:wordWrap/>
              <w:overflowPunct/>
              <w:topLinePunct w:val="0"/>
              <w:bidi w:val="0"/>
              <w:adjustRightInd w:val="0"/>
              <w:snapToGrid/>
              <w:spacing w:before="0" w:beforeAutospacing="0" w:after="0" w:afterAutospacing="0" w:line="440" w:lineRule="exact"/>
              <w:ind w:left="0" w:right="0"/>
              <w:jc w:val="left"/>
              <w:textAlignment w:val="auto"/>
              <w:rPr>
                <w:rFonts w:hint="default" w:ascii="Times New Roman" w:hAnsi="Times New Roman" w:eastAsia="宋体" w:cs="Times New Roman"/>
                <w:color w:val="auto"/>
                <w:kern w:val="0"/>
                <w:szCs w:val="21"/>
                <w:highlight w:val="none"/>
              </w:rPr>
            </w:pPr>
            <w:r>
              <w:rPr>
                <w:rFonts w:hint="default" w:ascii="Times New Roman" w:hAnsi="Times New Roman" w:cs="Times New Roman"/>
                <w:color w:val="auto"/>
                <w:kern w:val="0"/>
                <w:sz w:val="24"/>
                <w:szCs w:val="24"/>
                <w:highlight w:val="none"/>
                <w:lang w:bidi="ar"/>
              </w:rPr>
              <w:t>审查文件文号：新环审</w:t>
            </w:r>
            <w:r>
              <w:rPr>
                <w:rFonts w:hint="default" w:ascii="Times New Roman" w:hAnsi="Times New Roman" w:cs="Times New Roman"/>
                <w:color w:val="auto"/>
                <w:kern w:val="0"/>
                <w:sz w:val="24"/>
                <w:szCs w:val="24"/>
                <w:highlight w:val="none"/>
                <w:lang w:eastAsia="zh-CN" w:bidi="ar"/>
              </w:rPr>
              <w:t>〔</w:t>
            </w:r>
            <w:r>
              <w:rPr>
                <w:rFonts w:hint="default" w:ascii="Times New Roman" w:hAnsi="Times New Roman" w:cs="Times New Roman"/>
                <w:color w:val="auto"/>
                <w:kern w:val="0"/>
                <w:sz w:val="24"/>
                <w:szCs w:val="24"/>
                <w:highlight w:val="none"/>
                <w:lang w:bidi="ar"/>
              </w:rPr>
              <w:t>2022</w:t>
            </w:r>
            <w:r>
              <w:rPr>
                <w:rFonts w:hint="default" w:ascii="Times New Roman" w:hAnsi="Times New Roman" w:cs="Times New Roman"/>
                <w:color w:val="auto"/>
                <w:kern w:val="0"/>
                <w:sz w:val="24"/>
                <w:szCs w:val="24"/>
                <w:highlight w:val="none"/>
                <w:lang w:eastAsia="zh-CN" w:bidi="ar"/>
              </w:rPr>
              <w:t>〕</w:t>
            </w:r>
            <w:r>
              <w:rPr>
                <w:rFonts w:hint="default" w:ascii="Times New Roman" w:hAnsi="Times New Roman" w:cs="Times New Roman"/>
                <w:color w:val="auto"/>
                <w:kern w:val="0"/>
                <w:sz w:val="24"/>
                <w:szCs w:val="24"/>
                <w:highlight w:val="none"/>
                <w:lang w:bidi="ar"/>
              </w:rPr>
              <w:t>214号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52"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规划及规划环境影响评价符合性分析</w:t>
            </w:r>
          </w:p>
        </w:tc>
        <w:tc>
          <w:tcPr>
            <w:tcW w:w="7747" w:type="dxa"/>
            <w:gridSpan w:val="3"/>
            <w:noWrap w:val="0"/>
            <w:tcMar>
              <w:top w:w="16" w:type="dxa"/>
              <w:left w:w="108" w:type="dxa"/>
              <w:right w:w="108" w:type="dxa"/>
            </w:tcMar>
            <w:vAlign w:val="top"/>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本项目与《塔里木油田“十四五”发展规划》《塔里木油田“十四五”发展规划环境影响报告书》及审查意见的符合性分析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表1</w:t>
            </w: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 xml:space="preserve">  与《塔里木油田“十四五”发展规划》《塔里木油田“十四五”发展规划环境影响报告书》及审查意见的符合性分析一览表</w:t>
            </w:r>
          </w:p>
          <w:tbl>
            <w:tblPr>
              <w:tblStyle w:val="32"/>
              <w:tblpPr w:leftFromText="180" w:rightFromText="180" w:vertAnchor="text" w:horzAnchor="page" w:tblpXSpec="center" w:tblpY="13"/>
              <w:tblOverlap w:val="never"/>
              <w:tblW w:w="75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22"/>
              <w:gridCol w:w="3717"/>
              <w:gridCol w:w="2420"/>
              <w:gridCol w:w="71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40" w:hRule="atLeast"/>
                <w:jc w:val="center"/>
              </w:trPr>
              <w:tc>
                <w:tcPr>
                  <w:tcW w:w="476"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文件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名称</w:t>
                  </w:r>
                </w:p>
              </w:tc>
              <w:tc>
                <w:tcPr>
                  <w:tcW w:w="2454"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文件要求</w:t>
                  </w:r>
                </w:p>
              </w:tc>
              <w:tc>
                <w:tcPr>
                  <w:tcW w:w="1597"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本项目</w:t>
                  </w:r>
                </w:p>
              </w:tc>
              <w:tc>
                <w:tcPr>
                  <w:tcW w:w="470"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532" w:hRule="atLeast"/>
                <w:jc w:val="center"/>
              </w:trPr>
              <w:tc>
                <w:tcPr>
                  <w:tcW w:w="476"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lang w:bidi="ar"/>
                    </w:rPr>
                    <w:t>《塔里木油田“十四五”发展规划》</w:t>
                  </w:r>
                </w:p>
              </w:tc>
              <w:tc>
                <w:tcPr>
                  <w:tcW w:w="2454"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lang w:bidi="ar"/>
                    </w:rPr>
                    <w:t>“十四五期间”持续上产，着力推进“库车山前天然气、塔北</w:t>
                  </w:r>
                  <w:r>
                    <w:rPr>
                      <w:rFonts w:hint="default" w:ascii="Times New Roman" w:hAnsi="Times New Roman" w:eastAsia="宋体" w:cs="Times New Roman"/>
                      <w:snapToGrid w:val="0"/>
                      <w:color w:val="auto"/>
                      <w:spacing w:val="-10"/>
                      <w:kern w:val="0"/>
                      <w:sz w:val="21"/>
                      <w:szCs w:val="21"/>
                      <w:highlight w:val="none"/>
                      <w:lang w:eastAsia="zh-CN" w:bidi="ar"/>
                    </w:rPr>
                    <w:t>－</w:t>
                  </w:r>
                  <w:r>
                    <w:rPr>
                      <w:rFonts w:hint="default" w:ascii="Times New Roman" w:hAnsi="Times New Roman" w:eastAsia="宋体" w:cs="Times New Roman"/>
                      <w:snapToGrid w:val="0"/>
                      <w:color w:val="auto"/>
                      <w:spacing w:val="-10"/>
                      <w:kern w:val="0"/>
                      <w:sz w:val="21"/>
                      <w:szCs w:val="21"/>
                      <w:highlight w:val="none"/>
                      <w:lang w:bidi="ar"/>
                    </w:rPr>
                    <w:t>塔中原油”两大根据地，实施老油气田综合治理、新油气田效益建产和油气田精益生产，努力实现原油产量稳中上升和天然气快速上产。到2025年实现年产天然气360亿方，石油液体880万吨，产量当量3750万吨</w:t>
                  </w:r>
                  <w:r>
                    <w:rPr>
                      <w:rFonts w:hint="default" w:ascii="Times New Roman" w:hAnsi="Times New Roman" w:eastAsia="宋体" w:cs="Times New Roman"/>
                      <w:snapToGrid w:val="0"/>
                      <w:color w:val="auto"/>
                      <w:spacing w:val="-10"/>
                      <w:kern w:val="0"/>
                      <w:sz w:val="21"/>
                      <w:szCs w:val="21"/>
                      <w:highlight w:val="none"/>
                      <w:lang w:eastAsia="zh-CN" w:bidi="ar"/>
                    </w:rPr>
                    <w:t>。</w:t>
                  </w:r>
                </w:p>
              </w:tc>
              <w:tc>
                <w:tcPr>
                  <w:tcW w:w="1597"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lang w:bidi="ar"/>
                    </w:rPr>
                    <w:t>本项目属于油气勘探项目，为实现原油产量稳中上升和天然气快速上产，做好前期勘探准备。项目符合《塔里木油田“十四五”发展规划》</w:t>
                  </w:r>
                  <w:r>
                    <w:rPr>
                      <w:rFonts w:hint="default" w:ascii="Times New Roman" w:hAnsi="Times New Roman" w:eastAsia="宋体" w:cs="Times New Roman"/>
                      <w:snapToGrid w:val="0"/>
                      <w:color w:val="auto"/>
                      <w:spacing w:val="-10"/>
                      <w:kern w:val="0"/>
                      <w:sz w:val="21"/>
                      <w:szCs w:val="21"/>
                      <w:highlight w:val="none"/>
                      <w:lang w:eastAsia="zh-CN" w:bidi="ar"/>
                    </w:rPr>
                    <w:t>。</w:t>
                  </w:r>
                </w:p>
              </w:tc>
              <w:tc>
                <w:tcPr>
                  <w:tcW w:w="470"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532" w:hRule="atLeast"/>
                <w:jc w:val="center"/>
              </w:trPr>
              <w:tc>
                <w:tcPr>
                  <w:tcW w:w="476" w:type="pct"/>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《塔里木油田“十四五”发展规划环境影响报告书》</w:t>
                  </w:r>
                  <w:r>
                    <w:rPr>
                      <w:rFonts w:hint="default" w:ascii="Times New Roman" w:hAnsi="Times New Roman" w:eastAsia="宋体" w:cs="Times New Roman"/>
                      <w:snapToGrid w:val="0"/>
                      <w:color w:val="auto"/>
                      <w:spacing w:val="-10"/>
                      <w:kern w:val="0"/>
                      <w:sz w:val="21"/>
                      <w:szCs w:val="21"/>
                      <w:highlight w:val="none"/>
                      <w:lang w:val="en-US" w:eastAsia="zh-CN"/>
                    </w:rPr>
                    <w:t>结论</w:t>
                  </w:r>
                </w:p>
              </w:tc>
              <w:tc>
                <w:tcPr>
                  <w:tcW w:w="2454" w:type="pct"/>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bidi="ar"/>
                    </w:rPr>
                  </w:pPr>
                  <w:r>
                    <w:rPr>
                      <w:rFonts w:hint="default" w:ascii="Times New Roman" w:hAnsi="Times New Roman" w:eastAsia="宋体" w:cs="Times New Roman"/>
                      <w:snapToGrid w:val="0"/>
                      <w:color w:val="auto"/>
                      <w:spacing w:val="-10"/>
                      <w:kern w:val="0"/>
                      <w:sz w:val="21"/>
                      <w:szCs w:val="21"/>
                      <w:highlight w:val="none"/>
                      <w:lang w:bidi="ar"/>
                    </w:rPr>
                    <w:t>塔里木油田“十四五”发展规划的发展思路清晰，发展目标明确，油气开发总体部署和规划方案结合开发现状和勘探开发规划进行合理布局，并对老油气田地面系统进行全面优化升级，与国家国民经济与社会发展 “十四五”规划纲要等相符，与新疆维吾尔自治区国民经济与社会发展“十四五”规划及行业规划等相符、符合相关环境保护规划及污染防治行动计划中的相关要求。在落实本评价提出规划优化调整建议、环境管理及污染防治减缓措施的前提下，规划实施过程对区域大气环境、水环境、声环境、土壤环境、生态环境等产生的不利影响可以得到有效减缓或控制，环境风险可以接受。从环境保护角度分析，塔里木油田“十四五”</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val="en-US" w:eastAsia="zh-CN" w:bidi="ar"/>
                    </w:rPr>
                  </w:pPr>
                  <w:r>
                    <w:rPr>
                      <w:rFonts w:hint="default" w:ascii="Times New Roman" w:hAnsi="Times New Roman" w:eastAsia="宋体" w:cs="Times New Roman"/>
                      <w:snapToGrid w:val="0"/>
                      <w:color w:val="auto"/>
                      <w:spacing w:val="-10"/>
                      <w:kern w:val="0"/>
                      <w:sz w:val="21"/>
                      <w:szCs w:val="21"/>
                      <w:highlight w:val="none"/>
                      <w:lang w:bidi="ar"/>
                    </w:rPr>
                    <w:t>发展规划总体可行。</w:t>
                  </w:r>
                </w:p>
              </w:tc>
              <w:tc>
                <w:tcPr>
                  <w:tcW w:w="1597" w:type="pct"/>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val="en-US" w:eastAsia="zh-CN" w:bidi="ar"/>
                    </w:rPr>
                  </w:pPr>
                  <w:r>
                    <w:rPr>
                      <w:rFonts w:hint="default" w:ascii="Times New Roman" w:hAnsi="Times New Roman" w:eastAsia="宋体" w:cs="Times New Roman"/>
                      <w:snapToGrid w:val="0"/>
                      <w:color w:val="auto"/>
                      <w:spacing w:val="-10"/>
                      <w:kern w:val="0"/>
                      <w:sz w:val="21"/>
                      <w:szCs w:val="21"/>
                      <w:highlight w:val="none"/>
                      <w:lang w:bidi="ar"/>
                    </w:rPr>
                    <w:t>本项目</w:t>
                  </w:r>
                  <w:r>
                    <w:rPr>
                      <w:rFonts w:hint="default" w:ascii="Times New Roman" w:hAnsi="Times New Roman" w:eastAsia="宋体" w:cs="Times New Roman"/>
                      <w:snapToGrid w:val="0"/>
                      <w:color w:val="auto"/>
                      <w:spacing w:val="-10"/>
                      <w:kern w:val="0"/>
                      <w:sz w:val="21"/>
                      <w:szCs w:val="21"/>
                      <w:highlight w:val="none"/>
                      <w:lang w:val="en-US" w:eastAsia="zh-CN" w:bidi="ar"/>
                    </w:rPr>
                    <w:t>钻井期间，对</w:t>
                  </w:r>
                  <w:r>
                    <w:rPr>
                      <w:rFonts w:hint="default" w:ascii="Times New Roman" w:hAnsi="Times New Roman" w:eastAsia="宋体" w:cs="Times New Roman"/>
                      <w:snapToGrid w:val="0"/>
                      <w:color w:val="auto"/>
                      <w:spacing w:val="-10"/>
                      <w:kern w:val="0"/>
                      <w:sz w:val="21"/>
                      <w:szCs w:val="21"/>
                      <w:highlight w:val="none"/>
                      <w:lang w:bidi="ar"/>
                    </w:rPr>
                    <w:t>大气环境、水环境、声环境、土壤环境、生态环境等产生的</w:t>
                  </w:r>
                  <w:r>
                    <w:rPr>
                      <w:rFonts w:hint="default" w:ascii="Times New Roman" w:hAnsi="Times New Roman" w:eastAsia="宋体" w:cs="Times New Roman"/>
                      <w:snapToGrid w:val="0"/>
                      <w:color w:val="auto"/>
                      <w:spacing w:val="-10"/>
                      <w:kern w:val="0"/>
                      <w:sz w:val="21"/>
                      <w:szCs w:val="21"/>
                      <w:highlight w:val="none"/>
                      <w:lang w:val="en-US" w:eastAsia="zh-CN" w:bidi="ar"/>
                    </w:rPr>
                    <w:t>不利影响均采取合理的处置措施，</w:t>
                  </w:r>
                  <w:r>
                    <w:rPr>
                      <w:rFonts w:hint="default" w:ascii="Times New Roman" w:hAnsi="Times New Roman" w:eastAsia="宋体" w:cs="Times New Roman"/>
                      <w:snapToGrid w:val="0"/>
                      <w:color w:val="auto"/>
                      <w:spacing w:val="-10"/>
                      <w:kern w:val="0"/>
                      <w:sz w:val="21"/>
                      <w:szCs w:val="21"/>
                      <w:highlight w:val="none"/>
                      <w:lang w:bidi="ar"/>
                    </w:rPr>
                    <w:t>钻井期测试放喷时间一般为1</w:t>
                  </w:r>
                  <w:r>
                    <w:rPr>
                      <w:rFonts w:hint="default" w:ascii="Times New Roman" w:hAnsi="Times New Roman" w:eastAsia="宋体" w:cs="Times New Roman"/>
                      <w:snapToGrid w:val="0"/>
                      <w:color w:val="auto"/>
                      <w:spacing w:val="-10"/>
                      <w:kern w:val="0"/>
                      <w:sz w:val="21"/>
                      <w:szCs w:val="21"/>
                      <w:highlight w:val="none"/>
                      <w:lang w:val="en-US" w:eastAsia="zh-CN" w:bidi="ar"/>
                    </w:rPr>
                    <w:t>5</w:t>
                  </w:r>
                  <w:r>
                    <w:rPr>
                      <w:rFonts w:hint="default" w:ascii="Times New Roman" w:hAnsi="Times New Roman" w:eastAsia="宋体" w:cs="Times New Roman"/>
                      <w:snapToGrid w:val="0"/>
                      <w:color w:val="auto"/>
                      <w:spacing w:val="-10"/>
                      <w:kern w:val="0"/>
                      <w:sz w:val="21"/>
                      <w:szCs w:val="21"/>
                      <w:highlight w:val="none"/>
                      <w:lang w:bidi="ar"/>
                    </w:rPr>
                    <w:t>～</w:t>
                  </w:r>
                  <w:r>
                    <w:rPr>
                      <w:rFonts w:hint="default" w:ascii="Times New Roman" w:hAnsi="Times New Roman" w:eastAsia="宋体" w:cs="Times New Roman"/>
                      <w:snapToGrid w:val="0"/>
                      <w:color w:val="auto"/>
                      <w:spacing w:val="-10"/>
                      <w:kern w:val="0"/>
                      <w:sz w:val="21"/>
                      <w:szCs w:val="21"/>
                      <w:highlight w:val="none"/>
                      <w:lang w:val="en-US" w:eastAsia="zh-CN" w:bidi="ar"/>
                    </w:rPr>
                    <w:t>20</w:t>
                  </w:r>
                  <w:r>
                    <w:rPr>
                      <w:rFonts w:hint="default" w:ascii="Times New Roman" w:hAnsi="Times New Roman" w:eastAsia="宋体" w:cs="Times New Roman"/>
                      <w:snapToGrid w:val="0"/>
                      <w:color w:val="auto"/>
                      <w:spacing w:val="-10"/>
                      <w:kern w:val="0"/>
                      <w:sz w:val="21"/>
                      <w:szCs w:val="21"/>
                      <w:highlight w:val="none"/>
                      <w:lang w:bidi="ar"/>
                    </w:rPr>
                    <w:t>d，采用放喷管线接至放喷池点火放空，项目施工活动范围区域开阔，气象扩散条件好，不会对区域环境空气产生明显影响</w:t>
                  </w:r>
                  <w:r>
                    <w:rPr>
                      <w:rFonts w:hint="default" w:ascii="Times New Roman" w:hAnsi="Times New Roman" w:eastAsia="宋体" w:cs="Times New Roman"/>
                      <w:snapToGrid w:val="0"/>
                      <w:color w:val="auto"/>
                      <w:spacing w:val="-10"/>
                      <w:kern w:val="0"/>
                      <w:sz w:val="21"/>
                      <w:szCs w:val="21"/>
                      <w:highlight w:val="none"/>
                      <w:lang w:eastAsia="zh-CN" w:bidi="ar"/>
                    </w:rPr>
                    <w:t>；</w:t>
                  </w:r>
                  <w:r>
                    <w:rPr>
                      <w:rFonts w:hint="default" w:ascii="Times New Roman" w:hAnsi="Times New Roman" w:eastAsia="宋体" w:cs="Times New Roman"/>
                      <w:snapToGrid w:val="0"/>
                      <w:color w:val="auto"/>
                      <w:spacing w:val="-10"/>
                      <w:kern w:val="0"/>
                      <w:sz w:val="21"/>
                      <w:szCs w:val="21"/>
                      <w:highlight w:val="none"/>
                      <w:lang w:bidi="ar"/>
                    </w:rPr>
                    <w:t>酸化压裂返排液</w:t>
                  </w:r>
                  <w:r>
                    <w:rPr>
                      <w:rFonts w:hint="eastAsia" w:ascii="Times New Roman" w:cs="Times New Roman"/>
                      <w:snapToGrid w:val="0"/>
                      <w:color w:val="auto"/>
                      <w:spacing w:val="-10"/>
                      <w:kern w:val="0"/>
                      <w:sz w:val="21"/>
                      <w:szCs w:val="21"/>
                      <w:highlight w:val="none"/>
                      <w:lang w:val="en-US" w:eastAsia="zh-CN" w:bidi="ar"/>
                    </w:rPr>
                    <w:t>在井场加碱中和后，暂存于废液收集罐，</w:t>
                  </w:r>
                  <w:r>
                    <w:rPr>
                      <w:rFonts w:hint="default" w:ascii="Times New Roman" w:hAnsi="Times New Roman" w:eastAsia="宋体" w:cs="Times New Roman"/>
                      <w:snapToGrid w:val="0"/>
                      <w:color w:val="auto"/>
                      <w:spacing w:val="-10"/>
                      <w:kern w:val="0"/>
                      <w:sz w:val="21"/>
                      <w:szCs w:val="21"/>
                      <w:highlight w:val="none"/>
                      <w:lang w:bidi="ar"/>
                    </w:rPr>
                    <w:t>运至</w:t>
                  </w:r>
                  <w:r>
                    <w:rPr>
                      <w:rFonts w:hint="default" w:ascii="Times New Roman" w:hAnsi="Times New Roman" w:eastAsia="宋体" w:cs="Times New Roman"/>
                      <w:snapToGrid w:val="0"/>
                      <w:color w:val="auto"/>
                      <w:spacing w:val="-10"/>
                      <w:kern w:val="0"/>
                      <w:sz w:val="21"/>
                      <w:szCs w:val="21"/>
                      <w:highlight w:val="none"/>
                      <w:lang w:val="en-US" w:eastAsia="zh-CN" w:bidi="ar"/>
                    </w:rPr>
                    <w:t>富源7</w:t>
                  </w:r>
                  <w:r>
                    <w:rPr>
                      <w:rFonts w:hint="default" w:ascii="Times New Roman" w:hAnsi="Times New Roman" w:eastAsia="宋体" w:cs="Times New Roman"/>
                      <w:snapToGrid w:val="0"/>
                      <w:color w:val="auto"/>
                      <w:spacing w:val="-10"/>
                      <w:kern w:val="0"/>
                      <w:sz w:val="21"/>
                      <w:szCs w:val="21"/>
                      <w:highlight w:val="none"/>
                      <w:lang w:eastAsia="zh-CN" w:bidi="ar"/>
                    </w:rPr>
                    <w:t>环保处理站</w:t>
                  </w:r>
                  <w:r>
                    <w:rPr>
                      <w:rFonts w:hint="default" w:ascii="Times New Roman" w:hAnsi="Times New Roman" w:eastAsia="宋体" w:cs="Times New Roman"/>
                      <w:snapToGrid w:val="0"/>
                      <w:color w:val="auto"/>
                      <w:spacing w:val="-10"/>
                      <w:kern w:val="0"/>
                      <w:sz w:val="21"/>
                      <w:szCs w:val="21"/>
                      <w:highlight w:val="none"/>
                      <w:lang w:bidi="ar"/>
                    </w:rPr>
                    <w:t>处置；锅炉排污水用于井区周边洒水抑尘；生活污水经井场撬装式污水处理装置处理后，水质达到《农村生活污水处理排放标准》（DB65 4275-2019）表2的B级标准，用于荒漠生态恢复；岩屑随钻井泥浆带出，采用“泥浆不落地”工艺收集，泥浆排入泥浆罐循环使用，完井后拉运至下一口井再利用，膨润土体系废弃钻井岩屑排入防渗岩屑池干化，经检测达标后，用于井场平整；</w:t>
                  </w:r>
                  <w:r>
                    <w:rPr>
                      <w:rFonts w:hint="eastAsia" w:ascii="Times New Roman" w:cs="Times New Roman"/>
                      <w:color w:val="auto"/>
                      <w:spacing w:val="-10"/>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0"/>
                      <w:sz w:val="21"/>
                      <w:szCs w:val="21"/>
                      <w:highlight w:val="none"/>
                    </w:rPr>
                    <w:t>，处理达标后还原土用于铺垫油区内的井场、道路</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snapToGrid w:val="0"/>
                      <w:color w:val="auto"/>
                      <w:spacing w:val="-10"/>
                      <w:kern w:val="0"/>
                      <w:sz w:val="21"/>
                      <w:szCs w:val="21"/>
                      <w:highlight w:val="none"/>
                      <w:lang w:bidi="ar"/>
                    </w:rPr>
                    <w:t>沾油废物、废烧碱包装袋、废矿物油及其包装物在危废贮存点</w:t>
                  </w:r>
                  <w:r>
                    <w:rPr>
                      <w:rFonts w:hint="default" w:ascii="Times New Roman" w:hAnsi="Times New Roman" w:eastAsia="宋体" w:cs="Times New Roman"/>
                      <w:snapToGrid w:val="0"/>
                      <w:color w:val="auto"/>
                      <w:spacing w:val="-10"/>
                      <w:kern w:val="0"/>
                      <w:sz w:val="21"/>
                      <w:szCs w:val="21"/>
                      <w:highlight w:val="none"/>
                      <w:lang w:eastAsia="zh-CN" w:bidi="ar"/>
                    </w:rPr>
                    <w:t>（</w:t>
                  </w:r>
                  <w:r>
                    <w:rPr>
                      <w:rFonts w:hint="default" w:ascii="Times New Roman" w:hAnsi="Times New Roman" w:eastAsia="宋体" w:cs="Times New Roman"/>
                      <w:snapToGrid w:val="0"/>
                      <w:color w:val="auto"/>
                      <w:spacing w:val="-10"/>
                      <w:kern w:val="0"/>
                      <w:sz w:val="21"/>
                      <w:szCs w:val="21"/>
                      <w:highlight w:val="none"/>
                      <w:lang w:val="en-US" w:eastAsia="zh-CN" w:bidi="ar"/>
                    </w:rPr>
                    <w:t>8m</w:t>
                  </w:r>
                  <w:r>
                    <w:rPr>
                      <w:rFonts w:hint="default" w:ascii="Times New Roman" w:hAnsi="Times New Roman" w:eastAsia="宋体" w:cs="Times New Roman"/>
                      <w:snapToGrid w:val="0"/>
                      <w:color w:val="auto"/>
                      <w:spacing w:val="-10"/>
                      <w:kern w:val="0"/>
                      <w:sz w:val="21"/>
                      <w:szCs w:val="21"/>
                      <w:highlight w:val="none"/>
                      <w:vertAlign w:val="superscript"/>
                      <w:lang w:val="en-US" w:eastAsia="zh-CN" w:bidi="ar"/>
                    </w:rPr>
                    <w:t>2</w:t>
                  </w:r>
                  <w:r>
                    <w:rPr>
                      <w:rFonts w:hint="default" w:ascii="Times New Roman" w:hAnsi="Times New Roman" w:eastAsia="宋体" w:cs="Times New Roman"/>
                      <w:snapToGrid w:val="0"/>
                      <w:color w:val="auto"/>
                      <w:spacing w:val="-10"/>
                      <w:kern w:val="0"/>
                      <w:sz w:val="21"/>
                      <w:szCs w:val="21"/>
                      <w:highlight w:val="none"/>
                      <w:lang w:eastAsia="zh-CN" w:bidi="ar"/>
                    </w:rPr>
                    <w:t>）</w:t>
                  </w:r>
                  <w:r>
                    <w:rPr>
                      <w:rFonts w:hint="default" w:ascii="Times New Roman" w:hAnsi="Times New Roman" w:eastAsia="宋体" w:cs="Times New Roman"/>
                      <w:snapToGrid w:val="0"/>
                      <w:color w:val="auto"/>
                      <w:spacing w:val="-10"/>
                      <w:kern w:val="0"/>
                      <w:sz w:val="21"/>
                      <w:szCs w:val="21"/>
                      <w:highlight w:val="none"/>
                      <w:lang w:bidi="ar"/>
                    </w:rPr>
                    <w:t>暂存，定期由有处理资质的单位接收妥善处置；</w:t>
                  </w:r>
                  <w:r>
                    <w:rPr>
                      <w:rFonts w:hint="default" w:ascii="Times New Roman" w:hAnsi="Times New Roman" w:eastAsia="宋体" w:cs="Times New Roman"/>
                      <w:snapToGrid w:val="0"/>
                      <w:color w:val="auto"/>
                      <w:spacing w:val="-10"/>
                      <w:kern w:val="0"/>
                      <w:sz w:val="21"/>
                      <w:szCs w:val="21"/>
                      <w:highlight w:val="none"/>
                      <w:lang w:val="en-US" w:eastAsia="zh-CN" w:bidi="ar"/>
                    </w:rPr>
                    <w:t>锅炉灰渣及除尘灰送至周边固废填埋场填埋；废布袋由厂家回收处理；生活垃圾及污水处理站污泥规范收集后统一清运至</w:t>
                  </w:r>
                  <w:r>
                    <w:rPr>
                      <w:rFonts w:hint="eastAsia" w:ascii="Times New Roman" w:cs="Times New Roman"/>
                      <w:snapToGrid w:val="0"/>
                      <w:color w:val="auto"/>
                      <w:spacing w:val="-10"/>
                      <w:kern w:val="0"/>
                      <w:sz w:val="21"/>
                      <w:szCs w:val="21"/>
                      <w:highlight w:val="none"/>
                      <w:lang w:val="en-US" w:eastAsia="zh-CN" w:bidi="ar"/>
                    </w:rPr>
                    <w:t>塔中镇生活垃圾填埋场处理</w:t>
                  </w:r>
                  <w:r>
                    <w:rPr>
                      <w:rFonts w:hint="default" w:ascii="Times New Roman" w:hAnsi="Times New Roman" w:eastAsia="宋体" w:cs="Times New Roman"/>
                      <w:snapToGrid w:val="0"/>
                      <w:color w:val="auto"/>
                      <w:spacing w:val="-10"/>
                      <w:kern w:val="0"/>
                      <w:sz w:val="21"/>
                      <w:szCs w:val="21"/>
                      <w:highlight w:val="none"/>
                      <w:lang w:val="en-US" w:eastAsia="zh-CN" w:bidi="ar"/>
                    </w:rPr>
                    <w:t>。</w:t>
                  </w:r>
                </w:p>
              </w:tc>
              <w:tc>
                <w:tcPr>
                  <w:tcW w:w="470" w:type="pct"/>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4" w:hRule="atLeast"/>
                <w:jc w:val="center"/>
              </w:trPr>
              <w:tc>
                <w:tcPr>
                  <w:tcW w:w="476"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1"/>
                      <w:kern w:val="0"/>
                      <w:sz w:val="21"/>
                      <w:szCs w:val="21"/>
                      <w:highlight w:val="none"/>
                    </w:rPr>
                    <w:t>关于《塔里木油田“十四五”发展规划环境影响报告书》</w:t>
                  </w:r>
                  <w:r>
                    <w:rPr>
                      <w:rFonts w:hint="default" w:ascii="Times New Roman" w:hAnsi="Times New Roman" w:eastAsia="宋体" w:cs="Times New Roman"/>
                      <w:snapToGrid w:val="0"/>
                      <w:color w:val="auto"/>
                      <w:spacing w:val="-11"/>
                      <w:kern w:val="0"/>
                      <w:sz w:val="21"/>
                      <w:szCs w:val="21"/>
                      <w:highlight w:val="none"/>
                      <w:lang w:val="en-US" w:eastAsia="zh-CN"/>
                    </w:rPr>
                    <w:t>的</w:t>
                  </w:r>
                  <w:r>
                    <w:rPr>
                      <w:rFonts w:hint="default" w:ascii="Times New Roman" w:hAnsi="Times New Roman" w:eastAsia="宋体" w:cs="Times New Roman"/>
                      <w:snapToGrid w:val="0"/>
                      <w:color w:val="auto"/>
                      <w:spacing w:val="-11"/>
                      <w:kern w:val="0"/>
                      <w:sz w:val="21"/>
                      <w:szCs w:val="21"/>
                      <w:highlight w:val="none"/>
                    </w:rPr>
                    <w:t>审查意见</w:t>
                  </w:r>
                </w:p>
              </w:tc>
              <w:tc>
                <w:tcPr>
                  <w:tcW w:w="2454"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bidi="ar"/>
                    </w:rPr>
                  </w:pPr>
                  <w:r>
                    <w:rPr>
                      <w:rFonts w:hint="default" w:ascii="Times New Roman" w:hAnsi="Times New Roman" w:eastAsia="宋体" w:cs="Times New Roman"/>
                      <w:snapToGrid w:val="0"/>
                      <w:color w:val="auto"/>
                      <w:spacing w:val="-11"/>
                      <w:kern w:val="0"/>
                      <w:sz w:val="21"/>
                      <w:szCs w:val="21"/>
                      <w:highlight w:val="none"/>
                      <w:lang w:bidi="ar"/>
                    </w:rPr>
                    <w:t>严格生态环境保护，强化各类污染物防治。针对规划实施可能出现的累积性、长期性生态环境问题，采取积极有效的生态复垦和生态恢复措施，确保实现《报告书》提出的各项生态恢复治理要求，有效减缓规划区生态环境退化趋势。根据油气开采产业政策和生态环境保护政策要求，严格落实资源环境指标要求，进一步控制污染物排放以及能源消耗水平，对油气开采产生的废弃油基泥浆、含油废液及其他固体废物，提出减量化的源头控制措施、资源化的利用路径、无害化的处理要求，按照国家和地方有关固体废物的管理规定进行处置，提高废弃油基泥浆和含油钻屑及其处理产物的综合利用率。根据油气开采产业政策和生态环境保护政策要求，严格落实资源环境指标要求，进一步控制污染物排放以及能源消耗水平。油气开采、输送、储存、净化等过程及非正常工况应加强挥发性有机物等污染物排放控制，确保满足区域环境空气质量要求。加强开采废水污染控制，涉及回注的应经处理满足《碎屑岩油藏注水水质推荐指标及分析方法》</w:t>
                  </w:r>
                  <w:r>
                    <w:rPr>
                      <w:rFonts w:hint="default" w:ascii="Times New Roman" w:hAnsi="Times New Roman" w:eastAsia="宋体" w:cs="Times New Roman"/>
                      <w:snapToGrid w:val="0"/>
                      <w:color w:val="auto"/>
                      <w:spacing w:val="-11"/>
                      <w:kern w:val="0"/>
                      <w:sz w:val="21"/>
                      <w:szCs w:val="21"/>
                      <w:highlight w:val="none"/>
                      <w:lang w:eastAsia="zh-CN" w:bidi="ar"/>
                    </w:rPr>
                    <w:t>（</w:t>
                  </w:r>
                  <w:r>
                    <w:rPr>
                      <w:rFonts w:hint="default" w:ascii="Times New Roman" w:hAnsi="Times New Roman" w:eastAsia="宋体" w:cs="Times New Roman"/>
                      <w:snapToGrid w:val="0"/>
                      <w:color w:val="auto"/>
                      <w:spacing w:val="-11"/>
                      <w:kern w:val="0"/>
                      <w:sz w:val="21"/>
                      <w:szCs w:val="21"/>
                      <w:highlight w:val="none"/>
                      <w:lang w:bidi="ar"/>
                    </w:rPr>
                    <w:t>SY/T5329</w:t>
                  </w:r>
                  <w:r>
                    <w:rPr>
                      <w:rFonts w:hint="default" w:ascii="Times New Roman" w:hAnsi="Times New Roman" w:eastAsia="宋体" w:cs="Times New Roman"/>
                      <w:snapToGrid w:val="0"/>
                      <w:color w:val="auto"/>
                      <w:spacing w:val="-11"/>
                      <w:kern w:val="0"/>
                      <w:sz w:val="21"/>
                      <w:szCs w:val="21"/>
                      <w:highlight w:val="none"/>
                      <w:lang w:eastAsia="zh-CN" w:bidi="ar"/>
                    </w:rPr>
                    <w:t>）</w:t>
                  </w:r>
                  <w:r>
                    <w:rPr>
                      <w:rFonts w:hint="default" w:ascii="Times New Roman" w:hAnsi="Times New Roman" w:eastAsia="宋体" w:cs="Times New Roman"/>
                      <w:snapToGrid w:val="0"/>
                      <w:color w:val="auto"/>
                      <w:spacing w:val="-11"/>
                      <w:kern w:val="0"/>
                      <w:sz w:val="21"/>
                      <w:szCs w:val="21"/>
                      <w:highlight w:val="none"/>
                      <w:lang w:bidi="ar"/>
                    </w:rPr>
                    <w:t>等相关标准要求，采取切实可行的地下水污染防治和监控措施，防止造成地下水污染。油气开采过程中产生的固体废物应当遵循减量化、资源化、无害化原则，合规处置。加强伴生气、落地油、采出水等回收利用，提高综合利用水平。</w:t>
                  </w:r>
                </w:p>
              </w:tc>
              <w:tc>
                <w:tcPr>
                  <w:tcW w:w="1597"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bidi="ar"/>
                    </w:rPr>
                  </w:pPr>
                  <w:r>
                    <w:rPr>
                      <w:rFonts w:hint="default" w:ascii="Times New Roman" w:hAnsi="Times New Roman" w:eastAsia="宋体" w:cs="Times New Roman"/>
                      <w:snapToGrid w:val="0"/>
                      <w:color w:val="auto"/>
                      <w:spacing w:val="-10"/>
                      <w:kern w:val="0"/>
                      <w:sz w:val="21"/>
                      <w:szCs w:val="21"/>
                      <w:highlight w:val="none"/>
                      <w:lang w:bidi="ar"/>
                    </w:rPr>
                    <w:t>本项目不涉及运营期，钻井期测试放喷时间一般为1</w:t>
                  </w:r>
                  <w:r>
                    <w:rPr>
                      <w:rFonts w:hint="default" w:ascii="Times New Roman" w:hAnsi="Times New Roman" w:eastAsia="宋体" w:cs="Times New Roman"/>
                      <w:snapToGrid w:val="0"/>
                      <w:color w:val="auto"/>
                      <w:spacing w:val="-10"/>
                      <w:kern w:val="0"/>
                      <w:sz w:val="21"/>
                      <w:szCs w:val="21"/>
                      <w:highlight w:val="none"/>
                      <w:lang w:val="en-US" w:eastAsia="zh-CN" w:bidi="ar"/>
                    </w:rPr>
                    <w:t>5</w:t>
                  </w:r>
                  <w:r>
                    <w:rPr>
                      <w:rFonts w:hint="default" w:ascii="Times New Roman" w:hAnsi="Times New Roman" w:eastAsia="宋体" w:cs="Times New Roman"/>
                      <w:snapToGrid w:val="0"/>
                      <w:color w:val="auto"/>
                      <w:spacing w:val="-10"/>
                      <w:kern w:val="0"/>
                      <w:sz w:val="21"/>
                      <w:szCs w:val="21"/>
                      <w:highlight w:val="none"/>
                      <w:lang w:bidi="ar"/>
                    </w:rPr>
                    <w:t>～</w:t>
                  </w:r>
                  <w:r>
                    <w:rPr>
                      <w:rFonts w:hint="default" w:ascii="Times New Roman" w:hAnsi="Times New Roman" w:eastAsia="宋体" w:cs="Times New Roman"/>
                      <w:snapToGrid w:val="0"/>
                      <w:color w:val="auto"/>
                      <w:spacing w:val="-10"/>
                      <w:kern w:val="0"/>
                      <w:sz w:val="21"/>
                      <w:szCs w:val="21"/>
                      <w:highlight w:val="none"/>
                      <w:lang w:val="en-US" w:eastAsia="zh-CN" w:bidi="ar"/>
                    </w:rPr>
                    <w:t>20</w:t>
                  </w:r>
                  <w:r>
                    <w:rPr>
                      <w:rFonts w:hint="default" w:ascii="Times New Roman" w:hAnsi="Times New Roman" w:eastAsia="宋体" w:cs="Times New Roman"/>
                      <w:snapToGrid w:val="0"/>
                      <w:color w:val="auto"/>
                      <w:spacing w:val="-10"/>
                      <w:kern w:val="0"/>
                      <w:sz w:val="21"/>
                      <w:szCs w:val="21"/>
                      <w:highlight w:val="none"/>
                      <w:lang w:bidi="ar"/>
                    </w:rPr>
                    <w:t>d，</w:t>
                  </w:r>
                  <w:r>
                    <w:rPr>
                      <w:rFonts w:hint="default" w:ascii="Times New Roman" w:hAnsi="Times New Roman" w:eastAsia="宋体" w:cs="Times New Roman"/>
                      <w:snapToGrid w:val="0"/>
                      <w:color w:val="auto"/>
                      <w:spacing w:val="-10"/>
                      <w:kern w:val="0"/>
                      <w:sz w:val="21"/>
                      <w:szCs w:val="21"/>
                      <w:highlight w:val="none"/>
                      <w:lang w:eastAsia="zh-CN" w:bidi="ar"/>
                    </w:rPr>
                    <w:t>测试放喷废气，由放喷管线引至放喷池实施点火放空；</w:t>
                  </w:r>
                  <w:r>
                    <w:rPr>
                      <w:rFonts w:hint="default" w:ascii="Times New Roman" w:hAnsi="Times New Roman" w:eastAsia="宋体" w:cs="Times New Roman"/>
                      <w:snapToGrid w:val="0"/>
                      <w:color w:val="auto"/>
                      <w:spacing w:val="-10"/>
                      <w:kern w:val="0"/>
                      <w:sz w:val="21"/>
                      <w:szCs w:val="21"/>
                      <w:highlight w:val="none"/>
                      <w:lang w:bidi="ar"/>
                    </w:rPr>
                    <w:t>生物质蒸汽锅炉采用生物质成型燃料，采用低氮燃烧技术，燃烧烟气经管道收集后送至袋式除尘器</w:t>
                  </w:r>
                  <w:r>
                    <w:rPr>
                      <w:rFonts w:hint="default" w:ascii="Times New Roman" w:hAnsi="Times New Roman" w:eastAsia="宋体" w:cs="Times New Roman"/>
                      <w:snapToGrid w:val="0"/>
                      <w:color w:val="auto"/>
                      <w:spacing w:val="-10"/>
                      <w:kern w:val="0"/>
                      <w:sz w:val="21"/>
                      <w:szCs w:val="21"/>
                      <w:highlight w:val="none"/>
                      <w:lang w:eastAsia="zh-CN" w:bidi="ar"/>
                    </w:rPr>
                    <w:t>，</w:t>
                  </w:r>
                  <w:r>
                    <w:rPr>
                      <w:rFonts w:hint="default" w:ascii="Times New Roman" w:hAnsi="Times New Roman" w:eastAsia="宋体" w:cs="Times New Roman"/>
                      <w:snapToGrid w:val="0"/>
                      <w:color w:val="auto"/>
                      <w:spacing w:val="-10"/>
                      <w:kern w:val="0"/>
                      <w:sz w:val="21"/>
                      <w:szCs w:val="21"/>
                      <w:highlight w:val="none"/>
                      <w:lang w:bidi="ar"/>
                    </w:rPr>
                    <w:t>处理后经</w:t>
                  </w:r>
                  <w:r>
                    <w:rPr>
                      <w:rFonts w:hint="eastAsia" w:ascii="Times New Roman" w:cs="Times New Roman"/>
                      <w:snapToGrid w:val="0"/>
                      <w:color w:val="auto"/>
                      <w:spacing w:val="-10"/>
                      <w:kern w:val="0"/>
                      <w:sz w:val="21"/>
                      <w:szCs w:val="21"/>
                      <w:highlight w:val="none"/>
                      <w:lang w:val="en-US" w:eastAsia="zh-CN" w:bidi="ar"/>
                    </w:rPr>
                    <w:t>30</w:t>
                  </w:r>
                  <w:r>
                    <w:rPr>
                      <w:rFonts w:hint="default" w:ascii="Times New Roman" w:hAnsi="Times New Roman" w:eastAsia="宋体" w:cs="Times New Roman"/>
                      <w:snapToGrid w:val="0"/>
                      <w:color w:val="auto"/>
                      <w:spacing w:val="-10"/>
                      <w:kern w:val="0"/>
                      <w:sz w:val="21"/>
                      <w:szCs w:val="21"/>
                      <w:highlight w:val="none"/>
                      <w:lang w:bidi="ar"/>
                    </w:rPr>
                    <w:t>m排气筒（可拆卸式）排放，项目施工活动范围区域开阔，气象扩散条件好，不会对区域环境空气产生明显影响</w:t>
                  </w:r>
                  <w:r>
                    <w:rPr>
                      <w:rFonts w:hint="default" w:ascii="Times New Roman" w:hAnsi="Times New Roman" w:eastAsia="宋体" w:cs="Times New Roman"/>
                      <w:snapToGrid w:val="0"/>
                      <w:color w:val="auto"/>
                      <w:spacing w:val="-10"/>
                      <w:kern w:val="0"/>
                      <w:sz w:val="21"/>
                      <w:szCs w:val="21"/>
                      <w:highlight w:val="none"/>
                      <w:lang w:eastAsia="zh-CN" w:bidi="ar"/>
                    </w:rPr>
                    <w:t>；</w:t>
                  </w:r>
                  <w:r>
                    <w:rPr>
                      <w:rFonts w:hint="default" w:ascii="Times New Roman" w:hAnsi="Times New Roman" w:eastAsia="宋体" w:cs="Times New Roman"/>
                      <w:snapToGrid w:val="0"/>
                      <w:color w:val="auto"/>
                      <w:spacing w:val="-10"/>
                      <w:kern w:val="0"/>
                      <w:sz w:val="21"/>
                      <w:szCs w:val="21"/>
                      <w:highlight w:val="none"/>
                      <w:lang w:bidi="ar"/>
                    </w:rPr>
                    <w:t>岩屑随钻井泥浆带出，采用“泥浆不落地”工艺收集，泥浆排入泥浆罐循环使用，完井后拉运至下一口井再利用，膨润土体系废弃钻井岩屑排入防渗岩屑池干化，经检测达标后，用于井场平整；</w:t>
                  </w:r>
                  <w:r>
                    <w:rPr>
                      <w:rFonts w:hint="eastAsia" w:ascii="Times New Roman" w:cs="Times New Roman"/>
                      <w:color w:val="auto"/>
                      <w:spacing w:val="-10"/>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0"/>
                      <w:sz w:val="21"/>
                      <w:szCs w:val="21"/>
                      <w:highlight w:val="none"/>
                      <w:lang w:eastAsia="zh-CN"/>
                    </w:rPr>
                    <w:t>，处理达标后还原土用于铺垫油区内的井场、道路；</w:t>
                  </w:r>
                  <w:r>
                    <w:rPr>
                      <w:rFonts w:hint="default" w:ascii="Times New Roman" w:hAnsi="Times New Roman" w:eastAsia="宋体" w:cs="Times New Roman"/>
                      <w:snapToGrid w:val="0"/>
                      <w:color w:val="auto"/>
                      <w:spacing w:val="-10"/>
                      <w:kern w:val="0"/>
                      <w:sz w:val="21"/>
                      <w:szCs w:val="21"/>
                      <w:highlight w:val="none"/>
                      <w:lang w:bidi="ar"/>
                    </w:rPr>
                    <w:t>沾油废物、废烧碱包装袋、废矿物油及其包装物在危废贮存点（8m</w:t>
                  </w:r>
                  <w:r>
                    <w:rPr>
                      <w:rFonts w:hint="default" w:ascii="Times New Roman" w:hAnsi="Times New Roman" w:eastAsia="宋体" w:cs="Times New Roman"/>
                      <w:snapToGrid w:val="0"/>
                      <w:color w:val="auto"/>
                      <w:spacing w:val="-10"/>
                      <w:kern w:val="0"/>
                      <w:sz w:val="21"/>
                      <w:szCs w:val="21"/>
                      <w:highlight w:val="none"/>
                      <w:vertAlign w:val="superscript"/>
                      <w:lang w:bidi="ar"/>
                    </w:rPr>
                    <w:t>2</w:t>
                  </w:r>
                  <w:r>
                    <w:rPr>
                      <w:rFonts w:hint="default" w:ascii="Times New Roman" w:hAnsi="Times New Roman" w:eastAsia="宋体" w:cs="Times New Roman"/>
                      <w:snapToGrid w:val="0"/>
                      <w:color w:val="auto"/>
                      <w:spacing w:val="-10"/>
                      <w:kern w:val="0"/>
                      <w:sz w:val="21"/>
                      <w:szCs w:val="21"/>
                      <w:highlight w:val="none"/>
                      <w:lang w:bidi="ar"/>
                    </w:rPr>
                    <w:t>）暂存，定期由有处理资质的单位接收妥善处置；锅炉灰渣及除尘灰送至周边固废填埋场填埋；废布袋由厂家回收处理；生活垃圾及污水处理站污泥规范收集后统一清运至</w:t>
                  </w:r>
                  <w:r>
                    <w:rPr>
                      <w:rFonts w:hint="eastAsia" w:ascii="Times New Roman" w:cs="Times New Roman"/>
                      <w:snapToGrid w:val="0"/>
                      <w:color w:val="auto"/>
                      <w:spacing w:val="-10"/>
                      <w:kern w:val="0"/>
                      <w:sz w:val="21"/>
                      <w:szCs w:val="21"/>
                      <w:highlight w:val="none"/>
                      <w:lang w:eastAsia="zh-CN" w:bidi="ar"/>
                    </w:rPr>
                    <w:t>塔中镇生活垃圾填埋场处理</w:t>
                  </w:r>
                  <w:r>
                    <w:rPr>
                      <w:rFonts w:hint="default" w:ascii="Times New Roman" w:hAnsi="Times New Roman" w:eastAsia="宋体" w:cs="Times New Roman"/>
                      <w:snapToGrid w:val="0"/>
                      <w:color w:val="auto"/>
                      <w:spacing w:val="-10"/>
                      <w:kern w:val="0"/>
                      <w:sz w:val="21"/>
                      <w:szCs w:val="21"/>
                      <w:highlight w:val="none"/>
                      <w:lang w:bidi="ar"/>
                    </w:rPr>
                    <w:t>。</w:t>
                  </w:r>
                </w:p>
              </w:tc>
              <w:tc>
                <w:tcPr>
                  <w:tcW w:w="470"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4" w:hRule="atLeast"/>
                <w:jc w:val="center"/>
              </w:trPr>
              <w:tc>
                <w:tcPr>
                  <w:tcW w:w="476"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1"/>
                      <w:kern w:val="0"/>
                      <w:sz w:val="21"/>
                      <w:szCs w:val="21"/>
                      <w:highlight w:val="none"/>
                    </w:rPr>
                  </w:pPr>
                </w:p>
              </w:tc>
              <w:tc>
                <w:tcPr>
                  <w:tcW w:w="2454" w:type="pct"/>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val="en-US" w:eastAsia="zh-CN" w:bidi="ar"/>
                    </w:rPr>
                  </w:pPr>
                  <w:r>
                    <w:rPr>
                      <w:rFonts w:hint="default" w:ascii="Times New Roman" w:hAnsi="Times New Roman" w:eastAsia="宋体" w:cs="Times New Roman"/>
                      <w:snapToGrid w:val="0"/>
                      <w:color w:val="auto"/>
                      <w:spacing w:val="-10"/>
                      <w:kern w:val="0"/>
                      <w:sz w:val="21"/>
                      <w:szCs w:val="21"/>
                      <w:highlight w:val="none"/>
                      <w:lang w:bidi="ar"/>
                    </w:rPr>
                    <w:t>加强生态环境系统治理，维护生态安全。坚持节约优先、保护优先、自然恢复为主，统筹推进山水林田湖草沙一体化保护和系统治理，守住自然生态安全边界。严格控制油气田开发扰动范围，加大生态治理力度，结合油气开采绿色矿山建设等相关要求，落实各项生态环境保护措施，保障区域生态功能不退化，油气开发应同步制定并落实生态保护和修复方案，综合考虑防沙治沙等相关要求，因地制宜开展生态恢复治理工作</w:t>
                  </w:r>
                </w:p>
              </w:tc>
              <w:tc>
                <w:tcPr>
                  <w:tcW w:w="15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钻完井后施工单位负责做到工完、料净、场地清，</w:t>
                  </w:r>
                  <w:r>
                    <w:rPr>
                      <w:rFonts w:hint="default" w:ascii="Times New Roman" w:hAnsi="Times New Roman" w:eastAsia="宋体" w:cs="Times New Roman"/>
                      <w:color w:val="auto"/>
                      <w:spacing w:val="-10"/>
                      <w:sz w:val="21"/>
                      <w:szCs w:val="21"/>
                      <w:highlight w:val="none"/>
                      <w:lang w:bidi="ar"/>
                    </w:rPr>
                    <w:t>施工结束后及时恢复原状，不降低占地环境质量</w:t>
                  </w:r>
                  <w:r>
                    <w:rPr>
                      <w:rFonts w:hint="default" w:ascii="Times New Roman" w:hAnsi="Times New Roman" w:eastAsia="宋体" w:cs="Times New Roman"/>
                      <w:snapToGrid w:val="0"/>
                      <w:color w:val="auto"/>
                      <w:spacing w:val="-10"/>
                      <w:kern w:val="0"/>
                      <w:sz w:val="21"/>
                      <w:szCs w:val="21"/>
                      <w:highlight w:val="none"/>
                    </w:rPr>
                    <w:t>。同时</w:t>
                  </w:r>
                  <w:r>
                    <w:rPr>
                      <w:rFonts w:hint="default" w:ascii="Times New Roman" w:hAnsi="Times New Roman" w:eastAsia="宋体" w:cs="Times New Roman"/>
                      <w:snapToGrid w:val="0"/>
                      <w:color w:val="auto"/>
                      <w:spacing w:val="-10"/>
                      <w:kern w:val="0"/>
                      <w:sz w:val="21"/>
                      <w:szCs w:val="21"/>
                      <w:highlight w:val="none"/>
                      <w:lang w:eastAsia="zh-CN"/>
                    </w:rPr>
                    <w:t>，报告</w:t>
                  </w:r>
                  <w:r>
                    <w:rPr>
                      <w:rFonts w:hint="default" w:ascii="Times New Roman" w:hAnsi="Times New Roman" w:eastAsia="宋体" w:cs="Times New Roman"/>
                      <w:snapToGrid w:val="0"/>
                      <w:color w:val="auto"/>
                      <w:spacing w:val="-10"/>
                      <w:kern w:val="0"/>
                      <w:sz w:val="21"/>
                      <w:szCs w:val="21"/>
                      <w:highlight w:val="none"/>
                    </w:rPr>
                    <w:t>中提出相关防沙治沙措施</w:t>
                  </w:r>
                  <w:r>
                    <w:rPr>
                      <w:rFonts w:hint="default" w:ascii="Times New Roman" w:hAnsi="Times New Roman" w:eastAsia="宋体" w:cs="Times New Roman"/>
                      <w:snapToGrid w:val="0"/>
                      <w:color w:val="auto"/>
                      <w:spacing w:val="-10"/>
                      <w:kern w:val="0"/>
                      <w:sz w:val="21"/>
                      <w:szCs w:val="21"/>
                      <w:highlight w:val="none"/>
                      <w:lang w:eastAsia="zh-CN"/>
                    </w:rPr>
                    <w:t>。</w:t>
                  </w:r>
                </w:p>
              </w:tc>
              <w:tc>
                <w:tcPr>
                  <w:tcW w:w="47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bl>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both"/>
              <w:textAlignment w:val="auto"/>
              <w:rPr>
                <w:rFonts w:hint="default" w:ascii="Times New Roman" w:hAnsi="Times New Roman" w:eastAsia="宋体" w:cs="Times New Roman"/>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1" w:hRule="atLeast"/>
          <w:jc w:val="center"/>
        </w:trPr>
        <w:tc>
          <w:tcPr>
            <w:tcW w:w="1427" w:type="dxa"/>
            <w:noWrap w:val="0"/>
            <w:tcMar>
              <w:top w:w="16" w:type="dxa"/>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br w:type="page"/>
            </w:r>
            <w:r>
              <w:rPr>
                <w:rFonts w:hint="default" w:ascii="Times New Roman" w:hAnsi="Times New Roman" w:eastAsia="宋体" w:cs="Times New Roman"/>
                <w:color w:val="auto"/>
                <w:sz w:val="24"/>
                <w:szCs w:val="24"/>
                <w:highlight w:val="none"/>
              </w:rPr>
              <w:t>其他符合性分析</w:t>
            </w:r>
          </w:p>
        </w:tc>
        <w:tc>
          <w:tcPr>
            <w:tcW w:w="7747" w:type="dxa"/>
            <w:gridSpan w:val="3"/>
            <w:noWrap w:val="0"/>
            <w:tcMar>
              <w:top w:w="16" w:type="dxa"/>
              <w:left w:w="108" w:type="dxa"/>
              <w:right w:w="108" w:type="dxa"/>
            </w:tcMar>
            <w:vAlign w:val="top"/>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color w:val="auto"/>
                <w:sz w:val="24"/>
                <w:szCs w:val="20"/>
                <w:highlight w:val="none"/>
              </w:rPr>
              <w:t>1</w:t>
            </w:r>
            <w:r>
              <w:rPr>
                <w:rFonts w:hint="default" w:ascii="Times New Roman" w:hAnsi="Times New Roman" w:eastAsia="宋体" w:cs="Times New Roman"/>
                <w:b/>
                <w:bCs/>
                <w:color w:val="auto"/>
                <w:sz w:val="24"/>
                <w:highlight w:val="none"/>
              </w:rPr>
              <w:t>、《产业结构调整指导目录</w:t>
            </w: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lang w:val="en-US" w:eastAsia="zh-CN"/>
              </w:rPr>
              <w:t>2024</w:t>
            </w:r>
            <w:r>
              <w:rPr>
                <w:rFonts w:hint="default" w:ascii="Times New Roman" w:hAnsi="Times New Roman" w:eastAsia="宋体" w:cs="Times New Roman"/>
                <w:b/>
                <w:bCs/>
                <w:color w:val="auto"/>
                <w:sz w:val="24"/>
                <w:highlight w:val="none"/>
              </w:rPr>
              <w:t>年本</w:t>
            </w: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rPr>
              <w:t>》符合性分析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本项目属于油气勘探钻井工程，对照《产业结构调整指导目录（2024年本）》，项目属于鼓励类中的“七、石油、天然气中”的“1、常规石油、天然气勘探与开采”；对照《市场准入负面清单（2025年版）》（发改体改规〔2025〕466号），本项目不在其禁止类之列，项目实施符合国家产业政策。</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rPr>
              <w:t>2、</w:t>
            </w:r>
            <w:r>
              <w:rPr>
                <w:rFonts w:hint="default" w:ascii="Times New Roman" w:hAnsi="Times New Roman" w:eastAsia="宋体" w:cs="Times New Roman"/>
                <w:b/>
                <w:bCs/>
                <w:color w:val="auto"/>
                <w:sz w:val="24"/>
                <w:highlight w:val="none"/>
                <w:lang w:val="en-US" w:eastAsia="zh-CN"/>
              </w:rPr>
              <w:t>选址合理性分析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val="0"/>
                <w:bCs w:val="0"/>
                <w:color w:val="auto"/>
                <w:sz w:val="24"/>
                <w:highlight w:val="none"/>
                <w:lang w:val="en-US" w:eastAsia="zh-CN"/>
              </w:rPr>
              <w:t>项目占地类型为</w:t>
            </w:r>
            <w:r>
              <w:rPr>
                <w:rFonts w:hint="default" w:ascii="Times New Roman" w:hAnsi="Times New Roman" w:cs="Times New Roman"/>
                <w:b w:val="0"/>
                <w:bCs w:val="0"/>
                <w:color w:val="auto"/>
                <w:sz w:val="24"/>
                <w:highlight w:val="none"/>
                <w:lang w:val="en-US" w:eastAsia="zh-CN"/>
              </w:rPr>
              <w:t>沙地</w:t>
            </w:r>
            <w:r>
              <w:rPr>
                <w:rFonts w:hint="default" w:ascii="Times New Roman" w:hAnsi="Times New Roman" w:eastAsia="宋体" w:cs="Times New Roman"/>
                <w:b w:val="0"/>
                <w:bCs w:val="0"/>
                <w:color w:val="auto"/>
                <w:sz w:val="24"/>
                <w:highlight w:val="none"/>
                <w:lang w:val="en-US" w:eastAsia="zh-CN"/>
              </w:rPr>
              <w:t>，地表无植被覆盖，周边无环境敏感区域，</w:t>
            </w:r>
            <w:r>
              <w:rPr>
                <w:rFonts w:hint="default" w:ascii="Times New Roman" w:hAnsi="Times New Roman" w:eastAsia="宋体" w:cs="Times New Roman"/>
                <w:color w:val="auto"/>
                <w:sz w:val="24"/>
                <w:szCs w:val="24"/>
                <w:highlight w:val="none"/>
                <w:lang w:val="en-US" w:eastAsia="zh-CN"/>
              </w:rPr>
              <w:t>项目划定严格的施工边界，不扰动红线外区域。本项目井场中心地理坐标为：</w:t>
            </w:r>
            <w:r>
              <w:rPr>
                <w:rFonts w:hint="default" w:ascii="Times New Roman" w:hAnsi="Times New Roman" w:cs="Times New Roman"/>
                <w:color w:val="auto"/>
                <w:sz w:val="24"/>
                <w:szCs w:val="24"/>
                <w:highlight w:val="none"/>
                <w:lang w:val="en-US" w:eastAsia="zh-CN"/>
              </w:rPr>
              <w:t>东经83°39′4.106″，北纬39°10′50.792″</w:t>
            </w:r>
            <w:r>
              <w:rPr>
                <w:rFonts w:hint="default" w:ascii="Times New Roman" w:hAnsi="Times New Roman" w:eastAsia="宋体" w:cs="Times New Roman"/>
                <w:color w:val="auto"/>
                <w:sz w:val="24"/>
                <w:szCs w:val="24"/>
                <w:highlight w:val="none"/>
                <w:lang w:val="en-US" w:eastAsia="zh-CN"/>
              </w:rPr>
              <w:t>。经过地质调查，项目区域是有利于油气聚集的地质区域，符合项目建设需求。项目位于“新疆塔里木盆地</w:t>
            </w:r>
            <w:r>
              <w:rPr>
                <w:rFonts w:hint="eastAsia" w:ascii="Times New Roman" w:hAnsi="Times New Roman" w:cs="Times New Roman"/>
                <w:color w:val="auto"/>
                <w:sz w:val="24"/>
                <w:szCs w:val="24"/>
                <w:highlight w:val="none"/>
                <w:lang w:val="en-US" w:eastAsia="zh-CN"/>
              </w:rPr>
              <w:t>塔中I号气田油田开采</w:t>
            </w:r>
            <w:r>
              <w:rPr>
                <w:rFonts w:hint="default" w:ascii="Times New Roman" w:hAnsi="Times New Roman" w:eastAsia="宋体" w:cs="Times New Roman"/>
                <w:color w:val="auto"/>
                <w:sz w:val="24"/>
                <w:szCs w:val="24"/>
                <w:highlight w:val="none"/>
                <w:lang w:val="en-US" w:eastAsia="zh-CN"/>
              </w:rPr>
              <w:t>”范围内。取得《</w:t>
            </w:r>
            <w:r>
              <w:rPr>
                <w:rFonts w:hint="eastAsia" w:ascii="Times New Roman" w:cs="Times New Roman"/>
                <w:color w:val="auto"/>
                <w:sz w:val="24"/>
                <w:szCs w:val="24"/>
                <w:highlight w:val="none"/>
                <w:lang w:val="en-US" w:eastAsia="zh-CN"/>
              </w:rPr>
              <w:t>采矿</w:t>
            </w:r>
            <w:r>
              <w:rPr>
                <w:rFonts w:hint="default" w:ascii="Times New Roman" w:hAnsi="Times New Roman" w:eastAsia="宋体" w:cs="Times New Roman"/>
                <w:color w:val="auto"/>
                <w:sz w:val="24"/>
                <w:szCs w:val="24"/>
                <w:highlight w:val="none"/>
                <w:lang w:val="en-US" w:eastAsia="zh-CN"/>
              </w:rPr>
              <w:t>许可证》（证号</w:t>
            </w:r>
            <w:r>
              <w:rPr>
                <w:rFonts w:hint="eastAsia" w:ascii="Times New Roman" w:cs="Times New Roman"/>
                <w:color w:val="auto"/>
                <w:sz w:val="24"/>
                <w:szCs w:val="24"/>
                <w:highlight w:val="none"/>
                <w:lang w:val="en-US" w:eastAsia="zh-CN"/>
              </w:rPr>
              <w:t>：C1000002021121318000192</w:t>
            </w:r>
            <w:r>
              <w:rPr>
                <w:rFonts w:hint="default" w:ascii="Times New Roman" w:hAnsi="Times New Roman" w:eastAsia="宋体" w:cs="Times New Roman"/>
                <w:color w:val="auto"/>
                <w:sz w:val="24"/>
                <w:szCs w:val="24"/>
                <w:highlight w:val="none"/>
                <w:lang w:val="en-US" w:eastAsia="zh-CN"/>
              </w:rPr>
              <w:t>），具有油气勘探资格，项目选址合理。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rPr>
              <w:t>3</w:t>
            </w:r>
            <w:r>
              <w:rPr>
                <w:rFonts w:hint="default" w:ascii="Times New Roman" w:hAnsi="Times New Roman" w:eastAsia="宋体" w:cs="Times New Roman"/>
                <w:b/>
                <w:bCs/>
                <w:color w:val="auto"/>
                <w:sz w:val="24"/>
                <w:highlight w:val="none"/>
              </w:rPr>
              <w:t>、</w:t>
            </w:r>
            <w:r>
              <w:rPr>
                <w:rFonts w:hint="default" w:ascii="Times New Roman" w:hAnsi="Times New Roman" w:eastAsia="宋体" w:cs="Times New Roman"/>
                <w:b/>
                <w:color w:val="auto"/>
                <w:sz w:val="24"/>
                <w:szCs w:val="20"/>
                <w:highlight w:val="none"/>
              </w:rPr>
              <w:t>环境功能区划</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所在区域为油气勘探开发区域，大气环境属于《环境空气质量标准》（GB3095-2026）二类区；根据《地下水质量标准》（GB/T14848-2017）地下水质量分类规定，工程所在区域地下水属于《地下水质量标准》（GB/T14848-2017）Ⅲ类区；工程区域以工业生产（油气勘探开发）为主要功能，声环境为《声环境质量标准》（GB3096-2008）2类区。</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rPr>
              <w:t>4</w:t>
            </w:r>
            <w:r>
              <w:rPr>
                <w:rFonts w:hint="default" w:ascii="Times New Roman" w:hAnsi="Times New Roman" w:eastAsia="宋体" w:cs="Times New Roman"/>
                <w:b/>
                <w:bCs/>
                <w:color w:val="auto"/>
                <w:sz w:val="24"/>
                <w:highlight w:val="none"/>
              </w:rPr>
              <w:t>、</w:t>
            </w:r>
            <w:r>
              <w:rPr>
                <w:rFonts w:hint="default" w:ascii="Times New Roman" w:hAnsi="Times New Roman" w:eastAsia="宋体" w:cs="Times New Roman"/>
                <w:b/>
                <w:color w:val="auto"/>
                <w:sz w:val="24"/>
                <w:szCs w:val="20"/>
                <w:highlight w:val="none"/>
              </w:rPr>
              <w:t>生态环境分区管控符合性分析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根据关于印发《新疆维吾尔自治区生态环境分区管控动态更新成果》的通知（新环环评发〔2024〕157号）及《关于印发巴音郭楞蒙古自治州生态环境分区管控动态更新成果</w:t>
            </w:r>
            <w:r>
              <w:rPr>
                <w:rFonts w:hint="eastAsia" w:asci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2023年</w:t>
            </w:r>
            <w:r>
              <w:rPr>
                <w:rFonts w:hint="eastAsia" w:asci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的通知》（巴政办发〔2024〕32号），本项目与生态环境分区管控的符合性分析见表1-2至表1-</w:t>
            </w:r>
            <w:r>
              <w:rPr>
                <w:rFonts w:hint="eastAsia" w:ascii="Times New Roman"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lang w:eastAsia="zh-CN"/>
              </w:rPr>
              <w:t>（</w:t>
            </w:r>
            <w:r>
              <w:rPr>
                <w:rFonts w:hint="default" w:ascii="Times New Roman" w:hAnsi="Times New Roman" w:eastAsia="宋体" w:cs="Times New Roman"/>
                <w:b/>
                <w:color w:val="auto"/>
                <w:sz w:val="24"/>
                <w:szCs w:val="20"/>
                <w:highlight w:val="none"/>
                <w:lang w:val="en-US" w:eastAsia="zh-CN"/>
              </w:rPr>
              <w:t>1</w:t>
            </w:r>
            <w:r>
              <w:rPr>
                <w:rFonts w:hint="default" w:ascii="Times New Roman" w:hAnsi="Times New Roman" w:eastAsia="宋体" w:cs="Times New Roman"/>
                <w:b/>
                <w:color w:val="auto"/>
                <w:sz w:val="24"/>
                <w:szCs w:val="20"/>
                <w:highlight w:val="none"/>
                <w:lang w:eastAsia="zh-CN"/>
              </w:rPr>
              <w:t>）</w:t>
            </w:r>
            <w:r>
              <w:rPr>
                <w:rFonts w:hint="default" w:ascii="Times New Roman" w:hAnsi="Times New Roman" w:eastAsia="宋体" w:cs="Times New Roman"/>
                <w:b/>
                <w:color w:val="auto"/>
                <w:sz w:val="24"/>
                <w:szCs w:val="20"/>
                <w:highlight w:val="none"/>
              </w:rPr>
              <w:t>与《新疆维吾尔自治区生态环境分区管控动态更新成果》的符合性分析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rPr>
              <w:t>2    与《新疆维吾尔自治区生态环境分区管控动态更新成果》符合性分析一览表</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829"/>
              <w:gridCol w:w="376"/>
              <w:gridCol w:w="515"/>
              <w:gridCol w:w="2668"/>
              <w:gridCol w:w="2518"/>
              <w:gridCol w:w="60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145" w:type="pct"/>
                  <w:gridSpan w:val="3"/>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类别</w:t>
                  </w:r>
                </w:p>
              </w:tc>
              <w:tc>
                <w:tcPr>
                  <w:tcW w:w="1775"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文件要求</w:t>
                  </w:r>
                </w:p>
              </w:tc>
              <w:tc>
                <w:tcPr>
                  <w:tcW w:w="167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本项目</w:t>
                  </w:r>
                </w:p>
              </w:tc>
              <w:tc>
                <w:tcPr>
                  <w:tcW w:w="40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52"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bCs/>
                      <w:color w:val="auto"/>
                      <w:spacing w:val="-6"/>
                      <w:sz w:val="21"/>
                      <w:szCs w:val="21"/>
                      <w:highlight w:val="none"/>
                      <w:lang w:bidi="ar"/>
                    </w:rPr>
                  </w:pPr>
                  <w:r>
                    <w:rPr>
                      <w:rFonts w:hint="default" w:ascii="Times New Roman" w:hAnsi="Times New Roman" w:eastAsia="宋体" w:cs="Times New Roman"/>
                      <w:bCs/>
                      <w:color w:val="auto"/>
                      <w:spacing w:val="-6"/>
                      <w:sz w:val="21"/>
                      <w:szCs w:val="21"/>
                      <w:highlight w:val="none"/>
                      <w:lang w:bidi="ar"/>
                    </w:rPr>
                    <w:t>关于印发《新疆维吾尔自治区生态环境分区管控动态更新成果》的通知（新环环评发〔2024〕</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6"/>
                      <w:sz w:val="21"/>
                      <w:szCs w:val="21"/>
                      <w:highlight w:val="none"/>
                      <w:lang w:bidi="ar"/>
                    </w:rPr>
                    <w:t>157号）</w:t>
                  </w:r>
                </w:p>
              </w:tc>
              <w:tc>
                <w:tcPr>
                  <w:tcW w:w="593"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生态保护红线</w:t>
                  </w:r>
                </w:p>
              </w:tc>
              <w:tc>
                <w:tcPr>
                  <w:tcW w:w="1775"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按照“生态功能不降低、面积不减少、性质不改变”的基本要求，对划定的生态保护红线实施严格管控，保障和维护国家生态安全的底线和生命线。</w:t>
                  </w:r>
                </w:p>
              </w:tc>
              <w:tc>
                <w:tcPr>
                  <w:tcW w:w="167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val="en-US" w:eastAsia="zh-CN"/>
                    </w:rPr>
                    <w:t>本项目</w:t>
                  </w:r>
                  <w:r>
                    <w:rPr>
                      <w:rFonts w:hint="eastAsia" w:ascii="Times New Roman" w:cs="Times New Roman"/>
                      <w:color w:val="auto"/>
                      <w:spacing w:val="-10"/>
                      <w:sz w:val="21"/>
                      <w:szCs w:val="21"/>
                      <w:highlight w:val="none"/>
                      <w:lang w:val="en-US" w:eastAsia="zh-CN"/>
                    </w:rPr>
                    <w:t>西南距塔里木盆地南缘土地沙化防控生态保护红线区122.9km</w:t>
                  </w:r>
                  <w:r>
                    <w:rPr>
                      <w:rFonts w:hint="default" w:ascii="Times New Roman" w:hAnsi="Times New Roman" w:eastAsia="宋体" w:cs="Times New Roman"/>
                      <w:color w:val="auto"/>
                      <w:spacing w:val="-10"/>
                      <w:sz w:val="21"/>
                      <w:szCs w:val="21"/>
                      <w:highlight w:val="none"/>
                    </w:rPr>
                    <w:t>，不占用生态保护红线</w:t>
                  </w:r>
                  <w:r>
                    <w:rPr>
                      <w:rFonts w:hint="default" w:ascii="Times New Roman" w:hAnsi="Times New Roman" w:eastAsia="宋体" w:cs="Times New Roman"/>
                      <w:color w:val="auto"/>
                      <w:spacing w:val="-10"/>
                      <w:sz w:val="21"/>
                      <w:szCs w:val="21"/>
                      <w:highlight w:val="none"/>
                      <w:lang w:eastAsia="zh-CN"/>
                    </w:rPr>
                    <w:t>。</w:t>
                  </w:r>
                </w:p>
              </w:tc>
              <w:tc>
                <w:tcPr>
                  <w:tcW w:w="40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52"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p>
              </w:tc>
              <w:tc>
                <w:tcPr>
                  <w:tcW w:w="593"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环境质量底线</w:t>
                  </w:r>
                </w:p>
              </w:tc>
              <w:tc>
                <w:tcPr>
                  <w:tcW w:w="1775"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全区水环境质量持续改善，受污染地表水体得到优先治理，饮用水安全保障水平持续提升，地下水超采得到严格控制，地下水水质保持稳定；全区环境空气质量有所提升，重污染天数持续减少，已达标城市环境空气质量保持稳定，未达标城市环境空气质量持续改善，沙尘影响严重地区做好防风固沙、生态环境保护修复等工作；全区土壤环境质量保持稳定，污染地块安全利用水平稳中有升，土壤环境风险得到进一步管控。</w:t>
                  </w:r>
                </w:p>
              </w:tc>
              <w:tc>
                <w:tcPr>
                  <w:tcW w:w="1676"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50" w:lineRule="exact"/>
                    <w:ind w:left="0" w:right="0"/>
                    <w:textAlignment w:val="auto"/>
                    <w:rPr>
                      <w:rFonts w:hint="default" w:ascii="Times New Roman" w:hAnsi="Times New Roman" w:eastAsia="宋体" w:cs="Times New Roman"/>
                      <w:color w:val="auto"/>
                      <w:spacing w:val="-14"/>
                      <w:sz w:val="21"/>
                      <w:szCs w:val="21"/>
                      <w:highlight w:val="none"/>
                      <w:lang w:eastAsia="zh-CN"/>
                    </w:rPr>
                  </w:pPr>
                  <w:r>
                    <w:rPr>
                      <w:rFonts w:hint="default" w:ascii="Times New Roman" w:hAnsi="Times New Roman" w:eastAsia="宋体" w:cs="Times New Roman"/>
                      <w:color w:val="auto"/>
                      <w:spacing w:val="-14"/>
                      <w:sz w:val="21"/>
                      <w:szCs w:val="21"/>
                      <w:highlight w:val="none"/>
                    </w:rPr>
                    <w:t>本项</w:t>
                  </w:r>
                  <w:r>
                    <w:rPr>
                      <w:rFonts w:hint="default" w:ascii="Times New Roman" w:hAnsi="Times New Roman" w:eastAsia="宋体" w:cs="Times New Roman"/>
                      <w:color w:val="auto"/>
                      <w:spacing w:val="-16"/>
                      <w:sz w:val="21"/>
                      <w:szCs w:val="21"/>
                      <w:highlight w:val="none"/>
                    </w:rPr>
                    <w:t>目不涉及运营期，</w:t>
                  </w:r>
                  <w:r>
                    <w:rPr>
                      <w:rFonts w:hint="default" w:ascii="Times New Roman" w:hAnsi="Times New Roman" w:eastAsia="宋体" w:cs="Times New Roman"/>
                      <w:color w:val="auto"/>
                      <w:spacing w:val="-16"/>
                      <w:sz w:val="21"/>
                      <w:szCs w:val="21"/>
                      <w:highlight w:val="none"/>
                      <w:lang w:val="en-US" w:eastAsia="zh-CN"/>
                    </w:rPr>
                    <w:t>测试放喷废气，由放喷管线引至放喷池实施点火放空；生物质蒸汽锅炉采用生物质成型燃料，采用低氮燃烧技术，燃烧烟气经管道收集后送至袋式除尘器，处理后经</w:t>
                  </w:r>
                  <w:r>
                    <w:rPr>
                      <w:rFonts w:hint="eastAsia" w:ascii="Times New Roman" w:cs="Times New Roman"/>
                      <w:color w:val="auto"/>
                      <w:spacing w:val="-16"/>
                      <w:sz w:val="21"/>
                      <w:szCs w:val="21"/>
                      <w:highlight w:val="none"/>
                      <w:lang w:val="en-US" w:eastAsia="zh-CN"/>
                    </w:rPr>
                    <w:t>30</w:t>
                  </w:r>
                  <w:r>
                    <w:rPr>
                      <w:rFonts w:hint="default" w:ascii="Times New Roman" w:hAnsi="Times New Roman" w:eastAsia="宋体" w:cs="Times New Roman"/>
                      <w:color w:val="auto"/>
                      <w:spacing w:val="-16"/>
                      <w:sz w:val="21"/>
                      <w:szCs w:val="21"/>
                      <w:highlight w:val="none"/>
                      <w:lang w:val="en-US" w:eastAsia="zh-CN"/>
                    </w:rPr>
                    <w:t>m排气筒（可拆卸式）排放</w:t>
                  </w:r>
                  <w:r>
                    <w:rPr>
                      <w:rFonts w:hint="default" w:ascii="Times New Roman" w:hAnsi="Times New Roman" w:eastAsia="宋体" w:cs="Times New Roman"/>
                      <w:color w:val="auto"/>
                      <w:spacing w:val="-16"/>
                      <w:sz w:val="21"/>
                      <w:szCs w:val="21"/>
                      <w:highlight w:val="none"/>
                    </w:rPr>
                    <w:t>；本项目施工活动范围区域开阔，气象扩散条件好。因此，</w:t>
                  </w:r>
                  <w:r>
                    <w:rPr>
                      <w:rFonts w:hint="default" w:ascii="Times New Roman" w:hAnsi="Times New Roman" w:eastAsia="宋体" w:cs="Times New Roman"/>
                      <w:color w:val="auto"/>
                      <w:spacing w:val="-16"/>
                      <w:sz w:val="21"/>
                      <w:szCs w:val="21"/>
                      <w:highlight w:val="none"/>
                      <w:lang w:eastAsia="zh-CN"/>
                    </w:rPr>
                    <w:t>本项目不会</w:t>
                  </w:r>
                  <w:r>
                    <w:rPr>
                      <w:rFonts w:hint="default" w:ascii="Times New Roman" w:hAnsi="Times New Roman" w:eastAsia="宋体" w:cs="Times New Roman"/>
                      <w:color w:val="auto"/>
                      <w:spacing w:val="-16"/>
                      <w:sz w:val="21"/>
                      <w:szCs w:val="21"/>
                      <w:highlight w:val="none"/>
                    </w:rPr>
                    <w:t>对区域环境空气产生明显影响，且这种影响是局部的</w:t>
                  </w:r>
                  <w:r>
                    <w:rPr>
                      <w:rFonts w:hint="default" w:ascii="Times New Roman" w:hAnsi="Times New Roman" w:eastAsia="宋体" w:cs="Times New Roman"/>
                      <w:color w:val="auto"/>
                      <w:spacing w:val="-16"/>
                      <w:sz w:val="21"/>
                      <w:szCs w:val="21"/>
                      <w:highlight w:val="none"/>
                      <w:lang w:eastAsia="zh-CN"/>
                    </w:rPr>
                    <w:t>、</w:t>
                  </w:r>
                  <w:r>
                    <w:rPr>
                      <w:rFonts w:hint="default" w:ascii="Times New Roman" w:hAnsi="Times New Roman" w:eastAsia="宋体" w:cs="Times New Roman"/>
                      <w:color w:val="auto"/>
                      <w:spacing w:val="-16"/>
                      <w:sz w:val="21"/>
                      <w:szCs w:val="21"/>
                      <w:highlight w:val="none"/>
                    </w:rPr>
                    <w:t>短期的，项目建设完成之后影响就会消失。</w:t>
                  </w:r>
                  <w:r>
                    <w:rPr>
                      <w:rFonts w:hint="default" w:ascii="Times New Roman" w:hAnsi="Times New Roman" w:eastAsia="宋体" w:cs="Times New Roman"/>
                      <w:snapToGrid w:val="0"/>
                      <w:color w:val="auto"/>
                      <w:spacing w:val="-10"/>
                      <w:kern w:val="0"/>
                      <w:sz w:val="21"/>
                      <w:szCs w:val="21"/>
                      <w:highlight w:val="none"/>
                      <w:lang w:bidi="ar"/>
                    </w:rPr>
                    <w:t>酸化压裂返排液</w:t>
                  </w:r>
                  <w:r>
                    <w:rPr>
                      <w:rFonts w:hint="eastAsia" w:ascii="Times New Roman" w:cs="Times New Roman"/>
                      <w:snapToGrid w:val="0"/>
                      <w:color w:val="auto"/>
                      <w:spacing w:val="-10"/>
                      <w:kern w:val="0"/>
                      <w:sz w:val="21"/>
                      <w:szCs w:val="21"/>
                      <w:highlight w:val="none"/>
                      <w:lang w:val="en-US" w:eastAsia="zh-CN" w:bidi="ar"/>
                    </w:rPr>
                    <w:t>在井场加碱中和后，暂存于废液收集罐，</w:t>
                  </w:r>
                  <w:r>
                    <w:rPr>
                      <w:rFonts w:hint="default" w:ascii="Times New Roman" w:hAnsi="Times New Roman" w:eastAsia="宋体" w:cs="Times New Roman"/>
                      <w:snapToGrid w:val="0"/>
                      <w:color w:val="auto"/>
                      <w:spacing w:val="-10"/>
                      <w:kern w:val="0"/>
                      <w:sz w:val="21"/>
                      <w:szCs w:val="21"/>
                      <w:highlight w:val="none"/>
                      <w:lang w:bidi="ar"/>
                    </w:rPr>
                    <w:t>运至</w:t>
                  </w:r>
                  <w:r>
                    <w:rPr>
                      <w:rFonts w:hint="default" w:ascii="Times New Roman" w:hAnsi="Times New Roman" w:eastAsia="宋体" w:cs="Times New Roman"/>
                      <w:snapToGrid w:val="0"/>
                      <w:color w:val="auto"/>
                      <w:spacing w:val="-10"/>
                      <w:kern w:val="0"/>
                      <w:sz w:val="21"/>
                      <w:szCs w:val="21"/>
                      <w:highlight w:val="none"/>
                      <w:lang w:val="en-US" w:eastAsia="zh-CN" w:bidi="ar"/>
                    </w:rPr>
                    <w:t>富源7</w:t>
                  </w:r>
                  <w:r>
                    <w:rPr>
                      <w:rFonts w:hint="default" w:ascii="Times New Roman" w:hAnsi="Times New Roman" w:eastAsia="宋体" w:cs="Times New Roman"/>
                      <w:snapToGrid w:val="0"/>
                      <w:color w:val="auto"/>
                      <w:spacing w:val="-10"/>
                      <w:kern w:val="0"/>
                      <w:sz w:val="21"/>
                      <w:szCs w:val="21"/>
                      <w:highlight w:val="none"/>
                      <w:lang w:eastAsia="zh-CN" w:bidi="ar"/>
                    </w:rPr>
                    <w:t>环保处理站</w:t>
                  </w:r>
                  <w:r>
                    <w:rPr>
                      <w:rFonts w:hint="default" w:ascii="Times New Roman" w:hAnsi="Times New Roman" w:eastAsia="宋体" w:cs="Times New Roman"/>
                      <w:snapToGrid w:val="0"/>
                      <w:color w:val="auto"/>
                      <w:spacing w:val="-10"/>
                      <w:kern w:val="0"/>
                      <w:sz w:val="21"/>
                      <w:szCs w:val="21"/>
                      <w:highlight w:val="none"/>
                      <w:lang w:bidi="ar"/>
                    </w:rPr>
                    <w:t>处置；生活污水经井场撬装式污水处理装置处理后，水质达到《农村生活污水处理排放标准》（DB65</w:t>
                  </w:r>
                  <w:r>
                    <w:rPr>
                      <w:rFonts w:hint="default" w:ascii="Times New Roman" w:hAnsi="Times New Roman" w:eastAsia="宋体" w:cs="Times New Roman"/>
                      <w:snapToGrid w:val="0"/>
                      <w:color w:val="auto"/>
                      <w:spacing w:val="-10"/>
                      <w:kern w:val="0"/>
                      <w:sz w:val="21"/>
                      <w:szCs w:val="21"/>
                      <w:highlight w:val="none"/>
                      <w:lang w:val="en-US" w:eastAsia="zh-CN" w:bidi="ar"/>
                    </w:rPr>
                    <w:t xml:space="preserve"> </w:t>
                  </w:r>
                  <w:r>
                    <w:rPr>
                      <w:rFonts w:hint="default" w:ascii="Times New Roman" w:hAnsi="Times New Roman" w:eastAsia="宋体" w:cs="Times New Roman"/>
                      <w:snapToGrid w:val="0"/>
                      <w:color w:val="auto"/>
                      <w:spacing w:val="-10"/>
                      <w:kern w:val="0"/>
                      <w:sz w:val="21"/>
                      <w:szCs w:val="21"/>
                      <w:highlight w:val="none"/>
                      <w:lang w:bidi="ar"/>
                    </w:rPr>
                    <w:t>4275-2019）表2的</w:t>
                  </w:r>
                  <w:r>
                    <w:rPr>
                      <w:rFonts w:hint="default" w:ascii="Times New Roman" w:hAnsi="Times New Roman" w:eastAsia="宋体" w:cs="Times New Roman"/>
                      <w:snapToGrid w:val="0"/>
                      <w:color w:val="auto"/>
                      <w:spacing w:val="-10"/>
                      <w:kern w:val="0"/>
                      <w:sz w:val="21"/>
                      <w:szCs w:val="21"/>
                      <w:highlight w:val="none"/>
                      <w:lang w:val="en-US" w:eastAsia="zh-CN" w:bidi="ar"/>
                    </w:rPr>
                    <w:t>B</w:t>
                  </w:r>
                  <w:r>
                    <w:rPr>
                      <w:rFonts w:hint="default" w:ascii="Times New Roman" w:hAnsi="Times New Roman" w:eastAsia="宋体" w:cs="Times New Roman"/>
                      <w:snapToGrid w:val="0"/>
                      <w:color w:val="auto"/>
                      <w:spacing w:val="-10"/>
                      <w:kern w:val="0"/>
                      <w:sz w:val="21"/>
                      <w:szCs w:val="21"/>
                      <w:highlight w:val="none"/>
                      <w:lang w:bidi="ar"/>
                    </w:rPr>
                    <w:t>级标准，用于荒漠生态恢复</w:t>
                  </w:r>
                  <w:r>
                    <w:rPr>
                      <w:rFonts w:hint="default" w:ascii="Times New Roman" w:hAnsi="Times New Roman" w:eastAsia="宋体" w:cs="Times New Roman"/>
                      <w:color w:val="auto"/>
                      <w:spacing w:val="-16"/>
                      <w:sz w:val="21"/>
                      <w:szCs w:val="21"/>
                      <w:highlight w:val="none"/>
                    </w:rPr>
                    <w:t>；岩屑随钻井泥浆带出，采用“泥浆不落地”工艺收集，泥浆排入泥浆罐循环使用，完井后拉运至下一口井再利用，</w:t>
                  </w:r>
                  <w:r>
                    <w:rPr>
                      <w:rFonts w:hint="default" w:ascii="Times New Roman" w:hAnsi="Times New Roman" w:eastAsia="宋体" w:cs="Times New Roman"/>
                      <w:snapToGrid w:val="0"/>
                      <w:color w:val="auto"/>
                      <w:spacing w:val="-16"/>
                      <w:kern w:val="0"/>
                      <w:sz w:val="21"/>
                      <w:szCs w:val="21"/>
                      <w:highlight w:val="none"/>
                      <w:lang w:bidi="ar"/>
                    </w:rPr>
                    <w:t>膨润土体系废弃钻井岩屑排入防渗岩屑池干化，经检测达标后，用于井场平整；</w:t>
                  </w:r>
                  <w:r>
                    <w:rPr>
                      <w:rFonts w:hint="eastAsia" w:ascii="Times New Roman" w:cs="Times New Roman"/>
                      <w:color w:val="auto"/>
                      <w:spacing w:val="-16"/>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6"/>
                      <w:sz w:val="21"/>
                      <w:szCs w:val="21"/>
                      <w:highlight w:val="none"/>
                      <w:lang w:eastAsia="zh-CN"/>
                    </w:rPr>
                    <w:t>，处理达标后还原土用于铺垫油区内的井场、道路；沾油废物、废烧碱包装袋、废矿物油及其包装物在危废贮存点（8m</w:t>
                  </w:r>
                  <w:r>
                    <w:rPr>
                      <w:rFonts w:hint="default" w:ascii="Times New Roman" w:hAnsi="Times New Roman" w:eastAsia="宋体" w:cs="Times New Roman"/>
                      <w:color w:val="auto"/>
                      <w:spacing w:val="-16"/>
                      <w:sz w:val="21"/>
                      <w:szCs w:val="21"/>
                      <w:highlight w:val="none"/>
                      <w:vertAlign w:val="superscript"/>
                      <w:lang w:eastAsia="zh-CN"/>
                    </w:rPr>
                    <w:t>2</w:t>
                  </w:r>
                  <w:r>
                    <w:rPr>
                      <w:rFonts w:hint="default" w:ascii="Times New Roman" w:hAnsi="Times New Roman" w:eastAsia="宋体" w:cs="Times New Roman"/>
                      <w:color w:val="auto"/>
                      <w:spacing w:val="-16"/>
                      <w:sz w:val="21"/>
                      <w:szCs w:val="21"/>
                      <w:highlight w:val="none"/>
                      <w:lang w:eastAsia="zh-CN"/>
                    </w:rPr>
                    <w:t>）暂存，定期由有处理资质的单位接收妥善处置；锅炉灰渣及除尘灰送至周边固废填埋场填埋；废布袋由厂家回收处理；生活垃圾及污水处理站污泥规范收集后统一清运至</w:t>
                  </w:r>
                  <w:r>
                    <w:rPr>
                      <w:rFonts w:hint="eastAsia" w:ascii="Times New Roman" w:cs="Times New Roman"/>
                      <w:color w:val="auto"/>
                      <w:spacing w:val="-16"/>
                      <w:sz w:val="21"/>
                      <w:szCs w:val="21"/>
                      <w:highlight w:val="none"/>
                      <w:lang w:eastAsia="zh-CN"/>
                    </w:rPr>
                    <w:t>塔中镇生活垃圾填埋场处理</w:t>
                  </w:r>
                  <w:r>
                    <w:rPr>
                      <w:rFonts w:hint="default" w:ascii="Times New Roman" w:hAnsi="Times New Roman" w:eastAsia="宋体" w:cs="Times New Roman"/>
                      <w:color w:val="auto"/>
                      <w:spacing w:val="-16"/>
                      <w:sz w:val="21"/>
                      <w:szCs w:val="21"/>
                      <w:highlight w:val="none"/>
                    </w:rPr>
                    <w:t>；产噪设备安装减振基础。本项目产生的污染物均能达标排放，经采取相应措施后对环境影响较小，不会突破环境质量底线</w:t>
                  </w:r>
                  <w:r>
                    <w:rPr>
                      <w:rFonts w:hint="default" w:ascii="Times New Roman" w:hAnsi="Times New Roman" w:eastAsia="宋体" w:cs="Times New Roman"/>
                      <w:color w:val="auto"/>
                      <w:spacing w:val="-16"/>
                      <w:sz w:val="21"/>
                      <w:szCs w:val="21"/>
                      <w:highlight w:val="none"/>
                      <w:lang w:eastAsia="zh-CN"/>
                    </w:rPr>
                    <w:t>。</w:t>
                  </w:r>
                </w:p>
              </w:tc>
              <w:tc>
                <w:tcPr>
                  <w:tcW w:w="40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644" w:hRule="atLeast"/>
                <w:jc w:val="center"/>
              </w:trPr>
              <w:tc>
                <w:tcPr>
                  <w:tcW w:w="552"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p>
              </w:tc>
              <w:tc>
                <w:tcPr>
                  <w:tcW w:w="593"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资源利用上线</w:t>
                  </w:r>
                </w:p>
              </w:tc>
              <w:tc>
                <w:tcPr>
                  <w:tcW w:w="1775"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强化节约集约利用，持续提升资源能源利用效率，水资源、土地资源、能源消耗等达到国家、自治区下达的总量和强度控制目标。加快区域低碳发展，积极推动乌鲁木齐市、昌吉市、伊宁市、和田市等4个国家级低碳试点城市发挥低碳试点示范和引领作用。</w:t>
                  </w:r>
                </w:p>
              </w:tc>
              <w:tc>
                <w:tcPr>
                  <w:tcW w:w="1676"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自治区尚未下达资源能源利用效率，水资源、土地资源、能源消耗等总量和强度控制目标，本项目</w:t>
                  </w:r>
                  <w:r>
                    <w:rPr>
                      <w:rFonts w:hint="default" w:ascii="Times New Roman" w:hAnsi="Times New Roman" w:eastAsia="宋体" w:cs="Times New Roman"/>
                      <w:color w:val="auto"/>
                      <w:spacing w:val="-14"/>
                      <w:kern w:val="0"/>
                      <w:sz w:val="21"/>
                      <w:szCs w:val="21"/>
                      <w:highlight w:val="none"/>
                    </w:rPr>
                    <w:t>施工过程</w:t>
                  </w:r>
                  <w:r>
                    <w:rPr>
                      <w:rFonts w:hint="default" w:ascii="Times New Roman" w:hAnsi="Times New Roman" w:eastAsia="宋体" w:cs="Times New Roman"/>
                      <w:color w:val="auto"/>
                      <w:spacing w:val="-14"/>
                      <w:sz w:val="21"/>
                      <w:szCs w:val="21"/>
                      <w:highlight w:val="none"/>
                    </w:rPr>
                    <w:t>中消耗水量较小，占用土地面积为</w:t>
                  </w:r>
                  <w:r>
                    <w:rPr>
                      <w:rFonts w:hint="eastAsia" w:ascii="Times New Roman" w:cs="Times New Roman"/>
                      <w:color w:val="auto"/>
                      <w:spacing w:val="-14"/>
                      <w:sz w:val="21"/>
                      <w:szCs w:val="21"/>
                      <w:highlight w:val="none"/>
                      <w:lang w:val="en-US" w:eastAsia="zh-CN"/>
                    </w:rPr>
                    <w:t>20330</w:t>
                  </w:r>
                  <w:r>
                    <w:rPr>
                      <w:rFonts w:hint="default" w:ascii="Times New Roman" w:hAnsi="Times New Roman" w:eastAsia="宋体" w:cs="Times New Roman"/>
                      <w:color w:val="auto"/>
                      <w:spacing w:val="-14"/>
                      <w:sz w:val="21"/>
                      <w:szCs w:val="21"/>
                      <w:highlight w:val="none"/>
                    </w:rPr>
                    <w:t>m</w:t>
                  </w:r>
                  <w:r>
                    <w:rPr>
                      <w:rFonts w:hint="default" w:ascii="Times New Roman" w:hAnsi="Times New Roman" w:eastAsia="宋体" w:cs="Times New Roman"/>
                      <w:color w:val="auto"/>
                      <w:spacing w:val="-14"/>
                      <w:sz w:val="21"/>
                      <w:szCs w:val="21"/>
                      <w:highlight w:val="none"/>
                      <w:vertAlign w:val="superscript"/>
                    </w:rPr>
                    <w:t>2</w:t>
                  </w:r>
                  <w:r>
                    <w:rPr>
                      <w:rFonts w:hint="default" w:ascii="Times New Roman" w:hAnsi="Times New Roman" w:eastAsia="宋体" w:cs="Times New Roman"/>
                      <w:color w:val="auto"/>
                      <w:spacing w:val="-14"/>
                      <w:sz w:val="21"/>
                      <w:szCs w:val="21"/>
                      <w:highlight w:val="none"/>
                    </w:rPr>
                    <w:t>，全为临时占地，占用土地面积较小，工程开发符合资源利用</w:t>
                  </w:r>
                  <w:r>
                    <w:rPr>
                      <w:rFonts w:hint="default" w:ascii="Times New Roman" w:hAnsi="Times New Roman" w:eastAsia="宋体" w:cs="Times New Roman"/>
                      <w:color w:val="auto"/>
                      <w:spacing w:val="-14"/>
                      <w:sz w:val="21"/>
                      <w:szCs w:val="21"/>
                      <w:highlight w:val="none"/>
                      <w:lang w:val="en-US" w:eastAsia="zh-CN"/>
                    </w:rPr>
                    <w:t>上限</w:t>
                  </w:r>
                  <w:r>
                    <w:rPr>
                      <w:rFonts w:hint="default" w:ascii="Times New Roman" w:hAnsi="Times New Roman" w:eastAsia="宋体" w:cs="Times New Roman"/>
                      <w:color w:val="auto"/>
                      <w:spacing w:val="-14"/>
                      <w:sz w:val="21"/>
                      <w:szCs w:val="21"/>
                      <w:highlight w:val="none"/>
                    </w:rPr>
                    <w:t>要求。</w:t>
                  </w:r>
                </w:p>
              </w:tc>
              <w:tc>
                <w:tcPr>
                  <w:tcW w:w="40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52"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p>
              </w:tc>
              <w:tc>
                <w:tcPr>
                  <w:tcW w:w="250"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环境管控单元</w:t>
                  </w:r>
                </w:p>
              </w:tc>
              <w:tc>
                <w:tcPr>
                  <w:tcW w:w="3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本项目位于一般管控单元</w:t>
                  </w:r>
                </w:p>
              </w:tc>
              <w:tc>
                <w:tcPr>
                  <w:tcW w:w="1775"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自治区划定环境管控单元，分为优先保护单元、重点管控单元和一般管控单元三类，实施分类管控。一般管控单元主要落实生态环境保护基本要求，推动区域环境质量持续改善</w:t>
                  </w:r>
                </w:p>
              </w:tc>
              <w:tc>
                <w:tcPr>
                  <w:tcW w:w="1676"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20"/>
                      <w:sz w:val="21"/>
                      <w:szCs w:val="21"/>
                      <w:highlight w:val="none"/>
                      <w:lang w:eastAsia="zh-CN"/>
                    </w:rPr>
                  </w:pPr>
                  <w:r>
                    <w:rPr>
                      <w:rFonts w:hint="default" w:ascii="Times New Roman" w:hAnsi="Times New Roman" w:eastAsia="宋体" w:cs="Times New Roman"/>
                      <w:color w:val="auto"/>
                      <w:spacing w:val="-14"/>
                      <w:sz w:val="21"/>
                      <w:szCs w:val="21"/>
                      <w:highlight w:val="none"/>
                      <w:lang w:eastAsia="zh-CN"/>
                    </w:rPr>
                    <w:t>本项目位于新疆维吾尔自治区巴音郭楞蒙古自治州</w:t>
                  </w:r>
                  <w:r>
                    <w:rPr>
                      <w:rFonts w:hint="eastAsia" w:ascii="Times New Roman" w:cs="Times New Roman"/>
                      <w:color w:val="auto"/>
                      <w:spacing w:val="-14"/>
                      <w:sz w:val="21"/>
                      <w:szCs w:val="21"/>
                      <w:highlight w:val="none"/>
                      <w:lang w:eastAsia="zh-CN"/>
                    </w:rPr>
                    <w:t>且末县塔中镇东北侧15.8km处</w:t>
                  </w:r>
                  <w:r>
                    <w:rPr>
                      <w:rFonts w:hint="default" w:ascii="Times New Roman" w:hAnsi="Times New Roman" w:eastAsia="宋体" w:cs="Times New Roman"/>
                      <w:color w:val="auto"/>
                      <w:spacing w:val="-14"/>
                      <w:sz w:val="21"/>
                      <w:szCs w:val="21"/>
                      <w:highlight w:val="none"/>
                    </w:rPr>
                    <w:t>，属于</w:t>
                  </w:r>
                  <w:r>
                    <w:rPr>
                      <w:rFonts w:hint="eastAsia" w:ascii="Times New Roman" w:cs="Times New Roman"/>
                      <w:color w:val="auto"/>
                      <w:spacing w:val="-14"/>
                      <w:sz w:val="21"/>
                      <w:szCs w:val="21"/>
                      <w:highlight w:val="none"/>
                      <w:lang w:eastAsia="zh-CN"/>
                    </w:rPr>
                    <w:t>且末县</w:t>
                  </w:r>
                  <w:r>
                    <w:rPr>
                      <w:rFonts w:hint="default" w:ascii="Times New Roman" w:hAnsi="Times New Roman" w:eastAsia="宋体" w:cs="Times New Roman"/>
                      <w:color w:val="auto"/>
                      <w:spacing w:val="-14"/>
                      <w:sz w:val="21"/>
                      <w:szCs w:val="21"/>
                      <w:highlight w:val="none"/>
                      <w:lang w:eastAsia="zh-CN"/>
                    </w:rPr>
                    <w:t>一般管控单元（</w:t>
                  </w:r>
                  <w:r>
                    <w:rPr>
                      <w:rFonts w:hint="eastAsia" w:ascii="Times New Roman" w:cs="Times New Roman"/>
                      <w:color w:val="auto"/>
                      <w:spacing w:val="-14"/>
                      <w:sz w:val="21"/>
                      <w:szCs w:val="21"/>
                      <w:highlight w:val="none"/>
                      <w:lang w:eastAsia="zh-CN"/>
                    </w:rPr>
                    <w:t>ZH65282530001</w:t>
                  </w:r>
                  <w:r>
                    <w:rPr>
                      <w:rFonts w:hint="default" w:ascii="Times New Roman" w:hAnsi="Times New Roman" w:eastAsia="宋体" w:cs="Times New Roman"/>
                      <w:color w:val="auto"/>
                      <w:spacing w:val="-14"/>
                      <w:sz w:val="21"/>
                      <w:szCs w:val="21"/>
                      <w:highlight w:val="none"/>
                      <w:lang w:eastAsia="zh-CN"/>
                    </w:rPr>
                    <w:t>）</w:t>
                  </w:r>
                  <w:r>
                    <w:rPr>
                      <w:rFonts w:hint="default" w:ascii="Times New Roman" w:hAnsi="Times New Roman" w:eastAsia="宋体" w:cs="Times New Roman"/>
                      <w:color w:val="auto"/>
                      <w:spacing w:val="-14"/>
                      <w:sz w:val="21"/>
                      <w:szCs w:val="21"/>
                      <w:highlight w:val="none"/>
                    </w:rPr>
                    <w:t>，项目建设过程中以生态环境保护优先为原则，开发建设过程中严格执行相关法律法规要求，严守生态环境质量底线，生态功能不会降低。本项目实施后通过采取完善的污染治理措施，可确保污染得到有效控制，对场址周围大气环境、地下水环境、声环境、土壤环境影响可接受</w:t>
                  </w:r>
                  <w:r>
                    <w:rPr>
                      <w:rFonts w:hint="default" w:ascii="Times New Roman" w:hAnsi="Times New Roman" w:eastAsia="宋体" w:cs="Times New Roman"/>
                      <w:color w:val="auto"/>
                      <w:spacing w:val="-14"/>
                      <w:sz w:val="21"/>
                      <w:szCs w:val="21"/>
                      <w:highlight w:val="none"/>
                      <w:lang w:eastAsia="zh-CN"/>
                    </w:rPr>
                    <w:t>。</w:t>
                  </w:r>
                </w:p>
              </w:tc>
              <w:tc>
                <w:tcPr>
                  <w:tcW w:w="40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4"/>
                      <w:sz w:val="21"/>
                      <w:szCs w:val="21"/>
                      <w:highlight w:val="none"/>
                    </w:rPr>
                  </w:pPr>
                  <w:r>
                    <w:rPr>
                      <w:rFonts w:hint="default" w:ascii="Times New Roman" w:hAnsi="Times New Roman" w:eastAsia="宋体" w:cs="Times New Roman"/>
                      <w:color w:val="auto"/>
                      <w:spacing w:val="-14"/>
                      <w:sz w:val="21"/>
                      <w:szCs w:val="21"/>
                      <w:highlight w:val="none"/>
                    </w:rPr>
                    <w:t>符合</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lang w:eastAsia="zh-CN"/>
              </w:rPr>
              <w:t>（</w:t>
            </w:r>
            <w:r>
              <w:rPr>
                <w:rFonts w:hint="default" w:ascii="Times New Roman" w:hAnsi="Times New Roman" w:eastAsia="宋体" w:cs="Times New Roman"/>
                <w:b/>
                <w:color w:val="auto"/>
                <w:sz w:val="24"/>
                <w:szCs w:val="20"/>
                <w:highlight w:val="none"/>
                <w:lang w:val="en-US" w:eastAsia="zh-CN"/>
              </w:rPr>
              <w:t>2</w:t>
            </w:r>
            <w:r>
              <w:rPr>
                <w:rFonts w:hint="default" w:ascii="Times New Roman" w:hAnsi="Times New Roman" w:eastAsia="宋体" w:cs="Times New Roman"/>
                <w:b/>
                <w:color w:val="auto"/>
                <w:sz w:val="24"/>
                <w:szCs w:val="20"/>
                <w:highlight w:val="none"/>
                <w:lang w:eastAsia="zh-CN"/>
              </w:rPr>
              <w:t>）</w:t>
            </w:r>
            <w:r>
              <w:rPr>
                <w:rFonts w:hint="default" w:ascii="Times New Roman" w:hAnsi="Times New Roman" w:eastAsia="宋体" w:cs="Times New Roman"/>
                <w:b/>
                <w:color w:val="auto"/>
                <w:sz w:val="24"/>
                <w:szCs w:val="20"/>
                <w:highlight w:val="none"/>
              </w:rPr>
              <w:t>与新疆维吾尔自治区生态环境分区管控总体要求符合性分析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表1-3    本项目与新疆维吾尔自治区生态环境分区管控总体要求符合性分析一览表</w:t>
            </w:r>
          </w:p>
          <w:tbl>
            <w:tblPr>
              <w:tblStyle w:val="32"/>
              <w:tblW w:w="750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326"/>
              <w:gridCol w:w="369"/>
              <w:gridCol w:w="393"/>
              <w:gridCol w:w="3415"/>
              <w:gridCol w:w="2214"/>
              <w:gridCol w:w="79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名称</w:t>
                  </w:r>
                </w:p>
              </w:tc>
              <w:tc>
                <w:tcPr>
                  <w:tcW w:w="4177" w:type="dxa"/>
                  <w:gridSpan w:val="3"/>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管控要求</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拟建工程</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新疆维吾尔自治区生态环境分区管控总体要求</w:t>
                  </w:r>
                </w:p>
              </w:tc>
              <w:tc>
                <w:tcPr>
                  <w:tcW w:w="369"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A1空间布局约束</w:t>
                  </w:r>
                </w:p>
              </w:tc>
              <w:tc>
                <w:tcPr>
                  <w:tcW w:w="39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A1.1禁止开发建设的活动</w:t>
                  </w:r>
                </w:p>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【A1.1-1】禁止新建、扩建《产业结构调整指导目录（2024年本）》中淘汰类项目。禁止引入《市场准入负面清单（2022年版）》禁止准入类事项。</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属于油气勘探钻井工程，属于《产业结构调整指导目录（2024年本）》（国家发展改革委令2023年第7号）中的鼓励类项目；不属于《市场准入负面清单（2025年版）》（发改体改规〔2025〕466号）中禁止准入类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【A1.1-2】禁止建设不符合国家和自治区环境保护标准的项目。</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本项目执行标准符合国家和自治区环境保护标准</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【A1.1-4】禁止在水源涵养区、地下水源、饮用水源、自然保护区、风景名胜区、森林公园、重要湿地及人群密集区等生态敏感区域内进行煤炭、石油、天然气开发。</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本项目占地范围内不涉及水源涵养区、地下水源、饮用水源、自然保护区、风景名胜区、森林公园、重要湿地及人群密集区等生态敏感区域</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-6】禁止在自治区行政区域内引进能（水）耗不符合相关国家标准中准入值要求且污染物排放和环境风险防控不符合国家（地方）标准及有关产业准入条件的高污染（排放）、高能（水）耗、高环境风险的工业项目。</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本项目不属于高污染（排放）、高能（水）耗、高环境风险的工业项目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【A1.1-7】①坚决遏制高耗能高排放低水平项目盲目发展。严把高耗能高排放低水平项目准入关口，严格落实污染物排放区域削减要求，对不符合规定的项目坚决停批停建。依法依规淘汰落后产能和化解过剩产能。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②重点行业企业纳入重污染天气绩效分级，制定“一厂一策”应急减排清单，实现应纳尽纳；引导重点企业在秋冬季安排停产检修计划，减少冬季和采暖期排放。推进重点行业深度治理实施全工况脱硫脱硝提标改造，加大无组织排放治理力度，深度开展工业炉窑综合整治，全面提升电解铝、活性炭、硅冶炼、纯碱、电石、聚氯乙烯、石化等行业污染治理水平。</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本项目不属于高耗能高排放低水平项目；不属于重点行业企业</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【A1.1-8】严格执行危险化学品“禁限控”目录，新建危险化学品生产项目必须进入一般或较低安全风险的化工园区（与其他行业生产装置配套建设的项目除外），引导其他石化化工项目在化工园区发展。</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本项目不属于新建危险化学品生产项目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-9】严禁新建自治区《禁止、控制和限制危险化学品目录》中淘汰类、禁止类危险化学品化工项目。严格执行生态保护红线、永久基本农田管控要求，禁止新（改、扩）建化工项目违规占用生态保护红线和永久基本农田。在塔里木河、伊犁河、额尔齐斯河干流及主要支流岸线1公里范围内，除提升安全、环保、节能、智能化、产品质量水平的技术改造项目外，严格禁止新建、扩建化工项目，不得布局新的化工园区（含化工集中区）。</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本项目不属于危险化学品化工项目；本项目</w:t>
                  </w:r>
                  <w:r>
                    <w:rPr>
                      <w:rFonts w:hint="eastAsia" w:ascii="Times New Roman" w:cs="Times New Roman"/>
                      <w:color w:val="auto"/>
                      <w:spacing w:val="-10"/>
                      <w:kern w:val="0"/>
                      <w:sz w:val="21"/>
                      <w:szCs w:val="21"/>
                      <w:highlight w:val="none"/>
                      <w:lang w:val="en-US" w:eastAsia="zh-CN"/>
                    </w:rPr>
                    <w:t>西南距塔里木盆地南缘土地沙化防控生态保护红线区122.9km</w:t>
                  </w:r>
                  <w:r>
                    <w:rPr>
                      <w:rFonts w:hint="default" w:ascii="Times New Roman" w:hAnsi="Times New Roman" w:eastAsia="宋体" w:cs="Times New Roman"/>
                      <w:color w:val="auto"/>
                      <w:spacing w:val="-10"/>
                      <w:kern w:val="0"/>
                      <w:sz w:val="21"/>
                      <w:szCs w:val="21"/>
                      <w:highlight w:val="none"/>
                      <w:lang w:eastAsia="zh-CN"/>
                    </w:rPr>
                    <w:t>，</w:t>
                  </w:r>
                  <w:r>
                    <w:rPr>
                      <w:rFonts w:hint="default" w:ascii="Times New Roman" w:hAnsi="Times New Roman" w:eastAsia="宋体" w:cs="Times New Roman"/>
                      <w:color w:val="auto"/>
                      <w:spacing w:val="-10"/>
                      <w:kern w:val="0"/>
                      <w:sz w:val="21"/>
                      <w:szCs w:val="21"/>
                      <w:highlight w:val="none"/>
                    </w:rPr>
                    <w:t>不在生态保护红线范围内；本项目不属于化工项目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1.1-10】推动涉重金属产业集中优化发展，禁止新建用汞的电石法（聚）氯乙烯生产工艺，新建、扩建的重有色金属冶炼、电镀、制革企业优先选择布设在依法合规设立并依法开展规划环境影响评价的产业园区。</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本项目不属于用汞的电石法（聚）氯乙烯生产工艺，不属于重有色金属冶炼、电镀、制革企业</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A1.2限制开发建设的活动</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【A1.2-1】严格控制缺水地区、水污染严重区域和敏感区域高耗水高污染行业发展。</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本项目不属于高耗水高污染行业</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【A1.2-2】建设项目用地原则上不得占用永久基本农田，确需占用永久基本农田的建设项目须符合《中华人民共和国基本农田保护条例》中的相关要求，占用耕地、林地或</w:t>
                  </w:r>
                  <w:r>
                    <w:rPr>
                      <w:rFonts w:hint="default" w:ascii="Times New Roman" w:hAnsi="Times New Roman" w:eastAsia="宋体" w:cs="Times New Roman"/>
                      <w:color w:val="auto"/>
                      <w:spacing w:val="-10"/>
                      <w:kern w:val="0"/>
                      <w:sz w:val="21"/>
                      <w:szCs w:val="21"/>
                      <w:highlight w:val="none"/>
                      <w:lang w:val="en-US" w:eastAsia="zh-CN"/>
                    </w:rPr>
                    <w:t>草地</w:t>
                  </w:r>
                  <w:r>
                    <w:rPr>
                      <w:rFonts w:hint="default" w:ascii="Times New Roman" w:hAnsi="Times New Roman" w:eastAsia="宋体" w:cs="Times New Roman"/>
                      <w:color w:val="auto"/>
                      <w:spacing w:val="-10"/>
                      <w:kern w:val="0"/>
                      <w:sz w:val="21"/>
                      <w:szCs w:val="21"/>
                      <w:highlight w:val="none"/>
                    </w:rPr>
                    <w:t>的建设项目须按照国家、自治区相关补偿要求进行补偿。</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本项目不占用基本农田</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【A1.2-4】严格控制建设项目占用湿地。因国家和自治区重点建设工程、基础设施建设，以及重点公益性项目建设，确需占用湿地的应当按照有关法律、法规规定的权限和程序办理批准手续。</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本项目不涉及占用湿地</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A1.3不符合空间布局要求活动的退出要求</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【A1.3-1】任何单位和个人不得在水源涵养区、饮用水水源保护区内和河流、湖泊、水库周围建设重化工、涉重金属等工业污染项目；对已建成的工业污染项目，当地人民政府应当组织限期搬迁。</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本项目不属于重化工、涉重金属等工业污染项目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【A1.3-3】根据《产业结构调整指导目录》《限期淘汰产生严重污染环境的工业固体废物的落后生产工艺设备名录》等要求，配合有关部门依法淘汰烧结</w:t>
                  </w:r>
                  <w:r>
                    <w:rPr>
                      <w:rFonts w:hint="default" w:ascii="Times New Roman" w:hAnsi="Times New Roman" w:eastAsia="宋体" w:cs="Times New Roman"/>
                      <w:color w:val="auto"/>
                      <w:spacing w:val="-10"/>
                      <w:kern w:val="0"/>
                      <w:sz w:val="21"/>
                      <w:szCs w:val="21"/>
                      <w:highlight w:val="none"/>
                      <w:lang w:eastAsia="zh-CN"/>
                    </w:rPr>
                    <w:t>－</w:t>
                  </w:r>
                  <w:r>
                    <w:rPr>
                      <w:rFonts w:hint="default" w:ascii="Times New Roman" w:hAnsi="Times New Roman" w:eastAsia="宋体" w:cs="Times New Roman"/>
                      <w:color w:val="auto"/>
                      <w:spacing w:val="-10"/>
                      <w:kern w:val="0"/>
                      <w:sz w:val="21"/>
                      <w:szCs w:val="21"/>
                      <w:highlight w:val="none"/>
                    </w:rPr>
                    <w:t>鼓风炉炼铅工艺炼铅等涉重金属落后产能和化解过剩产能。严格执行生态环境保护等相关法规标准，推动经整改仍达不到要求的产能依法依规关闭退出。</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本项目不涉及重金属落后产能和化解过剩产能</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A1.4其它布局要求</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本项目与区域主体功能区划目标相协调，符合塔里木油田“十四五”规划及规划环评</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【A1.4-2】新建、扩建石化、化工、焦化、有色金属冶炼、平板玻璃项目应布设在依法合规设立并经规划环评的产业园区。</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本项目不属于石化、化工、焦化、有色金属冶炼、平板玻璃项目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1.4-3】危险化学品生产企业搬迁改造及新建化工项目必须进入国家及自治区各级人民政府正式批准设立，规划环评通过审查，规划通过审批且环保基础设施完善的工业园区，并符合国土空间规划产业发展规划和生态红线管控要求</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本项目不属于危险化学品生产企业搬迁改造及新建化工项目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A2污染物排放管控</w:t>
                  </w:r>
                </w:p>
              </w:tc>
              <w:tc>
                <w:tcPr>
                  <w:tcW w:w="39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A2.1污染物削减/替代要求</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2.1-1】新、改、扩建重点行业建设项目应符合“三线一单”、产业政策、区域环评、规划环评和行业环境准入管控要求。重点区域的新、改、扩建重点行业建设项目应遵循重点重金属污染物排放“减量替代”原则。</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本项目属于油气勘探钻井工程，不属于重点行业建设项目</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【A2.1-2】以石化、化工、涂装、医药、包装印刷、油品储运销等行业领域为重点，安全高效推进挥发性有机物综合治理，实施原辅材料和产品源头替代工程。</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本项目仅测试放喷</w:t>
                  </w:r>
                  <w:r>
                    <w:rPr>
                      <w:rFonts w:hint="default" w:ascii="Times New Roman" w:hAnsi="Times New Roman" w:eastAsia="宋体" w:cs="Times New Roman"/>
                      <w:snapToGrid w:val="0"/>
                      <w:color w:val="auto"/>
                      <w:spacing w:val="-10"/>
                      <w:kern w:val="0"/>
                      <w:sz w:val="21"/>
                      <w:szCs w:val="21"/>
                      <w:highlight w:val="none"/>
                      <w:lang w:val="en-US" w:eastAsia="zh-CN"/>
                    </w:rPr>
                    <w:t>期间</w:t>
                  </w:r>
                  <w:r>
                    <w:rPr>
                      <w:rFonts w:hint="default" w:ascii="Times New Roman" w:hAnsi="Times New Roman" w:eastAsia="宋体" w:cs="Times New Roman"/>
                      <w:snapToGrid w:val="0"/>
                      <w:color w:val="auto"/>
                      <w:spacing w:val="-10"/>
                      <w:kern w:val="0"/>
                      <w:sz w:val="21"/>
                      <w:szCs w:val="21"/>
                      <w:highlight w:val="none"/>
                    </w:rPr>
                    <w:t>会排放少量</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snapToGrid w:val="0"/>
                      <w:color w:val="auto"/>
                      <w:spacing w:val="-10"/>
                      <w:kern w:val="0"/>
                      <w:sz w:val="21"/>
                      <w:szCs w:val="21"/>
                      <w:highlight w:val="none"/>
                    </w:rPr>
                    <w:t>，通过科学计算放喷时间，减少放喷过程中的</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snapToGrid w:val="0"/>
                      <w:color w:val="auto"/>
                      <w:spacing w:val="-10"/>
                      <w:kern w:val="0"/>
                      <w:sz w:val="21"/>
                      <w:szCs w:val="21"/>
                      <w:highlight w:val="none"/>
                    </w:rPr>
                    <w:t>排放</w:t>
                  </w:r>
                  <w:r>
                    <w:rPr>
                      <w:rFonts w:hint="default" w:ascii="Times New Roman" w:hAnsi="Times New Roman" w:eastAsia="宋体" w:cs="Times New Roman"/>
                      <w:color w:val="auto"/>
                      <w:spacing w:val="-11"/>
                      <w:sz w:val="21"/>
                      <w:szCs w:val="21"/>
                      <w:highlight w:val="none"/>
                      <w:lang w:val="en-US" w:eastAsia="zh-CN"/>
                    </w:rPr>
                    <w:t>。</w:t>
                  </w:r>
                  <w:r>
                    <w:rPr>
                      <w:rFonts w:hint="default" w:ascii="Times New Roman" w:hAnsi="Times New Roman" w:eastAsia="宋体" w:cs="Times New Roman"/>
                      <w:snapToGrid w:val="0"/>
                      <w:color w:val="auto"/>
                      <w:spacing w:val="-10"/>
                      <w:kern w:val="0"/>
                      <w:sz w:val="21"/>
                      <w:szCs w:val="21"/>
                      <w:highlight w:val="none"/>
                      <w:lang w:val="en-US" w:eastAsia="zh-CN"/>
                    </w:rPr>
                    <w:t>项目</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snapToGrid w:val="0"/>
                      <w:color w:val="auto"/>
                      <w:spacing w:val="-10"/>
                      <w:kern w:val="0"/>
                      <w:sz w:val="21"/>
                      <w:szCs w:val="21"/>
                      <w:highlight w:val="none"/>
                    </w:rPr>
                    <w:t>产生量小，且项目地处空旷区域，废气扩散条件好，对周围大气环境影响可接受</w:t>
                  </w:r>
                  <w:r>
                    <w:rPr>
                      <w:rFonts w:hint="default" w:ascii="Times New Roman" w:hAnsi="Times New Roman" w:eastAsia="宋体" w:cs="Times New Roman"/>
                      <w:snapToGrid w:val="0"/>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【A2.1-4】严控建材、铸造、冶炼等行业无组织排放，推进石化、化工、涂装、医药、包装印刷、油品储运销等行业项目挥发性有机物（VOC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kern w:val="0"/>
                      <w:sz w:val="21"/>
                      <w:szCs w:val="21"/>
                      <w:highlight w:val="none"/>
                    </w:rPr>
                    <w:t>）防治。严格有色金属冶炼、石油加工、化工、焦化等行业项目的土壤、地下水污染防治措施要求。推进工业园区和企业集群建设涉VOC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kern w:val="0"/>
                      <w:sz w:val="21"/>
                      <w:szCs w:val="21"/>
                      <w:highlight w:val="none"/>
                    </w:rPr>
                    <w:t>“绿岛”项目，统筹规划建设一批集中涂装中心、活性炭集中处理中心、溶剂回收中心等，实现VOC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kern w:val="0"/>
                      <w:sz w:val="21"/>
                      <w:szCs w:val="21"/>
                      <w:highlight w:val="none"/>
                    </w:rPr>
                    <w:t>集中高效处理。</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本项目仅测试放喷</w:t>
                  </w:r>
                  <w:r>
                    <w:rPr>
                      <w:rFonts w:hint="default" w:ascii="Times New Roman" w:hAnsi="Times New Roman" w:eastAsia="宋体" w:cs="Times New Roman"/>
                      <w:snapToGrid w:val="0"/>
                      <w:color w:val="auto"/>
                      <w:spacing w:val="-10"/>
                      <w:kern w:val="0"/>
                      <w:sz w:val="21"/>
                      <w:szCs w:val="21"/>
                      <w:highlight w:val="none"/>
                      <w:lang w:val="en-US" w:eastAsia="zh-CN"/>
                    </w:rPr>
                    <w:t>期间</w:t>
                  </w:r>
                  <w:r>
                    <w:rPr>
                      <w:rFonts w:hint="default" w:ascii="Times New Roman" w:hAnsi="Times New Roman" w:eastAsia="宋体" w:cs="Times New Roman"/>
                      <w:snapToGrid w:val="0"/>
                      <w:color w:val="auto"/>
                      <w:spacing w:val="-10"/>
                      <w:kern w:val="0"/>
                      <w:sz w:val="21"/>
                      <w:szCs w:val="21"/>
                      <w:highlight w:val="none"/>
                    </w:rPr>
                    <w:t>会排放少量</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snapToGrid w:val="0"/>
                      <w:color w:val="auto"/>
                      <w:spacing w:val="-10"/>
                      <w:kern w:val="0"/>
                      <w:sz w:val="21"/>
                      <w:szCs w:val="21"/>
                      <w:highlight w:val="none"/>
                    </w:rPr>
                    <w:t>，通过科学计算放喷时间，减少放喷过程中的</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snapToGrid w:val="0"/>
                      <w:color w:val="auto"/>
                      <w:spacing w:val="-10"/>
                      <w:kern w:val="0"/>
                      <w:sz w:val="21"/>
                      <w:szCs w:val="21"/>
                      <w:highlight w:val="none"/>
                    </w:rPr>
                    <w:t>排放</w:t>
                  </w:r>
                  <w:r>
                    <w:rPr>
                      <w:rFonts w:hint="default" w:ascii="Times New Roman" w:hAnsi="Times New Roman" w:eastAsia="宋体" w:cs="Times New Roman"/>
                      <w:color w:val="auto"/>
                      <w:spacing w:val="-11"/>
                      <w:sz w:val="21"/>
                      <w:szCs w:val="21"/>
                      <w:highlight w:val="none"/>
                      <w:lang w:val="en-US" w:eastAsia="zh-CN"/>
                    </w:rPr>
                    <w:t>。</w:t>
                  </w:r>
                  <w:r>
                    <w:rPr>
                      <w:rFonts w:hint="default" w:ascii="Times New Roman" w:hAnsi="Times New Roman" w:eastAsia="宋体" w:cs="Times New Roman"/>
                      <w:snapToGrid w:val="0"/>
                      <w:color w:val="auto"/>
                      <w:spacing w:val="-10"/>
                      <w:kern w:val="0"/>
                      <w:sz w:val="21"/>
                      <w:szCs w:val="21"/>
                      <w:highlight w:val="none"/>
                      <w:lang w:val="en-US" w:eastAsia="zh-CN"/>
                    </w:rPr>
                    <w:t>项目</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snapToGrid w:val="0"/>
                      <w:color w:val="auto"/>
                      <w:spacing w:val="-10"/>
                      <w:kern w:val="0"/>
                      <w:sz w:val="21"/>
                      <w:szCs w:val="21"/>
                      <w:highlight w:val="none"/>
                    </w:rPr>
                    <w:t>产生量小，且项目地处空旷区域，废气扩散条件好，对周围大气环境影响可接受</w:t>
                  </w:r>
                  <w:r>
                    <w:rPr>
                      <w:rFonts w:hint="default" w:ascii="Times New Roman" w:hAnsi="Times New Roman" w:eastAsia="宋体" w:cs="Times New Roman"/>
                      <w:snapToGrid w:val="0"/>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A2.2污染控制措施要求</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2.2-1】推动能源、钢铁、建材、有色、电力、化工等重点领域技术升级，控制工业过程温室气体排放，推动工业领域绿色低碳发展。积极鼓励发展二氧化碳捕集利用与封存等低碳技术。促进大气污染物与温室气体协同控制。实施污染物和温室气体协同控制，实现减污降碳协同效应。强化污水、垃圾等集中处置设施环境管理，协同控制氢氟碳化物、甲烷、氧化亚氮等温室气体。加强节约能源与大气污染防治协同有效衔接，促进大气污染防治协同增效。</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本项目不属于能源、钢铁、建材、有色、电力、化工等重点领域</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20"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A3环境风险防控</w:t>
                  </w:r>
                </w:p>
              </w:tc>
              <w:tc>
                <w:tcPr>
                  <w:tcW w:w="39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A3.1人居环境要求</w:t>
                  </w:r>
                </w:p>
              </w:tc>
              <w:tc>
                <w:tcPr>
                  <w:tcW w:w="3415" w:type="dxa"/>
                  <w:shd w:val="clear" w:color="auto" w:fill="auto"/>
                  <w:noWrap w:val="0"/>
                  <w:tcMar>
                    <w:left w:w="28" w:type="dxa"/>
                    <w:right w:w="28" w:type="dxa"/>
                  </w:tcMar>
                  <w:vAlign w:val="center"/>
                </w:tcPr>
                <w:p>
                  <w:pPr>
                    <w:keepNext w:val="0"/>
                    <w:keepLines w:val="0"/>
                    <w:pageBreakBefore w:val="0"/>
                    <w:widowControl w:val="0"/>
                    <w:suppressLineNumbers w:val="0"/>
                    <w:shd w:val="clear"/>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default" w:ascii="Times New Roman" w:hAnsi="Times New Roman" w:eastAsia="宋体" w:cs="Times New Roman"/>
                      <w:color w:val="auto"/>
                      <w:spacing w:val="0"/>
                      <w:kern w:val="0"/>
                      <w:position w:val="0"/>
                      <w:sz w:val="21"/>
                      <w:szCs w:val="21"/>
                      <w:highlight w:val="none"/>
                    </w:rPr>
                    <w:t>【A3.2-</w:t>
                  </w:r>
                  <w:r>
                    <w:rPr>
                      <w:rFonts w:hint="default" w:ascii="Times New Roman" w:hAnsi="Times New Roman" w:eastAsia="宋体" w:cs="Times New Roman"/>
                      <w:color w:val="auto"/>
                      <w:spacing w:val="0"/>
                      <w:kern w:val="0"/>
                      <w:position w:val="0"/>
                      <w:sz w:val="21"/>
                      <w:szCs w:val="21"/>
                      <w:highlight w:val="none"/>
                      <w:lang w:val="en-US" w:eastAsia="zh-CN"/>
                    </w:rPr>
                    <w:t>8</w:t>
                  </w:r>
                  <w:r>
                    <w:rPr>
                      <w:rFonts w:hint="default" w:ascii="Times New Roman" w:hAnsi="Times New Roman" w:eastAsia="宋体" w:cs="Times New Roman"/>
                      <w:color w:val="auto"/>
                      <w:spacing w:val="0"/>
                      <w:kern w:val="0"/>
                      <w:position w:val="0"/>
                      <w:sz w:val="21"/>
                      <w:szCs w:val="21"/>
                      <w:highlight w:val="none"/>
                    </w:rPr>
                    <w:t>】加强环境风险预警防控。加强涉危险物企业、涉重金属企业、化工园区、集中式饮用水水源地及重点流域环境风险调查评估，实施分类分级风险管控，协同推进重点区域、流域生态环境污染综合防治、风险防控与生态修复。</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本项目已</w:t>
                  </w:r>
                  <w:r>
                    <w:rPr>
                      <w:rFonts w:hint="default" w:ascii="Times New Roman" w:hAnsi="Times New Roman" w:eastAsia="宋体" w:cs="Times New Roman"/>
                      <w:color w:val="auto"/>
                      <w:spacing w:val="-10"/>
                      <w:sz w:val="21"/>
                      <w:szCs w:val="21"/>
                      <w:highlight w:val="none"/>
                      <w:lang w:bidi="ar"/>
                    </w:rPr>
                    <w:t>提出</w:t>
                  </w:r>
                  <w:r>
                    <w:rPr>
                      <w:rFonts w:hint="default" w:ascii="Times New Roman" w:hAnsi="Times New Roman" w:eastAsia="宋体" w:cs="Times New Roman"/>
                      <w:color w:val="auto"/>
                      <w:spacing w:val="-10"/>
                      <w:sz w:val="21"/>
                      <w:szCs w:val="21"/>
                      <w:highlight w:val="none"/>
                    </w:rPr>
                    <w:t>一系列环境风险防范措施及应急要求</w:t>
                  </w:r>
                  <w:r>
                    <w:rPr>
                      <w:rFonts w:hint="default" w:ascii="Times New Roman" w:hAnsi="Times New Roman" w:eastAsia="宋体" w:cs="Times New Roman"/>
                      <w:color w:val="auto"/>
                      <w:spacing w:val="-1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25"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415" w:type="dxa"/>
                  <w:shd w:val="clear" w:color="auto" w:fill="auto"/>
                  <w:noWrap w:val="0"/>
                  <w:tcMar>
                    <w:left w:w="28" w:type="dxa"/>
                    <w:right w:w="28" w:type="dxa"/>
                  </w:tcMar>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50" w:lineRule="exact"/>
                    <w:ind w:left="0" w:right="0"/>
                    <w:textAlignment w:val="auto"/>
                    <w:rPr>
                      <w:rFonts w:hint="default" w:ascii="Times New Roman" w:hAnsi="Times New Roman" w:eastAsia="宋体" w:cs="Times New Roman"/>
                      <w:color w:val="auto"/>
                      <w:spacing w:val="0"/>
                      <w:kern w:val="0"/>
                      <w:position w:val="0"/>
                      <w:sz w:val="21"/>
                      <w:szCs w:val="21"/>
                      <w:highlight w:val="none"/>
                      <w:lang w:val="en-US" w:eastAsia="zh-CN" w:bidi="ar-SA"/>
                    </w:rPr>
                  </w:pPr>
                  <w:r>
                    <w:rPr>
                      <w:rFonts w:hint="default" w:ascii="Times New Roman" w:hAnsi="Times New Roman" w:eastAsia="宋体" w:cs="Times New Roman"/>
                      <w:color w:val="auto"/>
                      <w:spacing w:val="0"/>
                      <w:kern w:val="0"/>
                      <w:position w:val="0"/>
                      <w:sz w:val="21"/>
                      <w:szCs w:val="21"/>
                      <w:highlight w:val="none"/>
                    </w:rPr>
                    <w:t>【A3.2-</w:t>
                  </w:r>
                  <w:r>
                    <w:rPr>
                      <w:rFonts w:hint="default" w:ascii="Times New Roman" w:hAnsi="Times New Roman" w:eastAsia="宋体" w:cs="Times New Roman"/>
                      <w:color w:val="auto"/>
                      <w:spacing w:val="0"/>
                      <w:kern w:val="0"/>
                      <w:position w:val="0"/>
                      <w:sz w:val="21"/>
                      <w:szCs w:val="21"/>
                      <w:highlight w:val="none"/>
                      <w:lang w:val="en-US" w:eastAsia="zh-CN"/>
                    </w:rPr>
                    <w:t>9</w:t>
                  </w:r>
                  <w:r>
                    <w:rPr>
                      <w:rFonts w:hint="default" w:ascii="Times New Roman" w:hAnsi="Times New Roman" w:eastAsia="宋体" w:cs="Times New Roman"/>
                      <w:color w:val="auto"/>
                      <w:spacing w:val="0"/>
                      <w:kern w:val="0"/>
                      <w:position w:val="0"/>
                      <w:sz w:val="21"/>
                      <w:szCs w:val="21"/>
                      <w:highlight w:val="none"/>
                    </w:rPr>
                    <w:t>】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本项目已</w:t>
                  </w:r>
                  <w:r>
                    <w:rPr>
                      <w:rFonts w:hint="default" w:ascii="Times New Roman" w:hAnsi="Times New Roman" w:eastAsia="宋体" w:cs="Times New Roman"/>
                      <w:color w:val="auto"/>
                      <w:spacing w:val="-10"/>
                      <w:sz w:val="21"/>
                      <w:szCs w:val="21"/>
                      <w:highlight w:val="none"/>
                      <w:lang w:bidi="ar"/>
                    </w:rPr>
                    <w:t>提出</w:t>
                  </w:r>
                  <w:r>
                    <w:rPr>
                      <w:rFonts w:hint="default" w:ascii="Times New Roman" w:hAnsi="Times New Roman" w:eastAsia="宋体" w:cs="Times New Roman"/>
                      <w:color w:val="auto"/>
                      <w:spacing w:val="-10"/>
                      <w:sz w:val="21"/>
                      <w:szCs w:val="21"/>
                      <w:highlight w:val="none"/>
                    </w:rPr>
                    <w:t>一系列环境风险防范措施及应急要求</w:t>
                  </w:r>
                  <w:r>
                    <w:rPr>
                      <w:rFonts w:hint="default" w:ascii="Times New Roman" w:hAnsi="Times New Roman" w:eastAsia="宋体" w:cs="Times New Roman"/>
                      <w:color w:val="auto"/>
                      <w:spacing w:val="-1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60"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A4资源利用要求</w:t>
                  </w:r>
                </w:p>
              </w:tc>
              <w:tc>
                <w:tcPr>
                  <w:tcW w:w="39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A4.1水资源</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【A4.1-1】自治区用水总量2025年、2030年控制在国家下达的指标内。</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bidi="ar"/>
                    </w:rPr>
                  </w:pPr>
                  <w:r>
                    <w:rPr>
                      <w:rFonts w:hint="default" w:ascii="Times New Roman" w:hAnsi="Times New Roman" w:eastAsia="宋体" w:cs="Times New Roman"/>
                      <w:color w:val="auto"/>
                      <w:spacing w:val="-10"/>
                      <w:sz w:val="21"/>
                      <w:szCs w:val="21"/>
                      <w:highlight w:val="none"/>
                      <w:lang w:bidi="ar"/>
                    </w:rPr>
                    <w:t>本项目用水量较小，对区域水资源消耗较小，不会超过自治区地下水供水量控制指标</w:t>
                  </w:r>
                  <w:r>
                    <w:rPr>
                      <w:rFonts w:hint="default" w:ascii="Times New Roman" w:hAnsi="Times New Roman" w:eastAsia="宋体" w:cs="Times New Roman"/>
                      <w:color w:val="auto"/>
                      <w:spacing w:val="-10"/>
                      <w:sz w:val="21"/>
                      <w:szCs w:val="21"/>
                      <w:highlight w:val="none"/>
                      <w:lang w:eastAsia="zh-CN" w:bidi="ar"/>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9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415" w:type="dxa"/>
                  <w:noWrap w:val="0"/>
                  <w:tcMar>
                    <w:left w:w="28" w:type="dxa"/>
                    <w:right w:w="28" w:type="dxa"/>
                  </w:tcMar>
                  <w:vAlign w:val="center"/>
                </w:tcPr>
                <w:p>
                  <w:pPr>
                    <w:keepNext w:val="0"/>
                    <w:keepLines w:val="0"/>
                    <w:pageBreakBefore w:val="0"/>
                    <w:widowControl w:val="0"/>
                    <w:suppressLineNumbers w:val="0"/>
                    <w:shd w:val="clear"/>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0"/>
                      <w:kern w:val="0"/>
                      <w:position w:val="0"/>
                      <w:sz w:val="21"/>
                      <w:szCs w:val="21"/>
                      <w:highlight w:val="none"/>
                    </w:rPr>
                    <w:t>【A4.1-</w:t>
                  </w:r>
                  <w:r>
                    <w:rPr>
                      <w:rFonts w:hint="default" w:ascii="Times New Roman" w:hAnsi="Times New Roman" w:eastAsia="宋体" w:cs="Times New Roman"/>
                      <w:color w:val="auto"/>
                      <w:spacing w:val="0"/>
                      <w:kern w:val="0"/>
                      <w:position w:val="0"/>
                      <w:sz w:val="21"/>
                      <w:szCs w:val="21"/>
                      <w:highlight w:val="none"/>
                      <w:lang w:val="en-US" w:eastAsia="zh-CN"/>
                    </w:rPr>
                    <w:t>4</w:t>
                  </w:r>
                  <w:r>
                    <w:rPr>
                      <w:rFonts w:hint="default" w:ascii="Times New Roman" w:hAnsi="Times New Roman" w:eastAsia="宋体" w:cs="Times New Roman"/>
                      <w:color w:val="auto"/>
                      <w:spacing w:val="0"/>
                      <w:kern w:val="0"/>
                      <w:position w:val="0"/>
                      <w:sz w:val="21"/>
                      <w:szCs w:val="21"/>
                      <w:highlight w:val="none"/>
                    </w:rPr>
                    <w:t>】地下水资源利用实行总量控制和水位控制。取用地下水资源，应当按照国家和自治区有关规定申请取水许可。地下水利用应当以浅层地下水为主。</w:t>
                  </w:r>
                </w:p>
              </w:tc>
              <w:tc>
                <w:tcPr>
                  <w:tcW w:w="2214" w:type="dxa"/>
                  <w:noWrap w:val="0"/>
                  <w:tcMar>
                    <w:left w:w="28" w:type="dxa"/>
                    <w:right w:w="28" w:type="dxa"/>
                  </w:tcMar>
                  <w:vAlign w:val="center"/>
                </w:tcPr>
                <w:p>
                  <w:pPr>
                    <w:keepNext w:val="0"/>
                    <w:keepLines w:val="0"/>
                    <w:pageBreakBefore w:val="0"/>
                    <w:widowControl w:val="0"/>
                    <w:suppressLineNumbers w:val="0"/>
                    <w:shd w:val="clear"/>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0"/>
                      <w:position w:val="0"/>
                      <w:sz w:val="21"/>
                      <w:szCs w:val="21"/>
                      <w:highlight w:val="none"/>
                      <w:lang w:bidi="ar"/>
                    </w:rPr>
                    <w:t>本项目用水量较小，对区域水资源消耗较小，不会超过自治区地下水供水量控制指标</w:t>
                  </w:r>
                  <w:r>
                    <w:rPr>
                      <w:rFonts w:hint="default" w:ascii="Times New Roman" w:hAnsi="Times New Roman" w:eastAsia="宋体" w:cs="Times New Roman"/>
                      <w:color w:val="auto"/>
                      <w:spacing w:val="0"/>
                      <w:position w:val="0"/>
                      <w:sz w:val="21"/>
                      <w:szCs w:val="21"/>
                      <w:highlight w:val="none"/>
                      <w:lang w:eastAsia="zh-CN" w:bidi="ar"/>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93"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A4.2土地资源</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【A4.2-1】土地资源上线指标控制在最终批复的国土空间规划控制指标内。</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bidi="ar"/>
                    </w:rPr>
                    <w:t>本项目</w:t>
                  </w:r>
                  <w:r>
                    <w:rPr>
                      <w:rFonts w:hint="default" w:ascii="Times New Roman" w:hAnsi="Times New Roman" w:eastAsia="宋体" w:cs="Times New Roman"/>
                      <w:color w:val="auto"/>
                      <w:spacing w:val="-10"/>
                      <w:sz w:val="21"/>
                      <w:szCs w:val="21"/>
                      <w:highlight w:val="none"/>
                    </w:rPr>
                    <w:t>井场为临时占地，对土地资源占用较少，土地资源消耗符合要求</w:t>
                  </w:r>
                  <w:r>
                    <w:rPr>
                      <w:rFonts w:hint="default" w:ascii="Times New Roman" w:hAnsi="Times New Roman" w:eastAsia="宋体" w:cs="Times New Roman"/>
                      <w:color w:val="auto"/>
                      <w:spacing w:val="-1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781"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A4.4禁燃区要求</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【A4.4-1】在禁燃区内，禁止销售、燃用高污染燃料；禁止新建、扩建燃用高污染燃料的设施。已建成的，应当在规定期限内改用清洁能源。</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bidi="ar"/>
                    </w:rPr>
                    <w:t>本项目</w:t>
                  </w:r>
                  <w:r>
                    <w:rPr>
                      <w:rFonts w:hint="default" w:ascii="Times New Roman" w:hAnsi="Times New Roman" w:eastAsia="宋体" w:cs="Times New Roman"/>
                      <w:color w:val="auto"/>
                      <w:spacing w:val="-10"/>
                      <w:sz w:val="21"/>
                      <w:szCs w:val="21"/>
                      <w:highlight w:val="none"/>
                    </w:rPr>
                    <w:t>不涉及煤炭的消耗，不涉及燃用</w:t>
                  </w:r>
                  <w:r>
                    <w:rPr>
                      <w:rFonts w:hint="default" w:ascii="Times New Roman" w:hAnsi="Times New Roman" w:eastAsia="宋体" w:cs="Times New Roman"/>
                      <w:color w:val="auto"/>
                      <w:spacing w:val="-10"/>
                      <w:kern w:val="0"/>
                      <w:sz w:val="21"/>
                      <w:szCs w:val="21"/>
                      <w:highlight w:val="none"/>
                    </w:rPr>
                    <w:t>高污染燃料的设施</w:t>
                  </w:r>
                  <w:r>
                    <w:rPr>
                      <w:rFonts w:hint="default" w:ascii="Times New Roman" w:hAnsi="Times New Roman" w:eastAsia="宋体" w:cs="Times New Roman"/>
                      <w:color w:val="auto"/>
                      <w:spacing w:val="-10"/>
                      <w:kern w:val="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2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6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93"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A4.5资源综合利用</w:t>
                  </w:r>
                </w:p>
              </w:tc>
              <w:tc>
                <w:tcPr>
                  <w:tcW w:w="3415" w:type="dxa"/>
                  <w:noWrap w:val="0"/>
                  <w:tcMar>
                    <w:left w:w="28" w:type="dxa"/>
                    <w:right w:w="28" w:type="dxa"/>
                  </w:tcMar>
                  <w:vAlign w:val="center"/>
                </w:tcPr>
                <w:p>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模式。以尾矿和共伴生矿、煤矸石、炉渣、粉煤灰、脱硫石膏、冶炼渣、建筑垃圾等为重点，持续推进固体废物综合利用和环境整治不断提高大宗固体废物资源化利用水平。推行生活垃圾分类，加快建设县（市）生活垃圾处理设施，到2025年，全疆城市生活垃圾无害化处理率达到99%以上。</w:t>
                  </w:r>
                </w:p>
              </w:tc>
              <w:tc>
                <w:tcPr>
                  <w:tcW w:w="2214"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岩屑随钻井泥浆带出，采用“泥浆不落地”工艺收集，泥浆排入泥浆罐循环使用，完井后拉运至下一口井再利用，</w:t>
                  </w:r>
                  <w:r>
                    <w:rPr>
                      <w:rFonts w:hint="default" w:ascii="Times New Roman" w:hAnsi="Times New Roman" w:eastAsia="宋体" w:cs="Times New Roman"/>
                      <w:snapToGrid w:val="0"/>
                      <w:color w:val="auto"/>
                      <w:spacing w:val="-10"/>
                      <w:kern w:val="0"/>
                      <w:sz w:val="21"/>
                      <w:szCs w:val="21"/>
                      <w:highlight w:val="none"/>
                      <w:lang w:bidi="ar"/>
                    </w:rPr>
                    <w:t>膨润土体系废弃钻井岩屑排入防渗岩屑池干化，经检测达标后，用于井场平整；</w:t>
                  </w:r>
                  <w:r>
                    <w:rPr>
                      <w:rFonts w:hint="eastAsia" w:ascii="Times New Roman" w:cs="Times New Roman"/>
                      <w:color w:val="auto"/>
                      <w:spacing w:val="-10"/>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0"/>
                      <w:sz w:val="21"/>
                      <w:szCs w:val="21"/>
                      <w:highlight w:val="none"/>
                      <w:lang w:eastAsia="zh-CN"/>
                    </w:rPr>
                    <w:t>，处理达标后还原土用于铺垫油区内的井场、道路；沾油废物、废烧碱包装袋、废矿物油及其包装物在危废贮存点（8m</w:t>
                  </w:r>
                  <w:r>
                    <w:rPr>
                      <w:rFonts w:hint="default" w:ascii="Times New Roman" w:hAnsi="Times New Roman" w:eastAsia="宋体" w:cs="Times New Roman"/>
                      <w:color w:val="auto"/>
                      <w:spacing w:val="-10"/>
                      <w:sz w:val="21"/>
                      <w:szCs w:val="21"/>
                      <w:highlight w:val="none"/>
                      <w:vertAlign w:val="superscript"/>
                      <w:lang w:eastAsia="zh-CN"/>
                    </w:rPr>
                    <w:t>2</w:t>
                  </w:r>
                  <w:r>
                    <w:rPr>
                      <w:rFonts w:hint="default" w:ascii="Times New Roman" w:hAnsi="Times New Roman" w:eastAsia="宋体" w:cs="Times New Roman"/>
                      <w:color w:val="auto"/>
                      <w:spacing w:val="-10"/>
                      <w:sz w:val="21"/>
                      <w:szCs w:val="21"/>
                      <w:highlight w:val="none"/>
                      <w:lang w:eastAsia="zh-CN"/>
                    </w:rPr>
                    <w:t>）暂存，定期由有处理资质的单位接收妥善处置；锅炉灰渣及除尘灰送至周边固废填埋场填埋；废布袋由厂家回收处理；生活垃圾及污水处理站污泥规范收集后统一清运至</w:t>
                  </w:r>
                  <w:r>
                    <w:rPr>
                      <w:rFonts w:hint="eastAsia" w:ascii="Times New Roman" w:cs="Times New Roman"/>
                      <w:color w:val="auto"/>
                      <w:spacing w:val="-10"/>
                      <w:sz w:val="21"/>
                      <w:szCs w:val="21"/>
                      <w:highlight w:val="none"/>
                      <w:lang w:eastAsia="zh-CN"/>
                    </w:rPr>
                    <w:t>塔中镇生活垃圾填埋场处理</w:t>
                  </w:r>
                  <w:r>
                    <w:rPr>
                      <w:rFonts w:hint="default" w:ascii="Times New Roman" w:hAnsi="Times New Roman" w:eastAsia="宋体" w:cs="Times New Roman"/>
                      <w:color w:val="auto"/>
                      <w:spacing w:val="-10"/>
                      <w:sz w:val="21"/>
                      <w:szCs w:val="21"/>
                      <w:highlight w:val="none"/>
                      <w:lang w:eastAsia="zh-CN"/>
                    </w:rPr>
                    <w:t>。</w:t>
                  </w:r>
                </w:p>
              </w:tc>
              <w:tc>
                <w:tcPr>
                  <w:tcW w:w="79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 w:val="21"/>
                      <w:szCs w:val="21"/>
                      <w:highlight w:val="none"/>
                    </w:rPr>
                    <w:t>符合</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eastAsia="zh-CN"/>
              </w:rPr>
            </w:pPr>
          </w:p>
          <w:p>
            <w:pPr>
              <w:pStyle w:val="18"/>
              <w:keepNext w:val="0"/>
              <w:keepLines w:val="0"/>
              <w:suppressLineNumbers w:val="0"/>
              <w:spacing w:before="0" w:beforeAutospacing="0" w:after="0" w:afterAutospacing="0"/>
              <w:ind w:left="0" w:right="0"/>
              <w:rPr>
                <w:rFonts w:hint="default"/>
                <w:lang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lang w:eastAsia="zh-CN"/>
              </w:rPr>
              <w:t>（</w:t>
            </w:r>
            <w:r>
              <w:rPr>
                <w:rFonts w:hint="eastAsia" w:ascii="Times New Roman" w:cs="Times New Roman"/>
                <w:b/>
                <w:color w:val="auto"/>
                <w:sz w:val="24"/>
                <w:szCs w:val="20"/>
                <w:highlight w:val="none"/>
                <w:lang w:val="en-US" w:eastAsia="zh-CN"/>
              </w:rPr>
              <w:t>3</w:t>
            </w:r>
            <w:r>
              <w:rPr>
                <w:rFonts w:hint="default" w:ascii="Times New Roman" w:hAnsi="Times New Roman" w:eastAsia="宋体" w:cs="Times New Roman"/>
                <w:b/>
                <w:color w:val="auto"/>
                <w:sz w:val="24"/>
                <w:szCs w:val="20"/>
                <w:highlight w:val="none"/>
                <w:lang w:eastAsia="zh-CN"/>
              </w:rPr>
              <w:t>）</w:t>
            </w:r>
            <w:r>
              <w:rPr>
                <w:rFonts w:hint="default" w:ascii="Times New Roman" w:hAnsi="Times New Roman" w:eastAsia="宋体" w:cs="Times New Roman"/>
                <w:b/>
                <w:color w:val="auto"/>
                <w:sz w:val="24"/>
                <w:szCs w:val="20"/>
                <w:highlight w:val="none"/>
              </w:rPr>
              <w:t>与</w:t>
            </w:r>
            <w:r>
              <w:rPr>
                <w:rFonts w:hint="default" w:ascii="Times New Roman" w:hAnsi="Times New Roman" w:eastAsia="宋体" w:cs="Times New Roman"/>
                <w:b/>
                <w:color w:val="auto"/>
                <w:sz w:val="24"/>
                <w:szCs w:val="20"/>
                <w:highlight w:val="none"/>
                <w:lang w:val="en-US" w:eastAsia="zh-CN"/>
              </w:rPr>
              <w:t>《关于印发巴音郭楞蒙古自治州生态环境分区管控动态更新成果（2023年）的通知》中</w:t>
            </w:r>
            <w:r>
              <w:rPr>
                <w:rFonts w:hint="default" w:ascii="Times New Roman" w:hAnsi="Times New Roman" w:eastAsia="宋体" w:cs="Times New Roman"/>
                <w:b/>
                <w:color w:val="auto"/>
                <w:sz w:val="24"/>
                <w:szCs w:val="20"/>
                <w:highlight w:val="none"/>
              </w:rPr>
              <w:t>“巴音郭楞蒙古自治州总体管控要求”符合性分析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1-</w:t>
            </w:r>
            <w:r>
              <w:rPr>
                <w:rFonts w:hint="eastAsia" w:ascii="Times New Roman"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 xml:space="preserve"> 与巴音郭楞蒙古自治州总体管控要求符合性分析一览表</w:t>
            </w:r>
          </w:p>
          <w:tbl>
            <w:tblPr>
              <w:tblStyle w:val="32"/>
              <w:tblW w:w="501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10"/>
              <w:gridCol w:w="465"/>
              <w:gridCol w:w="3465"/>
              <w:gridCol w:w="2241"/>
              <w:gridCol w:w="65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文件</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名称</w:t>
                  </w:r>
                </w:p>
              </w:tc>
              <w:tc>
                <w:tcPr>
                  <w:tcW w:w="2606"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文件要求</w:t>
                  </w:r>
                </w:p>
              </w:tc>
              <w:tc>
                <w:tcPr>
                  <w:tcW w:w="148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本项目</w:t>
                  </w:r>
                </w:p>
              </w:tc>
              <w:tc>
                <w:tcPr>
                  <w:tcW w:w="43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snapToGrid w:val="0"/>
                      <w:color w:val="auto"/>
                      <w:spacing w:val="-10"/>
                      <w:kern w:val="0"/>
                      <w:sz w:val="21"/>
                      <w:szCs w:val="21"/>
                      <w:highlight w:val="none"/>
                    </w:rPr>
                    <w:t>巴音郭楞蒙古自治州总体管控要求</w:t>
                  </w:r>
                </w:p>
              </w:tc>
              <w:tc>
                <w:tcPr>
                  <w:tcW w:w="308"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r>
                    <w:rPr>
                      <w:rFonts w:hint="eastAsia" w:ascii="Times New Roman" w:hAnsi="Times New Roman" w:eastAsia="宋体" w:cs="Times New Roman"/>
                      <w:color w:val="auto"/>
                      <w:spacing w:val="-10"/>
                      <w:sz w:val="21"/>
                      <w:szCs w:val="21"/>
                      <w:highlight w:val="none"/>
                    </w:rPr>
                    <w:t>空间布局约束</w:t>
                  </w: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 禁止在人口集中地区和其他依法需要特殊保护的区域内焚烧沥青、油毡、橡胶、塑料、皮革、垃圾以及其他产生有毒有害烟尘和恶臭气体的物质。</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1.2 禁止在居民住宅楼、未配套设立专用烟道的商住综合楼以及商住综合楼内与居住层相邻的商业楼层内新建、改建、扩建产生油烟、异味、废气的餐饮服务项目。任何单位和个人不得在当地人民政府禁止的区域内露天烧烤食品或者为露天烧烤食品提供场地。</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1.3县级及以上城市建成区原则上不再新建每小时 35 蒸吨以下的燃煤锅炉，其他地区原则上不再新建每小时 10 蒸吨及以下的燃煤锅炉。</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本项目不涉及建设燃煤锅炉</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1.4禁止在自治州行政区域内引进能（水）耗不符合相关国家标准中准入值要求，且污染物排放和环境风险防控不符合国家（地方）标准及有关产业准入条件的高污染（排放）、高能（水）耗、高环境风险的工业项目。</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本项目不属于高污染</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排放</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、高能</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水</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耗、高环境风险的工业项目</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1.5禁止新建、改建、扩建严重污染大气环境的项目。工业和信息化主管部门应当会同发展和改革、生态环境等部门，根据巴州生态环境局提供的大气监测数据制定工业产业转型升级行动计划和严重污染大气项目退出计划，报本级人民政府批准后向社会公布。对城市建成区大气环境质量造成明显影响的项目，自治州、各县（市）人民政府规定期限内未达到治理要求的项目，应当停产、限期搬迁或者关闭。</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本项目不属于严重污染大气环境的项目</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1.6在饮用水水源保护区内，禁止设置排污口。</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本项目不在饮用水水源保护区</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1.7开都-孔雀河流域、塔里木河流域沿岸，要严格控制石油加工、化学原料和化学制品制造、医药制造、化学纤维制造、有色金属冶炼、纺织印染等项目环境风险，合理布局生产装置及危险化学品仓储等设施。</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本项目位于</w:t>
                  </w:r>
                  <w:r>
                    <w:rPr>
                      <w:rFonts w:hint="eastAsia" w:ascii="Times New Roman" w:hAnsi="Times New Roman" w:eastAsia="宋体" w:cs="Times New Roman"/>
                      <w:color w:val="auto"/>
                      <w:spacing w:val="-10"/>
                      <w:sz w:val="21"/>
                      <w:szCs w:val="21"/>
                      <w:highlight w:val="none"/>
                      <w:lang w:val="en-US" w:eastAsia="zh-CN"/>
                    </w:rPr>
                    <w:t>且末</w:t>
                  </w:r>
                  <w:r>
                    <w:rPr>
                      <w:rFonts w:hint="eastAsia" w:ascii="Times New Roman" w:hAnsi="Times New Roman" w:eastAsia="宋体" w:cs="Times New Roman"/>
                      <w:color w:val="auto"/>
                      <w:spacing w:val="-10"/>
                      <w:sz w:val="21"/>
                      <w:szCs w:val="21"/>
                      <w:highlight w:val="none"/>
                    </w:rPr>
                    <w:t>县，不在开都-孔雀河流域、塔里木河流域沿岸</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1.8禁止任何单位和个人在基本农田保护区内建窑、建房、建坟、挖砂、采石、采矿、取土、堆放固体废弃物或者进行其他破坏基本农田的活动。</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本项目不涉及基本农田保护区</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1.9 县级以上地方人民政府应当依法将符合条件的优先保护类耕地划为永久基本农田，实行严格保护。在永久基本农田集中区域，不得新建可能造成土壤污染的建设项目；已经建成的，应当限期关闭拆除。</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本项目不涉及永久基本农田集中区域</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1.10 落实重度污染土地严格管控措施。加强对严格管控类耕地、园地、草地的用途管理，依法将其划定为农产品禁止生产区域，严禁种植食用农产品，不得列入国家中央财政投资农业高效节水项目建设；对威胁地下水、饮用水水源安全的，有关县市人民政府要制定环境风险管控方案，并落实有关措施。研究推进严格管控类耕地、园地、草地纳入新一轮退耕还林还草实施范围，制定实施重度污染耕地、园地、草地种植结构调整或退耕还林还草计划。推行耕地轮作休耕制度试点、草地轮牧休牧禁牧制度试点。</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1.11 强化空间布局管控。严格执行相关行业企业布局选址要求，禁止在居民区、学校、医疗和养老机构等周边新建土壤环境重点监管行业企业；结合推进新型城镇化、产业结构调整和化解过剩产能等，有序搬迁或依法关闭对土壤造成严重污染的现有企业。结合区域功能定位和土壤污染防治需要，科学布局生活垃圾处理、危险废物处置、废旧资源再生利用等设施和场所，合理确定畜禽养殖布局和规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本项目不属于土壤环境重点监管行业企业</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1.12 【生态红线禁止类】生态保护红线内，自然保护地核心保护区原则上禁止人为活动，其他区域严格禁止开发性、生产性建设活动。</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本项目不在生态保护红线内</w:t>
                  </w:r>
                  <w:r>
                    <w:rPr>
                      <w:rFonts w:hint="eastAsia" w:ascii="Times New Roman" w:hAnsi="Times New Roman"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1.13 【生态红线允许类】共</w:t>
                  </w:r>
                  <w:r>
                    <w:rPr>
                      <w:rFonts w:hint="eastAsia" w:ascii="Times New Roman" w:hAnsi="Times New Roman" w:eastAsia="宋体" w:cs="Times New Roman"/>
                      <w:color w:val="auto"/>
                      <w:spacing w:val="-10"/>
                      <w:sz w:val="21"/>
                      <w:szCs w:val="21"/>
                      <w:highlight w:val="none"/>
                      <w:lang w:val="en-US" w:eastAsia="zh-CN"/>
                    </w:rPr>
                    <w:t>10</w:t>
                  </w:r>
                  <w:r>
                    <w:rPr>
                      <w:rFonts w:hint="eastAsia" w:ascii="Times New Roman" w:hAnsi="Times New Roman" w:eastAsia="宋体" w:cs="Times New Roman"/>
                      <w:color w:val="auto"/>
                      <w:spacing w:val="-10"/>
                      <w:sz w:val="21"/>
                      <w:szCs w:val="21"/>
                      <w:highlight w:val="none"/>
                    </w:rPr>
                    <w:t>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本项目不在生态保护红线内</w:t>
                  </w:r>
                  <w:r>
                    <w:rPr>
                      <w:rFonts w:hint="eastAsia" w:ascii="Times New Roman" w:hAnsi="Times New Roman"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1.14 自治州、各县（市）人民政府不得批准在沙漠边缘地带和林地、草原开垦耕地；已经开垦并对生态产生不良影响的，应当有计划地组织退耕还林还草；对已退耕、闲置和未开垦的荒滩、荒地，采取引洪灌溉、生态输水、扎草方格等措施，促进生态自然修复。禁止在退耕还林还草实施范围内复耕和从事滥采、乱挖等破坏地表植被的行为。</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r>
                    <w:rPr>
                      <w:rFonts w:hint="eastAsia" w:ascii="Times New Roman" w:hAnsi="Times New Roman"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1.15 严格保护具有水源涵养功能的自然植被，禁止过度放牧、无序采矿、毁林开荒、开垦草原等行为。</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r>
                    <w:rPr>
                      <w:rFonts w:hint="eastAsia" w:ascii="Times New Roman" w:hAnsi="Times New Roman"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1.16 限制陡坡垦殖和超载过牧；加强小流域综合治理，实行封山禁牧，恢复退化植被。加强对能源和矿产资源开发及建设项目的监管，加大矿山环境整治修复力度，最大限度地减少人为因素造成新的水土流失。</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r>
                    <w:rPr>
                      <w:rFonts w:hint="eastAsia"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1.17 对重要水源涵养区建立生态功能保护区，加强对水源涵养区的保护与管理，严格保护具有重要水源涵养功能的自然植被，限制或禁止各种损害生态系统水源涵养功能的经济社会活动和生产方式，如无序采矿、毁林开荒、湿地和草地开垦、过度放牧、道路建设等；</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本项目不涉及重要水源涵养区</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1.18 主体功能区实行更加严格的产业准入标准。严格限制区内“两高一资”产业落地，禁止高水资源消耗产业在水源涵养生态功能区布局，限制土地资源高消耗产业在水土保持生态功能区发展，降低防风固沙生态功能区的农牧业开发强度，禁止生物多样性维护生态功能区的大规模水电开发和林纸一体化产业发展。</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本项目不属于“两高一资”产业</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86"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en-US"/>
                    </w:rPr>
                    <w:t>1.19</w:t>
                  </w:r>
                  <w:r>
                    <w:rPr>
                      <w:rFonts w:hint="eastAsia" w:ascii="Times New Roman" w:hAnsi="Times New Roman" w:eastAsia="宋体" w:cs="Times New Roman"/>
                      <w:color w:val="auto"/>
                      <w:spacing w:val="-10"/>
                      <w:sz w:val="21"/>
                      <w:szCs w:val="21"/>
                      <w:highlight w:val="none"/>
                    </w:rPr>
                    <w:t>自然保护区核心保护区：</w:t>
                  </w:r>
                  <w:r>
                    <w:rPr>
                      <w:rFonts w:hint="eastAsia" w:ascii="Times New Roman" w:hAnsi="Times New Roman" w:eastAsia="宋体" w:cs="Times New Roman"/>
                      <w:color w:val="auto"/>
                      <w:spacing w:val="-10"/>
                      <w:sz w:val="21"/>
                      <w:szCs w:val="21"/>
                      <w:highlight w:val="none"/>
                      <w:lang w:val="en-US"/>
                    </w:rPr>
                    <w:t>共7条。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1.20自然保护区一般控制区：共9条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1.21 生态保护红线外的生态空间，原则上按限制开发区域的要求进行管理。按照生态空间用途分区，依法制定区域准入条件，明确允许、限制、禁止的产业和项目类型清单，根据空间规划确定的开发强度，提出城乡建设、工农业生产、矿产开发、旅游康体等活动的规模、强度、布局和环境保护等方面的要求，由同级人民政府予以公示。</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本项目属于《产业结构调整指导目录</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2024年本</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国家发展改革委令2023年第7号</w:t>
                  </w:r>
                  <w:r>
                    <w:rPr>
                      <w:rFonts w:hint="eastAsia" w:ascii="Times New Roman" w:hAnsi="Times New Roman" w:eastAsia="宋体" w:cs="Times New Roman"/>
                      <w:color w:val="auto"/>
                      <w:spacing w:val="-10"/>
                      <w:sz w:val="21"/>
                      <w:szCs w:val="21"/>
                      <w:highlight w:val="none"/>
                      <w:lang w:eastAsia="zh-CN"/>
                    </w:rPr>
                    <w:t>）</w:t>
                  </w:r>
                  <w:r>
                    <w:rPr>
                      <w:rFonts w:hint="eastAsia" w:ascii="Times New Roman" w:hAnsi="Times New Roman" w:eastAsia="宋体" w:cs="Times New Roman"/>
                      <w:color w:val="auto"/>
                      <w:spacing w:val="-10"/>
                      <w:sz w:val="21"/>
                      <w:szCs w:val="21"/>
                      <w:highlight w:val="none"/>
                    </w:rPr>
                    <w:t>中的鼓励类项目</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color w:val="auto"/>
                      <w:spacing w:val="-10"/>
                      <w:kern w:val="2"/>
                      <w:sz w:val="21"/>
                      <w:szCs w:val="21"/>
                      <w:highlight w:val="none"/>
                      <w:lang w:val="en-US" w:eastAsia="zh-CN" w:bidi="ar-SA"/>
                    </w:rPr>
                  </w:pPr>
                  <w:r>
                    <w:rPr>
                      <w:rFonts w:hint="eastAsia" w:ascii="Times New Roman" w:hAnsi="Times New Roman" w:cs="Times New Roman"/>
                      <w:color w:val="auto"/>
                      <w:spacing w:val="-1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1.22 严格限制农业开发占用生态保护红线外的生态空间，符合条件的农业开发项目，须依法由市县级及以上地方人民政府统筹安排。生态保护红线外的耕地，除符合国家生态退耕条件，并纳入国家生态退耕总体安排，或因国家重大生态工程建设需要外，不得随意转用。</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1.23 在不改变利用方式的前提下，依据资源环境承载能力，对依法保护的生态空间实行承载力控制，防止过度垦殖、放牧、采伐、取水、渔猎、旅游等对生态功能造成损害，确保自然生态系统的稳定。</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zh-CN" w:eastAsia="zh-CN"/>
                    </w:rPr>
                  </w:pPr>
                  <w:r>
                    <w:rPr>
                      <w:rFonts w:hint="eastAsia" w:ascii="Times New Roman" w:hAnsi="Times New Roman" w:eastAsia="宋体" w:cs="Times New Roman"/>
                      <w:color w:val="auto"/>
                      <w:spacing w:val="-10"/>
                      <w:sz w:val="21"/>
                      <w:szCs w:val="21"/>
                      <w:highlight w:val="none"/>
                      <w:lang w:val="zh-CN"/>
                    </w:rPr>
                    <w:t>1.24 禁止在自然保护区内进行砍伐、放牧、狩猎、捕捞、采药、开垦、烧荒、开矿、采石、挖沙等活动；但是，法律、行政法规另有规定的除外。禁止任何人进入自然保护区的核心区。禁止在自然保护区的缓冲区开展旅游和生产经营活动。严禁开设与自然保护区保护方向不一致的参观、旅游项目。</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w:t>
                  </w:r>
                  <w:r>
                    <w:rPr>
                      <w:rFonts w:hint="eastAsia" w:ascii="Times New Roman" w:hAnsi="Times New Roman" w:eastAsia="宋体" w:cs="Times New Roman"/>
                      <w:color w:val="auto"/>
                      <w:spacing w:val="-10"/>
                      <w:sz w:val="21"/>
                      <w:szCs w:val="21"/>
                      <w:highlight w:val="none"/>
                      <w:lang w:val="zh-CN"/>
                    </w:rPr>
                    <w:t>在自然保护区内</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color w:val="auto"/>
                      <w:spacing w:val="-10"/>
                      <w:kern w:val="2"/>
                      <w:sz w:val="21"/>
                      <w:szCs w:val="21"/>
                      <w:highlight w:val="none"/>
                      <w:lang w:val="en-US" w:eastAsia="zh-CN" w:bidi="ar-SA"/>
                    </w:rPr>
                  </w:pPr>
                  <w:r>
                    <w:rPr>
                      <w:rFonts w:hint="eastAsia" w:ascii="Times New Roman" w:hAnsi="Times New Roman" w:cs="Times New Roman"/>
                      <w:color w:val="auto"/>
                      <w:spacing w:val="-1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1.25 在风景名胜区内禁止进行下列活动：</w:t>
                  </w:r>
                  <w:r>
                    <w:rPr>
                      <w:rFonts w:hint="eastAsia" w:ascii="Times New Roman" w:hAnsi="Times New Roman" w:eastAsia="宋体" w:cs="Times New Roman"/>
                      <w:color w:val="auto"/>
                      <w:spacing w:val="-10"/>
                      <w:sz w:val="21"/>
                      <w:szCs w:val="21"/>
                      <w:highlight w:val="none"/>
                      <w:lang w:val="en-US"/>
                    </w:rPr>
                    <w:t>共4条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w:t>
                  </w:r>
                  <w:r>
                    <w:rPr>
                      <w:rFonts w:hint="eastAsia" w:ascii="Times New Roman" w:hAnsi="Times New Roman" w:eastAsia="宋体" w:cs="Times New Roman"/>
                      <w:color w:val="auto"/>
                      <w:spacing w:val="-10"/>
                      <w:sz w:val="21"/>
                      <w:szCs w:val="21"/>
                      <w:highlight w:val="none"/>
                      <w:lang w:val="zh-CN"/>
                    </w:rPr>
                    <w:t>在风景名胜区内</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86"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zh-CN"/>
                    </w:rPr>
                    <w:t>1.26 禁止违反风景名胜区规划，在风景名胜区内设立各类开发区和在核心景区内建设宾馆、招待所、培训中心、疗养院以及与风景名胜资源保护无关的其他建筑物； 已经建设的，应当按照风景名胜区规划，逐步迁出。</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w:t>
                  </w:r>
                  <w:r>
                    <w:rPr>
                      <w:rFonts w:hint="eastAsia" w:ascii="Times New Roman" w:hAnsi="Times New Roman" w:eastAsia="宋体" w:cs="Times New Roman"/>
                      <w:color w:val="auto"/>
                      <w:spacing w:val="-10"/>
                      <w:sz w:val="21"/>
                      <w:szCs w:val="21"/>
                      <w:highlight w:val="none"/>
                      <w:lang w:val="zh-CN"/>
                    </w:rPr>
                    <w:t>在风景名胜区内</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92"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zh-CN"/>
                    </w:rPr>
                    <w:t>1.27 禁止下列破坏湿地及其生态功能的行为：</w:t>
                  </w:r>
                  <w:r>
                    <w:rPr>
                      <w:rFonts w:hint="eastAsia" w:ascii="Times New Roman" w:hAnsi="Times New Roman" w:eastAsia="宋体" w:cs="Times New Roman"/>
                      <w:color w:val="auto"/>
                      <w:spacing w:val="-10"/>
                      <w:sz w:val="21"/>
                      <w:szCs w:val="21"/>
                      <w:highlight w:val="none"/>
                    </w:rPr>
                    <w:t>共</w:t>
                  </w:r>
                  <w:r>
                    <w:rPr>
                      <w:rFonts w:hint="eastAsia" w:ascii="Times New Roman" w:hAnsi="Times New Roman" w:eastAsia="宋体" w:cs="Times New Roman"/>
                      <w:color w:val="auto"/>
                      <w:spacing w:val="-10"/>
                      <w:sz w:val="21"/>
                      <w:szCs w:val="21"/>
                      <w:highlight w:val="none"/>
                      <w:lang w:val="en-US"/>
                    </w:rPr>
                    <w:t>5</w:t>
                  </w:r>
                  <w:r>
                    <w:rPr>
                      <w:rFonts w:hint="eastAsia" w:ascii="Times New Roman" w:hAnsi="Times New Roman" w:eastAsia="宋体" w:cs="Times New Roman"/>
                      <w:color w:val="auto"/>
                      <w:spacing w:val="-10"/>
                      <w:sz w:val="21"/>
                      <w:szCs w:val="21"/>
                      <w:highlight w:val="none"/>
                    </w:rPr>
                    <w:t>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w:t>
                  </w:r>
                  <w:r>
                    <w:rPr>
                      <w:rFonts w:hint="eastAsia" w:ascii="Times New Roman" w:hAnsi="Times New Roman" w:eastAsia="宋体" w:cs="Times New Roman"/>
                      <w:color w:val="auto"/>
                      <w:spacing w:val="-10"/>
                      <w:sz w:val="21"/>
                      <w:szCs w:val="21"/>
                      <w:highlight w:val="none"/>
                      <w:lang w:val="zh-CN"/>
                    </w:rPr>
                    <w:t>在国家湿地公园内</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92"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zh-CN"/>
                    </w:rPr>
                    <w:t>1.28 国家级森林公园内：</w:t>
                  </w:r>
                  <w:r>
                    <w:rPr>
                      <w:rFonts w:hint="eastAsia" w:ascii="Times New Roman" w:hAnsi="Times New Roman" w:eastAsia="宋体" w:cs="Times New Roman"/>
                      <w:color w:val="auto"/>
                      <w:spacing w:val="-10"/>
                      <w:sz w:val="21"/>
                      <w:szCs w:val="21"/>
                      <w:highlight w:val="none"/>
                    </w:rPr>
                    <w:t>共</w:t>
                  </w:r>
                  <w:r>
                    <w:rPr>
                      <w:rFonts w:hint="eastAsia" w:ascii="Times New Roman" w:hAnsi="Times New Roman" w:eastAsia="宋体" w:cs="Times New Roman"/>
                      <w:color w:val="auto"/>
                      <w:spacing w:val="-10"/>
                      <w:sz w:val="21"/>
                      <w:szCs w:val="21"/>
                      <w:highlight w:val="none"/>
                      <w:lang w:val="en-US"/>
                    </w:rPr>
                    <w:t>6</w:t>
                  </w:r>
                  <w:r>
                    <w:rPr>
                      <w:rFonts w:hint="eastAsia" w:ascii="Times New Roman" w:hAnsi="Times New Roman" w:eastAsia="宋体" w:cs="Times New Roman"/>
                      <w:color w:val="auto"/>
                      <w:spacing w:val="-10"/>
                      <w:sz w:val="21"/>
                      <w:szCs w:val="21"/>
                      <w:highlight w:val="none"/>
                    </w:rPr>
                    <w:t>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w:t>
                  </w:r>
                  <w:r>
                    <w:rPr>
                      <w:rFonts w:hint="eastAsia" w:ascii="Times New Roman" w:hAnsi="Times New Roman" w:eastAsia="宋体" w:cs="Times New Roman"/>
                      <w:color w:val="auto"/>
                      <w:spacing w:val="-10"/>
                      <w:sz w:val="21"/>
                      <w:szCs w:val="21"/>
                      <w:highlight w:val="none"/>
                      <w:lang w:val="zh-CN"/>
                    </w:rPr>
                    <w:t>在自然保护区内</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92"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zh-CN"/>
                    </w:rPr>
                    <w:t>1.29 除国家另有规定外，在国家沙漠公园范围内禁止下列行为：</w:t>
                  </w:r>
                  <w:r>
                    <w:rPr>
                      <w:rFonts w:hint="eastAsia" w:ascii="Times New Roman" w:hAnsi="Times New Roman" w:eastAsia="宋体" w:cs="Times New Roman"/>
                      <w:color w:val="auto"/>
                      <w:spacing w:val="-10"/>
                      <w:sz w:val="21"/>
                      <w:szCs w:val="21"/>
                      <w:highlight w:val="none"/>
                    </w:rPr>
                    <w:t>共3条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本项目不在</w:t>
                  </w:r>
                  <w:r>
                    <w:rPr>
                      <w:rFonts w:hint="eastAsia" w:ascii="Times New Roman" w:hAnsi="Times New Roman" w:eastAsia="宋体" w:cs="Times New Roman"/>
                      <w:color w:val="auto"/>
                      <w:spacing w:val="-10"/>
                      <w:sz w:val="21"/>
                      <w:szCs w:val="21"/>
                      <w:highlight w:val="none"/>
                      <w:lang w:val="zh-CN"/>
                    </w:rPr>
                    <w:t>国家沙漠公园内</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92"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zh-CN"/>
                    </w:rPr>
                    <w:t>1.30 在天山自然遗产地内，禁止实施下列行为：</w:t>
                  </w:r>
                  <w:r>
                    <w:rPr>
                      <w:rFonts w:hint="eastAsia" w:ascii="Times New Roman" w:hAnsi="Times New Roman" w:eastAsia="宋体" w:cs="Times New Roman"/>
                      <w:color w:val="auto"/>
                      <w:spacing w:val="-10"/>
                      <w:sz w:val="21"/>
                      <w:szCs w:val="21"/>
                      <w:highlight w:val="none"/>
                    </w:rPr>
                    <w:t>共4条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w:t>
                  </w:r>
                  <w:r>
                    <w:rPr>
                      <w:rFonts w:hint="eastAsia" w:ascii="Times New Roman" w:hAnsi="Times New Roman" w:eastAsia="宋体" w:cs="Times New Roman"/>
                      <w:color w:val="auto"/>
                      <w:spacing w:val="-10"/>
                      <w:sz w:val="21"/>
                      <w:szCs w:val="21"/>
                      <w:highlight w:val="none"/>
                      <w:lang w:val="zh-CN"/>
                    </w:rPr>
                    <w:t>在天山自然遗产地内</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92"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zh-CN"/>
                    </w:rPr>
                    <w:t>1.31 在天山自然遗产地禁建区内，除配置必要的研究监测和安全防护设施外，禁止进行任何建设活动。天山自然遗产地限建区内，可以建设与自然遗产保护有关的设施。天山自然遗产地展示区内，可以建设与游览观光、文体娱乐等活动有关的公共服务设施和管理设施。按照前款规定实施建设活动的，建设单位、施工单位应当制定生态保护方案，采取有效措施，保护好周围景物、水体、林草植被、野生动物资源和</w:t>
                  </w:r>
                  <w:r>
                    <w:rPr>
                      <w:rFonts w:hint="eastAsia" w:ascii="Times New Roman" w:hAnsi="Times New Roman" w:eastAsia="宋体" w:cs="Times New Roman"/>
                      <w:color w:val="auto"/>
                      <w:spacing w:val="-10"/>
                      <w:sz w:val="21"/>
                      <w:szCs w:val="21"/>
                      <w:highlight w:val="none"/>
                      <w:lang w:val="en-US"/>
                    </w:rPr>
                    <w:t>地</w:t>
                  </w:r>
                  <w:r>
                    <w:rPr>
                      <w:rFonts w:hint="eastAsia" w:ascii="Times New Roman" w:hAnsi="Times New Roman" w:eastAsia="宋体" w:cs="Times New Roman"/>
                      <w:color w:val="auto"/>
                      <w:spacing w:val="-10"/>
                      <w:sz w:val="21"/>
                      <w:szCs w:val="21"/>
                      <w:highlight w:val="none"/>
                      <w:lang w:val="zh-CN"/>
                    </w:rPr>
                    <w:t>形地貌，并经天山自然遗产管理机构审核同意后，依照有关法律、法规的规定办理审批手续；天山自然遗产地详细规划已经明确建设项 选址、布局与规模的，可以不再申请核发建设项目选址意见书。</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w:t>
                  </w:r>
                  <w:r>
                    <w:rPr>
                      <w:rFonts w:hint="eastAsia" w:ascii="Times New Roman" w:hAnsi="Times New Roman" w:eastAsia="宋体" w:cs="Times New Roman"/>
                      <w:color w:val="auto"/>
                      <w:spacing w:val="-10"/>
                      <w:sz w:val="21"/>
                      <w:szCs w:val="21"/>
                      <w:highlight w:val="none"/>
                      <w:lang w:val="zh-CN"/>
                    </w:rPr>
                    <w:t>在天山自然遗产地禁建区内</w:t>
                  </w:r>
                </w:p>
              </w:tc>
              <w:tc>
                <w:tcPr>
                  <w:tcW w:w="437"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292" w:lineRule="exact"/>
                    <w:ind w:left="0" w:right="0"/>
                    <w:jc w:val="center"/>
                    <w:textAlignment w:val="auto"/>
                    <w:rPr>
                      <w:rFonts w:hint="default" w:ascii="宋体" w:hAnsi="宋体" w:eastAsia="宋体" w:cs="宋体"/>
                      <w:color w:val="auto"/>
                      <w:spacing w:val="-10"/>
                      <w:kern w:val="2"/>
                      <w:sz w:val="21"/>
                      <w:szCs w:val="21"/>
                      <w:highlight w:val="none"/>
                      <w:lang w:val="en-US" w:eastAsia="zh-CN" w:bidi="ar-SA"/>
                    </w:rPr>
                  </w:pPr>
                  <w:r>
                    <w:rPr>
                      <w:rFonts w:hint="eastAsia" w:ascii="宋体" w:hAnsi="宋体" w:eastAsia="宋体" w:cs="宋体"/>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1.32 【开都河流域空间布局约束】：</w:t>
                  </w:r>
                  <w:r>
                    <w:rPr>
                      <w:rFonts w:hint="eastAsia" w:ascii="Times New Roman" w:hAnsi="Times New Roman" w:eastAsia="宋体" w:cs="Times New Roman"/>
                      <w:color w:val="auto"/>
                      <w:spacing w:val="-10"/>
                      <w:sz w:val="21"/>
                      <w:szCs w:val="21"/>
                      <w:highlight w:val="none"/>
                      <w:lang w:val="en-US"/>
                    </w:rPr>
                    <w:t>共7条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en-US" w:eastAsia="zh-CN"/>
                    </w:rPr>
                    <w:t>1.33 [冰川保护]国务院有关部门和青藏高原县级以上地方人民政府应当建立健全青藏 高原雪山冰川冻土保护制度，加强对雪山冰川冻土的监测预警和系统保护。青藏高原省级人民政府应当将大型冰帽冰川、小规模冰川群等划入生态保护红线，对重要雪山冰川实施封禁保护，采取有效措施，严格控制人为扰动。青藏高原省级人民政府应当划定冻土区保护范围，加强对多年冻土区和中深季节冻土区的保护，严格控制多年冻土区资源开发，严格审批多年冻土区城镇规划和交通、管线、输变电等重大工程项目。青藏高原省级人民政府应当开展雪山冰川冻土与周边生态系统的协同保护，维持有利于雪山冰川冻土保护的自然生态环境。</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lang w:val="en-US" w:eastAsia="zh-CN"/>
                    </w:rPr>
                    <w:t>1.34 [国家级自然公园]</w:t>
                  </w:r>
                  <w:r>
                    <w:rPr>
                      <w:rFonts w:hint="eastAsia" w:ascii="Times New Roman" w:hAnsi="Times New Roman" w:eastAsia="宋体" w:cs="Times New Roman"/>
                      <w:color w:val="auto"/>
                      <w:spacing w:val="-10"/>
                      <w:sz w:val="21"/>
                      <w:szCs w:val="21"/>
                      <w:highlight w:val="none"/>
                    </w:rPr>
                    <w:t>：</w:t>
                  </w:r>
                  <w:r>
                    <w:rPr>
                      <w:rFonts w:hint="eastAsia" w:ascii="Times New Roman" w:hAnsi="Times New Roman" w:eastAsia="宋体" w:cs="Times New Roman"/>
                      <w:color w:val="auto"/>
                      <w:spacing w:val="-10"/>
                      <w:sz w:val="21"/>
                      <w:szCs w:val="21"/>
                      <w:highlight w:val="none"/>
                      <w:lang w:val="en-US"/>
                    </w:rPr>
                    <w:t>共</w:t>
                  </w:r>
                  <w:r>
                    <w:rPr>
                      <w:rFonts w:hint="eastAsia" w:ascii="Times New Roman" w:hAnsi="Times New Roman" w:eastAsia="宋体" w:cs="Times New Roman"/>
                      <w:color w:val="auto"/>
                      <w:spacing w:val="-10"/>
                      <w:sz w:val="21"/>
                      <w:szCs w:val="21"/>
                      <w:highlight w:val="none"/>
                      <w:lang w:val="en-US" w:eastAsia="zh-CN"/>
                    </w:rPr>
                    <w:t>5</w:t>
                  </w:r>
                  <w:r>
                    <w:rPr>
                      <w:rFonts w:hint="eastAsia" w:ascii="Times New Roman" w:hAnsi="Times New Roman" w:eastAsia="宋体" w:cs="Times New Roman"/>
                      <w:color w:val="auto"/>
                      <w:spacing w:val="-10"/>
                      <w:sz w:val="21"/>
                      <w:szCs w:val="21"/>
                      <w:highlight w:val="none"/>
                      <w:lang w:val="en-US"/>
                    </w:rPr>
                    <w:t>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污染排放管控</w:t>
                  </w: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2.1水源涵养和生物多样性维护型重点生态功能区水质达到地表水、地下水I类，空气质量达到一级。</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w:t>
                  </w:r>
                  <w:r>
                    <w:rPr>
                      <w:rFonts w:hint="default" w:ascii="Times New Roman" w:hAnsi="Times New Roman" w:eastAsia="宋体" w:cs="Times New Roman"/>
                      <w:color w:val="auto"/>
                      <w:spacing w:val="-10"/>
                      <w:sz w:val="21"/>
                      <w:szCs w:val="21"/>
                      <w:highlight w:val="none"/>
                      <w:lang w:bidi="zh-CN"/>
                    </w:rPr>
                    <w:t>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42"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2.2燃煤电厂和其他燃煤单位应当采用清洁生产工艺，配套建设除尘、脱硫、脱硝等装置，或者采取技术改造等其他控制大气污染物排放的措施。国家鼓励燃煤单位采用先进的除尘、脱硫、脱硝、脱汞等大气污染物协同控制的技术和装置，减少大气污染物的排放。</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本项目不涉及煤炭的消耗</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14"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color w:val="auto"/>
                      <w:spacing w:val="-10"/>
                      <w:kern w:val="2"/>
                      <w:sz w:val="21"/>
                      <w:szCs w:val="21"/>
                      <w:highlight w:val="none"/>
                      <w:lang w:val="en-US" w:eastAsia="zh-CN" w:bidi="ar-SA"/>
                    </w:rPr>
                  </w:pPr>
                  <w:r>
                    <w:rPr>
                      <w:rFonts w:hint="default" w:ascii="Times New Roman" w:hAnsi="Times New Roman" w:eastAsia="宋体" w:cs="Times New Roman"/>
                      <w:b w:val="0"/>
                      <w:color w:val="auto"/>
                      <w:spacing w:val="-10"/>
                      <w:sz w:val="21"/>
                      <w:szCs w:val="21"/>
                      <w:highlight w:val="none"/>
                    </w:rPr>
                    <w:t>2.5 库尔勒大气联防联控区域</w:t>
                  </w:r>
                  <w:r>
                    <w:rPr>
                      <w:rFonts w:hint="eastAsia" w:ascii="Times New Roman" w:hAnsi="Times New Roman" w:cs="Times New Roman"/>
                      <w:b w:val="0"/>
                      <w:color w:val="auto"/>
                      <w:spacing w:val="-10"/>
                      <w:sz w:val="21"/>
                      <w:szCs w:val="21"/>
                      <w:highlight w:val="none"/>
                      <w:lang w:eastAsia="zh-CN"/>
                    </w:rPr>
                    <w:t>（以</w:t>
                  </w:r>
                  <w:r>
                    <w:rPr>
                      <w:rFonts w:hint="default" w:ascii="Times New Roman" w:hAnsi="Times New Roman" w:eastAsia="宋体" w:cs="Times New Roman"/>
                      <w:b w:val="0"/>
                      <w:color w:val="auto"/>
                      <w:spacing w:val="-10"/>
                      <w:sz w:val="21"/>
                      <w:szCs w:val="21"/>
                      <w:highlight w:val="none"/>
                    </w:rPr>
                    <w:t>库尔勒人民广场为中心点，半径50公里的范围，主要包括库尔勒市和焉耆县、博湖县、和静县、尉犁县的部分行政区域）的火电、钢铁、水泥、石化行业和燃煤锅炉应执行相应大气污染物特别排放限值标准</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本项目位于</w:t>
                  </w:r>
                  <w:r>
                    <w:rPr>
                      <w:rFonts w:hint="eastAsia" w:ascii="Times New Roman" w:cs="Times New Roman"/>
                      <w:color w:val="auto"/>
                      <w:spacing w:val="-10"/>
                      <w:sz w:val="21"/>
                      <w:szCs w:val="21"/>
                      <w:highlight w:val="none"/>
                      <w:lang w:val="en-US" w:eastAsia="zh-CN"/>
                    </w:rPr>
                    <w:t>且末县</w:t>
                  </w:r>
                  <w:r>
                    <w:rPr>
                      <w:rFonts w:hint="default" w:ascii="Times New Roman" w:hAnsi="Times New Roman" w:eastAsia="宋体" w:cs="Times New Roman"/>
                      <w:color w:val="auto"/>
                      <w:spacing w:val="-10"/>
                      <w:sz w:val="21"/>
                      <w:szCs w:val="21"/>
                      <w:highlight w:val="none"/>
                    </w:rPr>
                    <w:t>，不属于火电、钢铁、水泥、石化行业和燃煤锅炉新（改、扩）建项目</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34"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color w:val="auto"/>
                      <w:spacing w:val="-10"/>
                      <w:kern w:val="2"/>
                      <w:sz w:val="21"/>
                      <w:szCs w:val="21"/>
                      <w:highlight w:val="none"/>
                      <w:lang w:val="en-US" w:eastAsia="zh-CN" w:bidi="ar-SA"/>
                    </w:rPr>
                  </w:pPr>
                  <w:r>
                    <w:rPr>
                      <w:rFonts w:hint="default" w:ascii="Times New Roman" w:hAnsi="Times New Roman" w:eastAsia="宋体" w:cs="Times New Roman"/>
                      <w:b w:val="0"/>
                      <w:color w:val="auto"/>
                      <w:spacing w:val="-10"/>
                      <w:sz w:val="21"/>
                      <w:szCs w:val="21"/>
                      <w:highlight w:val="none"/>
                    </w:rPr>
                    <w:t>2.6根据水环境保护的需要，在饮用水水源保护区内，采取禁止或者限制使用含磷洗涤剂、化肥、农药以及限制种植养殖等措施。</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本项目不在饮用水水源保护区内</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color w:val="auto"/>
                      <w:spacing w:val="-10"/>
                      <w:kern w:val="2"/>
                      <w:sz w:val="21"/>
                      <w:szCs w:val="21"/>
                      <w:highlight w:val="none"/>
                      <w:lang w:val="en-US" w:eastAsia="zh-CN" w:bidi="ar-SA"/>
                    </w:rPr>
                  </w:pPr>
                  <w:r>
                    <w:rPr>
                      <w:rFonts w:hint="default" w:ascii="Times New Roman" w:hAnsi="Times New Roman" w:eastAsia="宋体" w:cs="Times New Roman"/>
                      <w:b w:val="0"/>
                      <w:color w:val="auto"/>
                      <w:spacing w:val="-10"/>
                      <w:sz w:val="21"/>
                      <w:szCs w:val="21"/>
                      <w:highlight w:val="none"/>
                    </w:rPr>
                    <w:t>2.7饮用水源地准保护区内无新建、扩建制药、化工、造纸、制革、印染、染料、炼焦、炼硫、炼砷、炼油、 电镀、农药等对水体污染严重的建设项目。</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本项目不在饮用水水源保护区内</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2.8 饮用水水源二级保护区内城镇生活垃圾全部集中收集并在保护区外进行无害化处置。准保护区内工业园区企业的第一类水污染物达到车间排放要求、常规污染物达到间接排放标准后，进入园区污水处理厂集中处理。不能满足水质要求的地表水饮用水水源，准保护区或汇水区域采取水污染物容量总量控制措施，限期达标。</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本项目不在饮用水水源二级保护区内</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2.9 所有排污单位必须依法实现全面达标排放。逐一排查工业企业排污情况，重点排污单位应按要求安装污染物在线监控设施，达标企业应采取措施确保稳定达标。定期抽查排污单位达标排放情况，结果向社会公布。加大综合惩处和处罚执行力度，建立环保领域非诉案件执行联动配合机制，对行政处罚、行政命令执行情况实施后督察。</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本项目仅涉及施工期，施工期废弃物均妥善处置，达标排放</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color w:val="auto"/>
                      <w:spacing w:val="-11"/>
                      <w:w w:val="100"/>
                      <w:kern w:val="2"/>
                      <w:sz w:val="21"/>
                      <w:szCs w:val="21"/>
                      <w:highlight w:val="none"/>
                      <w:lang w:val="en-US" w:eastAsia="zh-CN" w:bidi="ar-SA"/>
                    </w:rPr>
                  </w:pPr>
                  <w:r>
                    <w:rPr>
                      <w:rFonts w:hint="default" w:ascii="Times New Roman" w:hAnsi="Times New Roman" w:eastAsia="宋体" w:cs="Times New Roman"/>
                      <w:b w:val="0"/>
                      <w:color w:val="auto"/>
                      <w:spacing w:val="-11"/>
                      <w:w w:val="100"/>
                      <w:sz w:val="21"/>
                      <w:szCs w:val="21"/>
                      <w:highlight w:val="none"/>
                    </w:rPr>
                    <w:t>2.14 狠抓工业污染防治。对水环境影响较大的“低、小、散”落后企业、加工点、作坊的专项整治，严防小型造纸、印染、染料、炼焦、炼油、电镀、农药等严重污染水环境的生产项目死灰复燃。</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本项目不属于造纸、印染、染料、炼焦、炼油、电镀、农药等严重污染水环境的生产项目</w:t>
                  </w:r>
                  <w:r>
                    <w:rPr>
                      <w:rFonts w:hint="default" w:ascii="Times New Roman" w:hAnsi="Times New Roman" w:eastAsia="宋体" w:cs="Times New Roman"/>
                      <w:color w:val="auto"/>
                      <w:spacing w:val="-11"/>
                      <w:w w:val="10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2.15 推进污泥处理处置。建立污泥从产生、运输、储存、处置全过程监管体系。污水处理设施产生的污泥应进行稳定化、无害化和资源化处理处置，禁止处理处置不达标的污泥进入耕地，非法污泥堆放点一律予以取缔。</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本项目膨润土体系废弃钻井岩屑排入防渗岩屑池干化，经检测达标后，用于井场平整；</w:t>
                  </w:r>
                  <w:r>
                    <w:rPr>
                      <w:rFonts w:hint="eastAsia" w:ascii="Times New Roman" w:cs="Times New Roman"/>
                      <w:color w:val="auto"/>
                      <w:spacing w:val="-11"/>
                      <w:w w:val="100"/>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1"/>
                      <w:w w:val="100"/>
                      <w:sz w:val="21"/>
                      <w:szCs w:val="21"/>
                      <w:highlight w:val="none"/>
                    </w:rPr>
                    <w:t>，处理达标后还原土用于铺垫油区内的井场、道路</w:t>
                  </w:r>
                  <w:r>
                    <w:rPr>
                      <w:rFonts w:hint="default" w:ascii="Times New Roman" w:hAnsi="Times New Roman" w:eastAsia="宋体" w:cs="Times New Roman"/>
                      <w:color w:val="auto"/>
                      <w:spacing w:val="-11"/>
                      <w:w w:val="10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color w:val="auto"/>
                      <w:spacing w:val="-11"/>
                      <w:w w:val="100"/>
                      <w:kern w:val="2"/>
                      <w:sz w:val="21"/>
                      <w:szCs w:val="21"/>
                      <w:highlight w:val="none"/>
                      <w:lang w:val="en-US" w:eastAsia="zh-CN" w:bidi="ar-SA"/>
                    </w:rPr>
                  </w:pPr>
                  <w:r>
                    <w:rPr>
                      <w:rFonts w:hint="default" w:ascii="Times New Roman" w:hAnsi="Times New Roman" w:eastAsia="宋体" w:cs="Times New Roman"/>
                      <w:b w:val="0"/>
                      <w:color w:val="auto"/>
                      <w:spacing w:val="-11"/>
                      <w:w w:val="100"/>
                      <w:sz w:val="21"/>
                      <w:szCs w:val="21"/>
                      <w:highlight w:val="none"/>
                    </w:rPr>
                    <w:t>2.20 加强油（气）资源开发区土壤环境污染综合整治。以中国石油天然气股份有限公司塔里木油田分公司桑吉作业区、轮南作业区、塔中作业区以及河南油田分公司新疆采油厂等油（气）资源开发区为重点，加强油（气） 田废弃物的无害化处理和资源化利用，严防油（气）田勘探、开发、运行过程中以及事故排放产生的废弃物对土壤的污染。开展油（气）资源开发区历史遗留污染场地治理。</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本项目所在区域已加强油</w:t>
                  </w:r>
                  <w:r>
                    <w:rPr>
                      <w:rFonts w:hint="default" w:ascii="Times New Roman" w:hAnsi="Times New Roman" w:eastAsia="宋体" w:cs="Times New Roman"/>
                      <w:color w:val="auto"/>
                      <w:spacing w:val="-11"/>
                      <w:w w:val="100"/>
                      <w:sz w:val="21"/>
                      <w:szCs w:val="21"/>
                      <w:highlight w:val="none"/>
                      <w:lang w:eastAsia="zh-CN"/>
                    </w:rPr>
                    <w:t>（</w:t>
                  </w:r>
                  <w:r>
                    <w:rPr>
                      <w:rFonts w:hint="default" w:ascii="Times New Roman" w:hAnsi="Times New Roman" w:eastAsia="宋体" w:cs="Times New Roman"/>
                      <w:color w:val="auto"/>
                      <w:spacing w:val="-11"/>
                      <w:w w:val="100"/>
                      <w:sz w:val="21"/>
                      <w:szCs w:val="21"/>
                      <w:highlight w:val="none"/>
                    </w:rPr>
                    <w:t>气</w:t>
                  </w:r>
                  <w:r>
                    <w:rPr>
                      <w:rFonts w:hint="default" w:ascii="Times New Roman" w:hAnsi="Times New Roman" w:eastAsia="宋体" w:cs="Times New Roman"/>
                      <w:color w:val="auto"/>
                      <w:spacing w:val="-11"/>
                      <w:w w:val="100"/>
                      <w:sz w:val="21"/>
                      <w:szCs w:val="21"/>
                      <w:highlight w:val="none"/>
                      <w:lang w:eastAsia="zh-CN"/>
                    </w:rPr>
                    <w:t>）</w:t>
                  </w:r>
                  <w:r>
                    <w:rPr>
                      <w:rFonts w:hint="default" w:ascii="Times New Roman" w:hAnsi="Times New Roman" w:eastAsia="宋体" w:cs="Times New Roman"/>
                      <w:color w:val="auto"/>
                      <w:spacing w:val="-11"/>
                      <w:w w:val="100"/>
                      <w:sz w:val="21"/>
                      <w:szCs w:val="21"/>
                      <w:highlight w:val="none"/>
                    </w:rPr>
                    <w:t>田废弃物的无害化处理和资源化利用，严防油</w:t>
                  </w:r>
                  <w:r>
                    <w:rPr>
                      <w:rFonts w:hint="default" w:ascii="Times New Roman" w:hAnsi="Times New Roman" w:eastAsia="宋体" w:cs="Times New Roman"/>
                      <w:color w:val="auto"/>
                      <w:spacing w:val="-11"/>
                      <w:w w:val="100"/>
                      <w:sz w:val="21"/>
                      <w:szCs w:val="21"/>
                      <w:highlight w:val="none"/>
                      <w:lang w:eastAsia="zh-CN"/>
                    </w:rPr>
                    <w:t>（</w:t>
                  </w:r>
                  <w:r>
                    <w:rPr>
                      <w:rFonts w:hint="default" w:ascii="Times New Roman" w:hAnsi="Times New Roman" w:eastAsia="宋体" w:cs="Times New Roman"/>
                      <w:color w:val="auto"/>
                      <w:spacing w:val="-11"/>
                      <w:w w:val="100"/>
                      <w:sz w:val="21"/>
                      <w:szCs w:val="21"/>
                      <w:highlight w:val="none"/>
                    </w:rPr>
                    <w:t>气</w:t>
                  </w:r>
                  <w:r>
                    <w:rPr>
                      <w:rFonts w:hint="default" w:ascii="Times New Roman" w:hAnsi="Times New Roman" w:eastAsia="宋体" w:cs="Times New Roman"/>
                      <w:color w:val="auto"/>
                      <w:spacing w:val="-11"/>
                      <w:w w:val="100"/>
                      <w:sz w:val="21"/>
                      <w:szCs w:val="21"/>
                      <w:highlight w:val="none"/>
                      <w:lang w:eastAsia="zh-CN"/>
                    </w:rPr>
                    <w:t>）</w:t>
                  </w:r>
                  <w:r>
                    <w:rPr>
                      <w:rFonts w:hint="default" w:ascii="Times New Roman" w:hAnsi="Times New Roman" w:eastAsia="宋体" w:cs="Times New Roman"/>
                      <w:color w:val="auto"/>
                      <w:spacing w:val="-11"/>
                      <w:w w:val="100"/>
                      <w:sz w:val="21"/>
                      <w:szCs w:val="21"/>
                      <w:highlight w:val="none"/>
                    </w:rPr>
                    <w:t>田勘探、开发、运行过程中以及事故排放产生的废弃物对土壤的污染</w:t>
                  </w:r>
                  <w:r>
                    <w:rPr>
                      <w:rFonts w:hint="default" w:ascii="Times New Roman" w:hAnsi="Times New Roman" w:eastAsia="宋体" w:cs="Times New Roman"/>
                      <w:color w:val="auto"/>
                      <w:spacing w:val="-11"/>
                      <w:w w:val="10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1"/>
                      <w:w w:val="100"/>
                      <w:sz w:val="21"/>
                      <w:szCs w:val="21"/>
                      <w:highlight w:val="none"/>
                    </w:rPr>
                    <w:t>环境风险防控</w:t>
                  </w: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3.1 强化污染防治区域联防联控。坚持属地管理与区域协调联动共治相结合，强化主体责任，完善跨区域大气污染联防联控工作机制，强化兵地区域同防同治，完善兵地沟通协作、信息共享机制以及生态环境治理体系，积极推进兵地生态环境执法改革，使兵地联合执法、交叉执法成为常态。健全污染过程预警应急响应机制。各县市人民政府负责本行政区内的重污染天气应急响应工作， 自治州重污染天气应急指挥部统筹指挥重污染应对工作，成员各司其职、密切配合。州生态环境局、气象局监测监控空气质量和气象条件变化，共享数据、科学预警、有效应对。强化部门间沟通协作，建立健全信息共享机制，充分发挥各部门专业优势，提高联防联控和快速反应</w:t>
                  </w:r>
                  <w:r>
                    <w:rPr>
                      <w:rFonts w:hint="eastAsia" w:ascii="Times New Roman" w:cs="Times New Roman"/>
                      <w:color w:val="auto"/>
                      <w:spacing w:val="-11"/>
                      <w:w w:val="100"/>
                      <w:sz w:val="21"/>
                      <w:szCs w:val="21"/>
                      <w:highlight w:val="none"/>
                      <w:lang w:eastAsia="zh-CN"/>
                    </w:rPr>
                    <w:t>能力。</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本项目严格落实区域重污染天气应急措施</w:t>
                  </w:r>
                  <w:r>
                    <w:rPr>
                      <w:rFonts w:hint="default" w:ascii="Times New Roman" w:hAnsi="Times New Roman" w:eastAsia="宋体" w:cs="Times New Roman"/>
                      <w:color w:val="auto"/>
                      <w:spacing w:val="-11"/>
                      <w:w w:val="10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98"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color w:val="auto"/>
                      <w:spacing w:val="-11"/>
                      <w:w w:val="100"/>
                      <w:kern w:val="2"/>
                      <w:sz w:val="21"/>
                      <w:szCs w:val="21"/>
                      <w:highlight w:val="none"/>
                      <w:lang w:val="en-US" w:eastAsia="zh-CN" w:bidi="ar-SA"/>
                    </w:rPr>
                  </w:pPr>
                  <w:r>
                    <w:rPr>
                      <w:rFonts w:hint="default" w:ascii="Times New Roman" w:hAnsi="Times New Roman" w:eastAsia="宋体" w:cs="Times New Roman"/>
                      <w:b w:val="0"/>
                      <w:color w:val="auto"/>
                      <w:spacing w:val="-11"/>
                      <w:w w:val="100"/>
                      <w:sz w:val="21"/>
                      <w:szCs w:val="21"/>
                      <w:highlight w:val="none"/>
                    </w:rPr>
                    <w:t>3.4 自治州、各县（市）人民政府应当根据重污染天气的预警等级，及时启动重污染天气应急预案，并采取与预警等级对应的响应措施，相关单位和个人应当配合。</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本项目严格落实区域重污染天气应急措施</w:t>
                  </w:r>
                  <w:r>
                    <w:rPr>
                      <w:rFonts w:hint="default" w:ascii="Times New Roman" w:hAnsi="Times New Roman" w:eastAsia="宋体" w:cs="Times New Roman"/>
                      <w:color w:val="auto"/>
                      <w:spacing w:val="-11"/>
                      <w:w w:val="10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59"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bCs/>
                      <w:color w:val="auto"/>
                      <w:spacing w:val="-11"/>
                      <w:w w:val="100"/>
                      <w:kern w:val="2"/>
                      <w:sz w:val="21"/>
                      <w:szCs w:val="21"/>
                      <w:highlight w:val="none"/>
                      <w:lang w:val="en-US" w:eastAsia="zh-CN" w:bidi="ar-SA"/>
                    </w:rPr>
                  </w:pPr>
                  <w:r>
                    <w:rPr>
                      <w:rFonts w:hint="default" w:ascii="Times New Roman" w:hAnsi="Times New Roman" w:eastAsia="宋体" w:cs="Times New Roman"/>
                      <w:b w:val="0"/>
                      <w:bCs/>
                      <w:color w:val="auto"/>
                      <w:spacing w:val="-11"/>
                      <w:w w:val="100"/>
                      <w:sz w:val="21"/>
                      <w:szCs w:val="21"/>
                      <w:highlight w:val="none"/>
                    </w:rPr>
                    <w:t>3.5 推进重点流域、饮用水源等环境敏感区域防控体系建设，落实环境风险防控措施，配备拦截、吸附等基本应急处置物资。落实饮用水源一级保护区周边人类活动频繁区域隔离墙、隔离网、视频监控等防范设施建设。</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bCs/>
                      <w:color w:val="auto"/>
                      <w:spacing w:val="-11"/>
                      <w:w w:val="100"/>
                      <w:sz w:val="21"/>
                      <w:szCs w:val="21"/>
                      <w:highlight w:val="none"/>
                    </w:rPr>
                    <w:t>本项目已采取严格的</w:t>
                  </w:r>
                  <w:r>
                    <w:rPr>
                      <w:rFonts w:hint="default" w:ascii="Times New Roman" w:hAnsi="Times New Roman" w:eastAsia="宋体" w:cs="Times New Roman"/>
                      <w:color w:val="auto"/>
                      <w:spacing w:val="-11"/>
                      <w:w w:val="100"/>
                      <w:sz w:val="21"/>
                      <w:szCs w:val="21"/>
                      <w:highlight w:val="none"/>
                    </w:rPr>
                    <w:t>环境风险控制措施</w:t>
                  </w:r>
                  <w:r>
                    <w:rPr>
                      <w:rFonts w:hint="default" w:ascii="Times New Roman" w:hAnsi="Times New Roman" w:eastAsia="宋体" w:cs="Times New Roman"/>
                      <w:color w:val="auto"/>
                      <w:spacing w:val="-11"/>
                      <w:w w:val="10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33"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bCs/>
                      <w:color w:val="auto"/>
                      <w:spacing w:val="-11"/>
                      <w:w w:val="100"/>
                      <w:kern w:val="2"/>
                      <w:sz w:val="21"/>
                      <w:szCs w:val="21"/>
                      <w:highlight w:val="none"/>
                      <w:lang w:val="en-US" w:eastAsia="zh-CN" w:bidi="ar-SA"/>
                    </w:rPr>
                  </w:pPr>
                  <w:r>
                    <w:rPr>
                      <w:rFonts w:hint="default" w:ascii="Times New Roman" w:hAnsi="Times New Roman" w:eastAsia="宋体" w:cs="Times New Roman"/>
                      <w:b w:val="0"/>
                      <w:bCs/>
                      <w:color w:val="auto"/>
                      <w:spacing w:val="-11"/>
                      <w:w w:val="100"/>
                      <w:sz w:val="21"/>
                      <w:szCs w:val="21"/>
                      <w:highlight w:val="none"/>
                    </w:rPr>
                    <w:t>3.6 禁止从事下列危及城镇排水与污水处理设施安全的活动：共6条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本项目不在饮用水水源保护区内</w:t>
                  </w:r>
                  <w:r>
                    <w:rPr>
                      <w:rFonts w:hint="default" w:ascii="Times New Roman" w:hAnsi="Times New Roman" w:eastAsia="宋体" w:cs="Times New Roman"/>
                      <w:color w:val="auto"/>
                      <w:spacing w:val="-11"/>
                      <w:w w:val="10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1"/>
                      <w:w w:val="100"/>
                      <w:kern w:val="2"/>
                      <w:sz w:val="21"/>
                      <w:szCs w:val="21"/>
                      <w:highlight w:val="none"/>
                      <w:lang w:val="en-US" w:eastAsia="zh-CN" w:bidi="ar-SA"/>
                    </w:rPr>
                  </w:pPr>
                  <w:r>
                    <w:rPr>
                      <w:rFonts w:hint="default" w:ascii="Times New Roman" w:hAnsi="Times New Roman" w:eastAsia="宋体" w:cs="Times New Roman"/>
                      <w:color w:val="auto"/>
                      <w:spacing w:val="-11"/>
                      <w:w w:val="10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4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rPr>
                    <w:t>3.8 严格环境风险控制。防范环境风险。定期评估沿河流湖库的工业企业、工业集聚区环境和健康风险，加强预案管理，落实防控措施，排除水污染隐患。评估现有化学物质环境和健康风险，根据国家公布的优先控制化学品名录，对高风险化学品生产、使用进行严格限制，并逐步淘汰替代</w:t>
                  </w:r>
                  <w:r>
                    <w:rPr>
                      <w:rFonts w:hint="default" w:ascii="Times New Roman" w:hAnsi="Times New Roman" w:eastAsia="宋体" w:cs="Times New Roman"/>
                      <w:bCs/>
                      <w:color w:val="auto"/>
                      <w:spacing w:val="-10"/>
                      <w:sz w:val="21"/>
                      <w:szCs w:val="21"/>
                      <w:highlight w:val="none"/>
                      <w:lang w:eastAsia="zh-CN"/>
                    </w:rPr>
                    <w:t>。</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资源开发利用效率</w:t>
                  </w: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val="0"/>
                      <w:color w:val="auto"/>
                      <w:spacing w:val="-10"/>
                      <w:kern w:val="2"/>
                      <w:sz w:val="21"/>
                      <w:szCs w:val="21"/>
                      <w:highlight w:val="none"/>
                      <w:lang w:val="en-US" w:eastAsia="zh-CN" w:bidi="ar-SA"/>
                    </w:rPr>
                  </w:pPr>
                  <w:r>
                    <w:rPr>
                      <w:rFonts w:hint="default" w:ascii="Times New Roman" w:hAnsi="Times New Roman" w:eastAsia="宋体" w:cs="Times New Roman"/>
                      <w:b w:val="0"/>
                      <w:color w:val="auto"/>
                      <w:spacing w:val="-10"/>
                      <w:sz w:val="21"/>
                      <w:szCs w:val="21"/>
                      <w:highlight w:val="none"/>
                    </w:rPr>
                    <w:t>4.1 推进循环发展。加强工业水循环利用。推进矿井水综合利用，煤炭矿区的补充用水、周边地区生产和生态用水应优先使用矿井水，加强洗煤废水循环利用。鼓励钢铁、纺织印染、造纸、石油石化、化工、制革等高耗水企业废水深度处理回用</w:t>
                  </w:r>
                  <w:r>
                    <w:rPr>
                      <w:rFonts w:hint="default" w:ascii="Times New Roman" w:hAnsi="Times New Roman" w:eastAsia="宋体" w:cs="Times New Roman"/>
                      <w:b w:val="0"/>
                      <w:color w:val="auto"/>
                      <w:spacing w:val="-10"/>
                      <w:sz w:val="21"/>
                      <w:szCs w:val="21"/>
                      <w:highlight w:val="none"/>
                      <w:lang w:eastAsia="zh-CN"/>
                    </w:rPr>
                    <w:t>。</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rPr>
                    <w:t>4.6 流域执行最严格的水资源管理制度，依法实行取水许可和有偿使用制度。在流域内从事生产、建设活动应当遵守生态环境保护规划，严格执行水资源用水总量控制、用水效率控制、水功能区限制纳污“三条红线”控制指标。流域内水资源开发利用应当兼顾上下游、左右岸和有关县、团镇之间的利益，发挥水资源的综合效益</w:t>
                  </w:r>
                  <w:r>
                    <w:rPr>
                      <w:rFonts w:hint="default" w:ascii="Times New Roman" w:hAnsi="Times New Roman" w:eastAsia="宋体" w:cs="Times New Roman"/>
                      <w:bCs/>
                      <w:color w:val="auto"/>
                      <w:spacing w:val="-10"/>
                      <w:sz w:val="21"/>
                      <w:szCs w:val="21"/>
                      <w:highlight w:val="none"/>
                      <w:lang w:eastAsia="zh-CN"/>
                    </w:rPr>
                    <w:t>。</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rPr>
                    <w:t>本项目用水量较小，未超过水资源用水总量控制、用水效率控制、水功能区限制纳污“三条红线”控制指标</w:t>
                  </w:r>
                  <w:r>
                    <w:rPr>
                      <w:rFonts w:hint="default" w:ascii="Times New Roman" w:hAnsi="Times New Roman" w:eastAsia="宋体" w:cs="Times New Roman"/>
                      <w:bCs/>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101"/>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rPr>
                    <w:t>4</w:t>
                  </w:r>
                  <w:r>
                    <w:rPr>
                      <w:rFonts w:hint="default" w:ascii="Times New Roman" w:hAnsi="Times New Roman" w:eastAsia="宋体" w:cs="Times New Roman"/>
                      <w:bCs/>
                      <w:color w:val="auto"/>
                      <w:spacing w:val="-10"/>
                      <w:sz w:val="21"/>
                      <w:szCs w:val="21"/>
                      <w:highlight w:val="none"/>
                      <w:lang w:val="en-US"/>
                    </w:rPr>
                    <w:t>.7</w:t>
                  </w:r>
                  <w:r>
                    <w:rPr>
                      <w:rFonts w:hint="default" w:ascii="Times New Roman" w:hAnsi="Times New Roman" w:eastAsia="宋体" w:cs="Times New Roman"/>
                      <w:bCs/>
                      <w:color w:val="auto"/>
                      <w:spacing w:val="-10"/>
                      <w:sz w:val="21"/>
                      <w:szCs w:val="21"/>
                      <w:highlight w:val="none"/>
                    </w:rPr>
                    <w:t>【开都河流域自然资源开发限制】：</w:t>
                  </w:r>
                  <w:r>
                    <w:rPr>
                      <w:rFonts w:hint="default" w:ascii="Times New Roman" w:hAnsi="Times New Roman" w:eastAsia="宋体" w:cs="Times New Roman"/>
                      <w:bCs/>
                      <w:color w:val="auto"/>
                      <w:spacing w:val="-10"/>
                      <w:sz w:val="21"/>
                      <w:szCs w:val="21"/>
                      <w:highlight w:val="none"/>
                      <w:lang w:val="en-US"/>
                    </w:rPr>
                    <w:t>共8条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101"/>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rPr>
                    <w:t>4.</w:t>
                  </w:r>
                  <w:r>
                    <w:rPr>
                      <w:rFonts w:hint="default" w:ascii="Times New Roman" w:hAnsi="Times New Roman" w:eastAsia="宋体" w:cs="Times New Roman"/>
                      <w:bCs/>
                      <w:color w:val="auto"/>
                      <w:spacing w:val="-10"/>
                      <w:sz w:val="21"/>
                      <w:szCs w:val="21"/>
                      <w:highlight w:val="none"/>
                      <w:lang w:val="en-US"/>
                    </w:rPr>
                    <w:t>8</w:t>
                  </w:r>
                  <w:r>
                    <w:rPr>
                      <w:rFonts w:hint="default" w:ascii="Times New Roman" w:hAnsi="Times New Roman" w:eastAsia="宋体" w:cs="Times New Roman"/>
                      <w:bCs/>
                      <w:color w:val="auto"/>
                      <w:spacing w:val="-10"/>
                      <w:sz w:val="21"/>
                      <w:szCs w:val="21"/>
                      <w:highlight w:val="none"/>
                    </w:rPr>
                    <w:t xml:space="preserve"> 开都河岸线保护区：</w:t>
                  </w:r>
                  <w:r>
                    <w:rPr>
                      <w:rFonts w:hint="default" w:ascii="Times New Roman" w:hAnsi="Times New Roman" w:eastAsia="宋体" w:cs="Times New Roman"/>
                      <w:bCs/>
                      <w:color w:val="auto"/>
                      <w:spacing w:val="-10"/>
                      <w:sz w:val="21"/>
                      <w:szCs w:val="21"/>
                      <w:highlight w:val="none"/>
                      <w:lang w:val="en-US"/>
                    </w:rPr>
                    <w:t>共2条</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4.14 抓好工业节水。依据国家鼓励和淘汰的用水技术、工艺、产品和设备目录，加大工业节水先进技术的推广应用，加快落后技术、设备的淘汰退出。研究制定一批工业节水地方标准，推动重点行业开展企业用水定额对标工作。开展节水诊断、水平衡测试、用水效率评估，严格取用水定额管理。以工业用水重复利用、热力和工艺系统节水、工业给水和废水处理等领域为重点，支持企业实施节水技术改造</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lang w:bidi="ar"/>
                    </w:rPr>
                    <w:t>本项目营运期不消耗水资源</w:t>
                  </w:r>
                  <w:r>
                    <w:rPr>
                      <w:rFonts w:hint="default" w:ascii="Times New Roman" w:hAnsi="Times New Roman" w:eastAsia="宋体" w:cs="Times New Roman"/>
                      <w:color w:val="auto"/>
                      <w:spacing w:val="-10"/>
                      <w:kern w:val="0"/>
                      <w:sz w:val="21"/>
                      <w:szCs w:val="21"/>
                      <w:highlight w:val="none"/>
                      <w:lang w:eastAsia="zh-CN" w:bidi="ar"/>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4.15 加强城镇节水。禁止生产、销售不符合节水标准的产品：公共建筑必须采用节水器具，限期淘汰公共建筑中不符合节水标准的水嘴、便器水箱等生活用水器具。鼓励居民家庭选用节水器具，推动旅馆饭店、学校等用水单位用水器具的更新改造。加快城镇老旧供水管网更新改造</w:t>
                  </w:r>
                  <w:r>
                    <w:rPr>
                      <w:rFonts w:hint="default" w:ascii="Times New Roman" w:hAnsi="Times New Roman" w:eastAsia="宋体" w:cs="Times New Roman"/>
                      <w:color w:val="auto"/>
                      <w:spacing w:val="-10"/>
                      <w:sz w:val="21"/>
                      <w:szCs w:val="21"/>
                      <w:highlight w:val="none"/>
                      <w:lang w:eastAsia="zh-CN"/>
                    </w:rPr>
                    <w:t>。</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70" w:type="pct"/>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08"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2297" w:type="pct"/>
                  <w:shd w:val="clear" w:color="auto" w:fill="auto"/>
                  <w:noWrap w:val="0"/>
                  <w:tcMar>
                    <w:left w:w="28" w:type="dxa"/>
                    <w:right w:w="28" w:type="dxa"/>
                  </w:tcMar>
                  <w:vAlign w:val="center"/>
                </w:tcPr>
                <w:p>
                  <w:pPr>
                    <w:pStyle w:val="2"/>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right="0"/>
                    <w:textAlignment w:val="auto"/>
                    <w:rPr>
                      <w:rFonts w:hint="default" w:ascii="Times New Roman" w:hAnsi="Times New Roman" w:eastAsia="宋体" w:cs="Times New Roman"/>
                      <w:b/>
                      <w:color w:val="auto"/>
                      <w:spacing w:val="-10"/>
                      <w:kern w:val="2"/>
                      <w:sz w:val="21"/>
                      <w:szCs w:val="21"/>
                      <w:highlight w:val="none"/>
                      <w:lang w:val="en-US" w:eastAsia="zh-CN" w:bidi="ar-SA"/>
                    </w:rPr>
                  </w:pPr>
                  <w:r>
                    <w:rPr>
                      <w:rFonts w:hint="default" w:ascii="Times New Roman" w:hAnsi="Times New Roman" w:eastAsia="宋体" w:cs="Times New Roman"/>
                      <w:b w:val="0"/>
                      <w:color w:val="auto"/>
                      <w:spacing w:val="-10"/>
                      <w:sz w:val="21"/>
                      <w:szCs w:val="21"/>
                      <w:highlight w:val="none"/>
                    </w:rPr>
                    <w:t>4.16 发展农业节水。推广渠道防渗、管道输水、喷灌、微灌等节水</w:t>
                  </w:r>
                  <w:r>
                    <w:rPr>
                      <w:rFonts w:hint="default" w:ascii="Times New Roman" w:hAnsi="Times New Roman" w:eastAsia="宋体" w:cs="Times New Roman"/>
                      <w:b w:val="0"/>
                      <w:color w:val="auto"/>
                      <w:spacing w:val="-10"/>
                      <w:sz w:val="21"/>
                      <w:szCs w:val="21"/>
                      <w:highlight w:val="none"/>
                      <w:lang w:eastAsia="zh-CN"/>
                    </w:rPr>
                    <w:t>灌溉</w:t>
                  </w:r>
                  <w:r>
                    <w:rPr>
                      <w:rFonts w:hint="default" w:ascii="Times New Roman" w:hAnsi="Times New Roman" w:eastAsia="宋体" w:cs="Times New Roman"/>
                      <w:b w:val="0"/>
                      <w:color w:val="auto"/>
                      <w:spacing w:val="-10"/>
                      <w:sz w:val="21"/>
                      <w:szCs w:val="21"/>
                      <w:highlight w:val="none"/>
                    </w:rPr>
                    <w:t>技术，完善灌溉用水计量设施。大力推进规模化高效节水灌溉，推广农作物节水抗旱技术。建立灌区测报网络，提高农业用水效率，降低农业用水比重</w:t>
                  </w:r>
                  <w:r>
                    <w:rPr>
                      <w:rFonts w:hint="default" w:ascii="Times New Roman" w:hAnsi="Times New Roman" w:eastAsia="宋体" w:cs="Times New Roman"/>
                      <w:b w:val="0"/>
                      <w:color w:val="auto"/>
                      <w:spacing w:val="-10"/>
                      <w:sz w:val="21"/>
                      <w:szCs w:val="21"/>
                      <w:highlight w:val="none"/>
                      <w:lang w:eastAsia="zh-CN"/>
                    </w:rPr>
                    <w:t>。</w:t>
                  </w:r>
                </w:p>
              </w:tc>
              <w:tc>
                <w:tcPr>
                  <w:tcW w:w="1486"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p>
              </w:tc>
              <w:tc>
                <w:tcPr>
                  <w:tcW w:w="437"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lang w:eastAsia="zh-CN"/>
              </w:rPr>
              <w:t>（</w:t>
            </w:r>
            <w:r>
              <w:rPr>
                <w:rFonts w:hint="eastAsia" w:ascii="Times New Roman" w:cs="Times New Roman"/>
                <w:b/>
                <w:color w:val="auto"/>
                <w:sz w:val="24"/>
                <w:szCs w:val="20"/>
                <w:highlight w:val="none"/>
                <w:lang w:val="en-US" w:eastAsia="zh-CN"/>
              </w:rPr>
              <w:t>4</w:t>
            </w:r>
            <w:r>
              <w:rPr>
                <w:rFonts w:hint="default" w:ascii="Times New Roman" w:hAnsi="Times New Roman" w:eastAsia="宋体" w:cs="Times New Roman"/>
                <w:b/>
                <w:color w:val="auto"/>
                <w:sz w:val="24"/>
                <w:szCs w:val="20"/>
                <w:highlight w:val="none"/>
                <w:lang w:eastAsia="zh-CN"/>
              </w:rPr>
              <w:t>）</w:t>
            </w:r>
            <w:r>
              <w:rPr>
                <w:rFonts w:hint="default" w:ascii="Times New Roman" w:hAnsi="Times New Roman" w:eastAsia="宋体" w:cs="Times New Roman"/>
                <w:b/>
                <w:color w:val="auto"/>
                <w:sz w:val="24"/>
                <w:szCs w:val="20"/>
                <w:highlight w:val="none"/>
                <w:lang w:val="en-US" w:eastAsia="zh-CN"/>
              </w:rPr>
              <w:t>与《关于印发巴音郭楞蒙古自治州生态环境分区管控动态更新成果（2023年）的通知》中“</w:t>
            </w:r>
            <w:r>
              <w:rPr>
                <w:rFonts w:hint="eastAsia" w:ascii="Times New Roman" w:cs="Times New Roman"/>
                <w:b/>
                <w:color w:val="auto"/>
                <w:sz w:val="24"/>
                <w:szCs w:val="20"/>
                <w:highlight w:val="none"/>
                <w:lang w:val="en-US" w:eastAsia="zh-CN"/>
              </w:rPr>
              <w:t>且末县</w:t>
            </w:r>
            <w:r>
              <w:rPr>
                <w:rFonts w:hint="default" w:ascii="Times New Roman" w:hAnsi="Times New Roman" w:eastAsia="宋体" w:cs="Times New Roman"/>
                <w:b/>
                <w:color w:val="auto"/>
                <w:sz w:val="24"/>
                <w:szCs w:val="20"/>
                <w:highlight w:val="none"/>
                <w:lang w:val="en-US" w:eastAsia="zh-CN"/>
              </w:rPr>
              <w:t>环境管控单元准入清单”符合性分析。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1-</w:t>
            </w:r>
            <w:r>
              <w:rPr>
                <w:rFonts w:hint="eastAsia" w:ascii="Times New Roman"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 xml:space="preserve">    本项目与</w:t>
            </w:r>
            <w:r>
              <w:rPr>
                <w:rFonts w:hint="eastAsia" w:ascii="Times New Roman" w:cs="Times New Roman"/>
                <w:b/>
                <w:bCs/>
                <w:color w:val="auto"/>
                <w:sz w:val="24"/>
                <w:szCs w:val="24"/>
                <w:highlight w:val="none"/>
                <w:lang w:val="en-US" w:eastAsia="zh-CN"/>
              </w:rPr>
              <w:t>且末县</w:t>
            </w:r>
            <w:r>
              <w:rPr>
                <w:rFonts w:hint="default" w:ascii="Times New Roman" w:hAnsi="Times New Roman" w:eastAsia="宋体" w:cs="Times New Roman"/>
                <w:b/>
                <w:bCs/>
                <w:color w:val="auto"/>
                <w:sz w:val="24"/>
                <w:szCs w:val="24"/>
                <w:highlight w:val="none"/>
                <w:lang w:val="en-US" w:eastAsia="zh-CN"/>
              </w:rPr>
              <w:t>环境管控单元准入清单一览表</w:t>
            </w:r>
          </w:p>
          <w:tbl>
            <w:tblPr>
              <w:tblStyle w:val="32"/>
              <w:tblW w:w="756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68"/>
              <w:gridCol w:w="488"/>
              <w:gridCol w:w="382"/>
              <w:gridCol w:w="3570"/>
              <w:gridCol w:w="2078"/>
              <w:gridCol w:w="57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文件名称</w:t>
                  </w:r>
                </w:p>
              </w:tc>
              <w:tc>
                <w:tcPr>
                  <w:tcW w:w="4440" w:type="dxa"/>
                  <w:gridSpan w:val="3"/>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文件要求</w:t>
                  </w:r>
                </w:p>
              </w:tc>
              <w:tc>
                <w:tcPr>
                  <w:tcW w:w="2078"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本项目</w:t>
                  </w:r>
                </w:p>
              </w:tc>
              <w:tc>
                <w:tcPr>
                  <w:tcW w:w="578"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eastAsia" w:ascii="Times New Roman" w:cs="Times New Roman"/>
                      <w:bCs/>
                      <w:color w:val="auto"/>
                      <w:spacing w:val="-10"/>
                      <w:sz w:val="21"/>
                      <w:szCs w:val="21"/>
                      <w:highlight w:val="none"/>
                      <w:lang w:val="en-US" w:eastAsia="zh-CN"/>
                    </w:rPr>
                    <w:t>且末县</w:t>
                  </w:r>
                  <w:r>
                    <w:rPr>
                      <w:rFonts w:hint="default" w:ascii="Times New Roman" w:hAnsi="Times New Roman" w:eastAsia="宋体" w:cs="Times New Roman"/>
                      <w:bCs/>
                      <w:color w:val="auto"/>
                      <w:spacing w:val="-10"/>
                      <w:sz w:val="21"/>
                      <w:szCs w:val="21"/>
                      <w:highlight w:val="none"/>
                    </w:rPr>
                    <w:t>环境管控单元准入清单</w:t>
                  </w:r>
                </w:p>
              </w:tc>
              <w:tc>
                <w:tcPr>
                  <w:tcW w:w="488"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eastAsia" w:ascii="Times New Roman" w:cs="Times New Roman"/>
                      <w:bCs/>
                      <w:color w:val="auto"/>
                      <w:spacing w:val="-10"/>
                      <w:sz w:val="21"/>
                      <w:szCs w:val="21"/>
                      <w:highlight w:val="none"/>
                      <w:lang w:eastAsia="zh-CN"/>
                    </w:rPr>
                    <w:t>且末县</w:t>
                  </w:r>
                  <w:r>
                    <w:rPr>
                      <w:rFonts w:hint="default" w:ascii="Times New Roman" w:hAnsi="Times New Roman" w:eastAsia="宋体" w:cs="Times New Roman"/>
                      <w:bCs/>
                      <w:color w:val="auto"/>
                      <w:spacing w:val="-10"/>
                      <w:sz w:val="21"/>
                      <w:szCs w:val="21"/>
                      <w:highlight w:val="none"/>
                    </w:rPr>
                    <w:t>一般管控单元</w:t>
                  </w:r>
                  <w:r>
                    <w:rPr>
                      <w:rFonts w:hint="default" w:ascii="Times New Roman" w:hAnsi="Times New Roman" w:eastAsia="宋体" w:cs="Times New Roman"/>
                      <w:bCs/>
                      <w:color w:val="auto"/>
                      <w:spacing w:val="-10"/>
                      <w:sz w:val="21"/>
                      <w:szCs w:val="21"/>
                      <w:highlight w:val="none"/>
                      <w:lang w:eastAsia="zh-CN"/>
                    </w:rPr>
                    <w:t>（</w:t>
                  </w:r>
                  <w:r>
                    <w:rPr>
                      <w:rFonts w:hint="eastAsia" w:ascii="Times New Roman" w:cs="Times New Roman"/>
                      <w:bCs/>
                      <w:color w:val="auto"/>
                      <w:spacing w:val="-10"/>
                      <w:sz w:val="21"/>
                      <w:szCs w:val="21"/>
                      <w:highlight w:val="none"/>
                      <w:lang w:eastAsia="zh-CN"/>
                    </w:rPr>
                    <w:t>ZH65282530001</w:t>
                  </w:r>
                  <w:r>
                    <w:rPr>
                      <w:rFonts w:hint="default" w:ascii="Times New Roman" w:hAnsi="Times New Roman" w:eastAsia="宋体" w:cs="Times New Roman"/>
                      <w:bCs/>
                      <w:color w:val="auto"/>
                      <w:spacing w:val="-10"/>
                      <w:sz w:val="21"/>
                      <w:szCs w:val="21"/>
                      <w:highlight w:val="none"/>
                      <w:lang w:eastAsia="zh-CN"/>
                    </w:rPr>
                    <w:t>）</w:t>
                  </w:r>
                </w:p>
              </w:tc>
              <w:tc>
                <w:tcPr>
                  <w:tcW w:w="382"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空间布局约束</w:t>
                  </w: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1.建设项目用地原则上不得占用基本农田，确需占用基本农田的建设项目须符合《中华人民共和国基本农田保护条例》中相关要求，占用耕地、林地或草地的建设项目须按照国家、自治区相关补偿要求进行补偿。</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本项目不占用基本农田</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2.对违反资源环境法律法规、规划，污染环境、破坏生态、乱采滥挖的露天矿山，依法整治； 对污染治理不规范的露天矿山，依法责令停产整治，对拒不停产或擅自恢复生产的依法强制关闭；对责任主体灭失的露天矿山，要加强修复绿化、减尘抑尘。</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3.永久基本农田集中区域禁止规划新建可能造成土壤污染的建设项目。涉及有毒有害物质可能造成土壤污染的新</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改、扩</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建项目，提出并落实土壤和地下水污染防治要求。</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本项目不占用永久基本农田</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4.严格执行畜禽养殖禁养区规定，根据区域用地和消纳水平，合理确定养殖规模。</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21"/>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21"/>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21"/>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5.禁止向沙漠、滩涂、盐碱地、沼泽地等非法排污、倾倒有毒有害物质。</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本项目危险废物在</w:t>
                  </w:r>
                  <w:r>
                    <w:rPr>
                      <w:rFonts w:hint="default" w:ascii="Times New Roman" w:hAnsi="Times New Roman" w:eastAsia="宋体" w:cs="Times New Roman"/>
                      <w:color w:val="auto"/>
                      <w:spacing w:val="-10"/>
                      <w:sz w:val="21"/>
                      <w:szCs w:val="21"/>
                      <w:highlight w:val="none"/>
                      <w:lang w:eastAsia="zh-CN"/>
                    </w:rPr>
                    <w:t>危废</w:t>
                  </w:r>
                  <w:r>
                    <w:rPr>
                      <w:rFonts w:hint="default" w:ascii="Times New Roman" w:hAnsi="Times New Roman" w:eastAsia="宋体" w:cs="Times New Roman"/>
                      <w:color w:val="auto"/>
                      <w:spacing w:val="-10"/>
                      <w:sz w:val="21"/>
                      <w:szCs w:val="21"/>
                      <w:highlight w:val="none"/>
                      <w:lang w:val="en-US" w:eastAsia="zh-CN"/>
                    </w:rPr>
                    <w:t>暂存间</w:t>
                  </w:r>
                  <w:r>
                    <w:rPr>
                      <w:rFonts w:hint="default" w:ascii="Times New Roman" w:hAnsi="Times New Roman" w:eastAsia="宋体" w:cs="Times New Roman"/>
                      <w:color w:val="auto"/>
                      <w:spacing w:val="-10"/>
                      <w:sz w:val="21"/>
                      <w:szCs w:val="21"/>
                      <w:highlight w:val="none"/>
                    </w:rPr>
                    <w:t>暂存，定期由有处理资质的单位接收</w:t>
                  </w:r>
                  <w:r>
                    <w:rPr>
                      <w:rFonts w:hint="eastAsia" w:ascii="Times New Roman" w:cs="Times New Roman"/>
                      <w:color w:val="auto"/>
                      <w:spacing w:val="-10"/>
                      <w:sz w:val="21"/>
                      <w:szCs w:val="21"/>
                      <w:highlight w:val="none"/>
                      <w:lang w:eastAsia="zh-CN"/>
                    </w:rPr>
                    <w:t>并妥善处置</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21"/>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21"/>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21"/>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7"/>
                      <w:kern w:val="2"/>
                      <w:sz w:val="21"/>
                      <w:szCs w:val="21"/>
                      <w:highlight w:val="none"/>
                      <w:lang w:val="en-US" w:eastAsia="zh-CN" w:bidi="ar-SA"/>
                    </w:rPr>
                  </w:pPr>
                  <w:r>
                    <w:rPr>
                      <w:rFonts w:hint="default" w:ascii="Times New Roman" w:hAnsi="Times New Roman" w:eastAsia="宋体" w:cs="Times New Roman"/>
                      <w:color w:val="auto"/>
                      <w:spacing w:val="-17"/>
                      <w:sz w:val="21"/>
                      <w:szCs w:val="21"/>
                      <w:highlight w:val="none"/>
                    </w:rPr>
                    <w:t>6.禁止利用渗坑、裂隙、溶洞或者采用稀释等方法处置危险废物。</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82"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污染物排放管控</w:t>
                  </w: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1.强化畜禽粪污资源化利用，改善养殖场通风环境，提高畜禽粪污综合利用率，减少氨挥发 排放。鼓励和支持散养密集区实行畜禽粪污分户收集、集中处理。</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2.严格控制林地、草地、园地农药使用量，禁止使用高毒、高残留农药。</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3.加强种植业污染防治。深入推进化肥农药减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本项目不涉及</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4.对化学品生产企业、工业集聚区、尾矿库、矿山开采区、危险废物处置场、垃圾填埋场等地下水污染源及周边区域，逐步开展地下水环境状况调查评估，加强风险管控。</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w:t>
                  </w:r>
                  <w:r>
                    <w:rPr>
                      <w:rFonts w:hint="default" w:ascii="Times New Roman" w:hAnsi="Times New Roman" w:eastAsia="宋体" w:cs="Times New Roman"/>
                      <w:snapToGrid w:val="0"/>
                      <w:color w:val="auto"/>
                      <w:spacing w:val="-10"/>
                      <w:kern w:val="0"/>
                      <w:sz w:val="21"/>
                      <w:szCs w:val="21"/>
                      <w:highlight w:val="none"/>
                      <w:lang w:bidi="ar"/>
                    </w:rPr>
                    <w:t>酸化压裂返排液</w:t>
                  </w:r>
                  <w:r>
                    <w:rPr>
                      <w:rFonts w:hint="eastAsia" w:ascii="Times New Roman" w:cs="Times New Roman"/>
                      <w:snapToGrid w:val="0"/>
                      <w:color w:val="auto"/>
                      <w:spacing w:val="-10"/>
                      <w:kern w:val="0"/>
                      <w:sz w:val="21"/>
                      <w:szCs w:val="21"/>
                      <w:highlight w:val="none"/>
                      <w:lang w:val="en-US" w:eastAsia="zh-CN" w:bidi="ar"/>
                    </w:rPr>
                    <w:t>在井场加碱中和后，暂存于废液收集罐，</w:t>
                  </w:r>
                  <w:r>
                    <w:rPr>
                      <w:rFonts w:hint="default" w:ascii="Times New Roman" w:hAnsi="Times New Roman" w:eastAsia="宋体" w:cs="Times New Roman"/>
                      <w:snapToGrid w:val="0"/>
                      <w:color w:val="auto"/>
                      <w:spacing w:val="-10"/>
                      <w:kern w:val="0"/>
                      <w:sz w:val="21"/>
                      <w:szCs w:val="21"/>
                      <w:highlight w:val="none"/>
                      <w:lang w:bidi="ar"/>
                    </w:rPr>
                    <w:t>运至</w:t>
                  </w:r>
                  <w:r>
                    <w:rPr>
                      <w:rFonts w:hint="default" w:ascii="Times New Roman" w:hAnsi="Times New Roman" w:eastAsia="宋体" w:cs="Times New Roman"/>
                      <w:snapToGrid w:val="0"/>
                      <w:color w:val="auto"/>
                      <w:spacing w:val="-10"/>
                      <w:kern w:val="0"/>
                      <w:sz w:val="21"/>
                      <w:szCs w:val="21"/>
                      <w:highlight w:val="none"/>
                      <w:lang w:val="en-US" w:eastAsia="zh-CN" w:bidi="ar"/>
                    </w:rPr>
                    <w:t>富源7</w:t>
                  </w:r>
                  <w:r>
                    <w:rPr>
                      <w:rFonts w:hint="default" w:ascii="Times New Roman" w:hAnsi="Times New Roman" w:eastAsia="宋体" w:cs="Times New Roman"/>
                      <w:snapToGrid w:val="0"/>
                      <w:color w:val="auto"/>
                      <w:spacing w:val="-10"/>
                      <w:kern w:val="0"/>
                      <w:sz w:val="21"/>
                      <w:szCs w:val="21"/>
                      <w:highlight w:val="none"/>
                      <w:lang w:eastAsia="zh-CN" w:bidi="ar"/>
                    </w:rPr>
                    <w:t>环保处理站</w:t>
                  </w:r>
                  <w:r>
                    <w:rPr>
                      <w:rFonts w:hint="default" w:ascii="Times New Roman" w:hAnsi="Times New Roman" w:eastAsia="宋体" w:cs="Times New Roman"/>
                      <w:snapToGrid w:val="0"/>
                      <w:color w:val="auto"/>
                      <w:spacing w:val="-10"/>
                      <w:kern w:val="0"/>
                      <w:sz w:val="21"/>
                      <w:szCs w:val="21"/>
                      <w:highlight w:val="none"/>
                      <w:lang w:bidi="ar"/>
                    </w:rPr>
                    <w:t>处置；</w:t>
                  </w:r>
                  <w:r>
                    <w:rPr>
                      <w:rFonts w:hint="default" w:ascii="Times New Roman" w:hAnsi="Times New Roman" w:eastAsia="宋体" w:cs="Times New Roman"/>
                      <w:color w:val="auto"/>
                      <w:spacing w:val="-10"/>
                      <w:sz w:val="21"/>
                      <w:szCs w:val="21"/>
                      <w:highlight w:val="none"/>
                    </w:rPr>
                    <w:t>生活污水经井场撬装式污水处理装置处理后，</w:t>
                  </w:r>
                  <w:r>
                    <w:rPr>
                      <w:rFonts w:hint="eastAsia" w:ascii="Times New Roman" w:cs="Times New Roman"/>
                      <w:color w:val="auto"/>
                      <w:spacing w:val="-10"/>
                      <w:sz w:val="21"/>
                      <w:szCs w:val="21"/>
                      <w:highlight w:val="none"/>
                      <w:lang w:eastAsia="zh-CN"/>
                    </w:rPr>
                    <w:t>处理</w:t>
                  </w:r>
                  <w:r>
                    <w:rPr>
                      <w:rFonts w:hint="default" w:ascii="Times New Roman" w:hAnsi="Times New Roman" w:eastAsia="宋体" w:cs="Times New Roman"/>
                      <w:color w:val="auto"/>
                      <w:spacing w:val="-10"/>
                      <w:sz w:val="21"/>
                      <w:szCs w:val="21"/>
                      <w:highlight w:val="none"/>
                    </w:rPr>
                    <w:t>后水质达到《农村生活污水处理排放标准》（DB654275-2019）表2的</w:t>
                  </w:r>
                  <w:r>
                    <w:rPr>
                      <w:rFonts w:hint="eastAsia" w:ascii="Times New Roman" w:cs="Times New Roman"/>
                      <w:color w:val="auto"/>
                      <w:spacing w:val="-10"/>
                      <w:sz w:val="21"/>
                      <w:szCs w:val="21"/>
                      <w:highlight w:val="none"/>
                      <w:lang w:val="en-US" w:eastAsia="zh-CN"/>
                    </w:rPr>
                    <w:t>B</w:t>
                  </w:r>
                  <w:r>
                    <w:rPr>
                      <w:rFonts w:hint="default" w:ascii="Times New Roman" w:hAnsi="Times New Roman" w:eastAsia="宋体" w:cs="Times New Roman"/>
                      <w:color w:val="auto"/>
                      <w:spacing w:val="-10"/>
                      <w:sz w:val="21"/>
                      <w:szCs w:val="21"/>
                      <w:highlight w:val="none"/>
                    </w:rPr>
                    <w:t>级标准，用于荒漠生态恢复；严格执行《环境影响评价技术导则 地下水环境》</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HJ610–2016</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“11.2.2分区防控措施”相关要求进行分区防渗；切实保障地下水生态环境安全</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
                      <w:sz w:val="21"/>
                      <w:szCs w:val="21"/>
                      <w:highlight w:val="none"/>
                      <w:lang w:val="en-US" w:eastAsia="zh-CN" w:bidi="ar-SA"/>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5.严控土壤重金属污染，加强油（气）田开发土壤污染防治，以历史遗留工业企业污染场地为重点，开展土壤污染风险管控与修复工程。</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本项目为新建勘探井，未涉及历史遗留废弃磺化泥浆遗留问题</w:t>
                  </w:r>
                  <w:r>
                    <w:rPr>
                      <w:rFonts w:hint="default" w:ascii="Times New Roman" w:hAnsi="Times New Roman" w:eastAsia="宋体" w:cs="Times New Roman"/>
                      <w:color w:val="auto"/>
                      <w:spacing w:val="-1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6.因地制宜推进农村厕所革命，分类分区推进农村生活污水治理，全面提升农村生活垃圾治理水平，建立健全农村人居环境长效管护机制。实施化肥农药减量增效行动和农膜回收、秸秆综合利用行动。加强种养结合，整县推进畜禽粪污资源化利用。</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本项目不涉及</w:t>
                  </w:r>
                  <w:r>
                    <w:rPr>
                      <w:rFonts w:hint="default" w:ascii="Times New Roman" w:hAnsi="Times New Roman" w:eastAsia="宋体" w:cs="Times New Roman"/>
                      <w:snapToGrid w:val="0"/>
                      <w:color w:val="auto"/>
                      <w:spacing w:val="-10"/>
                      <w:kern w:val="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lang w:bidi="ar"/>
                    </w:rPr>
                    <w:t>环境风险防控</w:t>
                  </w: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1.加强对矿山、油田等矿产资源开采影响区域内未利用地的环境监管，发现土壤污染问题的，要坚决查处，并及时督促有关单位采取有效防治措施消除或减轻污染。</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本工程占地范围内土地利用现状为</w:t>
                  </w:r>
                  <w:r>
                    <w:rPr>
                      <w:rFonts w:hint="eastAsia" w:ascii="Times New Roman" w:cs="Times New Roman"/>
                      <w:snapToGrid w:val="0"/>
                      <w:color w:val="auto"/>
                      <w:spacing w:val="-10"/>
                      <w:kern w:val="0"/>
                      <w:sz w:val="21"/>
                      <w:szCs w:val="21"/>
                      <w:highlight w:val="none"/>
                      <w:lang w:eastAsia="zh-CN"/>
                    </w:rPr>
                    <w:t>沙地</w:t>
                  </w:r>
                  <w:r>
                    <w:rPr>
                      <w:rFonts w:hint="default" w:ascii="Times New Roman" w:hAnsi="Times New Roman" w:eastAsia="宋体" w:cs="Times New Roman"/>
                      <w:snapToGrid w:val="0"/>
                      <w:color w:val="auto"/>
                      <w:spacing w:val="-10"/>
                      <w:kern w:val="0"/>
                      <w:sz w:val="21"/>
                      <w:szCs w:val="21"/>
                      <w:highlight w:val="none"/>
                    </w:rPr>
                    <w:t>，井场废弃物均合理妥善处置，不涉及土壤污染问题</w:t>
                  </w:r>
                  <w:r>
                    <w:rPr>
                      <w:rFonts w:hint="default" w:ascii="Times New Roman" w:hAnsi="Times New Roman" w:eastAsia="宋体" w:cs="Times New Roman"/>
                      <w:snapToGrid w:val="0"/>
                      <w:color w:val="auto"/>
                      <w:spacing w:val="-10"/>
                      <w:kern w:val="0"/>
                      <w:sz w:val="21"/>
                      <w:szCs w:val="21"/>
                      <w:highlight w:val="none"/>
                      <w:lang w:eastAsia="zh-CN"/>
                    </w:rPr>
                    <w:t>。</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2.对排查出的危库和病库以及风险评估有严重环境安全隐患的尾矿库，要求企业完善污染治理设施、进行治理和修复。全面整治历史遗留尾矿库，完善覆膜、压土、排洪、堤坝加固等隐患治理和闭库措施。</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本项目不涉及</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3.依法推行农用地分类管理制度，强化受污染耕地安全利用和风险管控。因地制宜制定实施安全利用方案，鼓励采取种植结构调整等措施，确保受污染耕地全部实现安全利用。</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本项目不涉及</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资源利用效率</w:t>
                  </w: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1.全面推进秸秆综合利用，鼓励秸秆资源化、饲料化、肥料化利用，推动秸秆还田与离田收集。</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本项目不涉及</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2.减少化肥农药使用量，增加有机肥使用量，实现化肥农药使用量负增长。</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本项目不涉及</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46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488"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82" w:type="dxa"/>
                  <w:vMerge w:val="continue"/>
                  <w:noWrap w:val="0"/>
                  <w:vAlign w:val="top"/>
                </w:tcPr>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570"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3.推广渠道防渗、管道输水、喷灌、微灌等节水灌溉技术，完善灌溉用水计量设施。推进规模化高效节水灌溉，推广农作物节水抗旱技术。建立灌区墒情测报网络，提高农业用水效率，降低农业用水比重。</w:t>
                  </w:r>
                </w:p>
              </w:tc>
              <w:tc>
                <w:tcPr>
                  <w:tcW w:w="20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本项目不涉及</w:t>
                  </w:r>
                </w:p>
              </w:tc>
              <w:tc>
                <w:tcPr>
                  <w:tcW w:w="578"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lang w:eastAsia="zh-CN"/>
              </w:rPr>
              <w:t>（</w:t>
            </w:r>
            <w:r>
              <w:rPr>
                <w:rFonts w:hint="eastAsia" w:ascii="Times New Roman" w:cs="Times New Roman"/>
                <w:b/>
                <w:color w:val="auto"/>
                <w:sz w:val="24"/>
                <w:szCs w:val="20"/>
                <w:highlight w:val="none"/>
                <w:lang w:val="en-US" w:eastAsia="zh-CN"/>
              </w:rPr>
              <w:t>5</w:t>
            </w:r>
            <w:r>
              <w:rPr>
                <w:rFonts w:hint="default" w:ascii="Times New Roman" w:hAnsi="Times New Roman" w:eastAsia="宋体" w:cs="Times New Roman"/>
                <w:b/>
                <w:color w:val="auto"/>
                <w:sz w:val="24"/>
                <w:szCs w:val="20"/>
                <w:highlight w:val="none"/>
                <w:lang w:eastAsia="zh-CN"/>
              </w:rPr>
              <w:t>）</w:t>
            </w:r>
            <w:r>
              <w:rPr>
                <w:rFonts w:hint="eastAsia" w:ascii="Times New Roman" w:cs="Times New Roman"/>
                <w:b/>
                <w:color w:val="auto"/>
                <w:sz w:val="24"/>
                <w:szCs w:val="20"/>
                <w:highlight w:val="none"/>
                <w:lang w:val="en-US" w:eastAsia="zh-CN"/>
              </w:rPr>
              <w:t>项目</w:t>
            </w:r>
            <w:r>
              <w:rPr>
                <w:rFonts w:hint="default" w:ascii="Times New Roman" w:hAnsi="Times New Roman" w:eastAsia="宋体" w:cs="Times New Roman"/>
                <w:b/>
                <w:color w:val="auto"/>
                <w:sz w:val="24"/>
                <w:szCs w:val="20"/>
                <w:highlight w:val="none"/>
              </w:rPr>
              <w:t>与《新疆维吾尔自治区七大片区“三线一单”生态环境分区管控要求》（新环环评发〔202</w:t>
            </w:r>
            <w:r>
              <w:rPr>
                <w:rFonts w:hint="default" w:ascii="Times New Roman" w:hAnsi="Times New Roman" w:eastAsia="宋体" w:cs="Times New Roman"/>
                <w:b/>
                <w:color w:val="auto"/>
                <w:sz w:val="24"/>
                <w:szCs w:val="20"/>
                <w:highlight w:val="none"/>
                <w:lang w:val="en-US" w:eastAsia="zh-CN"/>
              </w:rPr>
              <w:t>1</w:t>
            </w:r>
            <w:r>
              <w:rPr>
                <w:rFonts w:hint="default" w:ascii="Times New Roman" w:hAnsi="Times New Roman" w:eastAsia="宋体" w:cs="Times New Roman"/>
                <w:b/>
                <w:color w:val="auto"/>
                <w:sz w:val="24"/>
                <w:szCs w:val="20"/>
                <w:highlight w:val="none"/>
              </w:rPr>
              <w:t>〕1</w:t>
            </w:r>
            <w:r>
              <w:rPr>
                <w:rFonts w:hint="default" w:ascii="Times New Roman" w:hAnsi="Times New Roman" w:eastAsia="宋体" w:cs="Times New Roman"/>
                <w:b/>
                <w:color w:val="auto"/>
                <w:sz w:val="24"/>
                <w:szCs w:val="20"/>
                <w:highlight w:val="none"/>
                <w:lang w:val="en-US" w:eastAsia="zh-CN"/>
              </w:rPr>
              <w:t>62</w:t>
            </w:r>
            <w:r>
              <w:rPr>
                <w:rFonts w:hint="default" w:ascii="Times New Roman" w:hAnsi="Times New Roman" w:eastAsia="宋体" w:cs="Times New Roman"/>
                <w:b/>
                <w:color w:val="auto"/>
                <w:sz w:val="24"/>
                <w:szCs w:val="20"/>
                <w:highlight w:val="none"/>
              </w:rPr>
              <w:t>号）符合性分析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1-</w:t>
            </w:r>
            <w:r>
              <w:rPr>
                <w:rFonts w:hint="eastAsia" w:ascii="Times New Roman"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 xml:space="preserve">  与《新疆维吾尔自治区七大片区“三线一单”生态环境分区管控要求》符合性分析</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92"/>
              <w:gridCol w:w="415"/>
              <w:gridCol w:w="4327"/>
              <w:gridCol w:w="1710"/>
              <w:gridCol w:w="4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4"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《关于印发〈新疆维吾尔自治区七大片区“三线一单”生态环境分区管控要求〉的通知》（新政发〔2021〕162 号）</w:t>
                  </w:r>
                </w:p>
              </w:tc>
              <w:tc>
                <w:tcPr>
                  <w:tcW w:w="3156" w:type="pct"/>
                  <w:gridSpan w:val="2"/>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管控要求</w:t>
                  </w:r>
                </w:p>
              </w:tc>
              <w:tc>
                <w:tcPr>
                  <w:tcW w:w="1138" w:type="pct"/>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本项目</w:t>
                  </w:r>
                </w:p>
              </w:tc>
              <w:tc>
                <w:tcPr>
                  <w:tcW w:w="310" w:type="pct"/>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0" w:hRule="atLeast"/>
                <w:jc w:val="center"/>
              </w:trPr>
              <w:tc>
                <w:tcPr>
                  <w:tcW w:w="394"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276" w:type="pct"/>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总体要求</w:t>
                  </w:r>
                </w:p>
              </w:tc>
              <w:tc>
                <w:tcPr>
                  <w:tcW w:w="2880" w:type="pct"/>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污染物排放管控。深化行业污染源头治理，深入开展火电行业减排，全力推进钢铁行业超低排放改造，有序推进石化行业“泄漏检测与修复”技术改造。强化煤化工、石化、有机化工、表面涂装、包装印刷等重点行业挥发性有机物控制。深入开展燃煤锅炉污染综合整治，深化工业炉窑综合治理。加强“ 散乱污”企业综合整治。优化区域交通运输结构，加快货物运输绿色转型，做好车油联合管控。以改善流域水环境质量为核心，强化源头控制，“一河（湖）一策”精准施治，减少水污染物排放，持续改善水环境质量。强化园区（工业集聚区）水污染防治，不断提高工业用水重复利用率。加快实施城镇污水处理设施提质增效，补齐生活污水收集和处理设施短板，提高再生水回用比例。持续推进农业农村污染防治。提升土壤环境监管能力，加强污染地块安全利用监管。强化工矿用地管理，严格建设用地土壤环境风险管控。加强农用地土壤污染源头控制，科学施用化肥农药，提高农膜回收率。</w:t>
                  </w:r>
                </w:p>
              </w:tc>
              <w:tc>
                <w:tcPr>
                  <w:tcW w:w="1138" w:type="pct"/>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rPr>
                    <w:t>本项目不涉及火电、钢铁、表面涂装、燃煤锅炉；项目</w:t>
                  </w:r>
                  <w:r>
                    <w:rPr>
                      <w:rFonts w:hint="default" w:ascii="Times New Roman" w:hAnsi="Times New Roman" w:eastAsia="宋体" w:cs="Times New Roman"/>
                      <w:snapToGrid w:val="0"/>
                      <w:color w:val="auto"/>
                      <w:spacing w:val="-10"/>
                      <w:kern w:val="0"/>
                      <w:sz w:val="21"/>
                      <w:szCs w:val="21"/>
                      <w:highlight w:val="none"/>
                      <w:lang w:bidi="ar"/>
                    </w:rPr>
                    <w:t>酸化压裂返排液</w:t>
                  </w:r>
                  <w:r>
                    <w:rPr>
                      <w:rFonts w:hint="eastAsia" w:ascii="Times New Roman" w:cs="Times New Roman"/>
                      <w:snapToGrid w:val="0"/>
                      <w:color w:val="auto"/>
                      <w:spacing w:val="-10"/>
                      <w:kern w:val="0"/>
                      <w:sz w:val="21"/>
                      <w:szCs w:val="21"/>
                      <w:highlight w:val="none"/>
                      <w:lang w:val="en-US" w:eastAsia="zh-CN" w:bidi="ar"/>
                    </w:rPr>
                    <w:t>在井场加碱中和后，暂存于废液收集罐，</w:t>
                  </w:r>
                  <w:r>
                    <w:rPr>
                      <w:rFonts w:hint="default" w:ascii="Times New Roman" w:hAnsi="Times New Roman" w:eastAsia="宋体" w:cs="Times New Roman"/>
                      <w:snapToGrid w:val="0"/>
                      <w:color w:val="auto"/>
                      <w:spacing w:val="-10"/>
                      <w:kern w:val="0"/>
                      <w:sz w:val="21"/>
                      <w:szCs w:val="21"/>
                      <w:highlight w:val="none"/>
                      <w:lang w:bidi="ar"/>
                    </w:rPr>
                    <w:t>运至</w:t>
                  </w:r>
                  <w:r>
                    <w:rPr>
                      <w:rFonts w:hint="default" w:ascii="Times New Roman" w:hAnsi="Times New Roman" w:eastAsia="宋体" w:cs="Times New Roman"/>
                      <w:snapToGrid w:val="0"/>
                      <w:color w:val="auto"/>
                      <w:spacing w:val="-10"/>
                      <w:kern w:val="0"/>
                      <w:sz w:val="21"/>
                      <w:szCs w:val="21"/>
                      <w:highlight w:val="none"/>
                      <w:lang w:val="en-US" w:eastAsia="zh-CN" w:bidi="ar"/>
                    </w:rPr>
                    <w:t>富源7</w:t>
                  </w:r>
                  <w:r>
                    <w:rPr>
                      <w:rFonts w:hint="default" w:ascii="Times New Roman" w:hAnsi="Times New Roman" w:eastAsia="宋体" w:cs="Times New Roman"/>
                      <w:snapToGrid w:val="0"/>
                      <w:color w:val="auto"/>
                      <w:spacing w:val="-10"/>
                      <w:kern w:val="0"/>
                      <w:sz w:val="21"/>
                      <w:szCs w:val="21"/>
                      <w:highlight w:val="none"/>
                      <w:lang w:eastAsia="zh-CN" w:bidi="ar"/>
                    </w:rPr>
                    <w:t>环保处理站</w:t>
                  </w:r>
                  <w:r>
                    <w:rPr>
                      <w:rFonts w:hint="default" w:ascii="Times New Roman" w:hAnsi="Times New Roman" w:eastAsia="宋体" w:cs="Times New Roman"/>
                      <w:snapToGrid w:val="0"/>
                      <w:color w:val="auto"/>
                      <w:spacing w:val="-10"/>
                      <w:kern w:val="0"/>
                      <w:sz w:val="21"/>
                      <w:szCs w:val="21"/>
                      <w:highlight w:val="none"/>
                      <w:lang w:bidi="ar"/>
                    </w:rPr>
                    <w:t>处置；</w:t>
                  </w:r>
                  <w:r>
                    <w:rPr>
                      <w:rFonts w:hint="default" w:ascii="Times New Roman" w:hAnsi="Times New Roman" w:eastAsia="宋体" w:cs="Times New Roman"/>
                      <w:snapToGrid w:val="0"/>
                      <w:color w:val="auto"/>
                      <w:spacing w:val="0"/>
                      <w:kern w:val="0"/>
                      <w:sz w:val="21"/>
                      <w:szCs w:val="21"/>
                      <w:highlight w:val="none"/>
                      <w:lang w:bidi="ar"/>
                    </w:rPr>
                    <w:t>生活污水经井场撬装式污水处理装置处理后，水质达到《农村生活污水处理排放标准》（DB654275-2019）表2的</w:t>
                  </w:r>
                  <w:r>
                    <w:rPr>
                      <w:rFonts w:hint="default" w:ascii="Times New Roman" w:hAnsi="Times New Roman" w:eastAsia="宋体" w:cs="Times New Roman"/>
                      <w:snapToGrid w:val="0"/>
                      <w:color w:val="auto"/>
                      <w:spacing w:val="0"/>
                      <w:kern w:val="0"/>
                      <w:sz w:val="21"/>
                      <w:szCs w:val="21"/>
                      <w:highlight w:val="none"/>
                      <w:lang w:val="en-US" w:eastAsia="zh-CN" w:bidi="ar"/>
                    </w:rPr>
                    <w:t>B</w:t>
                  </w:r>
                  <w:r>
                    <w:rPr>
                      <w:rFonts w:hint="default" w:ascii="Times New Roman" w:hAnsi="Times New Roman" w:eastAsia="宋体" w:cs="Times New Roman"/>
                      <w:snapToGrid w:val="0"/>
                      <w:color w:val="auto"/>
                      <w:spacing w:val="0"/>
                      <w:kern w:val="0"/>
                      <w:sz w:val="21"/>
                      <w:szCs w:val="21"/>
                      <w:highlight w:val="none"/>
                      <w:lang w:bidi="ar"/>
                    </w:rPr>
                    <w:t>级标准，用于荒漠生态恢复；项目不涉及农业</w:t>
                  </w:r>
                  <w:r>
                    <w:rPr>
                      <w:rFonts w:hint="default" w:ascii="Times New Roman" w:hAnsi="Times New Roman" w:eastAsia="宋体" w:cs="Times New Roman"/>
                      <w:snapToGrid w:val="0"/>
                      <w:color w:val="auto"/>
                      <w:spacing w:val="0"/>
                      <w:kern w:val="0"/>
                      <w:sz w:val="21"/>
                      <w:szCs w:val="21"/>
                      <w:highlight w:val="none"/>
                      <w:lang w:eastAsia="zh-CN" w:bidi="ar"/>
                    </w:rPr>
                    <w:t>。</w:t>
                  </w:r>
                </w:p>
              </w:tc>
              <w:tc>
                <w:tcPr>
                  <w:tcW w:w="310" w:type="pct"/>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lang w:val="en-US" w:eastAsia="zh-CN"/>
                    </w:rPr>
                  </w:pPr>
                  <w:r>
                    <w:rPr>
                      <w:rFonts w:hint="default" w:ascii="Times New Roman" w:hAnsi="Times New Roman" w:eastAsia="宋体" w:cs="Times New Roman"/>
                      <w:color w:val="auto"/>
                      <w:spacing w:val="-10"/>
                      <w:kern w:val="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0" w:hRule="atLeast"/>
                <w:jc w:val="center"/>
              </w:trPr>
              <w:tc>
                <w:tcPr>
                  <w:tcW w:w="394"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276" w:type="pct"/>
                  <w:vMerge w:val="restar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天山南坡片区总体管控要求</w:t>
                  </w:r>
                </w:p>
              </w:tc>
              <w:tc>
                <w:tcPr>
                  <w:tcW w:w="288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切实保护托木尔峰和天山南坡中段冰雪水源及生物多样性保护生态功能区内的托木尔峰自然景观、高山冰川、野生动物、森林和草原，合理利用 天然草地，稳步推进草原减牧，加强保护区管理，维护自然景观和生物多样性。</w:t>
                  </w:r>
                </w:p>
              </w:tc>
              <w:tc>
                <w:tcPr>
                  <w:tcW w:w="1138"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本项目不在托木尔峰和天山南坡中段冰雪水源及生物多样性保护生态功能区</w:t>
                  </w:r>
                  <w:r>
                    <w:rPr>
                      <w:rFonts w:hint="default" w:ascii="Times New Roman" w:hAnsi="Times New Roman" w:eastAsia="宋体" w:cs="Times New Roman"/>
                      <w:snapToGrid w:val="0"/>
                      <w:color w:val="auto"/>
                      <w:spacing w:val="-10"/>
                      <w:kern w:val="0"/>
                      <w:sz w:val="21"/>
                      <w:szCs w:val="21"/>
                      <w:highlight w:val="none"/>
                      <w:lang w:eastAsia="zh-CN"/>
                    </w:rPr>
                    <w:t>。</w:t>
                  </w:r>
                </w:p>
              </w:tc>
              <w:tc>
                <w:tcPr>
                  <w:tcW w:w="31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0" w:hRule="atLeast"/>
                <w:jc w:val="center"/>
              </w:trPr>
              <w:tc>
                <w:tcPr>
                  <w:tcW w:w="394"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276"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rPr>
                  </w:pPr>
                </w:p>
              </w:tc>
              <w:tc>
                <w:tcPr>
                  <w:tcW w:w="288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重点做好塔里木盆地北缘荒漠化防治。加强荒漠植被及河岸荒漠林保护，规范油气勘探开发作业，建立油田和公路扰动区域工程与生物相结合的防风固沙体系，逐步形成生态屏障。</w:t>
                  </w:r>
                </w:p>
              </w:tc>
              <w:tc>
                <w:tcPr>
                  <w:tcW w:w="1138"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本项目不涉及</w:t>
                  </w:r>
                  <w:r>
                    <w:rPr>
                      <w:rFonts w:hint="default" w:ascii="Times New Roman" w:hAnsi="Times New Roman" w:eastAsia="宋体" w:cs="Times New Roman"/>
                      <w:snapToGrid w:val="0"/>
                      <w:color w:val="auto"/>
                      <w:spacing w:val="-10"/>
                      <w:kern w:val="0"/>
                      <w:sz w:val="21"/>
                      <w:szCs w:val="21"/>
                      <w:highlight w:val="none"/>
                      <w:lang w:eastAsia="zh-CN"/>
                    </w:rPr>
                    <w:t>。</w:t>
                  </w:r>
                </w:p>
              </w:tc>
              <w:tc>
                <w:tcPr>
                  <w:tcW w:w="31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0" w:hRule="atLeast"/>
                <w:jc w:val="center"/>
              </w:trPr>
              <w:tc>
                <w:tcPr>
                  <w:tcW w:w="394"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276"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rPr>
                  </w:pPr>
                </w:p>
              </w:tc>
              <w:tc>
                <w:tcPr>
                  <w:tcW w:w="288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推进塔里木河流域用水结构调整，维护塔里木河、博斯腾湖基本生态用水。</w:t>
                  </w:r>
                </w:p>
              </w:tc>
              <w:tc>
                <w:tcPr>
                  <w:tcW w:w="1138"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本项目不涉及塔里木河、博斯腾湖生态用水</w:t>
                  </w:r>
                  <w:r>
                    <w:rPr>
                      <w:rFonts w:hint="default" w:ascii="Times New Roman" w:hAnsi="Times New Roman" w:eastAsia="宋体" w:cs="Times New Roman"/>
                      <w:snapToGrid w:val="0"/>
                      <w:color w:val="auto"/>
                      <w:spacing w:val="-10"/>
                      <w:kern w:val="0"/>
                      <w:sz w:val="21"/>
                      <w:szCs w:val="21"/>
                      <w:highlight w:val="none"/>
                      <w:lang w:eastAsia="zh-CN"/>
                    </w:rPr>
                    <w:t>。</w:t>
                  </w:r>
                </w:p>
              </w:tc>
              <w:tc>
                <w:tcPr>
                  <w:tcW w:w="31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0" w:hRule="atLeast"/>
                <w:jc w:val="center"/>
              </w:trPr>
              <w:tc>
                <w:tcPr>
                  <w:tcW w:w="394"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276"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rPr>
                  </w:pPr>
                </w:p>
              </w:tc>
              <w:tc>
                <w:tcPr>
                  <w:tcW w:w="288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加强塔里木河流域水环境风险管控。加大博斯腾湖污染源头达标排放治理和监督力度，实施博斯腾湖综合治理。</w:t>
                  </w:r>
                </w:p>
              </w:tc>
              <w:tc>
                <w:tcPr>
                  <w:tcW w:w="1138"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本项目不涉及</w:t>
                  </w:r>
                  <w:r>
                    <w:rPr>
                      <w:rFonts w:hint="default" w:ascii="Times New Roman" w:hAnsi="Times New Roman" w:eastAsia="宋体" w:cs="Times New Roman"/>
                      <w:snapToGrid w:val="0"/>
                      <w:color w:val="auto"/>
                      <w:spacing w:val="-10"/>
                      <w:kern w:val="0"/>
                      <w:sz w:val="21"/>
                      <w:szCs w:val="21"/>
                      <w:highlight w:val="none"/>
                      <w:lang w:eastAsia="zh-CN"/>
                    </w:rPr>
                    <w:t>。</w:t>
                  </w:r>
                </w:p>
              </w:tc>
              <w:tc>
                <w:tcPr>
                  <w:tcW w:w="31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0" w:hRule="atLeast"/>
                <w:jc w:val="center"/>
              </w:trPr>
              <w:tc>
                <w:tcPr>
                  <w:tcW w:w="394"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p>
              </w:tc>
              <w:tc>
                <w:tcPr>
                  <w:tcW w:w="276"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rPr>
                  </w:pPr>
                </w:p>
              </w:tc>
              <w:tc>
                <w:tcPr>
                  <w:tcW w:w="288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加强油</w:t>
                  </w:r>
                  <w:r>
                    <w:rPr>
                      <w:rFonts w:hint="default" w:ascii="Times New Roman" w:hAnsi="Times New Roman" w:eastAsia="宋体" w:cs="Times New Roman"/>
                      <w:snapToGrid w:val="0"/>
                      <w:color w:val="auto"/>
                      <w:spacing w:val="-10"/>
                      <w:kern w:val="0"/>
                      <w:sz w:val="21"/>
                      <w:szCs w:val="21"/>
                      <w:highlight w:val="none"/>
                      <w:lang w:eastAsia="zh-CN"/>
                    </w:rPr>
                    <w:t>（</w:t>
                  </w:r>
                  <w:r>
                    <w:rPr>
                      <w:rFonts w:hint="default" w:ascii="Times New Roman" w:hAnsi="Times New Roman" w:eastAsia="宋体" w:cs="Times New Roman"/>
                      <w:snapToGrid w:val="0"/>
                      <w:color w:val="auto"/>
                      <w:spacing w:val="-10"/>
                      <w:kern w:val="0"/>
                      <w:sz w:val="21"/>
                      <w:szCs w:val="21"/>
                      <w:highlight w:val="none"/>
                    </w:rPr>
                    <w:t>气</w:t>
                  </w:r>
                  <w:r>
                    <w:rPr>
                      <w:rFonts w:hint="default" w:ascii="Times New Roman" w:hAnsi="Times New Roman" w:eastAsia="宋体" w:cs="Times New Roman"/>
                      <w:snapToGrid w:val="0"/>
                      <w:color w:val="auto"/>
                      <w:spacing w:val="-10"/>
                      <w:kern w:val="0"/>
                      <w:sz w:val="21"/>
                      <w:szCs w:val="21"/>
                      <w:highlight w:val="none"/>
                      <w:lang w:eastAsia="zh-CN"/>
                    </w:rPr>
                    <w:t>）</w:t>
                  </w:r>
                  <w:r>
                    <w:rPr>
                      <w:rFonts w:hint="default" w:ascii="Times New Roman" w:hAnsi="Times New Roman" w:eastAsia="宋体" w:cs="Times New Roman"/>
                      <w:snapToGrid w:val="0"/>
                      <w:color w:val="auto"/>
                      <w:spacing w:val="-10"/>
                      <w:kern w:val="0"/>
                      <w:sz w:val="21"/>
                      <w:szCs w:val="21"/>
                      <w:highlight w:val="none"/>
                    </w:rPr>
                    <w:t>资源开发区土壤环境污染综合整治。强化涉重金属行业污染防控与工业废物处理处置。</w:t>
                  </w:r>
                </w:p>
              </w:tc>
              <w:tc>
                <w:tcPr>
                  <w:tcW w:w="1138"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本项目不涉及重金属排放</w:t>
                  </w:r>
                  <w:r>
                    <w:rPr>
                      <w:rFonts w:hint="default" w:ascii="Times New Roman" w:hAnsi="Times New Roman" w:eastAsia="宋体" w:cs="Times New Roman"/>
                      <w:snapToGrid w:val="0"/>
                      <w:color w:val="auto"/>
                      <w:spacing w:val="-10"/>
                      <w:kern w:val="0"/>
                      <w:sz w:val="21"/>
                      <w:szCs w:val="21"/>
                      <w:highlight w:val="none"/>
                      <w:lang w:eastAsia="zh-CN"/>
                    </w:rPr>
                    <w:t>。</w:t>
                  </w:r>
                </w:p>
              </w:tc>
              <w:tc>
                <w:tcPr>
                  <w:tcW w:w="310" w:type="pct"/>
                  <w:shd w:val="clear" w:color="auto" w:fill="auto"/>
                  <w:noWrap w:val="0"/>
                  <w:tcMar>
                    <w:left w:w="28" w:type="dxa"/>
                    <w:right w:w="28" w:type="dxa"/>
                  </w:tcMar>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rPr>
                    <w:t>-</w:t>
                  </w:r>
                </w:p>
              </w:tc>
            </w:tr>
          </w:tbl>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综上所述，本项目符合《新疆维吾尔自治区生态环境分区管控动态更新成果》</w:t>
            </w:r>
            <w:r>
              <w:rPr>
                <w:rFonts w:hint="default" w:ascii="Times New Roman" w:hAnsi="Times New Roman" w:eastAsia="宋体" w:cs="Times New Roman"/>
                <w:color w:val="auto"/>
                <w:kern w:val="0"/>
                <w:sz w:val="24"/>
                <w:szCs w:val="24"/>
                <w:highlight w:val="none"/>
              </w:rPr>
              <w:t>、新疆维吾尔自治区总体管控要求、巴音郭楞蒙古自治州总体管控要求、</w:t>
            </w:r>
            <w:r>
              <w:rPr>
                <w:rFonts w:hint="eastAsia" w:ascii="Times New Roman" w:cs="Times New Roman"/>
                <w:color w:val="auto"/>
                <w:kern w:val="0"/>
                <w:sz w:val="24"/>
                <w:szCs w:val="24"/>
                <w:highlight w:val="none"/>
                <w:lang w:val="en-US" w:eastAsia="zh-CN"/>
              </w:rPr>
              <w:t>且末县</w:t>
            </w:r>
            <w:r>
              <w:rPr>
                <w:rFonts w:hint="default" w:ascii="Times New Roman" w:hAnsi="Times New Roman" w:eastAsia="宋体" w:cs="Times New Roman"/>
                <w:color w:val="auto"/>
                <w:kern w:val="0"/>
                <w:sz w:val="24"/>
                <w:szCs w:val="24"/>
                <w:highlight w:val="none"/>
              </w:rPr>
              <w:t>环境管控单元准入清单、新疆维吾尔自治区七大片区“三线一单”生态环境分区管控要求中相关要求</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5、</w:t>
            </w:r>
            <w:r>
              <w:rPr>
                <w:rFonts w:hint="eastAsia" w:ascii="Times New Roman" w:cs="Times New Roman"/>
                <w:b/>
                <w:bCs/>
                <w:color w:val="auto"/>
                <w:sz w:val="24"/>
                <w:szCs w:val="24"/>
                <w:highlight w:val="none"/>
                <w:lang w:val="en-US" w:eastAsia="zh-CN"/>
              </w:rPr>
              <w:t>项目</w:t>
            </w:r>
            <w:r>
              <w:rPr>
                <w:rFonts w:hint="default" w:ascii="Times New Roman" w:hAnsi="Times New Roman" w:eastAsia="宋体" w:cs="Times New Roman"/>
                <w:b/>
                <w:bCs/>
                <w:color w:val="auto"/>
                <w:sz w:val="24"/>
                <w:szCs w:val="24"/>
                <w:highlight w:val="none"/>
                <w:lang w:val="en-US" w:eastAsia="zh-CN"/>
              </w:rPr>
              <w:t>与《新疆生态环境保护“十四五”规划》符合性分析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本项目与《新疆生态环境保护“十四五”规划》的符合性分析见表1-7。</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1-7</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lang w:val="en-US" w:eastAsia="zh-CN"/>
              </w:rPr>
              <w:t>本项目与《新疆生态环境保护“十四五”规划》的符合性</w:t>
            </w:r>
          </w:p>
          <w:tbl>
            <w:tblPr>
              <w:tblStyle w:val="32"/>
              <w:tblW w:w="75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23"/>
              <w:gridCol w:w="3525"/>
              <w:gridCol w:w="2893"/>
              <w:gridCol w:w="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blHeader/>
                <w:jc w:val="center"/>
              </w:trPr>
              <w:tc>
                <w:tcPr>
                  <w:tcW w:w="346"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b/>
                      <w:bCs/>
                      <w:color w:val="auto"/>
                      <w:spacing w:val="0"/>
                      <w:sz w:val="21"/>
                      <w:szCs w:val="21"/>
                      <w:highlight w:val="none"/>
                      <w:lang w:val="en-US" w:eastAsia="zh-CN"/>
                    </w:rPr>
                  </w:pPr>
                  <w:r>
                    <w:rPr>
                      <w:rFonts w:hint="default" w:ascii="Times New Roman" w:hAnsi="Times New Roman" w:eastAsia="宋体" w:cs="Times New Roman"/>
                      <w:b/>
                      <w:bCs/>
                      <w:color w:val="auto"/>
                      <w:spacing w:val="0"/>
                      <w:sz w:val="21"/>
                      <w:szCs w:val="21"/>
                      <w:highlight w:val="none"/>
                      <w:lang w:val="en-US" w:eastAsia="zh-CN"/>
                    </w:rPr>
                    <w:t>序号</w:t>
                  </w:r>
                </w:p>
              </w:tc>
              <w:tc>
                <w:tcPr>
                  <w:tcW w:w="233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b/>
                      <w:bCs/>
                      <w:color w:val="auto"/>
                      <w:spacing w:val="0"/>
                      <w:sz w:val="21"/>
                      <w:szCs w:val="21"/>
                      <w:highlight w:val="none"/>
                      <w:lang w:val="en-US" w:eastAsia="zh-CN"/>
                    </w:rPr>
                  </w:pPr>
                  <w:r>
                    <w:rPr>
                      <w:rFonts w:hint="default" w:ascii="Times New Roman" w:hAnsi="Times New Roman" w:eastAsia="宋体" w:cs="Times New Roman"/>
                      <w:b/>
                      <w:bCs/>
                      <w:color w:val="auto"/>
                      <w:spacing w:val="0"/>
                      <w:sz w:val="21"/>
                      <w:szCs w:val="21"/>
                      <w:highlight w:val="none"/>
                      <w:lang w:val="en-US" w:eastAsia="zh-CN"/>
                    </w:rPr>
                    <w:t>文件要求</w:t>
                  </w:r>
                </w:p>
              </w:tc>
              <w:tc>
                <w:tcPr>
                  <w:tcW w:w="191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b/>
                      <w:bCs/>
                      <w:color w:val="auto"/>
                      <w:spacing w:val="0"/>
                      <w:sz w:val="21"/>
                      <w:szCs w:val="21"/>
                      <w:highlight w:val="none"/>
                      <w:lang w:val="en-US" w:eastAsia="zh-CN"/>
                    </w:rPr>
                  </w:pPr>
                  <w:r>
                    <w:rPr>
                      <w:rFonts w:hint="default" w:ascii="Times New Roman" w:hAnsi="Times New Roman" w:eastAsia="宋体" w:cs="Times New Roman"/>
                      <w:b/>
                      <w:bCs/>
                      <w:color w:val="auto"/>
                      <w:spacing w:val="0"/>
                      <w:sz w:val="21"/>
                      <w:szCs w:val="21"/>
                      <w:highlight w:val="none"/>
                      <w:lang w:val="en-US" w:eastAsia="zh-CN"/>
                    </w:rPr>
                    <w:t>项目实际</w:t>
                  </w:r>
                </w:p>
              </w:tc>
              <w:tc>
                <w:tcPr>
                  <w:tcW w:w="40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b/>
                      <w:bCs/>
                      <w:color w:val="auto"/>
                      <w:spacing w:val="0"/>
                      <w:sz w:val="21"/>
                      <w:szCs w:val="21"/>
                      <w:highlight w:val="none"/>
                      <w:lang w:val="en-US" w:eastAsia="zh-CN"/>
                    </w:rPr>
                  </w:pPr>
                  <w:r>
                    <w:rPr>
                      <w:rFonts w:hint="default" w:ascii="Times New Roman" w:hAnsi="Times New Roman" w:eastAsia="宋体" w:cs="Times New Roman"/>
                      <w:b/>
                      <w:bCs/>
                      <w:color w:val="auto"/>
                      <w:spacing w:val="0"/>
                      <w:sz w:val="21"/>
                      <w:szCs w:val="21"/>
                      <w:highlight w:val="none"/>
                      <w:lang w:val="en-US" w:eastAsia="zh-CN"/>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3" w:hRule="atLeast"/>
                <w:jc w:val="center"/>
              </w:trPr>
              <w:tc>
                <w:tcPr>
                  <w:tcW w:w="346"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1</w:t>
                  </w:r>
                </w:p>
              </w:tc>
              <w:tc>
                <w:tcPr>
                  <w:tcW w:w="233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加强重点行业VOCs治理。实施VOCs排放总量控制，重点推进石油天然气开采、石化、化工、包装印刷、工业涂装、油品储运销等重点行业排放源以及机动车等移动源VOCs污染防治，加强重点行业、重点企业的精细化管控；全面推进使用低VOCs含量涂料、油墨、胶粘剂、清洗剂等；加强汽修行业VOCs综合治理，加大餐饮油烟污染治理力度，持续削减VOCs排放量</w:t>
                  </w:r>
                </w:p>
              </w:tc>
              <w:tc>
                <w:tcPr>
                  <w:tcW w:w="191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本工程为油气勘探项目，不属于重点行业。</w:t>
                  </w:r>
                </w:p>
              </w:tc>
              <w:tc>
                <w:tcPr>
                  <w:tcW w:w="40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0" w:hRule="atLeast"/>
                <w:jc w:val="center"/>
              </w:trPr>
              <w:tc>
                <w:tcPr>
                  <w:tcW w:w="346"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2</w:t>
                  </w:r>
                </w:p>
              </w:tc>
              <w:tc>
                <w:tcPr>
                  <w:tcW w:w="233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持续推进农用地分类管理和安全利用。严格保护优先保护类农用地，确保其面积不减少、土壤环境质量不下降。加强耕地污染源源头控制，推进耕地周边涉镉等重金属行业企业排查整治。鼓励采取种植结构调整等措施，确保受污染耕地全部实现安全利用。动态调整耕地土壤环境质量类别。</w:t>
                  </w:r>
                </w:p>
              </w:tc>
              <w:tc>
                <w:tcPr>
                  <w:tcW w:w="191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本工程占地类型为</w:t>
                  </w:r>
                  <w:r>
                    <w:rPr>
                      <w:rFonts w:hint="eastAsia" w:ascii="Times New Roman" w:cs="Times New Roman"/>
                      <w:color w:val="auto"/>
                      <w:spacing w:val="0"/>
                      <w:sz w:val="21"/>
                      <w:szCs w:val="21"/>
                      <w:highlight w:val="none"/>
                      <w:lang w:val="en-US" w:eastAsia="zh-CN"/>
                    </w:rPr>
                    <w:t>沙地</w:t>
                  </w:r>
                  <w:r>
                    <w:rPr>
                      <w:rFonts w:hint="default" w:ascii="Times New Roman" w:hAnsi="Times New Roman" w:eastAsia="宋体" w:cs="Times New Roman"/>
                      <w:color w:val="auto"/>
                      <w:spacing w:val="0"/>
                      <w:sz w:val="21"/>
                      <w:szCs w:val="21"/>
                      <w:highlight w:val="none"/>
                      <w:lang w:val="en-US" w:eastAsia="zh-CN"/>
                    </w:rPr>
                    <w:t>，不占用农用地。</w:t>
                  </w:r>
                </w:p>
              </w:tc>
              <w:tc>
                <w:tcPr>
                  <w:tcW w:w="40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3" w:hRule="atLeast"/>
                <w:jc w:val="center"/>
              </w:trPr>
              <w:tc>
                <w:tcPr>
                  <w:tcW w:w="346"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3</w:t>
                  </w:r>
                </w:p>
              </w:tc>
              <w:tc>
                <w:tcPr>
                  <w:tcW w:w="233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强化危险废物全过程环境监管。建立健全各类危险废物重点监管单位清单，全面实行危险废物清单化管理。督促各类危险废物产生单位和经营单位依法申报危险废物产生处置情况，报备管理计划，做好信息公开工作，规范运行危险废物转移联单。</w:t>
                  </w:r>
                </w:p>
              </w:tc>
              <w:tc>
                <w:tcPr>
                  <w:tcW w:w="191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本项目</w:t>
                  </w:r>
                  <w:r>
                    <w:rPr>
                      <w:rFonts w:hint="default" w:ascii="Times New Roman" w:hAnsi="Times New Roman" w:eastAsia="宋体" w:cs="Times New Roman"/>
                      <w:color w:val="auto"/>
                      <w:spacing w:val="0"/>
                      <w:sz w:val="21"/>
                      <w:szCs w:val="21"/>
                      <w:highlight w:val="none"/>
                    </w:rPr>
                    <w:t>沾油废物、废烧碱包装袋、废矿物油及其包装物暂存</w:t>
                  </w:r>
                  <w:r>
                    <w:rPr>
                      <w:rFonts w:hint="default" w:ascii="Times New Roman" w:hAnsi="Times New Roman" w:eastAsia="宋体" w:cs="Times New Roman"/>
                      <w:color w:val="auto"/>
                      <w:spacing w:val="0"/>
                      <w:sz w:val="21"/>
                      <w:szCs w:val="21"/>
                      <w:highlight w:val="none"/>
                      <w:lang w:val="en-US" w:eastAsia="zh-CN"/>
                    </w:rPr>
                    <w:t>于</w:t>
                  </w:r>
                  <w:r>
                    <w:rPr>
                      <w:rFonts w:hint="default" w:ascii="Times New Roman" w:hAnsi="Times New Roman" w:eastAsia="宋体" w:cs="Times New Roman"/>
                      <w:color w:val="auto"/>
                      <w:spacing w:val="0"/>
                      <w:sz w:val="21"/>
                      <w:szCs w:val="21"/>
                      <w:highlight w:val="none"/>
                    </w:rPr>
                    <w:t>危废间，委托有资质单位进行处理</w:t>
                  </w:r>
                  <w:r>
                    <w:rPr>
                      <w:rFonts w:hint="default" w:ascii="Times New Roman" w:hAnsi="Times New Roman" w:eastAsia="宋体" w:cs="Times New Roman"/>
                      <w:color w:val="auto"/>
                      <w:spacing w:val="-10"/>
                      <w:sz w:val="21"/>
                      <w:szCs w:val="21"/>
                      <w:highlight w:val="none"/>
                      <w:lang w:val="en-US" w:eastAsia="zh-CN"/>
                    </w:rPr>
                    <w:t>。</w:t>
                  </w:r>
                  <w:r>
                    <w:rPr>
                      <w:rFonts w:hint="default" w:ascii="Times New Roman" w:hAnsi="Times New Roman" w:eastAsia="宋体" w:cs="Times New Roman"/>
                      <w:color w:val="auto"/>
                      <w:spacing w:val="0"/>
                      <w:sz w:val="21"/>
                      <w:szCs w:val="21"/>
                      <w:highlight w:val="none"/>
                      <w:lang w:val="en-US" w:eastAsia="zh-CN"/>
                    </w:rPr>
                    <w:t>上述危险废物在井场暂存及转运过程中，严格执行《危险废物贮存污染控制标准》（GB18597-2023）相关要求，并严格按照《危险废物转移管理办法》（2021年11月30日生态环境部、公安部、交通运输部令第23号公布 自2022年1月1日起施行）、《危险废物管理计划和管理台账制定技术导则》（HJ 1259-2022）等相关要求制定危险废物管理台账，不会对周围环境造成污染影响。</w:t>
                  </w:r>
                </w:p>
              </w:tc>
              <w:tc>
                <w:tcPr>
                  <w:tcW w:w="40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符合</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pacing w:val="-2"/>
                <w:sz w:val="24"/>
                <w:szCs w:val="24"/>
                <w:highlight w:val="none"/>
              </w:rPr>
            </w:pPr>
            <w:r>
              <w:rPr>
                <w:rFonts w:hint="default" w:ascii="Times New Roman" w:hAnsi="Times New Roman" w:eastAsia="宋体" w:cs="Times New Roman"/>
                <w:b/>
                <w:bCs/>
                <w:color w:val="auto"/>
                <w:sz w:val="24"/>
                <w:szCs w:val="24"/>
                <w:highlight w:val="none"/>
                <w:lang w:val="en-US" w:eastAsia="zh-CN"/>
              </w:rPr>
              <w:t>6、与</w:t>
            </w:r>
            <w:r>
              <w:rPr>
                <w:rFonts w:hint="default" w:ascii="Times New Roman" w:hAnsi="Times New Roman" w:eastAsia="宋体" w:cs="Times New Roman"/>
                <w:b/>
                <w:bCs/>
                <w:color w:val="auto"/>
                <w:spacing w:val="-2"/>
                <w:sz w:val="24"/>
                <w:szCs w:val="24"/>
                <w:highlight w:val="none"/>
              </w:rPr>
              <w:t>《巴音郭楞蒙古自治州生态环境“十四五”规划》符合性分析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pacing w:val="-2"/>
                <w:sz w:val="24"/>
                <w:szCs w:val="24"/>
                <w:highlight w:val="none"/>
                <w:lang w:eastAsia="zh-CN"/>
              </w:rPr>
            </w:pPr>
            <w:r>
              <w:rPr>
                <w:rFonts w:hint="default" w:ascii="Times New Roman" w:hAnsi="Times New Roman" w:eastAsia="宋体" w:cs="Times New Roman"/>
                <w:b/>
                <w:bCs/>
                <w:color w:val="auto"/>
                <w:sz w:val="24"/>
                <w:szCs w:val="24"/>
                <w:highlight w:val="none"/>
              </w:rPr>
              <w:t>表1-</w:t>
            </w:r>
            <w:r>
              <w:rPr>
                <w:rFonts w:hint="default" w:ascii="Times New Roman" w:hAnsi="Times New Roman" w:eastAsia="宋体"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rPr>
              <w:t xml:space="preserve">    项目</w:t>
            </w:r>
            <w:r>
              <w:rPr>
                <w:rFonts w:hint="default" w:ascii="Times New Roman" w:hAnsi="Times New Roman" w:eastAsia="宋体" w:cs="Times New Roman"/>
                <w:b/>
                <w:bCs/>
                <w:color w:val="auto"/>
                <w:spacing w:val="-2"/>
                <w:sz w:val="24"/>
                <w:szCs w:val="24"/>
                <w:highlight w:val="none"/>
              </w:rPr>
              <w:t>与《巴音郭楞蒙古自治州生态环境“十四五”规划》符合性分析</w:t>
            </w:r>
            <w:r>
              <w:rPr>
                <w:rFonts w:hint="default" w:ascii="Times New Roman" w:hAnsi="Times New Roman" w:eastAsia="宋体" w:cs="Times New Roman"/>
                <w:b/>
                <w:bCs/>
                <w:color w:val="auto"/>
                <w:spacing w:val="-2"/>
                <w:sz w:val="24"/>
                <w:szCs w:val="24"/>
                <w:highlight w:val="none"/>
                <w:lang w:eastAsia="zh-CN"/>
              </w:rPr>
              <w:t>一览表</w:t>
            </w:r>
          </w:p>
          <w:tbl>
            <w:tblPr>
              <w:tblStyle w:val="32"/>
              <w:tblW w:w="75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479"/>
              <w:gridCol w:w="2448"/>
              <w:gridCol w:w="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2957"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文件要求</w:t>
                  </w:r>
                </w:p>
              </w:tc>
              <w:tc>
                <w:tcPr>
                  <w:tcW w:w="1616"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项目情况</w:t>
                  </w:r>
                </w:p>
              </w:tc>
              <w:tc>
                <w:tcPr>
                  <w:tcW w:w="425"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7" w:hRule="atLeast"/>
                <w:jc w:val="center"/>
              </w:trPr>
              <w:tc>
                <w:tcPr>
                  <w:tcW w:w="2957"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加强重点行业</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协同控制。深入实施《自治州重点行业挥发性有机物综合治理方案》，切实推进重点行业</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污染治理。重点推进石化、化工、包装印刷、工业涂装等重点行业以及机动车、油品储运销等交通源</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污染防治，加强芳香烃、烯烃、炔烃、醛类等活性强的</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排放控制，持续削减重点企业</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排放量。建立健全以改善环境空气质量为核心的</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污染防治管理体系，加强石化、煤化工、表面处理、印刷、油气储罐等重点排放行业的精细化管控，持续实施LARD治理。强化新增污染物排放控制，推进</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与NOx等的协同减排，改善环境空气质量。</w:t>
                  </w:r>
                </w:p>
              </w:tc>
              <w:tc>
                <w:tcPr>
                  <w:tcW w:w="1616" w:type="pct"/>
                  <w:noWrap w:val="0"/>
                  <w:vAlign w:val="center"/>
                </w:tcPr>
                <w:p>
                  <w:pPr>
                    <w:keepNext w:val="0"/>
                    <w:keepLines w:val="0"/>
                    <w:pageBreakBefore w:val="0"/>
                    <w:suppressLineNumbers w:val="0"/>
                    <w:kinsoku/>
                    <w:wordWrap/>
                    <w:overflowPunct/>
                    <w:topLinePunct w:val="0"/>
                    <w:autoSpaceDE/>
                    <w:autoSpaceDN/>
                    <w:bidi w:val="0"/>
                    <w:adjustRightInd w:val="0"/>
                    <w:spacing w:before="0" w:beforeAutospacing="0" w:after="0" w:afterAutospacing="0" w:line="0" w:lineRule="atLeast"/>
                    <w:ind w:left="0" w:right="0"/>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本工程仅测试放喷期间会排放少量</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，通过科学计算放喷时间，减少放喷过程中的</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排放</w:t>
                  </w:r>
                  <w:r>
                    <w:rPr>
                      <w:rFonts w:hint="default" w:ascii="Times New Roman" w:hAnsi="Times New Roman" w:eastAsia="宋体" w:cs="Times New Roman"/>
                      <w:color w:val="auto"/>
                      <w:spacing w:val="0"/>
                      <w:sz w:val="21"/>
                      <w:szCs w:val="21"/>
                      <w:highlight w:val="none"/>
                      <w:lang w:val="zh-CN"/>
                    </w:rPr>
                    <w:t>，</w:t>
                  </w:r>
                  <w:r>
                    <w:rPr>
                      <w:rFonts w:hint="default" w:ascii="Times New Roman" w:hAnsi="Times New Roman" w:eastAsia="宋体" w:cs="Times New Roman"/>
                      <w:color w:val="auto"/>
                      <w:spacing w:val="0"/>
                      <w:kern w:val="0"/>
                      <w:sz w:val="21"/>
                      <w:szCs w:val="21"/>
                      <w:highlight w:val="none"/>
                    </w:rPr>
                    <w:t>VOC</w:t>
                  </w:r>
                  <w:r>
                    <w:rPr>
                      <w:rFonts w:hint="default" w:ascii="Times New Roman" w:hAnsi="Times New Roman" w:eastAsia="宋体" w:cs="Times New Roman"/>
                      <w:color w:val="auto"/>
                      <w:spacing w:val="0"/>
                      <w:kern w:val="0"/>
                      <w:sz w:val="21"/>
                      <w:szCs w:val="21"/>
                      <w:highlight w:val="none"/>
                      <w:vertAlign w:val="subscript"/>
                    </w:rPr>
                    <w:t>S</w:t>
                  </w:r>
                  <w:r>
                    <w:rPr>
                      <w:rFonts w:hint="default" w:ascii="Times New Roman" w:hAnsi="Times New Roman" w:eastAsia="宋体" w:cs="Times New Roman"/>
                      <w:color w:val="auto"/>
                      <w:spacing w:val="0"/>
                      <w:sz w:val="21"/>
                      <w:szCs w:val="21"/>
                      <w:highlight w:val="none"/>
                    </w:rPr>
                    <w:t>产生量小，且项目地处空旷区域，废气扩散条件好，对大气环境影响可接受</w:t>
                  </w:r>
                </w:p>
              </w:tc>
              <w:tc>
                <w:tcPr>
                  <w:tcW w:w="425"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 w:hRule="atLeast"/>
                <w:jc w:val="center"/>
              </w:trPr>
              <w:tc>
                <w:tcPr>
                  <w:tcW w:w="2957"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textAlignment w:val="auto"/>
                    <w:rPr>
                      <w:rFonts w:hint="default" w:ascii="Times New Roman" w:hAnsi="Times New Roman" w:eastAsia="宋体" w:cs="Times New Roman"/>
                      <w:b/>
                      <w:bCs/>
                      <w:color w:val="auto"/>
                      <w:spacing w:val="0"/>
                      <w:kern w:val="2"/>
                      <w:sz w:val="21"/>
                      <w:szCs w:val="21"/>
                      <w:highlight w:val="none"/>
                      <w:u w:val="none"/>
                      <w:lang w:val="en-US" w:eastAsia="zh-CN" w:bidi="ar-SA"/>
                    </w:rPr>
                  </w:pPr>
                  <w:r>
                    <w:rPr>
                      <w:rFonts w:hint="default" w:ascii="Times New Roman" w:hAnsi="Times New Roman" w:eastAsia="宋体" w:cs="Times New Roman"/>
                      <w:color w:val="auto"/>
                      <w:spacing w:val="0"/>
                      <w:sz w:val="21"/>
                      <w:szCs w:val="21"/>
                      <w:highlight w:val="none"/>
                    </w:rPr>
                    <w:t>有序实施建设用地风险管控和治理修复。推动全州重点行业企业用地土壤污染状况调查成果应用，提升土壤环境监管能力。严格落实建设用地土壤污染风险管控和修复名录制度。以用途变更为住宅、公共管理与公共服务用地的污染地块为重点，严格建设用地准入管理和风险管控。严控土壤重金属污染，加强油</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气</w:t>
                  </w:r>
                  <w:r>
                    <w:rPr>
                      <w:rFonts w:hint="default" w:ascii="Times New Roman" w:hAnsi="Times New Roman" w:eastAsia="宋体" w:cs="Times New Roman"/>
                      <w:color w:val="auto"/>
                      <w:spacing w:val="0"/>
                      <w:sz w:val="21"/>
                      <w:szCs w:val="21"/>
                      <w:highlight w:val="none"/>
                      <w:lang w:eastAsia="zh-CN"/>
                    </w:rPr>
                    <w:t>）</w:t>
                  </w:r>
                  <w:r>
                    <w:rPr>
                      <w:rFonts w:hint="default" w:ascii="Times New Roman" w:hAnsi="Times New Roman" w:eastAsia="宋体" w:cs="Times New Roman"/>
                      <w:color w:val="auto"/>
                      <w:spacing w:val="0"/>
                      <w:sz w:val="21"/>
                      <w:szCs w:val="21"/>
                      <w:highlight w:val="none"/>
                    </w:rPr>
                    <w:t>田开发土壤污染防治，以历史遗留工业企业污染场地为重点，开展治理与修复工程。</w:t>
                  </w:r>
                </w:p>
              </w:tc>
              <w:tc>
                <w:tcPr>
                  <w:tcW w:w="1616" w:type="pct"/>
                  <w:noWrap w:val="0"/>
                  <w:vAlign w:val="center"/>
                </w:tcPr>
                <w:p>
                  <w:pPr>
                    <w:keepNext w:val="0"/>
                    <w:keepLines w:val="0"/>
                    <w:pageBreakBefore w:val="0"/>
                    <w:suppressLineNumbers w:val="0"/>
                    <w:kinsoku/>
                    <w:wordWrap/>
                    <w:overflowPunct/>
                    <w:topLinePunct w:val="0"/>
                    <w:autoSpaceDE/>
                    <w:autoSpaceDN/>
                    <w:bidi w:val="0"/>
                    <w:adjustRightInd w:val="0"/>
                    <w:spacing w:before="0" w:beforeAutospacing="0" w:after="0" w:afterAutospacing="0" w:line="0" w:lineRule="atLeast"/>
                    <w:ind w:left="0" w:right="0"/>
                    <w:textAlignment w:val="auto"/>
                    <w:rPr>
                      <w:rFonts w:hint="default" w:ascii="Times New Roman" w:hAnsi="Times New Roman" w:eastAsia="宋体" w:cs="Times New Roman"/>
                      <w:color w:val="auto"/>
                      <w:spacing w:val="0"/>
                      <w:sz w:val="21"/>
                      <w:szCs w:val="21"/>
                      <w:highlight w:val="none"/>
                      <w:lang w:eastAsia="zh-CN"/>
                    </w:rPr>
                  </w:pPr>
                  <w:r>
                    <w:rPr>
                      <w:rFonts w:hint="default" w:ascii="Times New Roman" w:hAnsi="Times New Roman" w:eastAsia="宋体" w:cs="Times New Roman"/>
                      <w:color w:val="auto"/>
                      <w:spacing w:val="0"/>
                      <w:sz w:val="21"/>
                      <w:szCs w:val="21"/>
                      <w:highlight w:val="none"/>
                    </w:rPr>
                    <w:t>本项目废水、固废均妥善处置，并采取了严格的防渗</w:t>
                  </w:r>
                  <w:r>
                    <w:rPr>
                      <w:rFonts w:hint="eastAsia" w:ascii="Times New Roman" w:cs="Times New Roman"/>
                      <w:color w:val="auto"/>
                      <w:spacing w:val="0"/>
                      <w:sz w:val="21"/>
                      <w:szCs w:val="21"/>
                      <w:highlight w:val="none"/>
                      <w:lang w:eastAsia="zh-CN"/>
                    </w:rPr>
                    <w:t>措施防止</w:t>
                  </w:r>
                  <w:r>
                    <w:rPr>
                      <w:rFonts w:hint="default" w:ascii="Times New Roman" w:hAnsi="Times New Roman" w:eastAsia="宋体" w:cs="Times New Roman"/>
                      <w:color w:val="auto"/>
                      <w:spacing w:val="0"/>
                      <w:sz w:val="21"/>
                      <w:szCs w:val="21"/>
                      <w:highlight w:val="none"/>
                    </w:rPr>
                    <w:t>土壤和地下水的污染</w:t>
                  </w:r>
                </w:p>
              </w:tc>
              <w:tc>
                <w:tcPr>
                  <w:tcW w:w="425"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1" w:hRule="atLeast"/>
                <w:jc w:val="center"/>
              </w:trPr>
              <w:tc>
                <w:tcPr>
                  <w:tcW w:w="2957"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b/>
                      <w:bCs/>
                      <w:color w:val="auto"/>
                      <w:spacing w:val="0"/>
                      <w:kern w:val="2"/>
                      <w:sz w:val="21"/>
                      <w:szCs w:val="21"/>
                      <w:highlight w:val="none"/>
                      <w:u w:val="none"/>
                      <w:lang w:val="en-US" w:eastAsia="zh-CN" w:bidi="ar-SA"/>
                    </w:rPr>
                  </w:pPr>
                  <w:r>
                    <w:rPr>
                      <w:rFonts w:hint="default" w:ascii="Times New Roman" w:hAnsi="Times New Roman" w:eastAsia="宋体" w:cs="Times New Roman"/>
                      <w:color w:val="auto"/>
                      <w:spacing w:val="0"/>
                      <w:sz w:val="21"/>
                      <w:szCs w:val="21"/>
                      <w:highlight w:val="none"/>
                    </w:rPr>
                    <w:t>开展重点行业企业关闭搬迁企业场地土壤治理与修复工程、工业固体废物贮存场所土壤污染治理与修复工程、油气资源开发区污染场地治理与修复工程、生活垃圾填埋场土壤污染治理工程、历史遗留尾矿库治理与修复工程等。</w:t>
                  </w:r>
                </w:p>
              </w:tc>
              <w:tc>
                <w:tcPr>
                  <w:tcW w:w="1616"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测试过程中安装钻采一体化井口装置，完井后，当井没有开采价值时，用水泥固封，同时用铁质保护罩保护井口装置，其余设施将拆除、搬迁。钻井液材料将全部进行回收，不得遗弃在井场；</w:t>
                  </w:r>
                  <w:r>
                    <w:rPr>
                      <w:rFonts w:hint="default" w:ascii="Times New Roman" w:hAnsi="Times New Roman" w:eastAsia="宋体" w:cs="Times New Roman"/>
                      <w:color w:val="auto"/>
                      <w:spacing w:val="0"/>
                      <w:sz w:val="21"/>
                      <w:szCs w:val="21"/>
                      <w:highlight w:val="none"/>
                      <w:lang w:val="en-US" w:eastAsia="zh-CN"/>
                    </w:rPr>
                    <w:t>对</w:t>
                  </w:r>
                  <w:r>
                    <w:rPr>
                      <w:rFonts w:hint="default" w:ascii="Times New Roman" w:hAnsi="Times New Roman" w:eastAsia="宋体" w:cs="Times New Roman"/>
                      <w:color w:val="auto"/>
                      <w:spacing w:val="0"/>
                      <w:sz w:val="21"/>
                      <w:szCs w:val="21"/>
                      <w:highlight w:val="none"/>
                    </w:rPr>
                    <w:t>钻井过程中产生的废弃物进行清理。施工单位负责做到工完、料净、场地清，临时占地恢复，场地平整，植被自然恢复</w:t>
                  </w:r>
                </w:p>
              </w:tc>
              <w:tc>
                <w:tcPr>
                  <w:tcW w:w="425" w:type="pct"/>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符合</w:t>
                  </w:r>
                </w:p>
              </w:tc>
            </w:tr>
          </w:tbl>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56"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color w:val="auto"/>
                <w:spacing w:val="-6"/>
                <w:kern w:val="2"/>
                <w:sz w:val="24"/>
                <w:szCs w:val="20"/>
                <w:highlight w:val="none"/>
                <w:lang w:val="en-US" w:eastAsia="zh-CN" w:bidi="ar-SA"/>
              </w:rPr>
              <w:t>综上所述，本项目符合《巴音郭楞蒙古自治州生态环境“十四五”规划》要求。</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7、与其他相关规范符合性分析</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表1-9    相关生态环境保护法律法规政策符合性分析一览表</w:t>
            </w:r>
          </w:p>
          <w:tbl>
            <w:tblPr>
              <w:tblStyle w:val="32"/>
              <w:tblW w:w="75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023"/>
              <w:gridCol w:w="585"/>
              <w:gridCol w:w="2790"/>
              <w:gridCol w:w="2475"/>
              <w:gridCol w:w="71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文件名称</w:t>
                  </w:r>
                </w:p>
              </w:tc>
              <w:tc>
                <w:tcPr>
                  <w:tcW w:w="3375" w:type="dxa"/>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文件要求</w:t>
                  </w:r>
                </w:p>
              </w:tc>
              <w:tc>
                <w:tcPr>
                  <w:tcW w:w="247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本项目</w:t>
                  </w:r>
                </w:p>
              </w:tc>
              <w:tc>
                <w:tcPr>
                  <w:tcW w:w="71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480" w:hRule="atLeast"/>
                <w:jc w:val="center"/>
              </w:trPr>
              <w:tc>
                <w:tcPr>
                  <w:tcW w:w="1023"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《中华人民共和国防沙治沙法》</w:t>
                  </w:r>
                </w:p>
              </w:tc>
              <w:tc>
                <w:tcPr>
                  <w:tcW w:w="3375" w:type="dxa"/>
                  <w:gridSpan w:val="2"/>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rightChars="0"/>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沙化土地所在地区的县级以上人民政府应当加强防沙治沙</w:t>
                  </w:r>
                  <w:r>
                    <w:rPr>
                      <w:rFonts w:hint="default" w:ascii="Times New Roman" w:hAnsi="Times New Roman" w:eastAsia="宋体" w:cs="Times New Roman"/>
                      <w:snapToGrid w:val="0"/>
                      <w:color w:val="auto"/>
                      <w:spacing w:val="-10"/>
                      <w:kern w:val="0"/>
                      <w:sz w:val="21"/>
                      <w:szCs w:val="21"/>
                      <w:highlight w:val="none"/>
                    </w:rPr>
                    <w:t>规</w:t>
                  </w:r>
                  <w:r>
                    <w:rPr>
                      <w:rFonts w:hint="default" w:ascii="Times New Roman" w:hAnsi="Times New Roman" w:eastAsia="宋体" w:cs="Times New Roman"/>
                      <w:color w:val="auto"/>
                      <w:spacing w:val="-10"/>
                      <w:sz w:val="21"/>
                      <w:szCs w:val="21"/>
                      <w:highlight w:val="none"/>
                    </w:rPr>
                    <w:t>划的组织实施工作，定期对规划的实施情况进行检查和评估</w:t>
                  </w:r>
                  <w:r>
                    <w:rPr>
                      <w:rFonts w:hint="default" w:ascii="Times New Roman" w:hAnsi="Times New Roman" w:eastAsia="宋体" w:cs="Times New Roman"/>
                      <w:color w:val="auto"/>
                      <w:spacing w:val="-10"/>
                      <w:sz w:val="21"/>
                      <w:szCs w:val="21"/>
                      <w:highlight w:val="none"/>
                      <w:lang w:eastAsia="zh-CN"/>
                    </w:rPr>
                    <w:t>。</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根据</w:t>
                  </w:r>
                  <w:r>
                    <w:rPr>
                      <w:rFonts w:hint="default" w:ascii="Times New Roman" w:hAnsi="Times New Roman" w:eastAsia="宋体" w:cs="Times New Roman"/>
                      <w:bCs/>
                      <w:color w:val="auto"/>
                      <w:sz w:val="21"/>
                      <w:szCs w:val="21"/>
                      <w:highlight w:val="none"/>
                      <w:lang w:val="en-US" w:eastAsia="zh-CN"/>
                    </w:rPr>
                    <w:t>《新疆维吾尔自治区防沙治沙规划》（2021-2030年），本项目所在区域属于“塔克拉玛干沙漠生态保护修复区”中的“塔克拉玛干沙漠中部封育保育小区”</w:t>
                  </w:r>
                  <w:r>
                    <w:rPr>
                      <w:rFonts w:hint="default" w:ascii="Times New Roman" w:hAnsi="Times New Roman" w:eastAsia="宋体" w:cs="Times New Roman"/>
                      <w:color w:val="auto"/>
                      <w:sz w:val="21"/>
                      <w:szCs w:val="21"/>
                      <w:highlight w:val="none"/>
                    </w:rPr>
                    <w:t>定期对规划情况进行了检查和评估</w:t>
                  </w:r>
                  <w:r>
                    <w:rPr>
                      <w:rFonts w:hint="default" w:ascii="Times New Roman" w:hAnsi="Times New Roman" w:eastAsia="宋体" w:cs="Times New Roman"/>
                      <w:color w:val="auto"/>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kinsoku w:val="0"/>
                    <w:wordWrap/>
                    <w:overflowPunct/>
                    <w:autoSpaceDE w:val="0"/>
                    <w:autoSpaceDN w:val="0"/>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沙化土地治理应当坚持统筹森林、草原、湿地、荒漠生态系统</w:t>
                  </w:r>
                  <w:r>
                    <w:rPr>
                      <w:rFonts w:hint="default" w:ascii="Times New Roman" w:hAnsi="Times New Roman" w:eastAsia="宋体" w:cs="Times New Roman"/>
                      <w:snapToGrid w:val="0"/>
                      <w:color w:val="auto"/>
                      <w:spacing w:val="-10"/>
                      <w:kern w:val="0"/>
                      <w:sz w:val="21"/>
                      <w:szCs w:val="21"/>
                      <w:highlight w:val="none"/>
                    </w:rPr>
                    <w:t>保护</w:t>
                  </w:r>
                  <w:r>
                    <w:rPr>
                      <w:rFonts w:hint="default" w:ascii="Times New Roman" w:hAnsi="Times New Roman" w:eastAsia="宋体" w:cs="Times New Roman"/>
                      <w:color w:val="auto"/>
                      <w:spacing w:val="-10"/>
                      <w:sz w:val="21"/>
                      <w:szCs w:val="21"/>
                      <w:highlight w:val="none"/>
                    </w:rPr>
                    <w:t>，以沙漠、戈壁边缘及绿洲、流域、山系等为防治单元，实施固定半固定沙漠提升工程；对规划重点治理的沙化土地，因地制宜采取工程和生物相结合的措施，科学配置林草植物类型和密度，提升生态系统质量和稳定性</w:t>
                  </w:r>
                  <w:r>
                    <w:rPr>
                      <w:rFonts w:hint="default" w:ascii="Times New Roman" w:hAnsi="Times New Roman" w:eastAsia="宋体" w:cs="Times New Roman"/>
                      <w:color w:val="auto"/>
                      <w:spacing w:val="-10"/>
                      <w:sz w:val="21"/>
                      <w:szCs w:val="21"/>
                      <w:highlight w:val="none"/>
                      <w:lang w:eastAsia="zh-CN"/>
                    </w:rPr>
                    <w:t>。</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本项目施工期间应划定施工活动范围，严格控制和管理运输车辆及重型机械的运行</w:t>
                  </w:r>
                  <w:r>
                    <w:rPr>
                      <w:rFonts w:hint="default" w:ascii="Times New Roman" w:hAnsi="Times New Roman" w:eastAsia="宋体" w:cs="Times New Roman"/>
                      <w:color w:val="auto"/>
                      <w:sz w:val="21"/>
                      <w:szCs w:val="21"/>
                      <w:highlight w:val="none"/>
                      <w:lang w:val="en-GB"/>
                    </w:rPr>
                    <w:t>线路和范围，不得离开运输</w:t>
                  </w:r>
                  <w:r>
                    <w:rPr>
                      <w:rFonts w:hint="eastAsia" w:ascii="Times New Roman" w:cs="Times New Roman"/>
                      <w:color w:val="auto"/>
                      <w:sz w:val="21"/>
                      <w:szCs w:val="21"/>
                      <w:highlight w:val="none"/>
                      <w:lang w:val="en-GB" w:eastAsia="zh-CN"/>
                    </w:rPr>
                    <w:t>道路</w:t>
                  </w:r>
                  <w:r>
                    <w:rPr>
                      <w:rFonts w:hint="default" w:ascii="Times New Roman" w:hAnsi="Times New Roman" w:eastAsia="宋体" w:cs="Times New Roman"/>
                      <w:color w:val="auto"/>
                      <w:sz w:val="21"/>
                      <w:szCs w:val="21"/>
                      <w:highlight w:val="none"/>
                      <w:lang w:val="en-GB"/>
                    </w:rPr>
                    <w:t>随意行驶，由专人</w:t>
                  </w:r>
                  <w:r>
                    <w:rPr>
                      <w:rFonts w:hint="default" w:ascii="Times New Roman" w:hAnsi="Times New Roman" w:eastAsia="宋体" w:cs="Times New Roman"/>
                      <w:snapToGrid w:val="0"/>
                      <w:color w:val="auto"/>
                      <w:spacing w:val="-10"/>
                      <w:kern w:val="0"/>
                      <w:sz w:val="21"/>
                      <w:szCs w:val="21"/>
                      <w:highlight w:val="none"/>
                      <w:lang w:val="en-GB"/>
                    </w:rPr>
                    <w:t>负责</w:t>
                  </w:r>
                  <w:r>
                    <w:rPr>
                      <w:rFonts w:hint="default" w:ascii="Times New Roman" w:hAnsi="Times New Roman" w:eastAsia="宋体" w:cs="Times New Roman"/>
                      <w:color w:val="auto"/>
                      <w:sz w:val="21"/>
                      <w:szCs w:val="21"/>
                      <w:highlight w:val="none"/>
                      <w:lang w:val="en-GB"/>
                    </w:rPr>
                    <w:t>，以防破坏土壤和植被，使土地沙化；</w:t>
                  </w:r>
                  <w:r>
                    <w:rPr>
                      <w:rFonts w:hint="default" w:ascii="Times New Roman" w:hAnsi="Times New Roman" w:eastAsia="宋体" w:cs="Times New Roman"/>
                      <w:color w:val="auto"/>
                      <w:sz w:val="21"/>
                      <w:szCs w:val="21"/>
                      <w:highlight w:val="none"/>
                    </w:rPr>
                    <w:t>进场道路、井场砾石覆盖；</w:t>
                  </w:r>
                  <w:r>
                    <w:rPr>
                      <w:rFonts w:hint="eastAsia" w:ascii="Times New Roman" w:cs="Times New Roman"/>
                      <w:color w:val="auto"/>
                      <w:sz w:val="21"/>
                      <w:szCs w:val="21"/>
                      <w:highlight w:val="none"/>
                      <w:lang w:eastAsia="zh-CN"/>
                    </w:rPr>
                    <w:t>在井场</w:t>
                  </w:r>
                  <w:r>
                    <w:rPr>
                      <w:rFonts w:hint="default" w:ascii="Times New Roman" w:hAnsi="Times New Roman" w:eastAsia="宋体" w:cs="Times New Roman"/>
                      <w:color w:val="auto"/>
                      <w:sz w:val="21"/>
                      <w:szCs w:val="21"/>
                      <w:highlight w:val="none"/>
                    </w:rPr>
                    <w:t>四周、道路两侧</w:t>
                  </w:r>
                  <w:r>
                    <w:rPr>
                      <w:rFonts w:hint="eastAsia" w:ascii="Times New Roman" w:cs="Times New Roman"/>
                      <w:color w:val="auto"/>
                      <w:sz w:val="21"/>
                      <w:szCs w:val="21"/>
                      <w:highlight w:val="none"/>
                      <w:lang w:eastAsia="zh-CN"/>
                    </w:rPr>
                    <w:t>设置</w:t>
                  </w:r>
                  <w:r>
                    <w:rPr>
                      <w:rFonts w:hint="default" w:ascii="Times New Roman" w:hAnsi="Times New Roman" w:eastAsia="宋体" w:cs="Times New Roman"/>
                      <w:color w:val="auto"/>
                      <w:sz w:val="21"/>
                      <w:szCs w:val="21"/>
                      <w:highlight w:val="none"/>
                    </w:rPr>
                    <w:t>草方格</w:t>
                  </w:r>
                  <w:r>
                    <w:rPr>
                      <w:rFonts w:hint="default" w:ascii="Times New Roman" w:hAnsi="Times New Roman" w:eastAsia="宋体" w:cs="Times New Roman"/>
                      <w:color w:val="auto"/>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kinsoku w:val="0"/>
                    <w:wordWrap/>
                    <w:overflowPunct/>
                    <w:autoSpaceDE w:val="0"/>
                    <w:autoSpaceDN w:val="0"/>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color w:val="auto"/>
                      <w:spacing w:val="-10"/>
                      <w:sz w:val="21"/>
                      <w:szCs w:val="21"/>
                      <w:highlight w:val="none"/>
                    </w:rPr>
                    <w:t>国务院关于印发《空气质量持续改善行动计划》的通知</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国发</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2023</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24 号</w:t>
                  </w:r>
                  <w:r>
                    <w:rPr>
                      <w:rFonts w:hint="default" w:ascii="Times New Roman" w:hAnsi="Times New Roman" w:eastAsia="宋体" w:cs="Times New Roman"/>
                      <w:color w:val="auto"/>
                      <w:spacing w:val="-10"/>
                      <w:sz w:val="21"/>
                      <w:szCs w:val="21"/>
                      <w:highlight w:val="none"/>
                      <w:lang w:eastAsia="zh-CN"/>
                    </w:rPr>
                    <w:t>）</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关停后，新建项目方可投产。</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本项目不属于高耗能、高排放、低水平项目；严格落实了国家产业规划、产业政策、生态环境分区管控方案、规划环评、项目环评等相关要求，采取清洁运输方式</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推进矿山生态环境综合整治。新建矿山原则上要同步建设铁路专用线或采用其他清洁运输方式。到2025年，京津冀及周边地区原则上不再新建露天矿山</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省级矿产资源规划确定的重点开采区或经安全论证不宜采用地下开采方式的除外</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。对限期整改仍不达标的矿山，根据安全生产、水土保持、生态环境等要求依法关闭。</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后期根据景观相似原则，对探矿活动造成的土壤、植被和地表景观破坏进行恢复，恢复至原貌</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napToGrid w:val="0"/>
                      <w:color w:val="auto"/>
                      <w:spacing w:val="0"/>
                      <w:kern w:val="0"/>
                      <w:sz w:val="21"/>
                      <w:szCs w:val="21"/>
                      <w:highlight w:val="none"/>
                      <w:lang w:val="en-US" w:eastAsia="zh-CN" w:bidi="ar-SA"/>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740"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强化VOC</w:t>
                  </w:r>
                  <w:r>
                    <w:rPr>
                      <w:rFonts w:hint="default" w:ascii="Times New Roman" w:hAnsi="Times New Roman" w:eastAsia="宋体" w:cs="Times New Roman"/>
                      <w:color w:val="auto"/>
                      <w:spacing w:val="-10"/>
                      <w:sz w:val="21"/>
                      <w:szCs w:val="21"/>
                      <w:highlight w:val="none"/>
                      <w:vertAlign w:val="subscript"/>
                    </w:rPr>
                    <w:t>S</w:t>
                  </w:r>
                  <w:r>
                    <w:rPr>
                      <w:rFonts w:hint="default" w:ascii="Times New Roman" w:hAnsi="Times New Roman" w:eastAsia="宋体" w:cs="Times New Roman"/>
                      <w:color w:val="auto"/>
                      <w:spacing w:val="-10"/>
                      <w:sz w:val="21"/>
                      <w:szCs w:val="21"/>
                      <w:highlight w:val="none"/>
                    </w:rPr>
                    <w:t>全流程、全环节综合治理。鼓励储罐使用低泄漏的呼吸阀、紧急泄压阀，定期开展密封性检测。</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本项目仅测试放喷期间会排放少量VOC</w:t>
                  </w:r>
                  <w:r>
                    <w:rPr>
                      <w:rFonts w:hint="default" w:ascii="Times New Roman" w:hAnsi="Times New Roman" w:eastAsia="宋体" w:cs="Times New Roman"/>
                      <w:color w:val="auto"/>
                      <w:spacing w:val="-10"/>
                      <w:sz w:val="21"/>
                      <w:szCs w:val="21"/>
                      <w:highlight w:val="none"/>
                      <w:vertAlign w:val="subscript"/>
                    </w:rPr>
                    <w:t>S</w:t>
                  </w:r>
                  <w:r>
                    <w:rPr>
                      <w:rFonts w:hint="default" w:ascii="Times New Roman" w:hAnsi="Times New Roman" w:eastAsia="宋体" w:cs="Times New Roman"/>
                      <w:color w:val="auto"/>
                      <w:spacing w:val="-10"/>
                      <w:sz w:val="21"/>
                      <w:szCs w:val="21"/>
                      <w:highlight w:val="none"/>
                    </w:rPr>
                    <w:t>，通过科学计算放喷时间，减少放喷过程中的VOC</w:t>
                  </w:r>
                  <w:r>
                    <w:rPr>
                      <w:rFonts w:hint="default" w:ascii="Times New Roman" w:hAnsi="Times New Roman" w:eastAsia="宋体" w:cs="Times New Roman"/>
                      <w:color w:val="auto"/>
                      <w:spacing w:val="-10"/>
                      <w:sz w:val="21"/>
                      <w:szCs w:val="21"/>
                      <w:highlight w:val="none"/>
                      <w:vertAlign w:val="subscript"/>
                    </w:rPr>
                    <w:t>S</w:t>
                  </w:r>
                  <w:r>
                    <w:rPr>
                      <w:rFonts w:hint="default" w:ascii="Times New Roman" w:hAnsi="Times New Roman" w:eastAsia="宋体" w:cs="Times New Roman"/>
                      <w:color w:val="auto"/>
                      <w:spacing w:val="-10"/>
                      <w:sz w:val="21"/>
                      <w:szCs w:val="21"/>
                      <w:highlight w:val="none"/>
                    </w:rPr>
                    <w:t>排放</w:t>
                  </w:r>
                  <w:r>
                    <w:rPr>
                      <w:rFonts w:hint="default" w:ascii="Times New Roman" w:hAnsi="Times New Roman" w:eastAsia="宋体" w:cs="Times New Roman"/>
                      <w:color w:val="auto"/>
                      <w:spacing w:val="-10"/>
                      <w:sz w:val="21"/>
                      <w:szCs w:val="21"/>
                      <w:highlight w:val="none"/>
                      <w:lang w:val="zh-CN"/>
                    </w:rPr>
                    <w:t>，</w:t>
                  </w:r>
                  <w:r>
                    <w:rPr>
                      <w:rFonts w:hint="default" w:ascii="Times New Roman" w:hAnsi="Times New Roman" w:eastAsia="宋体" w:cs="Times New Roman"/>
                      <w:color w:val="auto"/>
                      <w:spacing w:val="-10"/>
                      <w:sz w:val="21"/>
                      <w:szCs w:val="21"/>
                      <w:highlight w:val="none"/>
                    </w:rPr>
                    <w:t>VOC</w:t>
                  </w:r>
                  <w:r>
                    <w:rPr>
                      <w:rFonts w:hint="default" w:ascii="Times New Roman" w:hAnsi="Times New Roman" w:eastAsia="宋体" w:cs="Times New Roman"/>
                      <w:color w:val="auto"/>
                      <w:spacing w:val="-10"/>
                      <w:sz w:val="21"/>
                      <w:szCs w:val="21"/>
                      <w:highlight w:val="none"/>
                      <w:vertAlign w:val="subscript"/>
                    </w:rPr>
                    <w:t>S</w:t>
                  </w:r>
                  <w:r>
                    <w:rPr>
                      <w:rFonts w:hint="default" w:ascii="Times New Roman" w:hAnsi="Times New Roman" w:eastAsia="宋体" w:cs="Times New Roman"/>
                      <w:color w:val="auto"/>
                      <w:spacing w:val="-10"/>
                      <w:sz w:val="21"/>
                      <w:szCs w:val="21"/>
                      <w:highlight w:val="none"/>
                    </w:rPr>
                    <w:t>产生量小，且项目地处空旷区域，废气扩散条件好，对周围大气环境影响可接受</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napToGrid w:val="0"/>
                      <w:color w:val="auto"/>
                      <w:spacing w:val="0"/>
                      <w:kern w:val="0"/>
                      <w:sz w:val="21"/>
                      <w:szCs w:val="21"/>
                      <w:highlight w:val="none"/>
                      <w:lang w:val="en-US" w:eastAsia="zh-CN" w:bidi="ar-SA"/>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实施城市空气质量达标管理。空气质量未达标的直辖市和设区的市编制实施大气环境质量限期达标规划，明确达标路线图及重点任务，并向社会公开。推进PM</w:t>
                  </w:r>
                  <w:r>
                    <w:rPr>
                      <w:rFonts w:hint="default" w:ascii="Times New Roman" w:hAnsi="Times New Roman" w:eastAsia="宋体" w:cs="Times New Roman"/>
                      <w:color w:val="auto"/>
                      <w:spacing w:val="-10"/>
                      <w:sz w:val="21"/>
                      <w:szCs w:val="21"/>
                      <w:highlight w:val="none"/>
                      <w:vertAlign w:val="subscript"/>
                    </w:rPr>
                    <w:t>2.5</w:t>
                  </w:r>
                  <w:r>
                    <w:rPr>
                      <w:rFonts w:hint="default" w:ascii="Times New Roman" w:hAnsi="Times New Roman" w:eastAsia="宋体" w:cs="Times New Roman"/>
                      <w:color w:val="auto"/>
                      <w:spacing w:val="-10"/>
                      <w:sz w:val="21"/>
                      <w:szCs w:val="21"/>
                      <w:highlight w:val="none"/>
                    </w:rPr>
                    <w:t>和臭氧协同控制。2020年PM</w:t>
                  </w:r>
                  <w:r>
                    <w:rPr>
                      <w:rFonts w:hint="default" w:ascii="Times New Roman" w:hAnsi="Times New Roman" w:eastAsia="宋体" w:cs="Times New Roman"/>
                      <w:color w:val="auto"/>
                      <w:spacing w:val="-10"/>
                      <w:sz w:val="21"/>
                      <w:szCs w:val="21"/>
                      <w:highlight w:val="none"/>
                      <w:vertAlign w:val="subscript"/>
                    </w:rPr>
                    <w:t>2.5</w:t>
                  </w:r>
                  <w:r>
                    <w:rPr>
                      <w:rFonts w:hint="default" w:ascii="Times New Roman" w:hAnsi="Times New Roman" w:eastAsia="宋体" w:cs="Times New Roman"/>
                      <w:color w:val="auto"/>
                      <w:spacing w:val="-10"/>
                      <w:sz w:val="21"/>
                      <w:szCs w:val="21"/>
                      <w:highlight w:val="none"/>
                    </w:rPr>
                    <w:t>浓度低于40微克/立方米的未达标城市“十四五”期间实现达标；其他未达标城市明确“十四五”空气质量改善阶段目标。已达标城市巩固改善空气质量。</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本项目所在区域属于PM</w:t>
                  </w:r>
                  <w:r>
                    <w:rPr>
                      <w:rFonts w:hint="default" w:ascii="Times New Roman" w:hAnsi="Times New Roman" w:eastAsia="宋体" w:cs="Times New Roman"/>
                      <w:color w:val="auto"/>
                      <w:spacing w:val="-10"/>
                      <w:sz w:val="21"/>
                      <w:szCs w:val="21"/>
                      <w:highlight w:val="none"/>
                      <w:vertAlign w:val="subscript"/>
                    </w:rPr>
                    <w:t>10</w:t>
                  </w:r>
                  <w:r>
                    <w:rPr>
                      <w:rFonts w:hint="default" w:ascii="Times New Roman" w:hAnsi="Times New Roman" w:eastAsia="宋体" w:cs="Times New Roman"/>
                      <w:color w:val="auto"/>
                      <w:spacing w:val="-10"/>
                      <w:sz w:val="21"/>
                      <w:szCs w:val="21"/>
                      <w:highlight w:val="none"/>
                    </w:rPr>
                    <w:t>年平均浓度不达标城市，根据</w:t>
                  </w:r>
                  <w:r>
                    <w:rPr>
                      <w:rFonts w:hint="default" w:ascii="Times New Roman" w:hAnsi="Times New Roman" w:eastAsia="宋体" w:cs="Times New Roman"/>
                      <w:color w:val="auto"/>
                      <w:spacing w:val="-10"/>
                      <w:sz w:val="21"/>
                      <w:szCs w:val="21"/>
                      <w:highlight w:val="none"/>
                      <w:lang w:val="en-US" w:eastAsia="zh-CN"/>
                    </w:rPr>
                    <w:t>《关于将巴音郭楞蒙古自治州、吐鲁番市、哈密市纳入执行〈环境影响评价技术导则 大气环境（HJ 2.2—2018）〉差别化政策范围的复函》（环办环评函〔2020〕341号）</w:t>
                  </w:r>
                  <w:r>
                    <w:rPr>
                      <w:rFonts w:hint="default" w:ascii="Times New Roman" w:hAnsi="Times New Roman" w:eastAsia="宋体" w:cs="Times New Roman"/>
                      <w:color w:val="auto"/>
                      <w:spacing w:val="-10"/>
                      <w:sz w:val="21"/>
                      <w:szCs w:val="21"/>
                      <w:highlight w:val="none"/>
                    </w:rPr>
                    <w:t>要求</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对巴州实行环境影响评价差别化政策，</w:t>
                  </w:r>
                  <w:r>
                    <w:rPr>
                      <w:rFonts w:hint="default" w:ascii="Times New Roman" w:hAnsi="Times New Roman" w:eastAsia="宋体" w:cs="Times New Roman"/>
                      <w:color w:val="auto"/>
                      <w:spacing w:val="-10"/>
                      <w:sz w:val="21"/>
                      <w:szCs w:val="21"/>
                      <w:highlight w:val="none"/>
                      <w:lang w:val="en-US" w:eastAsia="zh-CN"/>
                    </w:rPr>
                    <w:t>新建项目可不提供颗粒物区域削减方案。</w:t>
                  </w:r>
                </w:p>
              </w:tc>
              <w:tc>
                <w:tcPr>
                  <w:tcW w:w="717" w:type="dxa"/>
                  <w:shd w:val="clear" w:color="auto" w:fill="auto"/>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napToGrid w:val="0"/>
                      <w:color w:val="auto"/>
                      <w:spacing w:val="0"/>
                      <w:kern w:val="0"/>
                      <w:sz w:val="21"/>
                      <w:szCs w:val="21"/>
                      <w:highlight w:val="none"/>
                      <w:lang w:val="en-US" w:eastAsia="zh-CN" w:bidi="ar-SA"/>
                    </w:rPr>
                  </w:pPr>
                  <w:r>
                    <w:rPr>
                      <w:rFonts w:hint="default" w:ascii="Times New Roman" w:hAnsi="Times New Roman" w:eastAsia="宋体" w:cs="Times New Roman"/>
                      <w:snapToGrid w:val="0"/>
                      <w:color w:val="auto"/>
                      <w:spacing w:val="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《新疆维吾尔自治区2025年空气质量持续改善行动实施方案》（新政办发〔2024〕58 号）</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坚决遏制高耗能、高排放、低水平项目盲目上马。新改扩建项目严格落实国家和自治区产业规划、产业政策、生态</w:t>
                  </w:r>
                  <w:r>
                    <w:rPr>
                      <w:rFonts w:hint="default" w:ascii="Times New Roman" w:hAnsi="Times New Roman" w:eastAsia="宋体" w:cs="Times New Roman"/>
                      <w:snapToGrid w:val="0"/>
                      <w:color w:val="auto"/>
                      <w:spacing w:val="-10"/>
                      <w:kern w:val="0"/>
                      <w:sz w:val="21"/>
                      <w:szCs w:val="21"/>
                      <w:highlight w:val="none"/>
                    </w:rPr>
                    <w:t>环境</w:t>
                  </w:r>
                  <w:r>
                    <w:rPr>
                      <w:rFonts w:hint="default" w:ascii="Times New Roman" w:hAnsi="Times New Roman" w:eastAsia="宋体" w:cs="Times New Roman"/>
                      <w:color w:val="auto"/>
                      <w:spacing w:val="-10"/>
                      <w:kern w:val="0"/>
                      <w:sz w:val="21"/>
                      <w:szCs w:val="21"/>
                      <w:highlight w:val="none"/>
                    </w:rPr>
                    <w:t>分区管控方案、规划环评、项目环评、节能审查、产能置换、重点污染物总量控制、污染物排放区域削减、碳排放达峰目标等相关要求，原则上采用清洁运输方式，达到能效标杆水平、环保绩效A级水平。涉及产能置换的项目，被置换产能及设备关停后，新建项目方可投产。</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本项目不属于</w:t>
                  </w:r>
                  <w:r>
                    <w:rPr>
                      <w:rFonts w:hint="default" w:ascii="Times New Roman" w:hAnsi="Times New Roman" w:eastAsia="宋体" w:cs="Times New Roman"/>
                      <w:color w:val="auto"/>
                      <w:spacing w:val="-10"/>
                      <w:kern w:val="0"/>
                      <w:sz w:val="21"/>
                      <w:szCs w:val="21"/>
                      <w:highlight w:val="none"/>
                    </w:rPr>
                    <w:t>“高耗能、高排放、低水平”</w:t>
                  </w:r>
                  <w:r>
                    <w:rPr>
                      <w:rFonts w:hint="default" w:ascii="Times New Roman" w:hAnsi="Times New Roman" w:eastAsia="宋体" w:cs="Times New Roman"/>
                      <w:snapToGrid w:val="0"/>
                      <w:color w:val="auto"/>
                      <w:spacing w:val="-10"/>
                      <w:kern w:val="0"/>
                      <w:sz w:val="21"/>
                      <w:szCs w:val="21"/>
                      <w:highlight w:val="none"/>
                    </w:rPr>
                    <w:t>项目</w:t>
                  </w:r>
                  <w:r>
                    <w:rPr>
                      <w:rFonts w:hint="default" w:ascii="Times New Roman" w:hAnsi="Times New Roman" w:eastAsia="宋体" w:cs="Times New Roman"/>
                      <w:color w:val="auto"/>
                      <w:spacing w:val="-10"/>
                      <w:kern w:val="0"/>
                      <w:sz w:val="21"/>
                      <w:szCs w:val="21"/>
                      <w:highlight w:val="none"/>
                    </w:rPr>
                    <w:t>；严格落实了国家产业规划、产业政策、生态环境分区管控方案、规划环评、项目环评等相关要求，采取清洁运输方式</w:t>
                  </w:r>
                  <w:r>
                    <w:rPr>
                      <w:rFonts w:hint="default" w:ascii="Times New Roman" w:hAnsi="Times New Roman" w:eastAsia="宋体" w:cs="Times New Roman"/>
                      <w:color w:val="auto"/>
                      <w:spacing w:val="-10"/>
                      <w:kern w:val="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wordWrap/>
                    <w:overflowPunct/>
                    <w:topLinePunct/>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退出重点行业落后产能。严格执行《产业结构调整指导目录》，依法依规淘汰落后产能。联防联控区进一步提高落后产能能耗、环保、质量、安全、技术等要求，逐步退出限制类涉气行业工艺和装备。提升工业重点领域产能能效标杆水平，到2025年，重点行业能效标杆水平产能比例力争达到30%，能效基准水平以下产能基本清零。联防联控区淘汰炭化室高度4.3米及以下焦炉。</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本项目属于油气勘探钻井工程，属于《产业结构调整指导目录（2024年本）》（国家</w:t>
                  </w:r>
                  <w:r>
                    <w:rPr>
                      <w:rFonts w:hint="default" w:ascii="Times New Roman" w:hAnsi="Times New Roman" w:eastAsia="宋体" w:cs="Times New Roman"/>
                      <w:snapToGrid w:val="0"/>
                      <w:color w:val="auto"/>
                      <w:spacing w:val="-10"/>
                      <w:kern w:val="0"/>
                      <w:sz w:val="21"/>
                      <w:szCs w:val="21"/>
                      <w:highlight w:val="none"/>
                    </w:rPr>
                    <w:t>发展</w:t>
                  </w:r>
                  <w:r>
                    <w:rPr>
                      <w:rFonts w:hint="default" w:ascii="Times New Roman" w:hAnsi="Times New Roman" w:eastAsia="宋体" w:cs="Times New Roman"/>
                      <w:color w:val="auto"/>
                      <w:spacing w:val="-10"/>
                      <w:kern w:val="0"/>
                      <w:sz w:val="21"/>
                      <w:szCs w:val="21"/>
                      <w:highlight w:val="none"/>
                    </w:rPr>
                    <w:t>改革委令2023年第7号）中的鼓励类项目；不属于《市场准入负面清单（202</w:t>
                  </w:r>
                  <w:r>
                    <w:rPr>
                      <w:rFonts w:hint="default" w:ascii="Times New Roman" w:hAnsi="Times New Roman" w:eastAsia="宋体" w:cs="Times New Roman"/>
                      <w:color w:val="auto"/>
                      <w:spacing w:val="-10"/>
                      <w:kern w:val="0"/>
                      <w:sz w:val="21"/>
                      <w:szCs w:val="21"/>
                      <w:highlight w:val="none"/>
                      <w:lang w:val="en-US" w:eastAsia="zh-CN"/>
                    </w:rPr>
                    <w:t>5</w:t>
                  </w:r>
                  <w:r>
                    <w:rPr>
                      <w:rFonts w:hint="default" w:ascii="Times New Roman" w:hAnsi="Times New Roman" w:eastAsia="宋体" w:cs="Times New Roman"/>
                      <w:color w:val="auto"/>
                      <w:spacing w:val="-10"/>
                      <w:kern w:val="0"/>
                      <w:sz w:val="21"/>
                      <w:szCs w:val="21"/>
                      <w:highlight w:val="none"/>
                    </w:rPr>
                    <w:t>年版）》（发改体改规〔202</w:t>
                  </w:r>
                  <w:r>
                    <w:rPr>
                      <w:rFonts w:hint="default" w:ascii="Times New Roman" w:hAnsi="Times New Roman" w:eastAsia="宋体" w:cs="Times New Roman"/>
                      <w:color w:val="auto"/>
                      <w:spacing w:val="-10"/>
                      <w:kern w:val="0"/>
                      <w:sz w:val="21"/>
                      <w:szCs w:val="21"/>
                      <w:highlight w:val="none"/>
                      <w:lang w:val="en-US" w:eastAsia="zh-CN"/>
                    </w:rPr>
                    <w:t>5</w:t>
                  </w:r>
                  <w:r>
                    <w:rPr>
                      <w:rFonts w:hint="default" w:ascii="Times New Roman" w:hAnsi="Times New Roman" w:eastAsia="宋体" w:cs="Times New Roman"/>
                      <w:color w:val="auto"/>
                      <w:spacing w:val="-10"/>
                      <w:kern w:val="0"/>
                      <w:sz w:val="21"/>
                      <w:szCs w:val="21"/>
                      <w:highlight w:val="none"/>
                    </w:rPr>
                    <w:t>〕</w:t>
                  </w:r>
                  <w:r>
                    <w:rPr>
                      <w:rFonts w:hint="default" w:ascii="Times New Roman" w:hAnsi="Times New Roman" w:eastAsia="宋体" w:cs="Times New Roman"/>
                      <w:color w:val="auto"/>
                      <w:spacing w:val="-10"/>
                      <w:kern w:val="0"/>
                      <w:sz w:val="21"/>
                      <w:szCs w:val="21"/>
                      <w:highlight w:val="none"/>
                      <w:lang w:val="en-US" w:eastAsia="zh-CN"/>
                    </w:rPr>
                    <w:t>466</w:t>
                  </w:r>
                  <w:r>
                    <w:rPr>
                      <w:rFonts w:hint="default" w:ascii="Times New Roman" w:hAnsi="Times New Roman" w:eastAsia="宋体" w:cs="Times New Roman"/>
                      <w:color w:val="auto"/>
                      <w:spacing w:val="-10"/>
                      <w:kern w:val="0"/>
                      <w:sz w:val="21"/>
                      <w:szCs w:val="21"/>
                      <w:highlight w:val="none"/>
                    </w:rPr>
                    <w:t>号）</w:t>
                  </w:r>
                </w:p>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lang w:eastAsia="zh-CN"/>
                    </w:rPr>
                    <w:t>禁止</w:t>
                  </w:r>
                  <w:r>
                    <w:rPr>
                      <w:rFonts w:hint="default" w:ascii="Times New Roman" w:hAnsi="Times New Roman" w:eastAsia="宋体" w:cs="Times New Roman"/>
                      <w:color w:val="auto"/>
                      <w:spacing w:val="-10"/>
                      <w:kern w:val="0"/>
                      <w:sz w:val="21"/>
                      <w:szCs w:val="21"/>
                      <w:highlight w:val="none"/>
                    </w:rPr>
                    <w:t>准入类项目</w:t>
                  </w:r>
                  <w:r>
                    <w:rPr>
                      <w:rFonts w:hint="default" w:ascii="Times New Roman" w:hAnsi="Times New Roman" w:eastAsia="宋体" w:cs="Times New Roman"/>
                      <w:color w:val="auto"/>
                      <w:spacing w:val="-10"/>
                      <w:kern w:val="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wordWrap/>
                    <w:overflowPunct/>
                    <w:topLinePunct/>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推进矿山生态环境综合整治。根据安全生产、水土保持、生态环境等要求，新建矿山按照绿色矿山标准规划、</w:t>
                  </w:r>
                  <w:r>
                    <w:rPr>
                      <w:rFonts w:hint="default" w:ascii="Times New Roman" w:hAnsi="Times New Roman" w:eastAsia="宋体" w:cs="Times New Roman"/>
                      <w:snapToGrid w:val="0"/>
                      <w:color w:val="auto"/>
                      <w:spacing w:val="-10"/>
                      <w:kern w:val="0"/>
                      <w:sz w:val="21"/>
                      <w:szCs w:val="21"/>
                      <w:highlight w:val="none"/>
                    </w:rPr>
                    <w:t>设计</w:t>
                  </w:r>
                  <w:r>
                    <w:rPr>
                      <w:rFonts w:hint="default" w:ascii="Times New Roman" w:hAnsi="Times New Roman" w:eastAsia="宋体" w:cs="Times New Roman"/>
                      <w:color w:val="auto"/>
                      <w:spacing w:val="-10"/>
                      <w:kern w:val="0"/>
                      <w:sz w:val="21"/>
                      <w:szCs w:val="21"/>
                      <w:highlight w:val="none"/>
                    </w:rPr>
                    <w:t>、建设和运行管理，鼓励同步建设铁路专用线或采用其他清洁运输方式；推进生产矿山绿色矿山建设，依法关闭限期整改仍不达标矿山。沙化土地范围内矿产资源开发建设项目加强防沙治沙工作。</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后期根据景观相似原则，对探矿活动造成的土壤、植被和</w:t>
                  </w:r>
                  <w:r>
                    <w:rPr>
                      <w:rFonts w:hint="default" w:ascii="Times New Roman" w:hAnsi="Times New Roman" w:eastAsia="宋体" w:cs="Times New Roman"/>
                      <w:snapToGrid w:val="0"/>
                      <w:color w:val="auto"/>
                      <w:spacing w:val="-10"/>
                      <w:kern w:val="0"/>
                      <w:sz w:val="21"/>
                      <w:szCs w:val="21"/>
                      <w:highlight w:val="none"/>
                    </w:rPr>
                    <w:t>地表</w:t>
                  </w:r>
                  <w:r>
                    <w:rPr>
                      <w:rFonts w:hint="default" w:ascii="Times New Roman" w:hAnsi="Times New Roman" w:eastAsia="宋体" w:cs="Times New Roman"/>
                      <w:color w:val="auto"/>
                      <w:spacing w:val="-10"/>
                      <w:sz w:val="21"/>
                      <w:szCs w:val="21"/>
                      <w:highlight w:val="none"/>
                    </w:rPr>
                    <w:t>景观破坏进行恢复，恢复至原貌</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wordWrap/>
                    <w:overflowPunct/>
                    <w:topLinePunct/>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强化挥发性有机物和氮氧化物</w:t>
                  </w:r>
                  <w:r>
                    <w:rPr>
                      <w:rFonts w:hint="default" w:ascii="Times New Roman" w:hAnsi="Times New Roman" w:eastAsia="宋体" w:cs="Times New Roman"/>
                      <w:snapToGrid w:val="0"/>
                      <w:color w:val="auto"/>
                      <w:spacing w:val="-10"/>
                      <w:kern w:val="0"/>
                      <w:sz w:val="21"/>
                      <w:szCs w:val="21"/>
                      <w:highlight w:val="none"/>
                    </w:rPr>
                    <w:t>综合治理</w:t>
                  </w:r>
                  <w:r>
                    <w:rPr>
                      <w:rFonts w:hint="default" w:ascii="Times New Roman" w:hAnsi="Times New Roman" w:eastAsia="宋体" w:cs="Times New Roman"/>
                      <w:color w:val="auto"/>
                      <w:spacing w:val="-10"/>
                      <w:kern w:val="0"/>
                      <w:sz w:val="21"/>
                      <w:szCs w:val="21"/>
                      <w:highlight w:val="none"/>
                    </w:rPr>
                    <w:t>。优化含VOCs原辅材料和产品结构，加快推进含VOCs原辅材料源头替代，推广使用低（无）VOCs含量涂料，严格执行VOCs含量限值标准。实施石化、化工、工业涂装、包装印刷等重点行业及油品储运销（储罐）VOCs深度治理。企业开停工、检维修期间，及时收集处理退料、清洗、吹扫等作业产生的VOCs废气，不得将火炬燃烧装置作为日常</w:t>
                  </w:r>
                  <w:r>
                    <w:rPr>
                      <w:rFonts w:hint="eastAsia" w:ascii="Times New Roman" w:cs="Times New Roman"/>
                      <w:color w:val="auto"/>
                      <w:spacing w:val="-10"/>
                      <w:kern w:val="0"/>
                      <w:sz w:val="21"/>
                      <w:szCs w:val="21"/>
                      <w:highlight w:val="none"/>
                      <w:lang w:eastAsia="zh-CN"/>
                    </w:rPr>
                    <w:t>大气污染治理</w:t>
                  </w:r>
                  <w:r>
                    <w:rPr>
                      <w:rFonts w:hint="default" w:ascii="Times New Roman" w:hAnsi="Times New Roman" w:eastAsia="宋体" w:cs="Times New Roman"/>
                      <w:color w:val="auto"/>
                      <w:spacing w:val="-10"/>
                      <w:kern w:val="0"/>
                      <w:sz w:val="21"/>
                      <w:szCs w:val="21"/>
                      <w:highlight w:val="none"/>
                    </w:rPr>
                    <w:t>设施。联防联控区石化、化工行业集中的园区，建立统一的泄漏检测与修复信息管理平台。加大锅炉、炉窑及移动源氮氧化物减排力度，有序实施燃气锅炉低氮燃烧改造。加强氮肥、纯碱等行业大气氨排放治理，强化工业源烟气脱硫脱硝氨逃逸防控。</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本项目测试放喷期间会排放少量</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sz w:val="21"/>
                      <w:szCs w:val="21"/>
                      <w:highlight w:val="none"/>
                    </w:rPr>
                    <w:t>，通过科学计算放喷时间，减少放喷过程中的</w:t>
                  </w:r>
                  <w:r>
                    <w:rPr>
                      <w:rFonts w:hint="default" w:ascii="Times New Roman" w:hAnsi="Times New Roman" w:eastAsia="宋体" w:cs="Times New Roman"/>
                      <w:color w:val="auto"/>
                      <w:spacing w:val="-10"/>
                      <w:kern w:val="0"/>
                      <w:sz w:val="21"/>
                      <w:szCs w:val="21"/>
                      <w:highlight w:val="none"/>
                    </w:rPr>
                    <w:t>VOC</w:t>
                  </w:r>
                  <w:r>
                    <w:rPr>
                      <w:rFonts w:hint="default" w:ascii="Times New Roman" w:hAnsi="Times New Roman" w:eastAsia="宋体" w:cs="Times New Roman"/>
                      <w:color w:val="auto"/>
                      <w:spacing w:val="-10"/>
                      <w:kern w:val="0"/>
                      <w:sz w:val="21"/>
                      <w:szCs w:val="21"/>
                      <w:highlight w:val="none"/>
                      <w:vertAlign w:val="subscript"/>
                    </w:rPr>
                    <w:t>S</w:t>
                  </w:r>
                  <w:r>
                    <w:rPr>
                      <w:rFonts w:hint="default" w:ascii="Times New Roman" w:hAnsi="Times New Roman" w:eastAsia="宋体" w:cs="Times New Roman"/>
                      <w:color w:val="auto"/>
                      <w:spacing w:val="-10"/>
                      <w:sz w:val="21"/>
                      <w:szCs w:val="21"/>
                      <w:highlight w:val="none"/>
                    </w:rPr>
                    <w:t>排放</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1"/>
                      <w:sz w:val="21"/>
                      <w:szCs w:val="21"/>
                      <w:highlight w:val="none"/>
                      <w:lang w:val="en-US" w:eastAsia="zh-CN"/>
                    </w:rPr>
                    <w:t>综合调查区域地层特性，</w:t>
                  </w:r>
                  <w:r>
                    <w:rPr>
                      <w:rFonts w:hint="default" w:ascii="Times New Roman" w:hAnsi="Times New Roman" w:eastAsia="宋体" w:cs="Times New Roman"/>
                      <w:color w:val="auto"/>
                      <w:spacing w:val="-10"/>
                      <w:sz w:val="21"/>
                      <w:szCs w:val="21"/>
                      <w:highlight w:val="none"/>
                    </w:rPr>
                    <w:t>且项目地处空旷区域，废气扩散条件好，对周围大气环境产生</w:t>
                  </w:r>
                  <w:r>
                    <w:rPr>
                      <w:rFonts w:hint="eastAsia" w:ascii="Times New Roman" w:cs="Times New Roman"/>
                      <w:color w:val="auto"/>
                      <w:spacing w:val="-10"/>
                      <w:sz w:val="21"/>
                      <w:szCs w:val="21"/>
                      <w:highlight w:val="none"/>
                      <w:lang w:eastAsia="zh-CN"/>
                    </w:rPr>
                    <w:t>的影响</w:t>
                  </w:r>
                  <w:r>
                    <w:rPr>
                      <w:rFonts w:hint="default" w:ascii="Times New Roman" w:hAnsi="Times New Roman" w:eastAsia="宋体" w:cs="Times New Roman"/>
                      <w:color w:val="auto"/>
                      <w:spacing w:val="-10"/>
                      <w:sz w:val="21"/>
                      <w:szCs w:val="21"/>
                      <w:highlight w:val="none"/>
                    </w:rPr>
                    <w:t>可接受</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widowControl/>
                    <w:suppressLineNumbers w:val="0"/>
                    <w:wordWrap/>
                    <w:overflowPunct/>
                    <w:topLinePunct/>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《新疆维吾尔自治区重点行业生态环境准入条件（2024年）》</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zh-CN" w:eastAsia="zh-CN" w:bidi="ar-SA"/>
                    </w:rPr>
                  </w:pPr>
                  <w:r>
                    <w:rPr>
                      <w:rFonts w:hint="default" w:ascii="Times New Roman" w:hAnsi="Times New Roman" w:eastAsia="宋体" w:cs="Times New Roman"/>
                      <w:color w:val="auto"/>
                      <w:spacing w:val="-10"/>
                      <w:sz w:val="21"/>
                      <w:szCs w:val="21"/>
                      <w:highlight w:val="none"/>
                    </w:rPr>
                    <w:t>施工期应当尽量减少施工占地、严格控制施工作业面积、缩短施工时间、选择合理施工方式、落实环境敏感区管控要求以及其他生态环境保护措施，有效降低生态环境影响。</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本项目施工期严格控制施工作业面积、缩短施工时间，提出水土保持、防风固沙、生态修复的要求，有效降低生态环境影响</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陆地油气开发项目产生的废水应经处理后优先回用，无法回用的应满足国家和地方相关污染物排放标准后排放，工业废水回用率应达到90%以上。钻井及储层改造应采用环境友好的油田化学助剂、酸化液、压裂液、钻井液，配备完善的固控设备，钻井液循环率应达到95%以上，压裂废液、酸化废液等井下作业废水应100%返排入罐。</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本项目钻井液循环率达到95%以上，压裂废液、酸化废液等井下作业废水100%返</w:t>
                  </w:r>
                  <w:r>
                    <w:rPr>
                      <w:rFonts w:hint="default" w:ascii="Times New Roman" w:hAnsi="Times New Roman" w:eastAsia="宋体" w:cs="Times New Roman"/>
                      <w:snapToGrid w:val="0"/>
                      <w:color w:val="auto"/>
                      <w:spacing w:val="-10"/>
                      <w:kern w:val="0"/>
                      <w:sz w:val="21"/>
                      <w:szCs w:val="21"/>
                      <w:highlight w:val="none"/>
                    </w:rPr>
                    <w:t>排入</w:t>
                  </w:r>
                  <w:r>
                    <w:rPr>
                      <w:rFonts w:hint="default" w:ascii="Times New Roman" w:hAnsi="Times New Roman" w:eastAsia="宋体" w:cs="Times New Roman"/>
                      <w:color w:val="auto"/>
                      <w:spacing w:val="-10"/>
                      <w:sz w:val="21"/>
                      <w:szCs w:val="21"/>
                      <w:highlight w:val="none"/>
                    </w:rPr>
                    <w:t>罐</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废弃钻井泥浆及岩屑应采取“泥浆不落地”工艺，勘探、开发过程产生的落地原油回收率应达到100%。废弃水基钻井泥浆及岩屑经“泥浆不落地”设备处理后，固相优先综合利用，暂时不利用或者不能利用的，应按照《一般工业固体废物贮存和填埋污染控制标准》（GB18599）处置；废弃油基钻井泥浆及岩屑、落地油、清罐底泥、含油污泥、含油清管废渣、油气处理厂过滤吸附介质、废脱汞剂等危险废物，应按照国家有关规定制定危险废物管理计划，建立危险废物管理台账，依法依规自行处置或委托有相应资质的单位无害化处置。固体废物无害化处置率应达到100%。</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本项目</w:t>
                  </w:r>
                  <w:r>
                    <w:rPr>
                      <w:rFonts w:hint="default" w:ascii="Times New Roman" w:hAnsi="Times New Roman" w:eastAsia="宋体" w:cs="Times New Roman"/>
                      <w:color w:val="auto"/>
                      <w:spacing w:val="-10"/>
                      <w:sz w:val="21"/>
                      <w:szCs w:val="21"/>
                      <w:highlight w:val="none"/>
                    </w:rPr>
                    <w:t>废弃钻井泥浆及岩屑采用“泥浆不落地”工艺，勘探过程产生的落地原油回收率应达到100%。岩屑随钻井泥浆带出，采用“泥浆不落地”工艺收集，泥浆排入泥浆罐循环使用，完井后拉运至下一口井再利用，</w:t>
                  </w:r>
                  <w:r>
                    <w:rPr>
                      <w:rFonts w:hint="default" w:ascii="Times New Roman" w:hAnsi="Times New Roman" w:eastAsia="宋体" w:cs="Times New Roman"/>
                      <w:snapToGrid w:val="0"/>
                      <w:color w:val="auto"/>
                      <w:spacing w:val="-10"/>
                      <w:kern w:val="0"/>
                      <w:sz w:val="21"/>
                      <w:szCs w:val="21"/>
                      <w:highlight w:val="none"/>
                      <w:lang w:bidi="ar"/>
                    </w:rPr>
                    <w:t>膨润土体系废弃钻井岩屑排入防渗岩屑池干化，经检测达标后，用于井场平整；</w:t>
                  </w:r>
                  <w:r>
                    <w:rPr>
                      <w:rFonts w:hint="eastAsia" w:ascii="Times New Roman" w:cs="Times New Roman"/>
                      <w:color w:val="auto"/>
                      <w:spacing w:val="-10"/>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eastAsia="zh-CN"/>
                    </w:rPr>
                    <w:t>处理达标后还原土用于铺垫油区内的井场、道路。</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autoSpaceDE w:val="0"/>
                    <w:autoSpaceDN w:val="0"/>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对拟退役的废弃井（站）场、管道、道路等工程设施应进行生态修复，生态修复前应对废弃油（气）井、管道进行封堵或设施拆除，确保无土壤及地下水环境污染遗留问题、废弃物得到妥善处置。生态修复应满足《矿山生态环境保护与恢复治理技术规范（试行）》</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HJ651</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、《废弃井封井回填技术指南（试行）》《废弃井及长停井处置指南》</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SY/T6646</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、《陆上石油天然气开采业绿色矿山建设规范》（DZ/T0317）等相关要求。</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本项目若无油气进行封井，井场生态修复前对井场进行封堵和设施拆除，确保无土壤及地下水环境污染遗留问题、废弃物得到妥善处置。生态修复满足《矿山生态环境保护与恢复治理技术规范（试行）》</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HJ651</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、《废弃井封井回填技术指南（试行）》《废弃井及长停井处置指南》</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SY/T6646</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、《陆上石油天然气开采业绿色矿山建设规范》（DZ/T0317）等相关要求。</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30" w:hRule="atLeast"/>
                <w:jc w:val="center"/>
              </w:trPr>
              <w:tc>
                <w:tcPr>
                  <w:tcW w:w="1023"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《新疆维吾尔自治区国民经济和社会发展第十四个五年规划和2035年远景目标纲要》</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加快矿产资源勘查开发。加强塔里木、准噶尔盆地及周边中小盆地页岩气（油）、煤层气勘查，推进油砂、油页岩和</w:t>
                  </w:r>
                  <w:r>
                    <w:rPr>
                      <w:rFonts w:hint="default" w:ascii="Times New Roman" w:hAnsi="Times New Roman" w:eastAsia="宋体" w:cs="Times New Roman"/>
                      <w:snapToGrid w:val="0"/>
                      <w:color w:val="auto"/>
                      <w:spacing w:val="-10"/>
                      <w:kern w:val="0"/>
                      <w:sz w:val="21"/>
                      <w:szCs w:val="21"/>
                      <w:highlight w:val="none"/>
                    </w:rPr>
                    <w:t>南疆</w:t>
                  </w:r>
                  <w:r>
                    <w:rPr>
                      <w:rFonts w:hint="default" w:ascii="Times New Roman" w:hAnsi="Times New Roman" w:eastAsia="宋体" w:cs="Times New Roman"/>
                      <w:color w:val="auto"/>
                      <w:spacing w:val="-10"/>
                      <w:sz w:val="21"/>
                      <w:szCs w:val="21"/>
                      <w:highlight w:val="none"/>
                    </w:rPr>
                    <w:t>浅层地温能、水热型地热资源和干热岩资源调查评价</w:t>
                  </w:r>
                  <w:r>
                    <w:rPr>
                      <w:rFonts w:hint="default" w:ascii="Times New Roman" w:hAnsi="Times New Roman" w:eastAsia="宋体" w:cs="Times New Roman"/>
                      <w:color w:val="auto"/>
                      <w:spacing w:val="-10"/>
                      <w:sz w:val="21"/>
                      <w:szCs w:val="21"/>
                      <w:highlight w:val="none"/>
                      <w:lang w:eastAsia="zh-CN"/>
                    </w:rPr>
                    <w:t>。</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本项目属于</w:t>
                  </w:r>
                  <w:r>
                    <w:rPr>
                      <w:rFonts w:hint="default" w:ascii="Times New Roman" w:hAnsi="Times New Roman" w:eastAsia="宋体" w:cs="Times New Roman"/>
                      <w:snapToGrid w:val="0"/>
                      <w:color w:val="auto"/>
                      <w:spacing w:val="-10"/>
                      <w:kern w:val="0"/>
                      <w:sz w:val="21"/>
                      <w:szCs w:val="21"/>
                      <w:highlight w:val="none"/>
                    </w:rPr>
                    <w:t>塔里木</w:t>
                  </w:r>
                  <w:r>
                    <w:rPr>
                      <w:rFonts w:hint="default" w:ascii="Times New Roman" w:hAnsi="Times New Roman" w:eastAsia="宋体" w:cs="Times New Roman"/>
                      <w:color w:val="auto"/>
                      <w:spacing w:val="-10"/>
                      <w:sz w:val="21"/>
                      <w:szCs w:val="21"/>
                      <w:highlight w:val="none"/>
                    </w:rPr>
                    <w:t>油田油气勘探开发项目，开发区域位于</w:t>
                  </w:r>
                  <w:r>
                    <w:rPr>
                      <w:rFonts w:hint="eastAsia" w:ascii="Times New Roman" w:cs="Times New Roman"/>
                      <w:color w:val="auto"/>
                      <w:spacing w:val="-10"/>
                      <w:sz w:val="21"/>
                      <w:szCs w:val="21"/>
                      <w:highlight w:val="none"/>
                      <w:lang w:val="en-US" w:eastAsia="zh-CN"/>
                    </w:rPr>
                    <w:t>且末县</w:t>
                  </w:r>
                  <w:r>
                    <w:rPr>
                      <w:rFonts w:hint="default" w:ascii="Times New Roman" w:hAnsi="Times New Roman" w:eastAsia="宋体" w:cs="Times New Roman"/>
                      <w:color w:val="auto"/>
                      <w:spacing w:val="-10"/>
                      <w:sz w:val="21"/>
                      <w:szCs w:val="21"/>
                      <w:highlight w:val="none"/>
                    </w:rPr>
                    <w:t>境内。</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能源化工产业支柱作用日益凸显，油气生产加工和储备能力不断加强，库拜煤田大型煤炭基地建设稳步推进，能源生产和消费清洁化水平不断提高。石化产业链延伸及下游产品开发持续推进，由资源输出地向生产加工基地转变步伐加快</w:t>
                  </w:r>
                  <w:r>
                    <w:rPr>
                      <w:rFonts w:hint="default" w:ascii="Times New Roman" w:hAnsi="Times New Roman" w:eastAsia="宋体" w:cs="Times New Roman"/>
                      <w:color w:val="auto"/>
                      <w:spacing w:val="-10"/>
                      <w:sz w:val="21"/>
                      <w:szCs w:val="21"/>
                      <w:highlight w:val="none"/>
                      <w:lang w:eastAsia="zh-CN"/>
                    </w:rPr>
                    <w:t>。</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本项目属塔里木油田油气勘探开发项目，项目的建设</w:t>
                  </w:r>
                  <w:r>
                    <w:rPr>
                      <w:rFonts w:hint="default" w:ascii="Times New Roman" w:hAnsi="Times New Roman" w:eastAsia="宋体" w:cs="Times New Roman"/>
                      <w:color w:val="auto"/>
                      <w:spacing w:val="-10"/>
                      <w:sz w:val="21"/>
                      <w:szCs w:val="21"/>
                      <w:highlight w:val="none"/>
                      <w:lang w:eastAsia="zh-CN"/>
                    </w:rPr>
                    <w:t>可以</w:t>
                  </w:r>
                  <w:r>
                    <w:rPr>
                      <w:rFonts w:hint="default" w:ascii="Times New Roman" w:hAnsi="Times New Roman" w:eastAsia="宋体" w:cs="Times New Roman"/>
                      <w:color w:val="auto"/>
                      <w:spacing w:val="-10"/>
                      <w:sz w:val="21"/>
                      <w:szCs w:val="21"/>
                      <w:highlight w:val="none"/>
                    </w:rPr>
                    <w:t>充分提高区域内油气生产加工和储备能力。</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23"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《巴音郭楞蒙古自治州国民经济和社会发展</w:t>
                  </w:r>
                  <w:r>
                    <w:rPr>
                      <w:rFonts w:hint="eastAsia" w:ascii="Times New Roman" w:cs="Times New Roman"/>
                      <w:snapToGrid w:val="0"/>
                      <w:color w:val="auto"/>
                      <w:spacing w:val="-10"/>
                      <w:kern w:val="0"/>
                      <w:sz w:val="21"/>
                      <w:szCs w:val="21"/>
                      <w:highlight w:val="none"/>
                      <w:lang w:eastAsia="zh-CN"/>
                    </w:rPr>
                    <w:t>第十四个</w:t>
                  </w:r>
                  <w:r>
                    <w:rPr>
                      <w:rFonts w:hint="default" w:ascii="Times New Roman" w:hAnsi="Times New Roman" w:eastAsia="宋体" w:cs="Times New Roman"/>
                      <w:snapToGrid w:val="0"/>
                      <w:color w:val="auto"/>
                      <w:spacing w:val="-10"/>
                      <w:kern w:val="0"/>
                      <w:sz w:val="21"/>
                      <w:szCs w:val="21"/>
                      <w:highlight w:val="none"/>
                    </w:rPr>
                    <w:t>五年规划和二〇三五年远景目标纲要》</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立足巴州塔里木盆地油气主产区资源优势和加工基础，稳定扩大油气产能，积极争取承接进口油气运输中转、储备、加工和交易中心重要功能，推进石油化工基地建设，做大做强基础石化，拉长精细化工产业链条，推动炼化纺一体化发展，提高资源就地加工比例，推动巴州由单一资源输出地向全产业链加工基地转型，打造新疆大型油气生产、加工、外送基地和战略储备基地</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本项目属于油气勘探项目，项目建设有利于稳定扩大油气产能</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eastAsia="zh-CN"/>
                    </w:rPr>
                    <w:t>《新疆维吾尔自治区环境保护条例》</w:t>
                  </w:r>
                </w:p>
              </w:tc>
              <w:tc>
                <w:tcPr>
                  <w:tcW w:w="3375" w:type="dxa"/>
                  <w:gridSpan w:val="2"/>
                  <w:shd w:val="clear" w:color="auto" w:fill="auto"/>
                  <w:noWrap w:val="0"/>
                  <w:tcMar>
                    <w:left w:w="28" w:type="dxa"/>
                    <w:right w:w="28" w:type="dxa"/>
                  </w:tcMar>
                  <w:vAlign w:val="top"/>
                </w:tcPr>
                <w:p>
                  <w:pPr>
                    <w:keepNext w:val="0"/>
                    <w:keepLines w:val="0"/>
                    <w:pageBreakBefore w:val="0"/>
                    <w:widowControl/>
                    <w:suppressLineNumbers w:val="0"/>
                    <w:wordWrap/>
                    <w:overflowPunct/>
                    <w:autoSpaceDE w:val="0"/>
                    <w:autoSpaceDN w:val="0"/>
                    <w:bidi w:val="0"/>
                    <w:adjustRightInd/>
                    <w:snapToGrid/>
                    <w:spacing w:before="0" w:beforeAutospacing="0" w:after="0" w:afterAutospacing="0" w:line="360" w:lineRule="exact"/>
                    <w:ind w:left="0" w:right="0"/>
                    <w:textAlignment w:val="baseline"/>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建设对环境有影响的项目，应当依法进行环境影响评价。建设单位应当在开工建设前向有审批权的环境保护主管部门报批建设项目环境影响评价报告书、报告表。</w:t>
                  </w:r>
                </w:p>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b/>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未依法进行环境影响评价的建设项目，不得开工建设。</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项目处于环境影响评价阶段，取得环评批复后方可开工。</w:t>
                  </w:r>
                </w:p>
              </w:tc>
              <w:tc>
                <w:tcPr>
                  <w:tcW w:w="717" w:type="dxa"/>
                  <w:shd w:val="clear" w:color="auto" w:fill="auto"/>
                  <w:noWrap w:val="0"/>
                  <w:tcMar>
                    <w:left w:w="28" w:type="dxa"/>
                    <w:right w:w="28" w:type="dxa"/>
                  </w:tcMar>
                  <w:vAlign w:val="center"/>
                </w:tcPr>
                <w:p>
                  <w:pPr>
                    <w:keepNext w:val="0"/>
                    <w:keepLines w:val="0"/>
                    <w:pageBreakBefore w:val="0"/>
                    <w:widowControl/>
                    <w:suppressLineNumbers w:val="0"/>
                    <w:kinsoku w:val="0"/>
                    <w:wordWrap/>
                    <w:overflowPunct/>
                    <w:autoSpaceDE w:val="0"/>
                    <w:autoSpaceDN w:val="0"/>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top"/>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第四十七条 矿产资源勘探、开发单位，应当对矿产资源勘探、开发产生的尾矿、煤矸石、粉煤灰、冶炼渣以及脱硫、脱硝、除尘等产生的固体废物的堆存场所进行整治，完善防扬散、防流失、防渗漏等设施；造成环境污染的，应当采取有效措施进行生态修复。</w:t>
                  </w:r>
                </w:p>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b/>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对采矿使用的有毒有害物质，形成的有毒有害废弃物，应当进行无害化处理或者处置；有长期危害的，应当作永久性防护处理。</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本项目采用</w:t>
                  </w:r>
                  <w:r>
                    <w:rPr>
                      <w:rFonts w:hint="default" w:ascii="Times New Roman" w:hAnsi="Times New Roman" w:eastAsia="宋体" w:cs="Times New Roman"/>
                      <w:color w:val="auto"/>
                      <w:spacing w:val="-10"/>
                      <w:sz w:val="21"/>
                      <w:szCs w:val="21"/>
                      <w:highlight w:val="none"/>
                      <w:lang w:val="en-US" w:eastAsia="zh-CN"/>
                    </w:rPr>
                    <w:t>的</w:t>
                  </w:r>
                  <w:r>
                    <w:rPr>
                      <w:rFonts w:hint="default" w:ascii="Times New Roman" w:hAnsi="Times New Roman" w:eastAsia="宋体" w:cs="Times New Roman"/>
                      <w:color w:val="auto"/>
                      <w:spacing w:val="-10"/>
                      <w:sz w:val="21"/>
                      <w:szCs w:val="21"/>
                      <w:highlight w:val="none"/>
                      <w:lang w:eastAsia="zh-CN"/>
                    </w:rPr>
                    <w:t>钻井液为无毒钻井液。</w:t>
                  </w:r>
                  <w:r>
                    <w:rPr>
                      <w:rFonts w:hint="default" w:ascii="Times New Roman" w:hAnsi="Times New Roman" w:eastAsia="宋体" w:cs="Times New Roman"/>
                      <w:color w:val="auto"/>
                      <w:spacing w:val="-10"/>
                      <w:sz w:val="21"/>
                      <w:szCs w:val="21"/>
                      <w:highlight w:val="none"/>
                      <w:lang w:val="en-US" w:eastAsia="zh-CN"/>
                    </w:rPr>
                    <w:t>酸化压裂返排液在井场加碱中和后，暂存于废液收集罐，运至塔里木油田富源区块钻试修废液处理站处理，最终通过富源7井回注区域地层。</w:t>
                  </w:r>
                </w:p>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本项目固井工序</w:t>
                  </w:r>
                  <w:r>
                    <w:rPr>
                      <w:rFonts w:hint="default" w:ascii="Times New Roman" w:hAnsi="Times New Roman" w:eastAsia="宋体" w:cs="Times New Roman"/>
                      <w:color w:val="auto"/>
                      <w:spacing w:val="-10"/>
                      <w:sz w:val="21"/>
                      <w:szCs w:val="21"/>
                      <w:highlight w:val="none"/>
                    </w:rPr>
                    <w:t>将套管下入井中，并在井眼与套管之间</w:t>
                  </w:r>
                  <w:r>
                    <w:rPr>
                      <w:rFonts w:hint="default" w:ascii="Times New Roman" w:hAnsi="Times New Roman" w:eastAsia="宋体" w:cs="Times New Roman"/>
                      <w:snapToGrid w:val="0"/>
                      <w:color w:val="auto"/>
                      <w:spacing w:val="-10"/>
                      <w:kern w:val="0"/>
                      <w:sz w:val="21"/>
                      <w:szCs w:val="21"/>
                      <w:highlight w:val="none"/>
                    </w:rPr>
                    <w:t>灌注</w:t>
                  </w:r>
                  <w:r>
                    <w:rPr>
                      <w:rFonts w:hint="default" w:ascii="Times New Roman" w:hAnsi="Times New Roman" w:eastAsia="宋体" w:cs="Times New Roman"/>
                      <w:color w:val="auto"/>
                      <w:spacing w:val="-10"/>
                      <w:sz w:val="21"/>
                      <w:szCs w:val="21"/>
                      <w:highlight w:val="none"/>
                    </w:rPr>
                    <w:t>钻井液，</w:t>
                  </w:r>
                  <w:r>
                    <w:rPr>
                      <w:rFonts w:hint="eastAsia" w:ascii="Times New Roman" w:cs="Times New Roman"/>
                      <w:color w:val="auto"/>
                      <w:spacing w:val="-10"/>
                      <w:sz w:val="21"/>
                      <w:szCs w:val="21"/>
                      <w:highlight w:val="none"/>
                      <w:lang w:eastAsia="zh-CN"/>
                    </w:rPr>
                    <w:t>封闭</w:t>
                  </w:r>
                  <w:r>
                    <w:rPr>
                      <w:rFonts w:hint="default" w:ascii="Times New Roman" w:hAnsi="Times New Roman" w:eastAsia="宋体" w:cs="Times New Roman"/>
                      <w:color w:val="auto"/>
                      <w:spacing w:val="-10"/>
                      <w:sz w:val="21"/>
                      <w:szCs w:val="21"/>
                      <w:highlight w:val="none"/>
                    </w:rPr>
                    <w:t>地层。固井可有效保护地下水含水层不受破坏</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《新疆维吾尔自治区矿产资源总体规划（2021-2025年）》</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聚焦国家、新疆紧缺矿产，以找大矿富矿为目标，加大勘查力度，突出南疆，持续推进找矿突破，助力乡村振兴，巩固脱贫攻坚成果。强化矿产资源合理开发利用与保护，不断提高资源利用水平，延伸下游产业链，为国家、自治区经济社会发展提供可靠的资源保障。</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本项目为油气资源勘探项目</w:t>
                  </w:r>
                  <w:r>
                    <w:rPr>
                      <w:rFonts w:hint="default" w:ascii="Times New Roman" w:hAnsi="Times New Roman" w:eastAsia="宋体" w:cs="Times New Roman"/>
                      <w:color w:val="auto"/>
                      <w:spacing w:val="-10"/>
                      <w:kern w:val="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重点勘查开采矿种：石油、天然气、页岩气、煤层气、煤、地热等能源矿产，铁、铬、锰、铜、镍、钴、铅锌、金、锂、铍、钒、钛等金属矿产，以及钾盐、萤石、硅质原料等非金属矿产。</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本项目为</w:t>
                  </w:r>
                  <w:r>
                    <w:rPr>
                      <w:rFonts w:hint="default" w:ascii="Times New Roman" w:hAnsi="Times New Roman" w:eastAsia="宋体" w:cs="Times New Roman"/>
                      <w:snapToGrid w:val="0"/>
                      <w:color w:val="auto"/>
                      <w:spacing w:val="-10"/>
                      <w:kern w:val="0"/>
                      <w:sz w:val="21"/>
                      <w:szCs w:val="21"/>
                      <w:highlight w:val="none"/>
                    </w:rPr>
                    <w:t>油气</w:t>
                  </w:r>
                  <w:r>
                    <w:rPr>
                      <w:rFonts w:hint="default" w:ascii="Times New Roman" w:hAnsi="Times New Roman" w:eastAsia="宋体" w:cs="Times New Roman"/>
                      <w:color w:val="auto"/>
                      <w:spacing w:val="-10"/>
                      <w:kern w:val="0"/>
                      <w:sz w:val="21"/>
                      <w:szCs w:val="21"/>
                      <w:highlight w:val="none"/>
                    </w:rPr>
                    <w:t>资源勘探项目</w:t>
                  </w:r>
                  <w:r>
                    <w:rPr>
                      <w:rFonts w:hint="default" w:ascii="Times New Roman" w:hAnsi="Times New Roman" w:eastAsia="宋体" w:cs="Times New Roman"/>
                      <w:color w:val="auto"/>
                      <w:spacing w:val="-10"/>
                      <w:kern w:val="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40" w:hRule="atLeast"/>
                <w:jc w:val="center"/>
              </w:trPr>
              <w:tc>
                <w:tcPr>
                  <w:tcW w:w="102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《关于进一步加强石油天然气行业环境影响评价管理的通知》（环办环评函〔2019〕910号）</w:t>
                  </w:r>
                </w:p>
              </w:tc>
              <w:tc>
                <w:tcPr>
                  <w:tcW w:w="3375" w:type="dxa"/>
                  <w:gridSpan w:val="2"/>
                  <w:shd w:val="clear" w:color="auto" w:fill="auto"/>
                  <w:noWrap w:val="0"/>
                  <w:tcMar>
                    <w:left w:w="28" w:type="dxa"/>
                    <w:right w:w="28" w:type="dxa"/>
                  </w:tcMar>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lang w:val="en-US" w:eastAsia="zh-CN"/>
                    </w:rPr>
                    <w:t>（四）油气开采项目（含新开发和滚动开发项目）原则上应当以区块为单位开展环评（以下简称区块环评），一般包括区块内拟建的新井、加密井、调整井、站场、设备、管道和电缆及其更换工程、弃置工程及配套工程等。项目环评应当深入评价项目建设、运营带来的环境影响和环境风险，提出有效的生态环境保护和环境风险防范措施。滚动开发区块产能建设项目环评文件中还应对现有工程环境影响进行回顾性评价，对存在的生态环境问题和环境风险隐患提出有效防治措施。依托其他防治设施的或者委托第三方处置的，应当论证其可行性和有效性。</w:t>
                  </w:r>
                </w:p>
              </w:tc>
              <w:tc>
                <w:tcPr>
                  <w:tcW w:w="2475" w:type="dxa"/>
                  <w:shd w:val="clear" w:color="auto" w:fill="auto"/>
                  <w:noWrap w:val="0"/>
                  <w:tcMar>
                    <w:left w:w="28" w:type="dxa"/>
                    <w:right w:w="28" w:type="dxa"/>
                  </w:tcMar>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本项目为勘探井工程，不涉及开采，无需开展区块环评。</w:t>
                  </w:r>
                </w:p>
              </w:tc>
              <w:tc>
                <w:tcPr>
                  <w:tcW w:w="717" w:type="dxa"/>
                  <w:shd w:val="clear" w:color="auto" w:fill="auto"/>
                  <w:noWrap w:val="0"/>
                  <w:tcMar>
                    <w:left w:w="28" w:type="dxa"/>
                    <w:right w:w="28" w:type="dxa"/>
                  </w:tcMar>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center"/>
                    <w:textAlignment w:val="baseline"/>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5" w:hRule="atLeast"/>
                <w:jc w:val="center"/>
              </w:trPr>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p>
              </w:tc>
              <w:tc>
                <w:tcPr>
                  <w:tcW w:w="3375" w:type="dxa"/>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五）未确定产能建设规模的陆地油气开采新区块，建设勘探井应当依法编制环境影响报告表。海洋油气勘探工程应当填报环境影响登记表并进行备案。确定产能建设规模后，原则上不得以勘探名义继续开展单井环评。勘探井转为生产井的，可以纳入区块环评。自2021年1月1日起，原则上不以单井形式开展环评。过渡期间，项目建设单位可以根据实际情况，报批区块环评或单井环评。在本通知印发前已经取得环评批复、不在海洋生态环境敏感区内、未纳入油气开采区块产能建设项目环评且排污量未超出原环评批复排放总量的海洋油气开发工程调整井项目，实施环境影响登记表备案管理</w:t>
                  </w:r>
                  <w:r>
                    <w:rPr>
                      <w:rFonts w:hint="default" w:ascii="Times New Roman" w:hAnsi="Times New Roman" w:eastAsia="宋体" w:cs="Times New Roman"/>
                      <w:snapToGrid w:val="0"/>
                      <w:color w:val="auto"/>
                      <w:spacing w:val="-10"/>
                      <w:kern w:val="0"/>
                      <w:sz w:val="21"/>
                      <w:szCs w:val="21"/>
                      <w:highlight w:val="none"/>
                      <w:lang w:eastAsia="zh-CN"/>
                    </w:rPr>
                    <w:t>。</w:t>
                  </w:r>
                </w:p>
              </w:tc>
              <w:tc>
                <w:tcPr>
                  <w:tcW w:w="247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color w:val="auto"/>
                      <w:spacing w:val="-10"/>
                      <w:sz w:val="21"/>
                      <w:szCs w:val="21"/>
                      <w:highlight w:val="none"/>
                    </w:rPr>
                    <w:t>本项目属于石油勘探钻井工程，依法编制环境影响报告表。若测试放喷过程中发现油气资源储量可供开采，需转为生产井的，按相关环保法律法规等要求对地面工程建设开展相应环境影响评价工作。</w:t>
                  </w:r>
                </w:p>
              </w:tc>
              <w:tc>
                <w:tcPr>
                  <w:tcW w:w="71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十一）施工期应当尽量减少施工占地、缩短施工时间、选择合理施工方式、落实环境敏感区管控要求以及其他生态环境保护措施，降低生态环境影响。钻井和压裂设备应当优先使用网电、高标准清洁燃油，减少废气排放。选用低噪声设备，避免噪声扰民。施工结束后，应当及时落实环评提出的生态保护措施</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本项目施工周期较短，报告中已提出施工过程中严格控制施工范围，减少施工占地的措施，要求施工结束后及时进行恢复清理，落实报告中提出的生态保护措施，避免对区域生态环境造成影响</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（十四）油气企业应当加强风险防控，按规定编制突发环境事件应急预案，报所在地生态环境主管部门备案。海洋油气勘探开发溢油应急计划报相关海域生态环境监督管理局备案。</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钻井工程按规定编制突发环境事件应急预案</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shd w:val="clear" w:color="auto" w:fill="FFFFFF"/>
                      <w:lang w:bidi="ar"/>
                    </w:rPr>
                    <w:t>（</w:t>
                  </w:r>
                  <w:r>
                    <w:rPr>
                      <w:rFonts w:hint="default" w:ascii="Times New Roman" w:hAnsi="Times New Roman" w:eastAsia="宋体" w:cs="Times New Roman"/>
                      <w:snapToGrid w:val="0"/>
                      <w:color w:val="auto"/>
                      <w:spacing w:val="-10"/>
                      <w:kern w:val="0"/>
                      <w:sz w:val="21"/>
                      <w:szCs w:val="21"/>
                      <w:highlight w:val="none"/>
                    </w:rPr>
                    <w:t>十五）油气企业应当切实落实生态环境保护主体责任，进一步健全生态环境保护管理体系和制度，充分发挥企业内部生态环境保护部门作用，健全健康、安全与环境（HSE）管理体系，加强督促检查，推动所属油气田落实规划、建设、运营、退役等环节生态环境保护措施。项目正式开工后，油气开采企业应当每年向具有管辖权的生态环境主管部门书面报告工程实施或变动情况、生态环境保护工作情况，涉及自然保护地和生态保护红线的，应当说明工程实施的合法合规性和对自然生态系统、主要保护对象等的实际影响，接受生态环境主管部门依法监管。</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本项目按照规划要求落实生态环保措施，报告中已提出施工过程中严格控制施工范围，减少施工占地的措施，要求施工结束后及时进行恢复清理，落实报告中提出的生态保护措施，避免对区域生态环境造成影响</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shd w:val="clear" w:color="auto" w:fill="FFFFFF"/>
                      <w:lang w:bidi="ar"/>
                    </w:rPr>
                  </w:pPr>
                  <w:r>
                    <w:rPr>
                      <w:rFonts w:hint="default" w:ascii="Times New Roman" w:hAnsi="Times New Roman" w:eastAsia="宋体" w:cs="Times New Roman"/>
                      <w:snapToGrid w:val="0"/>
                      <w:color w:val="auto"/>
                      <w:spacing w:val="-10"/>
                      <w:kern w:val="0"/>
                      <w:sz w:val="21"/>
                      <w:szCs w:val="21"/>
                      <w:highlight w:val="none"/>
                    </w:rPr>
                    <w:t>（二十）工程设施退役，建设单位或生产经营单位应当按照相关要求，采取有效生态环境保护措施。同时，按照《中华人民共和国土壤污染防治法》《土壤环境质量 建设用地土壤污染风险管控标准（试行）》（GB 36600）的要求，对永久停用、拆除或弃置的各类井、管道等工程设施落实封堵、土壤及地下水修复、生态修复等措施。海洋油气勘探开发活动终止后，相关设施需要在海上弃置的，应当拆除可能造成海洋环境污染损害或者影响海洋资源开发利用的部分，并参照有关海洋倾倒废弃物管理的规定进行。拆除时，应当编制拆除环境保护方案，采取必要的措施，防止对海洋环境造成污染和损害</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本项目为勘探井，钻井结束后，若测试放喷显示无工业开采价值，需封井，井场临时占地恢复，落实各项生态保护措施</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《陆上石油天然气开采业绿色矿山建设规范》（DZ/T0317-2018）</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应遵循矿区油气资源赋存状况、生态环境特征等条件，科学合理地确定开发方案，选择与油气藏类型相适应的先进开采技术和工艺，推广使用成熟、先进的技术装备，严禁使用国家明文规定的限制和淘汰的技术工艺及装备。</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本项目为油气勘探工程，实施的目的为确定区域油气产能建设规模（包括储量及质量）。本项目所用技术、工艺和设备不属于国家和自治区明令限制和淘汰的技术、工艺和设备</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集约节约利用土地资源，土地利用符合用地指标政策。合理确定站址、场址、管网、路网建设占地规模。</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本项目方案设计基于区块概念设计，合理布置井场，并根据施工需求确定道路占地规模</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废液、废气、固体废物应建档分类管理，并清洁化、无害化处置，处置率应达到100%。</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本项目废水及固体废物处理及处置措施得当，处置率100%</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油气开采过程中产生的落地原油应及时全部回收。</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工程施工采取带罐作业，对落地油等进行100%回收</w:t>
                  </w:r>
                  <w:r>
                    <w:rPr>
                      <w:rFonts w:hint="default" w:ascii="Times New Roman" w:hAnsi="Times New Roman" w:eastAsia="宋体" w:cs="Times New Roman"/>
                      <w:color w:val="auto"/>
                      <w:spacing w:val="-1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535" w:hRule="atLeast"/>
                <w:jc w:val="center"/>
              </w:trPr>
              <w:tc>
                <w:tcPr>
                  <w:tcW w:w="1023" w:type="dxa"/>
                  <w:vMerge w:val="restart"/>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《石油天然气开采业污染防治技术政策》（公告 2012年第18号）</w:t>
                  </w: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油气田建设应总体规划，优化布局，整体开发，减少占地和油气损失，实现油气和废物的集中收集、处理处置。</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本项目建设布局合理，已在设计阶段合理选址，合理利用现有道路，减少占地；本项目废物均集中收集妥善处置</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00"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3375" w:type="dxa"/>
                  <w:gridSpan w:val="2"/>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在油气开发过程中，应采取措施减轻生态影响并及时用适地植物进行植被恢复</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本项目已提出生态环境影响减缓措施</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eastAsia"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《钻前工程及井场布置技术要求》</w:t>
                  </w:r>
                  <w:r>
                    <w:rPr>
                      <w:rFonts w:hint="default" w:ascii="Times New Roman" w:hAnsi="Times New Roman" w:eastAsia="宋体" w:cs="Times New Roman"/>
                      <w:snapToGrid w:val="0"/>
                      <w:color w:val="auto"/>
                      <w:spacing w:val="-10"/>
                      <w:kern w:val="0"/>
                      <w:sz w:val="21"/>
                      <w:szCs w:val="21"/>
                      <w:highlight w:val="none"/>
                      <w:lang w:eastAsia="zh-CN"/>
                    </w:rPr>
                    <w:t>（</w:t>
                  </w:r>
                  <w:r>
                    <w:rPr>
                      <w:rFonts w:hint="default" w:ascii="Times New Roman" w:hAnsi="Times New Roman" w:eastAsia="宋体" w:cs="Times New Roman"/>
                      <w:snapToGrid w:val="0"/>
                      <w:color w:val="auto"/>
                      <w:spacing w:val="-10"/>
                      <w:kern w:val="0"/>
                      <w:sz w:val="21"/>
                      <w:szCs w:val="21"/>
                      <w:highlight w:val="none"/>
                    </w:rPr>
                    <w:t>SY/T5466-2013</w:t>
                  </w:r>
                  <w:r>
                    <w:rPr>
                      <w:rFonts w:hint="eastAsia" w:ascii="Times New Roman" w:cs="Times New Roman"/>
                      <w:snapToGrid w:val="0"/>
                      <w:color w:val="auto"/>
                      <w:spacing w:val="-10"/>
                      <w:kern w:val="0"/>
                      <w:sz w:val="21"/>
                      <w:szCs w:val="21"/>
                      <w:highlight w:val="none"/>
                      <w:lang w:eastAsia="zh-CN"/>
                    </w:rPr>
                    <w:t>）</w:t>
                  </w:r>
                </w:p>
              </w:tc>
              <w:tc>
                <w:tcPr>
                  <w:tcW w:w="585"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3.1 井场选择原则</w:t>
                  </w:r>
                </w:p>
              </w:tc>
              <w:tc>
                <w:tcPr>
                  <w:tcW w:w="2790"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井场应避开滑坡、泥石流等不良地段，在河滩、海滩地区应避开汛、潮期进行钻前施工。</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本项目井场不在滑坡、泥石流等不良地段，也不属于河滩地区</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535"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585"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p>
              </w:tc>
              <w:tc>
                <w:tcPr>
                  <w:tcW w:w="2790"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满足防洪、防喷、防爆、防毒、防冻等安全要求。</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项目选址满足防喷、防爆、防毒、防冻等安全要求，在做好防范措施的前提下，洪水不会对井场造成影响</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585"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3.2 井位的确定</w:t>
                  </w:r>
                </w:p>
              </w:tc>
              <w:tc>
                <w:tcPr>
                  <w:tcW w:w="2790"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油、气井井口距离高压线及其他永久性设施不小于75m，距民宅不小于100m，距铁路、高速公路不小于200m，距学校、医院和大型油库等人口密集性、高危性场所不小于500m。</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lang w:val="en-US" w:eastAsia="zh-CN"/>
                    </w:rPr>
                    <w:t>周边500m范围内无此类场所</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160"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585"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p>
              </w:tc>
              <w:tc>
                <w:tcPr>
                  <w:tcW w:w="2790"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在地下矿产采掘区钻井，井筒与采掘坑道、矿井坑道之间的距离不小于100m。</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本项目钻井区不是地下矿产采掘区</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585"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p>
              </w:tc>
              <w:tc>
                <w:tcPr>
                  <w:tcW w:w="2790"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井口距堤坝、水库的位置应根据国家水利部门的有关规定执行。</w:t>
                  </w:r>
                </w:p>
              </w:tc>
              <w:tc>
                <w:tcPr>
                  <w:tcW w:w="2475"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eastAsia="zh-CN"/>
                    </w:rPr>
                  </w:pPr>
                  <w:r>
                    <w:rPr>
                      <w:rFonts w:hint="default" w:ascii="Times New Roman" w:hAnsi="Times New Roman" w:eastAsia="宋体" w:cs="Times New Roman"/>
                      <w:snapToGrid w:val="0"/>
                      <w:color w:val="auto"/>
                      <w:spacing w:val="-10"/>
                      <w:kern w:val="0"/>
                      <w:sz w:val="21"/>
                      <w:szCs w:val="21"/>
                      <w:highlight w:val="none"/>
                    </w:rPr>
                    <w:t>本项目井口周边不涉及堤坝、水库</w:t>
                  </w:r>
                  <w:r>
                    <w:rPr>
                      <w:rFonts w:hint="default" w:ascii="Times New Roman" w:hAnsi="Times New Roman" w:eastAsia="宋体" w:cs="Times New Roman"/>
                      <w:snapToGrid w:val="0"/>
                      <w:color w:val="auto"/>
                      <w:spacing w:val="-10"/>
                      <w:kern w:val="0"/>
                      <w:sz w:val="21"/>
                      <w:szCs w:val="21"/>
                      <w:highlight w:val="none"/>
                      <w:lang w:eastAsia="zh-CN"/>
                    </w:rPr>
                    <w:t>。</w:t>
                  </w:r>
                </w:p>
              </w:tc>
              <w:tc>
                <w:tcPr>
                  <w:tcW w:w="717" w:type="dxa"/>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585" w:type="dxa"/>
                  <w:vMerge w:val="restart"/>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lang w:val="en-US" w:eastAsia="zh-CN" w:bidi="ar-SA"/>
                    </w:rPr>
                  </w:pPr>
                  <w:r>
                    <w:rPr>
                      <w:rFonts w:hint="default" w:ascii="Times New Roman" w:hAnsi="Times New Roman" w:eastAsia="宋体" w:cs="Times New Roman"/>
                      <w:snapToGrid w:val="0"/>
                      <w:color w:val="auto"/>
                      <w:spacing w:val="-10"/>
                      <w:kern w:val="0"/>
                      <w:sz w:val="21"/>
                      <w:szCs w:val="21"/>
                      <w:highlight w:val="none"/>
                    </w:rPr>
                    <w:t>3.3</w:t>
                  </w:r>
                  <w:r>
                    <w:rPr>
                      <w:rFonts w:hint="eastAsia" w:ascii="Times New Roman" w:cs="Times New Roman"/>
                      <w:snapToGrid w:val="0"/>
                      <w:color w:val="auto"/>
                      <w:spacing w:val="-10"/>
                      <w:kern w:val="0"/>
                      <w:sz w:val="21"/>
                      <w:szCs w:val="21"/>
                      <w:highlight w:val="none"/>
                      <w:lang w:eastAsia="zh-CN"/>
                    </w:rPr>
                    <w:t>井场</w:t>
                  </w:r>
                  <w:r>
                    <w:rPr>
                      <w:rFonts w:hint="default" w:ascii="Times New Roman" w:hAnsi="Times New Roman" w:eastAsia="宋体" w:cs="Times New Roman"/>
                      <w:snapToGrid w:val="0"/>
                      <w:color w:val="auto"/>
                      <w:spacing w:val="-10"/>
                      <w:kern w:val="0"/>
                      <w:sz w:val="21"/>
                      <w:szCs w:val="21"/>
                      <w:highlight w:val="none"/>
                    </w:rPr>
                    <w:t>方向的规定</w:t>
                  </w:r>
                </w:p>
              </w:tc>
              <w:tc>
                <w:tcPr>
                  <w:tcW w:w="2790"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以井口为中点，以井架</w:t>
                  </w:r>
                  <w:r>
                    <w:rPr>
                      <w:rFonts w:hint="default" w:ascii="Times New Roman" w:hAnsi="Times New Roman" w:eastAsia="宋体" w:cs="Times New Roman"/>
                      <w:snapToGrid w:val="0"/>
                      <w:color w:val="auto"/>
                      <w:spacing w:val="-10"/>
                      <w:kern w:val="0"/>
                      <w:sz w:val="21"/>
                      <w:szCs w:val="21"/>
                      <w:highlight w:val="none"/>
                      <w:lang w:eastAsia="zh-CN"/>
                    </w:rPr>
                    <w:t>底部</w:t>
                  </w:r>
                  <w:r>
                    <w:rPr>
                      <w:rFonts w:hint="default" w:ascii="Times New Roman" w:hAnsi="Times New Roman" w:eastAsia="宋体" w:cs="Times New Roman"/>
                      <w:snapToGrid w:val="0"/>
                      <w:color w:val="auto"/>
                      <w:spacing w:val="-10"/>
                      <w:kern w:val="0"/>
                      <w:sz w:val="21"/>
                      <w:szCs w:val="21"/>
                      <w:highlight w:val="none"/>
                    </w:rPr>
                    <w:t>的两条垂直平分线的延长线为准线、划分井场的前、后、左、右。</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lang w:val="en-US" w:eastAsia="zh-CN"/>
                    </w:rPr>
                    <w:t>本项目以井口为中心，且平行或垂直于井架底座边线的两条垂线为准线，划分井场的前、后、左、右四部分（以大门口处为前部）。</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585" w:type="dxa"/>
                  <w:vMerge w:val="continue"/>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val="en-US" w:eastAsia="zh-CN"/>
                    </w:rPr>
                  </w:pPr>
                </w:p>
              </w:tc>
              <w:tc>
                <w:tcPr>
                  <w:tcW w:w="2790"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snapToGrid w:val="0"/>
                      <w:color w:val="auto"/>
                      <w:spacing w:val="-10"/>
                      <w:kern w:val="0"/>
                      <w:sz w:val="21"/>
                      <w:szCs w:val="21"/>
                      <w:highlight w:val="none"/>
                    </w:rPr>
                    <w:t>以与大门平行的</w:t>
                  </w:r>
                  <w:r>
                    <w:rPr>
                      <w:rFonts w:hint="default" w:ascii="Times New Roman" w:hAnsi="Times New Roman" w:eastAsia="宋体" w:cs="Times New Roman"/>
                      <w:snapToGrid w:val="0"/>
                      <w:color w:val="auto"/>
                      <w:spacing w:val="-10"/>
                      <w:kern w:val="0"/>
                      <w:sz w:val="21"/>
                      <w:szCs w:val="21"/>
                      <w:highlight w:val="none"/>
                      <w:lang w:val="en-US" w:eastAsia="zh-CN"/>
                    </w:rPr>
                    <w:t>井</w:t>
                  </w:r>
                  <w:r>
                    <w:rPr>
                      <w:rFonts w:hint="default" w:ascii="Times New Roman" w:hAnsi="Times New Roman" w:eastAsia="宋体" w:cs="Times New Roman"/>
                      <w:snapToGrid w:val="0"/>
                      <w:color w:val="auto"/>
                      <w:spacing w:val="-10"/>
                      <w:kern w:val="0"/>
                      <w:sz w:val="21"/>
                      <w:szCs w:val="21"/>
                      <w:highlight w:val="none"/>
                    </w:rPr>
                    <w:t>架底座的垂</w:t>
                  </w:r>
                  <w:r>
                    <w:rPr>
                      <w:rFonts w:hint="default" w:ascii="Times New Roman" w:hAnsi="Times New Roman" w:eastAsia="宋体" w:cs="Times New Roman"/>
                      <w:snapToGrid w:val="0"/>
                      <w:color w:val="auto"/>
                      <w:spacing w:val="-10"/>
                      <w:kern w:val="0"/>
                      <w:sz w:val="21"/>
                      <w:szCs w:val="21"/>
                      <w:highlight w:val="none"/>
                      <w:lang w:val="en-US" w:eastAsia="zh-CN"/>
                    </w:rPr>
                    <w:t>直</w:t>
                  </w:r>
                  <w:r>
                    <w:rPr>
                      <w:rFonts w:hint="default" w:ascii="Times New Roman" w:hAnsi="Times New Roman" w:eastAsia="宋体" w:cs="Times New Roman"/>
                      <w:snapToGrid w:val="0"/>
                      <w:color w:val="auto"/>
                      <w:spacing w:val="-10"/>
                      <w:kern w:val="0"/>
                      <w:sz w:val="21"/>
                      <w:szCs w:val="21"/>
                      <w:highlight w:val="none"/>
                    </w:rPr>
                    <w:t>平分线为准线，大门所在区域为前。</w:t>
                  </w:r>
                </w:p>
              </w:tc>
              <w:tc>
                <w:tcPr>
                  <w:tcW w:w="2475"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lang w:val="en-US" w:eastAsia="zh-CN"/>
                    </w:rPr>
                    <w:t>本项目以井口为中心，且平行或垂直于井架底座边线的两条垂线为准线，划分井场的前、后、左、右四部分（以大门口处为前部）。</w:t>
                  </w:r>
                </w:p>
              </w:tc>
              <w:tc>
                <w:tcPr>
                  <w:tcW w:w="717" w:type="dxa"/>
                  <w:shd w:val="clear" w:color="auto" w:fill="auto"/>
                  <w:noWrap w:val="0"/>
                  <w:tcMar>
                    <w:left w:w="28" w:type="dxa"/>
                    <w:right w:w="28" w:type="dxa"/>
                  </w:tcMar>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lang w:val="en-US" w:eastAsia="zh-CN"/>
                    </w:rPr>
                  </w:pPr>
                  <w:r>
                    <w:rPr>
                      <w:rFonts w:hint="default" w:ascii="Times New Roman" w:hAnsi="Times New Roman" w:eastAsia="宋体" w:cs="Times New Roman"/>
                      <w:snapToGrid w:val="0"/>
                      <w:color w:val="auto"/>
                      <w:spacing w:val="-10"/>
                      <w:kern w:val="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60" w:hRule="atLeast"/>
                <w:jc w:val="center"/>
              </w:trPr>
              <w:tc>
                <w:tcPr>
                  <w:tcW w:w="1023" w:type="dxa"/>
                  <w:vMerge w:val="restart"/>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kern w:val="0"/>
                      <w:sz w:val="21"/>
                      <w:szCs w:val="21"/>
                      <w:highlight w:val="none"/>
                      <w:lang w:val="en-US" w:eastAsia="zh-CN"/>
                    </w:rPr>
                  </w:pPr>
                  <w:r>
                    <w:rPr>
                      <w:rFonts w:hint="default" w:ascii="Times New Roman" w:hAnsi="Times New Roman" w:cs="Times New Roman"/>
                      <w:color w:val="auto"/>
                      <w:spacing w:val="-10"/>
                      <w:kern w:val="0"/>
                      <w:sz w:val="21"/>
                      <w:szCs w:val="21"/>
                      <w:highlight w:val="none"/>
                      <w:lang w:val="en-US" w:eastAsia="zh-CN"/>
                    </w:rPr>
                    <w:t>《石油天然气钻井井控技术要求》（GB/T31033-2025）</w:t>
                  </w:r>
                </w:p>
              </w:tc>
              <w:tc>
                <w:tcPr>
                  <w:tcW w:w="0" w:type="auto"/>
                  <w:gridSpan w:val="2"/>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both"/>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cs="Times New Roman"/>
                      <w:b/>
                      <w:bCs/>
                      <w:color w:val="auto"/>
                      <w:spacing w:val="-10"/>
                      <w:sz w:val="21"/>
                      <w:szCs w:val="21"/>
                      <w:highlight w:val="none"/>
                      <w:lang w:val="en-US" w:eastAsia="zh-CN"/>
                    </w:rPr>
                    <w:t>井口安全距离：</w:t>
                  </w:r>
                  <w:r>
                    <w:rPr>
                      <w:rFonts w:hint="default" w:ascii="Times New Roman" w:hAnsi="Times New Roman" w:cs="Times New Roman"/>
                      <w:color w:val="auto"/>
                      <w:spacing w:val="-10"/>
                      <w:sz w:val="21"/>
                      <w:szCs w:val="21"/>
                      <w:highlight w:val="none"/>
                      <w:lang w:val="en-US" w:eastAsia="zh-CN"/>
                    </w:rPr>
                    <w:t>井口距民宅≥100m，距学校/医院≥500 m。</w:t>
                  </w:r>
                </w:p>
              </w:tc>
              <w:tc>
                <w:tcPr>
                  <w:tcW w:w="2475" w:type="dxa"/>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kern w:val="0"/>
                      <w:sz w:val="21"/>
                      <w:szCs w:val="21"/>
                      <w:highlight w:val="none"/>
                      <w:lang w:val="en-US" w:eastAsia="zh-CN"/>
                    </w:rPr>
                  </w:pPr>
                  <w:r>
                    <w:rPr>
                      <w:rFonts w:hint="default" w:ascii="Times New Roman" w:hAnsi="Times New Roman" w:cs="Times New Roman"/>
                      <w:color w:val="auto"/>
                      <w:spacing w:val="-10"/>
                      <w:kern w:val="0"/>
                      <w:sz w:val="21"/>
                      <w:szCs w:val="21"/>
                      <w:highlight w:val="none"/>
                      <w:lang w:val="en-US" w:eastAsia="zh-CN"/>
                    </w:rPr>
                    <w:t>本项目位于沙漠腹地，周边500m范围内无此类建筑。</w:t>
                  </w:r>
                </w:p>
              </w:tc>
              <w:tc>
                <w:tcPr>
                  <w:tcW w:w="0" w:type="auto"/>
                  <w:shd w:val="clear" w:color="auto" w:fill="auto"/>
                  <w:vAlign w:val="center"/>
                </w:tcPr>
                <w:p>
                  <w:pPr>
                    <w:keepNext w:val="0"/>
                    <w:keepLines w:val="0"/>
                    <w:pageBreakBefore w:val="0"/>
                    <w:widowControl/>
                    <w:suppressLineNumbers w:val="0"/>
                    <w:kinsoku w:val="0"/>
                    <w:wordWrap/>
                    <w:overflowPunct/>
                    <w:autoSpaceDE w:val="0"/>
                    <w:autoSpaceDN w:val="0"/>
                    <w:bidi w:val="0"/>
                    <w:adjustRightInd/>
                    <w:snapToGrid/>
                    <w:spacing w:before="0" w:beforeAutospacing="0" w:after="0" w:afterAutospacing="0" w:line="360" w:lineRule="exact"/>
                    <w:ind w:left="0" w:right="0"/>
                    <w:jc w:val="center"/>
                    <w:textAlignment w:val="baseline"/>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cs="Times New Roman"/>
                      <w:color w:val="auto"/>
                      <w:spacing w:val="-1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cs="Times New Roman"/>
                      <w:color w:val="auto"/>
                      <w:spacing w:val="-10"/>
                      <w:kern w:val="0"/>
                      <w:sz w:val="21"/>
                      <w:szCs w:val="21"/>
                      <w:highlight w:val="none"/>
                      <w:lang w:val="en-US" w:eastAsia="zh-CN"/>
                    </w:rPr>
                  </w:pPr>
                </w:p>
              </w:tc>
              <w:tc>
                <w:tcPr>
                  <w:tcW w:w="0" w:type="auto"/>
                  <w:gridSpan w:val="2"/>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both"/>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cs="Times New Roman"/>
                      <w:b/>
                      <w:bCs/>
                      <w:color w:val="auto"/>
                      <w:spacing w:val="-10"/>
                      <w:sz w:val="21"/>
                      <w:szCs w:val="21"/>
                      <w:highlight w:val="none"/>
                      <w:lang w:val="en-US" w:eastAsia="zh-CN"/>
                    </w:rPr>
                    <w:t>放喷管线：</w:t>
                  </w:r>
                  <w:r>
                    <w:rPr>
                      <w:rFonts w:hint="default" w:ascii="Times New Roman" w:hAnsi="Times New Roman" w:cs="Times New Roman"/>
                      <w:color w:val="auto"/>
                      <w:spacing w:val="-10"/>
                      <w:sz w:val="21"/>
                      <w:szCs w:val="21"/>
                      <w:highlight w:val="none"/>
                      <w:lang w:val="en-US" w:eastAsia="zh-CN"/>
                    </w:rPr>
                    <w:t>含硫井至少2条，出口带点火装置，固定间距10–15 m。</w:t>
                  </w:r>
                </w:p>
              </w:tc>
              <w:tc>
                <w:tcPr>
                  <w:tcW w:w="2475" w:type="dxa"/>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cs="Times New Roman"/>
                      <w:color w:val="auto"/>
                      <w:spacing w:val="-10"/>
                      <w:kern w:val="0"/>
                      <w:sz w:val="21"/>
                      <w:szCs w:val="21"/>
                      <w:highlight w:val="none"/>
                      <w:lang w:val="en-US" w:eastAsia="zh-CN"/>
                    </w:rPr>
                  </w:pPr>
                  <w:r>
                    <w:rPr>
                      <w:rFonts w:hint="default" w:ascii="Times New Roman" w:hAnsi="Times New Roman" w:cs="Times New Roman"/>
                      <w:color w:val="auto"/>
                      <w:spacing w:val="-10"/>
                      <w:kern w:val="0"/>
                      <w:sz w:val="21"/>
                      <w:szCs w:val="21"/>
                      <w:highlight w:val="none"/>
                      <w:lang w:val="en-US" w:eastAsia="zh-CN"/>
                    </w:rPr>
                    <w:t>项目井场两边各设一个放喷池，两个放喷池间距＞15m。</w:t>
                  </w:r>
                </w:p>
              </w:tc>
              <w:tc>
                <w:tcPr>
                  <w:tcW w:w="0" w:type="auto"/>
                  <w:shd w:val="clear" w:color="auto" w:fill="auto"/>
                  <w:vAlign w:val="center"/>
                </w:tcPr>
                <w:p>
                  <w:pPr>
                    <w:keepNext w:val="0"/>
                    <w:keepLines w:val="0"/>
                    <w:pageBreakBefore w:val="0"/>
                    <w:widowControl/>
                    <w:suppressLineNumbers w:val="0"/>
                    <w:kinsoku w:val="0"/>
                    <w:wordWrap/>
                    <w:overflowPunct/>
                    <w:autoSpaceDE w:val="0"/>
                    <w:autoSpaceDN w:val="0"/>
                    <w:bidi w:val="0"/>
                    <w:adjustRightInd/>
                    <w:snapToGrid/>
                    <w:spacing w:before="0" w:beforeAutospacing="0" w:after="0" w:afterAutospacing="0" w:line="360" w:lineRule="exact"/>
                    <w:ind w:left="0" w:right="0"/>
                    <w:jc w:val="center"/>
                    <w:textAlignment w:val="baseline"/>
                    <w:rPr>
                      <w:rFonts w:hint="default" w:ascii="Times New Roman" w:hAnsi="Times New Roman" w:cs="Times New Roman"/>
                      <w:color w:val="auto"/>
                      <w:spacing w:val="-10"/>
                      <w:sz w:val="21"/>
                      <w:szCs w:val="21"/>
                      <w:highlight w:val="none"/>
                      <w:lang w:val="en-US" w:eastAsia="zh-CN"/>
                    </w:rPr>
                  </w:pPr>
                  <w:r>
                    <w:rPr>
                      <w:rFonts w:hint="default" w:ascii="Times New Roman" w:hAnsi="Times New Roman" w:cs="Times New Roman"/>
                      <w:color w:val="auto"/>
                      <w:spacing w:val="-1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restart"/>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w:t>
                  </w:r>
                  <w:r>
                    <w:rPr>
                      <w:rFonts w:hint="default" w:ascii="Times New Roman" w:hAnsi="Times New Roman" w:eastAsia="宋体" w:cs="Times New Roman"/>
                      <w:color w:val="auto"/>
                      <w:spacing w:val="-10"/>
                      <w:kern w:val="0"/>
                      <w:sz w:val="21"/>
                      <w:szCs w:val="21"/>
                      <w:highlight w:val="none"/>
                      <w:lang w:val="en-US" w:eastAsia="zh-CN"/>
                    </w:rPr>
                    <w:t>固体废物综合治理行动计划</w:t>
                  </w:r>
                  <w:r>
                    <w:rPr>
                      <w:rFonts w:hint="default" w:ascii="Times New Roman" w:hAnsi="Times New Roman" w:eastAsia="宋体" w:cs="Times New Roman"/>
                      <w:color w:val="auto"/>
                      <w:spacing w:val="-10"/>
                      <w:kern w:val="0"/>
                      <w:sz w:val="21"/>
                      <w:szCs w:val="21"/>
                      <w:highlight w:val="none"/>
                    </w:rPr>
                    <w:t>》（</w:t>
                  </w:r>
                  <w:r>
                    <w:rPr>
                      <w:rFonts w:hint="default" w:ascii="Times New Roman" w:hAnsi="Times New Roman" w:eastAsia="宋体" w:cs="Times New Roman"/>
                      <w:color w:val="auto"/>
                      <w:spacing w:val="-10"/>
                      <w:kern w:val="0"/>
                      <w:sz w:val="21"/>
                      <w:szCs w:val="21"/>
                      <w:highlight w:val="none"/>
                      <w:lang w:val="en-US" w:eastAsia="zh-CN"/>
                    </w:rPr>
                    <w:t>国</w:t>
                  </w:r>
                  <w:r>
                    <w:rPr>
                      <w:rFonts w:hint="default" w:ascii="Times New Roman" w:hAnsi="Times New Roman" w:eastAsia="宋体" w:cs="Times New Roman"/>
                      <w:color w:val="auto"/>
                      <w:spacing w:val="-10"/>
                      <w:kern w:val="0"/>
                      <w:sz w:val="21"/>
                      <w:szCs w:val="21"/>
                      <w:highlight w:val="none"/>
                    </w:rPr>
                    <w:t>发〔202</w:t>
                  </w:r>
                  <w:r>
                    <w:rPr>
                      <w:rFonts w:hint="default" w:ascii="Times New Roman" w:hAnsi="Times New Roman" w:eastAsia="宋体" w:cs="Times New Roman"/>
                      <w:color w:val="auto"/>
                      <w:spacing w:val="-10"/>
                      <w:kern w:val="0"/>
                      <w:sz w:val="21"/>
                      <w:szCs w:val="21"/>
                      <w:highlight w:val="none"/>
                      <w:lang w:val="en-US" w:eastAsia="zh-CN"/>
                    </w:rPr>
                    <w:t>5</w:t>
                  </w:r>
                  <w:r>
                    <w:rPr>
                      <w:rFonts w:hint="default" w:ascii="Times New Roman" w:hAnsi="Times New Roman" w:eastAsia="宋体" w:cs="Times New Roman"/>
                      <w:color w:val="auto"/>
                      <w:spacing w:val="-10"/>
                      <w:kern w:val="0"/>
                      <w:sz w:val="21"/>
                      <w:szCs w:val="21"/>
                      <w:highlight w:val="none"/>
                    </w:rPr>
                    <w:t>〕</w:t>
                  </w:r>
                  <w:r>
                    <w:rPr>
                      <w:rFonts w:hint="default" w:ascii="Times New Roman" w:hAnsi="Times New Roman" w:eastAsia="宋体" w:cs="Times New Roman"/>
                      <w:color w:val="auto"/>
                      <w:spacing w:val="-10"/>
                      <w:kern w:val="0"/>
                      <w:sz w:val="21"/>
                      <w:szCs w:val="21"/>
                      <w:highlight w:val="none"/>
                      <w:lang w:val="en-US" w:eastAsia="zh-CN"/>
                    </w:rPr>
                    <w:t>14</w:t>
                  </w:r>
                  <w:r>
                    <w:rPr>
                      <w:rFonts w:hint="default" w:ascii="Times New Roman" w:hAnsi="Times New Roman" w:eastAsia="宋体" w:cs="Times New Roman"/>
                      <w:color w:val="auto"/>
                      <w:spacing w:val="-10"/>
                      <w:kern w:val="0"/>
                      <w:sz w:val="21"/>
                      <w:szCs w:val="21"/>
                      <w:highlight w:val="none"/>
                    </w:rPr>
                    <w:t xml:space="preserve"> 号）</w:t>
                  </w:r>
                </w:p>
              </w:tc>
              <w:tc>
                <w:tcPr>
                  <w:tcW w:w="0" w:type="auto"/>
                  <w:gridSpan w:val="2"/>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both"/>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加强大宗工业固体废物无害化预处理，降低</w:t>
                  </w:r>
                </w:p>
                <w:p>
                  <w:pPr>
                    <w:keepNext w:val="0"/>
                    <w:keepLines w:val="0"/>
                    <w:pageBreakBefore w:val="0"/>
                    <w:suppressLineNumbers w:val="0"/>
                    <w:wordWrap/>
                    <w:overflowPunct/>
                    <w:bidi w:val="0"/>
                    <w:adjustRightInd/>
                    <w:snapToGrid/>
                    <w:spacing w:before="0" w:beforeAutospacing="0" w:after="0" w:afterAutospacing="0" w:line="360" w:lineRule="exact"/>
                    <w:ind w:left="0" w:right="0"/>
                    <w:jc w:val="both"/>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贮存填埋量和环境污染风险。因地制宜确定生活垃圾处理方式，合理布局建设生活垃圾焚烧处理设施，鼓励在确保安全稳定运行前提下，协同处置城镇污水处理厂污泥和工业固体废物。新建生活垃圾焚烧项目应同步落实飞灰处理途径，逐步减少飞灰填埋量。优化污泥处理处置结构，压减填埋规模。</w:t>
                  </w:r>
                </w:p>
              </w:tc>
              <w:tc>
                <w:tcPr>
                  <w:tcW w:w="2475" w:type="dxa"/>
                  <w:vMerge w:val="restart"/>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本项目</w:t>
                  </w:r>
                  <w:r>
                    <w:rPr>
                      <w:rFonts w:hint="default" w:ascii="Times New Roman" w:hAnsi="Times New Roman" w:eastAsia="宋体" w:cs="Times New Roman"/>
                      <w:color w:val="auto"/>
                      <w:spacing w:val="-10"/>
                      <w:sz w:val="21"/>
                      <w:szCs w:val="21"/>
                      <w:highlight w:val="none"/>
                    </w:rPr>
                    <w:t>废弃钻井泥浆及岩屑采用“泥浆不落地”工艺，泥浆排入泥浆罐循环使用，完井后拉运至下一口井再利用，</w:t>
                  </w:r>
                  <w:r>
                    <w:rPr>
                      <w:rFonts w:hint="default" w:ascii="Times New Roman" w:hAnsi="Times New Roman" w:eastAsia="宋体" w:cs="Times New Roman"/>
                      <w:snapToGrid w:val="0"/>
                      <w:color w:val="auto"/>
                      <w:spacing w:val="-10"/>
                      <w:kern w:val="0"/>
                      <w:sz w:val="21"/>
                      <w:szCs w:val="21"/>
                      <w:highlight w:val="none"/>
                      <w:lang w:bidi="ar"/>
                    </w:rPr>
                    <w:t>膨润土体系废弃钻井岩屑排入防渗岩屑池干化，经检测达标后，用于井场平整；</w:t>
                  </w:r>
                  <w:r>
                    <w:rPr>
                      <w:rFonts w:hint="eastAsia" w:ascii="Times New Roman" w:cs="Times New Roman"/>
                      <w:color w:val="auto"/>
                      <w:spacing w:val="-10"/>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0"/>
                      <w:sz w:val="21"/>
                      <w:szCs w:val="21"/>
                      <w:highlight w:val="none"/>
                    </w:rPr>
                    <w:t>，处理达标后还原土用于铺垫油区内的井场、道路；沾油废物、废烧碱包装袋、废矿物油及其包装物在危废贮存点（8m</w:t>
                  </w:r>
                  <w:r>
                    <w:rPr>
                      <w:rFonts w:hint="default" w:ascii="Times New Roman" w:hAnsi="Times New Roman" w:eastAsia="宋体" w:cs="Times New Roman"/>
                      <w:color w:val="auto"/>
                      <w:spacing w:val="-10"/>
                      <w:sz w:val="21"/>
                      <w:szCs w:val="21"/>
                      <w:highlight w:val="none"/>
                      <w:vertAlign w:val="superscript"/>
                    </w:rPr>
                    <w:t>2</w:t>
                  </w:r>
                  <w:r>
                    <w:rPr>
                      <w:rFonts w:hint="default" w:ascii="Times New Roman" w:hAnsi="Times New Roman" w:eastAsia="宋体" w:cs="Times New Roman"/>
                      <w:color w:val="auto"/>
                      <w:spacing w:val="-10"/>
                      <w:sz w:val="21"/>
                      <w:szCs w:val="21"/>
                      <w:highlight w:val="none"/>
                    </w:rPr>
                    <w:t>）暂存，定期由有处理资质的单位接收妥善处置；锅炉灰渣及除尘灰送至周边固废填埋场填埋；废布袋由厂家回收处理；生活垃圾及污水处理站污泥规范收集后统一清运至</w:t>
                  </w:r>
                  <w:r>
                    <w:rPr>
                      <w:rFonts w:hint="eastAsia" w:ascii="Times New Roman" w:cs="Times New Roman"/>
                      <w:color w:val="auto"/>
                      <w:spacing w:val="-10"/>
                      <w:sz w:val="21"/>
                      <w:szCs w:val="21"/>
                      <w:highlight w:val="none"/>
                      <w:lang w:eastAsia="zh-CN"/>
                    </w:rPr>
                    <w:t>塔中镇生活垃圾填埋场处理</w:t>
                  </w:r>
                  <w:r>
                    <w:rPr>
                      <w:rFonts w:hint="default" w:ascii="Times New Roman" w:hAnsi="Times New Roman" w:eastAsia="宋体" w:cs="Times New Roman"/>
                      <w:color w:val="auto"/>
                      <w:spacing w:val="-10"/>
                      <w:sz w:val="21"/>
                      <w:szCs w:val="21"/>
                      <w:highlight w:val="none"/>
                      <w:lang w:eastAsia="zh-CN"/>
                    </w:rPr>
                    <w:t>。</w:t>
                  </w:r>
                </w:p>
              </w:tc>
              <w:tc>
                <w:tcPr>
                  <w:tcW w:w="0" w:type="auto"/>
                  <w:shd w:val="clear" w:color="auto" w:fill="auto"/>
                  <w:vAlign w:val="center"/>
                </w:tcPr>
                <w:p>
                  <w:pPr>
                    <w:keepNext w:val="0"/>
                    <w:keepLines w:val="0"/>
                    <w:pageBreakBefore w:val="0"/>
                    <w:widowControl/>
                    <w:suppressLineNumbers w:val="0"/>
                    <w:kinsoku w:val="0"/>
                    <w:wordWrap/>
                    <w:overflowPunct/>
                    <w:autoSpaceDE w:val="0"/>
                    <w:autoSpaceDN w:val="0"/>
                    <w:bidi w:val="0"/>
                    <w:adjustRightInd/>
                    <w:snapToGrid/>
                    <w:spacing w:before="0" w:beforeAutospacing="0" w:after="0" w:afterAutospacing="0" w:line="360" w:lineRule="exact"/>
                    <w:ind w:left="0" w:right="0"/>
                    <w:jc w:val="center"/>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023" w:type="dxa"/>
                  <w:vMerge w:val="continue"/>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10"/>
                      <w:kern w:val="0"/>
                      <w:sz w:val="21"/>
                      <w:szCs w:val="21"/>
                      <w:highlight w:val="none"/>
                    </w:rPr>
                  </w:pPr>
                </w:p>
              </w:tc>
              <w:tc>
                <w:tcPr>
                  <w:tcW w:w="0" w:type="auto"/>
                  <w:gridSpan w:val="2"/>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both"/>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深入开展重点区域非法倾倒处置固体废物排查，及时发现问题并逐一限时整改。依法依规严肃查处违法单位和个人，斩断黑色利益链条。</w:t>
                  </w:r>
                </w:p>
              </w:tc>
              <w:tc>
                <w:tcPr>
                  <w:tcW w:w="2475" w:type="dxa"/>
                  <w:vMerge w:val="continue"/>
                  <w:shd w:val="clear" w:color="auto" w:fill="auto"/>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sz w:val="21"/>
                      <w:szCs w:val="21"/>
                      <w:highlight w:val="none"/>
                    </w:rPr>
                  </w:pPr>
                </w:p>
              </w:tc>
              <w:tc>
                <w:tcPr>
                  <w:tcW w:w="0" w:type="auto"/>
                  <w:shd w:val="clear" w:color="auto" w:fill="auto"/>
                  <w:vAlign w:val="center"/>
                </w:tcPr>
                <w:p>
                  <w:pPr>
                    <w:keepNext w:val="0"/>
                    <w:keepLines w:val="0"/>
                    <w:pageBreakBefore w:val="0"/>
                    <w:widowControl/>
                    <w:suppressLineNumbers w:val="0"/>
                    <w:kinsoku w:val="0"/>
                    <w:wordWrap/>
                    <w:overflowPunct/>
                    <w:autoSpaceDE w:val="0"/>
                    <w:autoSpaceDN w:val="0"/>
                    <w:bidi w:val="0"/>
                    <w:adjustRightInd/>
                    <w:snapToGrid/>
                    <w:spacing w:before="0" w:beforeAutospacing="0" w:after="0" w:afterAutospacing="0" w:line="360" w:lineRule="exact"/>
                    <w:ind w:left="0" w:right="0"/>
                    <w:jc w:val="center"/>
                    <w:textAlignment w:val="baseline"/>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符合</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highlight w:val="none"/>
              </w:rPr>
            </w:pPr>
          </w:p>
        </w:tc>
      </w:tr>
    </w:tbl>
    <w:p>
      <w:pPr>
        <w:pStyle w:val="29"/>
        <w:jc w:val="center"/>
        <w:outlineLvl w:val="0"/>
        <w:rPr>
          <w:rFonts w:hint="default" w:ascii="Times New Roman" w:hAnsi="Times New Roman" w:eastAsia="宋体" w:cs="Times New Roman"/>
          <w:b/>
          <w:bCs/>
          <w:snapToGrid w:val="0"/>
          <w:color w:val="0000FF"/>
          <w:sz w:val="30"/>
          <w:szCs w:val="30"/>
          <w:highlight w:val="none"/>
        </w:rPr>
      </w:pPr>
      <w:r>
        <w:rPr>
          <w:rFonts w:hint="default" w:ascii="Times New Roman" w:hAnsi="Times New Roman" w:eastAsia="宋体" w:cs="Times New Roman"/>
          <w:snapToGrid w:val="0"/>
          <w:color w:val="0000FF"/>
          <w:sz w:val="30"/>
          <w:szCs w:val="30"/>
          <w:highlight w:val="none"/>
        </w:rPr>
        <w:br w:type="page"/>
      </w:r>
      <w:bookmarkStart w:id="11" w:name="_Toc14890"/>
      <w:r>
        <w:rPr>
          <w:rFonts w:hint="default" w:ascii="Times New Roman" w:hAnsi="Times New Roman" w:eastAsia="宋体" w:cs="Times New Roman"/>
          <w:b/>
          <w:bCs/>
          <w:snapToGrid w:val="0"/>
          <w:color w:val="auto"/>
          <w:sz w:val="30"/>
          <w:szCs w:val="30"/>
          <w:highlight w:val="none"/>
        </w:rPr>
        <w:t>二、建设内容</w:t>
      </w:r>
      <w:bookmarkEnd w:id="11"/>
    </w:p>
    <w:tbl>
      <w:tblPr>
        <w:tblStyle w:val="32"/>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96"/>
        <w:gridCol w:w="85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496" w:type="dxa"/>
            <w:noWrap w:val="0"/>
            <w:tcMar>
              <w:left w:w="108" w:type="dxa"/>
              <w:right w:w="108" w:type="dxa"/>
            </w:tcMar>
            <w:vAlign w:val="center"/>
          </w:tcPr>
          <w:p>
            <w:pPr>
              <w:keepNext w:val="0"/>
              <w:keepLines w:val="0"/>
              <w:suppressLineNumbers w:val="0"/>
              <w:autoSpaceDE w:val="0"/>
              <w:autoSpaceDN w:val="0"/>
              <w:adjustRightInd w:val="0"/>
              <w:spacing w:before="0" w:beforeAutospacing="0" w:after="0" w:afterAutospacing="0" w:line="0" w:lineRule="atLeast"/>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地理位置</w:t>
            </w:r>
          </w:p>
        </w:tc>
        <w:tc>
          <w:tcPr>
            <w:tcW w:w="8576"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olor w:val="auto"/>
                <w:sz w:val="24"/>
                <w:highlight w:val="none"/>
                <w:lang w:eastAsia="zh-CN"/>
              </w:rPr>
              <w:t>本项目位于新疆维吾尔自治区巴音郭楞蒙古自治州</w:t>
            </w:r>
            <w:r>
              <w:rPr>
                <w:rFonts w:hint="eastAsia" w:ascii="Times New Roman" w:cs="Times New Roman"/>
                <w:bCs/>
                <w:color w:val="auto"/>
                <w:sz w:val="24"/>
                <w:highlight w:val="none"/>
                <w:lang w:eastAsia="zh-CN"/>
              </w:rPr>
              <w:t>且末县塔中镇东北侧15.8km处</w:t>
            </w:r>
            <w:r>
              <w:rPr>
                <w:rFonts w:hint="default" w:ascii="Times New Roman" w:hAnsi="Times New Roman" w:eastAsia="宋体" w:cs="Times New Roman"/>
                <w:bCs/>
                <w:color w:val="auto"/>
                <w:sz w:val="24"/>
                <w:highlight w:val="none"/>
                <w:lang w:eastAsia="zh-CN"/>
              </w:rPr>
              <w:t>，</w:t>
            </w:r>
            <w:r>
              <w:rPr>
                <w:rFonts w:hint="default" w:ascii="Times New Roman" w:hAnsi="Times New Roman" w:eastAsia="宋体" w:cs="Times New Roman"/>
                <w:bCs/>
                <w:color w:val="auto"/>
                <w:sz w:val="24"/>
                <w:highlight w:val="none"/>
                <w:lang w:val="en-US" w:eastAsia="zh-CN"/>
              </w:rPr>
              <w:t>项目占地类型为</w:t>
            </w:r>
            <w:r>
              <w:rPr>
                <w:rFonts w:hint="eastAsia" w:ascii="Times New Roman" w:cs="Times New Roman"/>
                <w:bCs/>
                <w:color w:val="auto"/>
                <w:sz w:val="24"/>
                <w:highlight w:val="none"/>
                <w:lang w:val="en-US" w:eastAsia="zh-CN"/>
              </w:rPr>
              <w:t>沙地</w:t>
            </w:r>
            <w:r>
              <w:rPr>
                <w:rFonts w:hint="default" w:ascii="Times New Roman" w:hAnsi="Times New Roman" w:eastAsia="宋体" w:cs="Times New Roman"/>
                <w:bCs/>
                <w:color w:val="auto"/>
                <w:sz w:val="24"/>
                <w:highlight w:val="none"/>
                <w:lang w:val="en-US" w:eastAsia="zh-CN"/>
              </w:rPr>
              <w:t>，</w:t>
            </w:r>
            <w:r>
              <w:rPr>
                <w:rFonts w:hint="default" w:ascii="Times New Roman" w:hAnsi="Times New Roman" w:eastAsia="宋体" w:cs="Times New Roman"/>
                <w:bCs/>
                <w:color w:val="auto"/>
                <w:sz w:val="24"/>
                <w:szCs w:val="24"/>
                <w:highlight w:val="none"/>
              </w:rPr>
              <w:t>周边</w:t>
            </w:r>
            <w:r>
              <w:rPr>
                <w:rFonts w:hint="default" w:ascii="Times New Roman" w:hAnsi="Times New Roman" w:eastAsia="宋体" w:cs="Times New Roman"/>
                <w:bCs/>
                <w:color w:val="auto"/>
                <w:sz w:val="24"/>
                <w:szCs w:val="24"/>
                <w:highlight w:val="none"/>
                <w:lang w:val="en-US" w:eastAsia="zh-CN"/>
              </w:rPr>
              <w:t>均为</w:t>
            </w:r>
            <w:r>
              <w:rPr>
                <w:rFonts w:hint="eastAsia" w:ascii="Times New Roman" w:cs="Times New Roman"/>
                <w:bCs/>
                <w:color w:val="auto"/>
                <w:sz w:val="24"/>
                <w:szCs w:val="24"/>
                <w:highlight w:val="none"/>
                <w:lang w:val="en-US" w:eastAsia="zh-CN"/>
              </w:rPr>
              <w:t>沙地</w:t>
            </w:r>
            <w:r>
              <w:rPr>
                <w:rFonts w:hint="default" w:ascii="Times New Roman" w:hAnsi="Times New Roman" w:eastAsia="宋体" w:cs="Times New Roman"/>
                <w:bCs/>
                <w:color w:val="auto"/>
                <w:sz w:val="24"/>
                <w:szCs w:val="24"/>
                <w:highlight w:val="none"/>
              </w:rPr>
              <w:t>。井场中心地理坐标为：</w:t>
            </w:r>
            <w:r>
              <w:rPr>
                <w:rFonts w:hint="default" w:ascii="Times New Roman" w:hAnsi="Times New Roman" w:eastAsia="宋体" w:cs="Times New Roman"/>
                <w:bCs/>
                <w:color w:val="auto"/>
                <w:sz w:val="24"/>
                <w:szCs w:val="24"/>
                <w:highlight w:val="none"/>
                <w:lang w:val="en-US" w:eastAsia="zh-CN"/>
              </w:rPr>
              <w:t>东经</w:t>
            </w:r>
            <w:r>
              <w:rPr>
                <w:rFonts w:hint="default" w:ascii="Times New Roman" w:hAnsi="Times New Roman" w:eastAsia="宋体" w:cs="Times New Roman"/>
                <w:bCs/>
                <w:color w:val="auto"/>
                <w:sz w:val="24"/>
                <w:szCs w:val="24"/>
                <w:highlight w:val="none"/>
              </w:rPr>
              <w:t>83°39′4.10</w:t>
            </w:r>
            <w:r>
              <w:rPr>
                <w:rFonts w:hint="default" w:ascii="Times New Roman" w:hAnsi="Times New Roman" w:eastAsia="宋体" w:cs="Times New Roman"/>
                <w:bCs/>
                <w:color w:val="auto"/>
                <w:sz w:val="24"/>
                <w:szCs w:val="24"/>
                <w:highlight w:val="none"/>
                <w:lang w:val="en-US" w:eastAsia="zh-CN"/>
              </w:rPr>
              <w:t>6</w:t>
            </w:r>
            <w:r>
              <w:rPr>
                <w:rFonts w:hint="default" w:ascii="Times New Roman" w:hAnsi="Times New Roman" w:eastAsia="宋体" w:cs="Times New Roman"/>
                <w:bCs/>
                <w:color w:val="auto"/>
                <w:sz w:val="24"/>
                <w:szCs w:val="24"/>
                <w:highlight w:val="none"/>
              </w:rPr>
              <w:t>″</w:t>
            </w:r>
            <w:r>
              <w:rPr>
                <w:rFonts w:hint="default" w:ascii="Times New Roman" w:hAnsi="Times New Roman" w:eastAsia="宋体" w:cs="Times New Roman"/>
                <w:bCs/>
                <w:color w:val="auto"/>
                <w:sz w:val="24"/>
                <w:szCs w:val="24"/>
                <w:highlight w:val="none"/>
                <w:lang w:eastAsia="zh-CN"/>
              </w:rPr>
              <w:t>，</w:t>
            </w:r>
            <w:r>
              <w:rPr>
                <w:rFonts w:hint="default" w:ascii="Times New Roman" w:hAnsi="Times New Roman" w:eastAsia="宋体" w:cs="Times New Roman"/>
                <w:bCs/>
                <w:color w:val="auto"/>
                <w:sz w:val="24"/>
                <w:szCs w:val="24"/>
                <w:highlight w:val="none"/>
                <w:lang w:val="en-US" w:eastAsia="zh-CN"/>
              </w:rPr>
              <w:t>北纬</w:t>
            </w:r>
            <w:r>
              <w:rPr>
                <w:rFonts w:hint="default" w:ascii="Times New Roman" w:hAnsi="Times New Roman" w:eastAsia="宋体" w:cs="Times New Roman"/>
                <w:bCs/>
                <w:color w:val="auto"/>
                <w:sz w:val="24"/>
                <w:szCs w:val="24"/>
                <w:highlight w:val="none"/>
              </w:rPr>
              <w:t>39°10′50.792″</w:t>
            </w:r>
            <w:r>
              <w:rPr>
                <w:rFonts w:hint="default" w:ascii="Times New Roman" w:hAnsi="Times New Roman" w:eastAsia="宋体" w:cs="Times New Roman"/>
                <w:bCs/>
                <w:color w:val="auto"/>
                <w:sz w:val="24"/>
                <w:highlight w:val="none"/>
                <w:lang w:eastAsia="zh-CN"/>
              </w:rPr>
              <w:t>。本项目地理位置见</w:t>
            </w:r>
            <w:r>
              <w:rPr>
                <w:rFonts w:hint="default" w:ascii="Times New Roman" w:hAnsi="Times New Roman" w:eastAsia="宋体" w:cs="Times New Roman"/>
                <w:bCs/>
                <w:color w:val="auto"/>
                <w:sz w:val="24"/>
                <w:szCs w:val="24"/>
                <w:highlight w:val="none"/>
              </w:rPr>
              <w:t>附图1。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6" w:type="dxa"/>
            <w:noWrap w:val="0"/>
            <w:tcMar>
              <w:left w:w="108" w:type="dxa"/>
              <w:right w:w="108" w:type="dxa"/>
            </w:tcMar>
            <w:vAlign w:val="center"/>
          </w:tcPr>
          <w:p>
            <w:pPr>
              <w:keepNext w:val="0"/>
              <w:keepLines w:val="0"/>
              <w:suppressLineNumbers w:val="0"/>
              <w:autoSpaceDE w:val="0"/>
              <w:autoSpaceDN w:val="0"/>
              <w:adjustRightInd w:val="0"/>
              <w:spacing w:before="0" w:beforeAutospacing="0" w:after="0" w:afterAutospacing="0" w:line="0" w:lineRule="atLeast"/>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szCs w:val="24"/>
                <w:highlight w:val="none"/>
              </w:rPr>
              <w:t>项目组成及规模</w:t>
            </w:r>
          </w:p>
        </w:tc>
        <w:tc>
          <w:tcPr>
            <w:tcW w:w="8576" w:type="dxa"/>
            <w:noWrap w:val="0"/>
            <w:tcMar>
              <w:left w:w="108" w:type="dxa"/>
              <w:right w:w="108" w:type="dxa"/>
            </w:tcMar>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auto"/>
                <w:sz w:val="24"/>
                <w:highlight w:val="none"/>
              </w:rPr>
            </w:pPr>
            <w:r>
              <w:rPr>
                <w:rFonts w:hint="default" w:ascii="Times New Roman" w:hAnsi="Times New Roman" w:eastAsia="宋体" w:cs="Times New Roman"/>
                <w:b/>
                <w:color w:val="auto"/>
                <w:sz w:val="24"/>
                <w:szCs w:val="20"/>
                <w:highlight w:val="none"/>
              </w:rPr>
              <w:t>工程规模及内容</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为满足当前经济发展和人民生活对</w:t>
            </w:r>
            <w:r>
              <w:rPr>
                <w:rFonts w:hint="default" w:ascii="Times New Roman" w:hAnsi="Times New Roman" w:eastAsia="宋体" w:cs="Times New Roman"/>
                <w:color w:val="auto"/>
                <w:sz w:val="24"/>
                <w:highlight w:val="none"/>
                <w:lang w:val="en-US" w:eastAsia="zh-CN"/>
              </w:rPr>
              <w:t>石油、天然气</w:t>
            </w:r>
            <w:r>
              <w:rPr>
                <w:rFonts w:hint="default" w:ascii="Times New Roman" w:hAnsi="Times New Roman" w:eastAsia="宋体" w:cs="Times New Roman"/>
                <w:color w:val="auto"/>
                <w:sz w:val="24"/>
                <w:highlight w:val="none"/>
              </w:rPr>
              <w:t>日益增长的需求，通过勘探了解地质状况，认识</w:t>
            </w:r>
            <w:r>
              <w:rPr>
                <w:rFonts w:hint="default" w:ascii="Times New Roman" w:hAnsi="Times New Roman" w:eastAsia="宋体" w:cs="Times New Roman"/>
                <w:color w:val="auto"/>
                <w:sz w:val="24"/>
                <w:highlight w:val="none"/>
                <w:lang w:val="en-US" w:eastAsia="zh-CN"/>
              </w:rPr>
              <w:t>油气</w:t>
            </w:r>
            <w:r>
              <w:rPr>
                <w:rFonts w:hint="default" w:ascii="Times New Roman" w:hAnsi="Times New Roman" w:eastAsia="宋体" w:cs="Times New Roman"/>
                <w:color w:val="auto"/>
                <w:sz w:val="24"/>
                <w:highlight w:val="none"/>
              </w:rPr>
              <w:t>聚集、保存等条</w:t>
            </w:r>
            <w:r>
              <w:rPr>
                <w:rFonts w:hint="default" w:ascii="Times New Roman" w:hAnsi="Times New Roman" w:eastAsia="宋体" w:cs="Times New Roman"/>
                <w:color w:val="auto"/>
                <w:sz w:val="24"/>
                <w:highlight w:val="none"/>
                <w:lang w:eastAsia="zh-CN"/>
              </w:rPr>
              <w:t>件，确定</w:t>
            </w:r>
            <w:r>
              <w:rPr>
                <w:rFonts w:hint="default" w:ascii="Times New Roman" w:hAnsi="Times New Roman" w:eastAsia="宋体" w:cs="Times New Roman"/>
                <w:color w:val="auto"/>
                <w:sz w:val="24"/>
                <w:highlight w:val="none"/>
                <w:lang w:val="en-US" w:eastAsia="zh-CN"/>
              </w:rPr>
              <w:t>油气</w:t>
            </w:r>
            <w:r>
              <w:rPr>
                <w:rFonts w:hint="default" w:ascii="Times New Roman" w:hAnsi="Times New Roman" w:eastAsia="宋体" w:cs="Times New Roman"/>
                <w:color w:val="auto"/>
                <w:sz w:val="24"/>
                <w:highlight w:val="none"/>
                <w:lang w:eastAsia="zh-CN"/>
              </w:rPr>
              <w:t>聚集的有利地区。为此，中国石油天然气股份有限公司塔里木油田分公司决定投资</w:t>
            </w:r>
            <w:r>
              <w:rPr>
                <w:rFonts w:hint="eastAsia" w:ascii="Times New Roman" w:cs="Times New Roman"/>
                <w:color w:val="auto"/>
                <w:sz w:val="24"/>
                <w:highlight w:val="none"/>
                <w:lang w:val="en-US" w:eastAsia="zh-CN"/>
              </w:rPr>
              <w:t>9900</w:t>
            </w:r>
            <w:r>
              <w:rPr>
                <w:rFonts w:hint="default" w:ascii="Times New Roman" w:hAnsi="Times New Roman" w:eastAsia="宋体" w:cs="Times New Roman"/>
                <w:color w:val="auto"/>
                <w:sz w:val="24"/>
                <w:highlight w:val="none"/>
                <w:lang w:eastAsia="zh-CN"/>
              </w:rPr>
              <w:t>万元，</w:t>
            </w:r>
            <w:r>
              <w:rPr>
                <w:rFonts w:hint="default" w:ascii="Times New Roman" w:hAnsi="Times New Roman" w:eastAsia="宋体" w:cs="Times New Roman"/>
                <w:color w:val="auto"/>
                <w:sz w:val="24"/>
                <w:highlight w:val="none"/>
              </w:rPr>
              <w:t>建设</w:t>
            </w:r>
            <w:r>
              <w:rPr>
                <w:rFonts w:hint="eastAsia" w:ascii="Times New Roman" w:cs="Times New Roman"/>
                <w:color w:val="auto"/>
                <w:sz w:val="24"/>
                <w:highlight w:val="none"/>
                <w:lang w:val="en-US" w:eastAsia="zh-CN"/>
              </w:rPr>
              <w:t>中寒5</w:t>
            </w:r>
            <w:r>
              <w:rPr>
                <w:rFonts w:hint="default" w:ascii="Times New Roman" w:hAnsi="Times New Roman" w:eastAsia="宋体" w:cs="Times New Roman"/>
                <w:color w:val="auto"/>
                <w:sz w:val="24"/>
                <w:highlight w:val="none"/>
                <w:lang w:val="en-US" w:eastAsia="zh-CN"/>
              </w:rPr>
              <w:t>井</w:t>
            </w:r>
            <w:r>
              <w:rPr>
                <w:rFonts w:hint="default" w:ascii="Times New Roman" w:hAnsi="Times New Roman" w:eastAsia="宋体" w:cs="Times New Roman"/>
                <w:color w:val="auto"/>
                <w:sz w:val="24"/>
                <w:highlight w:val="none"/>
                <w:lang w:eastAsia="zh-CN"/>
              </w:rPr>
              <w:t>（勘探井）钻井工程，</w:t>
            </w:r>
            <w:r>
              <w:rPr>
                <w:rFonts w:hint="default" w:ascii="Times New Roman" w:hAnsi="Times New Roman" w:eastAsia="宋体" w:cs="Times New Roman"/>
                <w:color w:val="auto"/>
                <w:sz w:val="24"/>
                <w:highlight w:val="none"/>
                <w:lang w:val="en-US" w:eastAsia="zh-CN"/>
              </w:rPr>
              <w:t>以探索新的油气开发区域</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为实现原油产量稳中上升和天然气快速上产，做好前期勘探准备。</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color w:val="auto"/>
                <w:sz w:val="24"/>
                <w:highlight w:val="none"/>
              </w:rPr>
              <w:t>根据《中华人民共和国生态环境法典</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建设项目环境保护管理条例》和《建设项目环境影响评价分类管理名录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2021年</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》等环境保护法律、法规、规章的规定，本项目属于“四十六、专业技术服务业 99 陆地矿产资源地质勘查（含油气资源勘探）”，且不属于海洋油气勘探工程，应编制环境影响报告表。</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rPr>
              <w:t>1</w:t>
            </w:r>
            <w:r>
              <w:rPr>
                <w:rFonts w:hint="default" w:ascii="Times New Roman" w:hAnsi="Times New Roman" w:eastAsia="宋体" w:cs="Times New Roman"/>
                <w:b/>
                <w:bCs/>
                <w:color w:val="auto"/>
                <w:sz w:val="24"/>
                <w:highlight w:val="none"/>
              </w:rPr>
              <w:t>、</w:t>
            </w:r>
            <w:r>
              <w:rPr>
                <w:rFonts w:hint="default" w:ascii="Times New Roman" w:hAnsi="Times New Roman" w:eastAsia="宋体" w:cs="Times New Roman"/>
                <w:b/>
                <w:color w:val="auto"/>
                <w:sz w:val="24"/>
                <w:szCs w:val="20"/>
                <w:highlight w:val="none"/>
              </w:rPr>
              <w:t>项目名称</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eastAsia="zh-CN"/>
              </w:rPr>
            </w:pPr>
            <w:r>
              <w:rPr>
                <w:rFonts w:hint="eastAsia" w:ascii="Times New Roman" w:cs="Times New Roman"/>
                <w:color w:val="auto"/>
                <w:sz w:val="24"/>
                <w:highlight w:val="none"/>
                <w:lang w:val="en-US" w:eastAsia="zh-CN"/>
              </w:rPr>
              <w:t>中寒5</w:t>
            </w:r>
            <w:r>
              <w:rPr>
                <w:rFonts w:hint="default" w:ascii="Times New Roman" w:hAnsi="Times New Roman" w:eastAsia="宋体" w:cs="Times New Roman"/>
                <w:color w:val="auto"/>
                <w:sz w:val="24"/>
                <w:highlight w:val="none"/>
                <w:lang w:val="en-US" w:eastAsia="zh-CN"/>
              </w:rPr>
              <w:t>井</w:t>
            </w:r>
            <w:r>
              <w:rPr>
                <w:rFonts w:hint="default" w:ascii="Times New Roman" w:hAnsi="Times New Roman" w:eastAsia="宋体" w:cs="Times New Roman"/>
                <w:color w:val="auto"/>
                <w:sz w:val="24"/>
                <w:highlight w:val="none"/>
                <w:lang w:eastAsia="zh-CN"/>
              </w:rPr>
              <w:t>（勘探井）钻井工程</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rPr>
              <w:t>2</w:t>
            </w:r>
            <w:r>
              <w:rPr>
                <w:rFonts w:hint="default" w:ascii="Times New Roman" w:hAnsi="Times New Roman" w:eastAsia="宋体" w:cs="Times New Roman"/>
                <w:b/>
                <w:bCs/>
                <w:color w:val="auto"/>
                <w:sz w:val="24"/>
                <w:highlight w:val="none"/>
              </w:rPr>
              <w:t>、</w:t>
            </w:r>
            <w:r>
              <w:rPr>
                <w:rFonts w:hint="default" w:ascii="Times New Roman" w:hAnsi="Times New Roman" w:eastAsia="宋体" w:cs="Times New Roman"/>
                <w:b/>
                <w:color w:val="auto"/>
                <w:sz w:val="24"/>
                <w:szCs w:val="20"/>
                <w:highlight w:val="none"/>
              </w:rPr>
              <w:t>建设单位</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中国石油天然气股份有限公司塔里木油田分公司。</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rPr>
              <w:t>3</w:t>
            </w:r>
            <w:r>
              <w:rPr>
                <w:rFonts w:hint="default" w:ascii="Times New Roman" w:hAnsi="Times New Roman" w:eastAsia="宋体" w:cs="Times New Roman"/>
                <w:b/>
                <w:bCs/>
                <w:color w:val="auto"/>
                <w:sz w:val="24"/>
                <w:highlight w:val="none"/>
              </w:rPr>
              <w:t>、建设</w:t>
            </w:r>
            <w:r>
              <w:rPr>
                <w:rFonts w:hint="default" w:ascii="Times New Roman" w:hAnsi="Times New Roman" w:eastAsia="宋体" w:cs="Times New Roman"/>
                <w:b/>
                <w:color w:val="auto"/>
                <w:sz w:val="24"/>
                <w:szCs w:val="20"/>
                <w:highlight w:val="none"/>
              </w:rPr>
              <w:t>性质</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新建</w:t>
            </w:r>
            <w:r>
              <w:rPr>
                <w:rFonts w:hint="default" w:ascii="Times New Roman" w:hAnsi="Times New Roman" w:eastAsia="宋体" w:cs="Times New Roman"/>
                <w:color w:val="auto"/>
                <w:sz w:val="24"/>
                <w:szCs w:val="20"/>
                <w:highlight w:val="none"/>
              </w:rPr>
              <w:t>。</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rPr>
              <w:t>4</w:t>
            </w:r>
            <w:r>
              <w:rPr>
                <w:rFonts w:hint="default" w:ascii="Times New Roman" w:hAnsi="Times New Roman" w:eastAsia="宋体" w:cs="Times New Roman"/>
                <w:b/>
                <w:bCs/>
                <w:color w:val="auto"/>
                <w:sz w:val="24"/>
                <w:highlight w:val="none"/>
              </w:rPr>
              <w:t>、项目</w:t>
            </w:r>
            <w:r>
              <w:rPr>
                <w:rFonts w:hint="default" w:ascii="Times New Roman" w:hAnsi="Times New Roman" w:eastAsia="宋体" w:cs="Times New Roman"/>
                <w:b/>
                <w:color w:val="auto"/>
                <w:sz w:val="24"/>
                <w:szCs w:val="20"/>
                <w:highlight w:val="none"/>
              </w:rPr>
              <w:t>投资</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总投资</w:t>
            </w:r>
            <w:r>
              <w:rPr>
                <w:rFonts w:hint="eastAsia" w:ascii="Times New Roman" w:cs="Times New Roman"/>
                <w:color w:val="auto"/>
                <w:sz w:val="24"/>
                <w:highlight w:val="none"/>
                <w:lang w:val="en-US" w:eastAsia="zh-CN"/>
              </w:rPr>
              <w:t>9900</w:t>
            </w:r>
            <w:r>
              <w:rPr>
                <w:rFonts w:hint="default" w:ascii="Times New Roman" w:hAnsi="Times New Roman" w:eastAsia="宋体" w:cs="Times New Roman"/>
                <w:color w:val="auto"/>
                <w:sz w:val="24"/>
                <w:highlight w:val="none"/>
              </w:rPr>
              <w:t>万元，其中环保投资</w:t>
            </w:r>
            <w:r>
              <w:rPr>
                <w:rFonts w:hint="default" w:ascii="Times New Roman" w:hAnsi="Times New Roman" w:eastAsia="宋体" w:cs="Times New Roman"/>
                <w:color w:val="auto"/>
                <w:sz w:val="24"/>
                <w:highlight w:val="none"/>
                <w:lang w:val="en-US" w:eastAsia="zh-CN"/>
              </w:rPr>
              <w:t>150</w:t>
            </w:r>
            <w:r>
              <w:rPr>
                <w:rFonts w:hint="default" w:ascii="Times New Roman" w:hAnsi="Times New Roman" w:eastAsia="宋体" w:cs="Times New Roman"/>
                <w:color w:val="auto"/>
                <w:sz w:val="24"/>
                <w:highlight w:val="none"/>
              </w:rPr>
              <w:t>万元，占总投资的</w:t>
            </w:r>
            <w:r>
              <w:rPr>
                <w:rFonts w:hint="eastAsia" w:ascii="Times New Roman" w:cs="Times New Roman"/>
                <w:color w:val="auto"/>
                <w:sz w:val="24"/>
                <w:highlight w:val="none"/>
                <w:lang w:val="en-US" w:eastAsia="zh-CN"/>
              </w:rPr>
              <w:t>1.5</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rPr>
            </w:pPr>
            <w:r>
              <w:rPr>
                <w:rFonts w:hint="default" w:ascii="Times New Roman" w:hAnsi="Times New Roman" w:eastAsia="宋体" w:cs="Times New Roman"/>
                <w:b/>
                <w:color w:val="auto"/>
                <w:sz w:val="24"/>
                <w:szCs w:val="20"/>
                <w:highlight w:val="none"/>
              </w:rPr>
              <w:t>5</w:t>
            </w:r>
            <w:r>
              <w:rPr>
                <w:rFonts w:hint="default" w:ascii="Times New Roman" w:hAnsi="Times New Roman" w:eastAsia="宋体" w:cs="Times New Roman"/>
                <w:b/>
                <w:bCs/>
                <w:color w:val="auto"/>
                <w:sz w:val="24"/>
                <w:highlight w:val="none"/>
              </w:rPr>
              <w:t>、</w:t>
            </w:r>
            <w:r>
              <w:rPr>
                <w:rFonts w:hint="default" w:ascii="Times New Roman" w:hAnsi="Times New Roman" w:eastAsia="宋体" w:cs="Times New Roman"/>
                <w:b/>
                <w:color w:val="auto"/>
                <w:sz w:val="24"/>
                <w:szCs w:val="20"/>
                <w:highlight w:val="none"/>
              </w:rPr>
              <w:t>占地类型及用地现状</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项目占地主要为</w:t>
            </w:r>
            <w:r>
              <w:rPr>
                <w:rFonts w:hint="eastAsia" w:ascii="Times New Roman" w:cs="Times New Roman"/>
                <w:color w:val="auto"/>
                <w:sz w:val="24"/>
                <w:highlight w:val="none"/>
                <w:lang w:val="en-US" w:eastAsia="zh-CN"/>
              </w:rPr>
              <w:t>沙地</w:t>
            </w:r>
            <w:r>
              <w:rPr>
                <w:rFonts w:hint="default" w:ascii="Times New Roman" w:hAnsi="Times New Roman" w:eastAsia="宋体" w:cs="Times New Roman"/>
                <w:color w:val="auto"/>
                <w:sz w:val="24"/>
                <w:highlight w:val="none"/>
                <w:lang w:val="en-US" w:eastAsia="zh-CN"/>
              </w:rPr>
              <w:t>，不占用基本农田，临时</w:t>
            </w:r>
            <w:r>
              <w:rPr>
                <w:rFonts w:hint="default" w:ascii="Times New Roman" w:hAnsi="Times New Roman" w:eastAsia="宋体" w:cs="Times New Roman"/>
                <w:color w:val="auto"/>
                <w:kern w:val="2"/>
                <w:sz w:val="24"/>
                <w:szCs w:val="24"/>
                <w:highlight w:val="none"/>
                <w:lang w:val="en-US" w:eastAsia="zh-CN"/>
              </w:rPr>
              <w:t>占地面积为</w:t>
            </w:r>
            <w:r>
              <w:rPr>
                <w:rFonts w:hint="eastAsia" w:ascii="Times New Roman" w:cs="Times New Roman"/>
                <w:color w:val="auto"/>
                <w:kern w:val="2"/>
                <w:sz w:val="24"/>
                <w:szCs w:val="24"/>
                <w:highlight w:val="none"/>
                <w:lang w:val="en-US" w:eastAsia="zh-CN"/>
              </w:rPr>
              <w:t>20330</w:t>
            </w:r>
            <w:r>
              <w:rPr>
                <w:rFonts w:hint="default" w:ascii="Times New Roman" w:hAnsi="Times New Roman" w:eastAsia="宋体" w:cs="Times New Roman"/>
                <w:color w:val="auto"/>
                <w:kern w:val="2"/>
                <w:sz w:val="24"/>
                <w:szCs w:val="24"/>
                <w:highlight w:val="none"/>
                <w:lang w:val="en-US" w:eastAsia="zh-CN"/>
              </w:rPr>
              <w:t>m</w:t>
            </w:r>
            <w:r>
              <w:rPr>
                <w:rFonts w:hint="default" w:ascii="Times New Roman" w:hAnsi="Times New Roman" w:eastAsia="宋体" w:cs="Times New Roman"/>
                <w:color w:val="auto"/>
                <w:kern w:val="2"/>
                <w:sz w:val="24"/>
                <w:szCs w:val="24"/>
                <w:highlight w:val="none"/>
                <w:vertAlign w:val="superscript"/>
                <w:lang w:val="en-US" w:eastAsia="zh-CN"/>
              </w:rPr>
              <w:t>2</w:t>
            </w:r>
            <w:r>
              <w:rPr>
                <w:rFonts w:hint="default"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sz w:val="24"/>
                <w:highlight w:val="none"/>
                <w:lang w:bidi="ar"/>
              </w:rPr>
              <w:t>其中井场面积为</w:t>
            </w:r>
            <w:r>
              <w:rPr>
                <w:rFonts w:hint="default" w:ascii="Times New Roman" w:hAnsi="Times New Roman" w:eastAsia="宋体" w:cs="Times New Roman"/>
                <w:color w:val="auto"/>
                <w:sz w:val="24"/>
                <w:highlight w:val="none"/>
                <w:lang w:val="en-US" w:eastAsia="zh-CN" w:bidi="ar"/>
              </w:rPr>
              <w:t>14000</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2</w:t>
            </w:r>
            <w:r>
              <w:rPr>
                <w:rFonts w:hint="eastAsia" w:ascii="Times New Roman" w:cs="Times New Roman"/>
                <w:color w:val="auto"/>
                <w:sz w:val="24"/>
                <w:highlight w:val="none"/>
                <w:lang w:eastAsia="zh-CN"/>
              </w:rPr>
              <w:t>（</w:t>
            </w:r>
            <w:r>
              <w:rPr>
                <w:rFonts w:hint="default" w:ascii="Times New Roman" w:hAnsi="Times New Roman" w:eastAsia="宋体" w:cs="Times New Roman"/>
                <w:color w:val="auto"/>
                <w:sz w:val="24"/>
                <w:highlight w:val="none"/>
              </w:rPr>
              <w:t>100m×140m</w:t>
            </w:r>
            <w:r>
              <w:rPr>
                <w:rFonts w:hint="eastAsia" w:ascii="Times New Roman" w:cs="Times New Roman"/>
                <w:color w:val="auto"/>
                <w:sz w:val="24"/>
                <w:highlight w:val="none"/>
                <w:lang w:eastAsia="zh-CN"/>
              </w:rPr>
              <w:t>）</w:t>
            </w:r>
            <w:r>
              <w:rPr>
                <w:rFonts w:hint="default" w:ascii="Times New Roman" w:hAnsi="Times New Roman" w:eastAsia="宋体" w:cs="Times New Roman"/>
                <w:color w:val="auto"/>
                <w:sz w:val="24"/>
                <w:highlight w:val="none"/>
                <w:lang w:bidi="ar"/>
              </w:rPr>
              <w:t>，生活区</w:t>
            </w:r>
            <w:r>
              <w:rPr>
                <w:rFonts w:hint="default" w:ascii="Times New Roman" w:hAnsi="Times New Roman" w:eastAsia="宋体" w:cs="Times New Roman"/>
                <w:color w:val="auto"/>
                <w:sz w:val="24"/>
                <w:highlight w:val="none"/>
                <w:lang w:val="en-US" w:eastAsia="zh-CN" w:bidi="ar"/>
              </w:rPr>
              <w:t>面积3500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highlight w:val="none"/>
                <w:lang w:bidi="ar"/>
              </w:rPr>
              <w:t>，进场道路</w:t>
            </w:r>
            <w:r>
              <w:rPr>
                <w:rFonts w:hint="default" w:ascii="Times New Roman" w:hAnsi="Times New Roman" w:eastAsia="宋体" w:cs="Times New Roman"/>
                <w:color w:val="auto"/>
                <w:sz w:val="24"/>
                <w:highlight w:val="none"/>
                <w:lang w:val="en-US" w:eastAsia="zh-CN" w:bidi="ar"/>
              </w:rPr>
              <w:t>面积</w:t>
            </w:r>
            <w:r>
              <w:rPr>
                <w:rFonts w:hint="eastAsia" w:ascii="Times New Roman" w:cs="Times New Roman"/>
                <w:color w:val="auto"/>
                <w:sz w:val="24"/>
                <w:highlight w:val="none"/>
                <w:lang w:val="en-US" w:eastAsia="zh-CN" w:bidi="ar"/>
              </w:rPr>
              <w:t>2430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vertAlign w:val="baseline"/>
                <w:lang w:val="en-US" w:eastAsia="zh-CN"/>
              </w:rPr>
              <w:t>其他各类池体占地400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highlight w:val="none"/>
                <w:lang w:eastAsia="zh-CN"/>
              </w:rPr>
              <w:t>。</w:t>
            </w: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w:t>
            </w:r>
            <w:r>
              <w:rPr>
                <w:rFonts w:hint="default"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rPr>
              <w:t>1    项目占地情况一览表</w:t>
            </w:r>
          </w:p>
          <w:tbl>
            <w:tblPr>
              <w:tblStyle w:val="3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2385"/>
              <w:gridCol w:w="1635"/>
              <w:gridCol w:w="1635"/>
              <w:gridCol w:w="1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9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序号</w:t>
                  </w:r>
                </w:p>
              </w:tc>
              <w:tc>
                <w:tcPr>
                  <w:tcW w:w="1428"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项目</w:t>
                  </w:r>
                </w:p>
              </w:tc>
              <w:tc>
                <w:tcPr>
                  <w:tcW w:w="97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 w:val="21"/>
                      <w:szCs w:val="21"/>
                      <w:lang w:val="en-US" w:eastAsia="zh-CN" w:bidi="ar"/>
                    </w:rPr>
                  </w:pPr>
                  <w:r>
                    <w:rPr>
                      <w:rFonts w:hint="default" w:ascii="Times New Roman" w:hAnsi="Times New Roman" w:eastAsia="宋体" w:cs="Times New Roman"/>
                      <w:snapToGrid w:val="0"/>
                      <w:color w:val="auto"/>
                      <w:spacing w:val="0"/>
                      <w:kern w:val="0"/>
                      <w:szCs w:val="21"/>
                      <w:lang w:bidi="ar"/>
                    </w:rPr>
                    <w:t>占地面积</w:t>
                  </w:r>
                </w:p>
              </w:tc>
              <w:tc>
                <w:tcPr>
                  <w:tcW w:w="97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占地性质</w:t>
                  </w:r>
                </w:p>
              </w:tc>
              <w:tc>
                <w:tcPr>
                  <w:tcW w:w="1113"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占地类型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1</w:t>
                  </w:r>
                </w:p>
              </w:tc>
              <w:tc>
                <w:tcPr>
                  <w:tcW w:w="1428"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井场</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top"/>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14000</w:t>
                  </w:r>
                </w:p>
              </w:tc>
              <w:tc>
                <w:tcPr>
                  <w:tcW w:w="97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val="en-US" w:eastAsia="zh-CN" w:bidi="ar"/>
                    </w:rPr>
                    <w:t>临时占地</w:t>
                  </w:r>
                </w:p>
              </w:tc>
              <w:tc>
                <w:tcPr>
                  <w:tcW w:w="1113"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2</w:t>
                  </w:r>
                </w:p>
              </w:tc>
              <w:tc>
                <w:tcPr>
                  <w:tcW w:w="1428"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生活区</w:t>
                  </w:r>
                </w:p>
              </w:tc>
              <w:tc>
                <w:tcPr>
                  <w:tcW w:w="979"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default" w:ascii="Times New Roman" w:hAnsi="Times New Roman" w:eastAsia="宋体" w:cs="Times New Roman"/>
                      <w:snapToGrid w:val="0"/>
                      <w:color w:val="auto"/>
                      <w:spacing w:val="0"/>
                      <w:kern w:val="0"/>
                      <w:szCs w:val="21"/>
                      <w:highlight w:val="none"/>
                      <w:lang w:val="en-US" w:eastAsia="zh-CN" w:bidi="ar"/>
                    </w:rPr>
                    <w:t>3500</w:t>
                  </w:r>
                </w:p>
              </w:tc>
              <w:tc>
                <w:tcPr>
                  <w:tcW w:w="979" w:type="pct"/>
                  <w:tcBorders>
                    <w:left w:val="single" w:color="auto" w:sz="4" w:space="0"/>
                    <w:right w:val="single" w:color="auto" w:sz="4" w:space="0"/>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bidi="ar"/>
                    </w:rPr>
                  </w:pPr>
                  <w:r>
                    <w:rPr>
                      <w:rFonts w:hint="default" w:ascii="Times New Roman" w:hAnsi="Times New Roman" w:eastAsia="宋体" w:cs="Times New Roman"/>
                      <w:bCs/>
                      <w:color w:val="auto"/>
                      <w:spacing w:val="0"/>
                      <w:sz w:val="21"/>
                      <w:szCs w:val="21"/>
                      <w:highlight w:val="none"/>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3</w:t>
                  </w:r>
                </w:p>
              </w:tc>
              <w:tc>
                <w:tcPr>
                  <w:tcW w:w="1428"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进场道路</w:t>
                  </w:r>
                </w:p>
              </w:tc>
              <w:tc>
                <w:tcPr>
                  <w:tcW w:w="979"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 w:val="21"/>
                      <w:szCs w:val="21"/>
                      <w:highlight w:val="none"/>
                      <w:lang w:val="en-US" w:eastAsia="zh-CN" w:bidi="ar"/>
                    </w:rPr>
                    <w:t>2430</w:t>
                  </w:r>
                </w:p>
              </w:tc>
              <w:tc>
                <w:tcPr>
                  <w:tcW w:w="979" w:type="pct"/>
                  <w:tcBorders>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4</w:t>
                  </w:r>
                </w:p>
              </w:tc>
              <w:tc>
                <w:tcPr>
                  <w:tcW w:w="1428"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各类池体</w:t>
                  </w:r>
                </w:p>
              </w:tc>
              <w:tc>
                <w:tcPr>
                  <w:tcW w:w="979"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default" w:ascii="Times New Roman" w:hAnsi="Times New Roman" w:eastAsia="宋体" w:cs="Times New Roman"/>
                      <w:snapToGrid w:val="0"/>
                      <w:color w:val="auto"/>
                      <w:spacing w:val="0"/>
                      <w:kern w:val="0"/>
                      <w:sz w:val="21"/>
                      <w:szCs w:val="21"/>
                      <w:highlight w:val="none"/>
                      <w:lang w:val="en-US" w:eastAsia="zh-CN" w:bidi="ar"/>
                    </w:rPr>
                    <w:t>400</w:t>
                  </w:r>
                </w:p>
              </w:tc>
              <w:tc>
                <w:tcPr>
                  <w:tcW w:w="979" w:type="pct"/>
                  <w:tcBorders>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27"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合计</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lang w:val="en-US" w:eastAsia="zh-CN" w:bidi="ar"/>
                    </w:rPr>
                  </w:pPr>
                  <w:r>
                    <w:rPr>
                      <w:rFonts w:hint="eastAsia" w:ascii="Times New Roman" w:cs="Times New Roman"/>
                      <w:snapToGrid w:val="0"/>
                      <w:color w:val="auto"/>
                      <w:spacing w:val="0"/>
                      <w:kern w:val="0"/>
                      <w:szCs w:val="21"/>
                      <w:highlight w:val="none"/>
                      <w:lang w:val="en-US" w:eastAsia="zh-CN" w:bidi="ar"/>
                    </w:rPr>
                    <w:t>20330</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highlight w:val="none"/>
                      <w:lang w:val="en-US" w:eastAsia="zh-CN" w:bidi="ar"/>
                    </w:rPr>
                  </w:pPr>
                  <w:r>
                    <w:rPr>
                      <w:rFonts w:hint="default" w:ascii="Times New Roman" w:hAnsi="Times New Roman" w:eastAsia="宋体" w:cs="Times New Roman"/>
                      <w:bCs/>
                      <w:color w:val="auto"/>
                      <w:spacing w:val="0"/>
                      <w:sz w:val="21"/>
                      <w:szCs w:val="21"/>
                      <w:highlight w:val="none"/>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bl>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6、建设规模</w:t>
            </w:r>
          </w:p>
          <w:p>
            <w:pPr>
              <w:keepNext w:val="0"/>
              <w:keepLines w:val="0"/>
              <w:pageBreakBefore w:val="0"/>
              <w:widowControl w:val="0"/>
              <w:suppressLineNumbers w:val="0"/>
              <w:tabs>
                <w:tab w:val="left" w:pos="5250"/>
              </w:tabs>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项目建设1口勘探井，目的为探测区域新的油气资源。井型为</w:t>
            </w:r>
            <w:r>
              <w:rPr>
                <w:rFonts w:hint="eastAsia" w:ascii="Times New Roman" w:cs="Times New Roman"/>
                <w:color w:val="auto"/>
                <w:sz w:val="24"/>
                <w:highlight w:val="none"/>
                <w:lang w:val="en-US" w:eastAsia="zh-CN"/>
              </w:rPr>
              <w:t>五开直井</w:t>
            </w:r>
            <w:r>
              <w:rPr>
                <w:rFonts w:hint="default" w:ascii="Times New Roman" w:hAnsi="Times New Roman" w:eastAsia="宋体" w:cs="Times New Roman"/>
                <w:color w:val="auto"/>
                <w:sz w:val="24"/>
                <w:highlight w:val="none"/>
                <w:lang w:val="en-US" w:eastAsia="zh-CN"/>
              </w:rPr>
              <w:t>，设计井深</w:t>
            </w:r>
            <w:r>
              <w:rPr>
                <w:rFonts w:hint="eastAsia" w:ascii="Times New Roman" w:cs="Times New Roman"/>
                <w:color w:val="auto"/>
                <w:sz w:val="24"/>
                <w:highlight w:val="none"/>
                <w:lang w:val="en-US" w:eastAsia="zh-CN"/>
              </w:rPr>
              <w:t>9070</w:t>
            </w:r>
            <w:r>
              <w:rPr>
                <w:rFonts w:hint="default" w:ascii="Times New Roman" w:hAnsi="Times New Roman" w:eastAsia="宋体" w:cs="Times New Roman"/>
                <w:color w:val="auto"/>
                <w:sz w:val="24"/>
                <w:highlight w:val="none"/>
                <w:lang w:val="en-US" w:eastAsia="zh-CN"/>
              </w:rPr>
              <w:t>m，目的层为</w:t>
            </w:r>
            <w:r>
              <w:rPr>
                <w:rFonts w:hint="eastAsia" w:ascii="Times New Roman" w:cs="Times New Roman"/>
                <w:color w:val="auto"/>
                <w:sz w:val="24"/>
                <w:highlight w:val="none"/>
                <w:lang w:val="en-US" w:eastAsia="zh-CN"/>
              </w:rPr>
              <w:t>寒武系吾松格尔、肖尔布拉克组</w:t>
            </w:r>
            <w:r>
              <w:rPr>
                <w:rFonts w:hint="default" w:ascii="Times New Roman" w:hAnsi="Times New Roman" w:eastAsia="宋体" w:cs="Times New Roman"/>
                <w:color w:val="auto"/>
                <w:sz w:val="24"/>
                <w:highlight w:val="none"/>
                <w:lang w:val="en-US" w:eastAsia="zh-CN"/>
              </w:rPr>
              <w:t>，项目基本数据见表2-2。</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表2-</w:t>
            </w:r>
            <w:r>
              <w:rPr>
                <w:rFonts w:hint="default"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rPr>
              <w:t xml:space="preserve">    </w:t>
            </w:r>
            <w:r>
              <w:rPr>
                <w:rFonts w:hint="eastAsia" w:ascii="Times New Roman" w:cs="Times New Roman"/>
                <w:b/>
                <w:bCs/>
                <w:color w:val="auto"/>
                <w:sz w:val="24"/>
                <w:highlight w:val="none"/>
                <w:lang w:val="en-US" w:eastAsia="zh-CN"/>
              </w:rPr>
              <w:t>中寒5</w:t>
            </w:r>
            <w:r>
              <w:rPr>
                <w:rFonts w:hint="default" w:ascii="Times New Roman" w:hAnsi="Times New Roman" w:eastAsia="宋体" w:cs="Times New Roman"/>
                <w:b/>
                <w:bCs/>
                <w:color w:val="auto"/>
                <w:sz w:val="24"/>
                <w:highlight w:val="none"/>
                <w:lang w:val="en-US" w:eastAsia="zh-CN"/>
              </w:rPr>
              <w:t>井</w:t>
            </w:r>
            <w:r>
              <w:rPr>
                <w:rFonts w:hint="default" w:ascii="Times New Roman" w:hAnsi="Times New Roman" w:eastAsia="宋体" w:cs="Times New Roman"/>
                <w:b/>
                <w:bCs/>
                <w:color w:val="auto"/>
                <w:sz w:val="24"/>
                <w:highlight w:val="none"/>
              </w:rPr>
              <w:t>基本数据</w:t>
            </w:r>
          </w:p>
          <w:tbl>
            <w:tblPr>
              <w:tblStyle w:val="32"/>
              <w:tblW w:w="8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39"/>
              <w:gridCol w:w="1852"/>
              <w:gridCol w:w="1800"/>
              <w:gridCol w:w="30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163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井号</w:t>
                  </w:r>
                </w:p>
              </w:tc>
              <w:tc>
                <w:tcPr>
                  <w:tcW w:w="185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eastAsia" w:ascii="Times New Roman" w:cs="Times New Roman"/>
                      <w:color w:val="auto"/>
                      <w:spacing w:val="-10"/>
                      <w:sz w:val="21"/>
                      <w:szCs w:val="21"/>
                      <w:highlight w:val="none"/>
                      <w:lang w:val="en-US" w:eastAsia="zh-CN"/>
                    </w:rPr>
                    <w:t>中寒5</w:t>
                  </w:r>
                  <w:r>
                    <w:rPr>
                      <w:rFonts w:hint="default" w:ascii="Times New Roman" w:hAnsi="Times New Roman" w:eastAsia="宋体" w:cs="Times New Roman"/>
                      <w:color w:val="auto"/>
                      <w:spacing w:val="-10"/>
                      <w:sz w:val="21"/>
                      <w:szCs w:val="21"/>
                      <w:highlight w:val="none"/>
                      <w:lang w:val="en-US" w:eastAsia="zh-CN"/>
                    </w:rPr>
                    <w:t>井</w:t>
                  </w:r>
                </w:p>
              </w:tc>
              <w:tc>
                <w:tcPr>
                  <w:tcW w:w="18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井型</w:t>
                  </w:r>
                </w:p>
              </w:tc>
              <w:tc>
                <w:tcPr>
                  <w:tcW w:w="3047"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eastAsia" w:ascii="Times New Roman" w:cs="Times New Roman"/>
                      <w:color w:val="auto"/>
                      <w:spacing w:val="-10"/>
                      <w:sz w:val="21"/>
                      <w:szCs w:val="21"/>
                      <w:highlight w:val="none"/>
                      <w:lang w:val="en-US" w:eastAsia="zh-CN"/>
                    </w:rPr>
                    <w:t>五开直井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63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地理位置</w:t>
                  </w:r>
                </w:p>
              </w:tc>
              <w:tc>
                <w:tcPr>
                  <w:tcW w:w="6699" w:type="dxa"/>
                  <w:gridSpan w:val="3"/>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新疆维吾尔自治区巴音郭楞蒙古自治州</w:t>
                  </w:r>
                  <w:r>
                    <w:rPr>
                      <w:rFonts w:hint="eastAsia" w:ascii="Times New Roman" w:cs="Times New Roman"/>
                      <w:color w:val="auto"/>
                      <w:spacing w:val="-10"/>
                      <w:sz w:val="21"/>
                      <w:szCs w:val="21"/>
                      <w:highlight w:val="none"/>
                      <w:lang w:eastAsia="zh-CN"/>
                    </w:rPr>
                    <w:t>且末县塔中镇东北侧15.8km处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639" w:type="dxa"/>
                  <w:vMerge w:val="restart"/>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地理坐标</w:t>
                  </w:r>
                </w:p>
              </w:tc>
              <w:tc>
                <w:tcPr>
                  <w:tcW w:w="185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北纬</w:t>
                  </w:r>
                </w:p>
              </w:tc>
              <w:tc>
                <w:tcPr>
                  <w:tcW w:w="4847"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cs="Times New Roman"/>
                      <w:color w:val="auto"/>
                      <w:spacing w:val="-10"/>
                      <w:sz w:val="21"/>
                      <w:szCs w:val="21"/>
                      <w:highlight w:val="none"/>
                      <w:lang w:eastAsia="zh-CN"/>
                    </w:rPr>
                    <w:t>39°10′50.792″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639"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p>
              </w:tc>
              <w:tc>
                <w:tcPr>
                  <w:tcW w:w="185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东经</w:t>
                  </w:r>
                </w:p>
              </w:tc>
              <w:tc>
                <w:tcPr>
                  <w:tcW w:w="4847" w:type="dxa"/>
                  <w:gridSpan w:val="2"/>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cs="Times New Roman"/>
                      <w:color w:val="auto"/>
                      <w:spacing w:val="-10"/>
                      <w:sz w:val="21"/>
                      <w:szCs w:val="21"/>
                      <w:highlight w:val="none"/>
                      <w:lang w:eastAsia="zh-CN"/>
                    </w:rPr>
                    <w:t>83°39′4.106″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2" w:hRule="atLeast"/>
                <w:jc w:val="center"/>
              </w:trPr>
              <w:tc>
                <w:tcPr>
                  <w:tcW w:w="163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地面海拔</w:t>
                  </w:r>
                </w:p>
              </w:tc>
              <w:tc>
                <w:tcPr>
                  <w:tcW w:w="1852"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eastAsia" w:ascii="Times New Roman" w:cs="Times New Roman"/>
                      <w:color w:val="auto"/>
                      <w:spacing w:val="-10"/>
                      <w:sz w:val="21"/>
                      <w:szCs w:val="21"/>
                      <w:highlight w:val="none"/>
                      <w:lang w:val="en-US" w:eastAsia="zh-CN"/>
                    </w:rPr>
                    <w:t>1099</w:t>
                  </w:r>
                  <w:r>
                    <w:rPr>
                      <w:rFonts w:hint="default" w:ascii="Times New Roman" w:hAnsi="Times New Roman" w:eastAsia="宋体" w:cs="Times New Roman"/>
                      <w:color w:val="auto"/>
                      <w:spacing w:val="-10"/>
                      <w:sz w:val="21"/>
                      <w:szCs w:val="21"/>
                      <w:highlight w:val="none"/>
                      <w:lang w:eastAsia="zh-CN"/>
                    </w:rPr>
                    <w:t>m</w:t>
                  </w:r>
                </w:p>
              </w:tc>
              <w:tc>
                <w:tcPr>
                  <w:tcW w:w="18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完井层位</w:t>
                  </w:r>
                </w:p>
              </w:tc>
              <w:tc>
                <w:tcPr>
                  <w:tcW w:w="3047"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eastAsia="zh-CN"/>
                    </w:rPr>
                  </w:pPr>
                  <w:r>
                    <w:rPr>
                      <w:rFonts w:hint="eastAsia" w:ascii="Times New Roman" w:cs="Times New Roman"/>
                      <w:color w:val="auto"/>
                      <w:sz w:val="21"/>
                      <w:szCs w:val="21"/>
                      <w:highlight w:val="none"/>
                      <w:lang w:eastAsia="zh-CN"/>
                    </w:rPr>
                    <w:t>寒武系吾松格尔、肖尔布拉克组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2" w:hRule="atLeast"/>
                <w:jc w:val="center"/>
              </w:trPr>
              <w:tc>
                <w:tcPr>
                  <w:tcW w:w="163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设计井深（垂深）</w:t>
                  </w:r>
                </w:p>
              </w:tc>
              <w:tc>
                <w:tcPr>
                  <w:tcW w:w="185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eastAsia" w:ascii="Times New Roman" w:cs="Times New Roman"/>
                      <w:color w:val="auto"/>
                      <w:spacing w:val="-10"/>
                      <w:sz w:val="21"/>
                      <w:szCs w:val="21"/>
                      <w:highlight w:val="none"/>
                      <w:lang w:val="en-US" w:eastAsia="zh-CN"/>
                    </w:rPr>
                    <w:t>9070</w:t>
                  </w:r>
                  <w:r>
                    <w:rPr>
                      <w:rFonts w:hint="default" w:ascii="Times New Roman" w:hAnsi="Times New Roman" w:eastAsia="宋体" w:cs="Times New Roman"/>
                      <w:color w:val="auto"/>
                      <w:spacing w:val="-10"/>
                      <w:sz w:val="21"/>
                      <w:szCs w:val="21"/>
                      <w:highlight w:val="none"/>
                      <w:lang w:eastAsia="zh-CN"/>
                    </w:rPr>
                    <w:t>m</w:t>
                  </w:r>
                </w:p>
              </w:tc>
              <w:tc>
                <w:tcPr>
                  <w:tcW w:w="180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目的层</w:t>
                  </w:r>
                </w:p>
              </w:tc>
              <w:tc>
                <w:tcPr>
                  <w:tcW w:w="304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eastAsia="zh-CN"/>
                    </w:rPr>
                    <w:t>寒武系吾松格尔、肖尔布拉克组</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
                <w:bCs/>
                <w:color w:val="auto"/>
                <w:sz w:val="24"/>
                <w:szCs w:val="24"/>
                <w:highlight w:val="none"/>
                <w:lang w:val="en-US" w:eastAsia="zh-CN"/>
              </w:rPr>
            </w:pPr>
            <w:bookmarkStart w:id="12" w:name="_Toc30620"/>
            <w:bookmarkStart w:id="13" w:name="_Toc16421"/>
            <w:bookmarkStart w:id="14" w:name="_Toc197412920"/>
            <w:bookmarkStart w:id="15" w:name="_Toc19715"/>
            <w:bookmarkStart w:id="16" w:name="_Toc13753"/>
            <w:bookmarkStart w:id="17" w:name="_Toc197413054"/>
            <w:r>
              <w:rPr>
                <w:rFonts w:hint="eastAsia" w:ascii="Times New Roman" w:cs="Times New Roman"/>
                <w:color w:val="auto"/>
                <w:sz w:val="24"/>
                <w:highlight w:val="none"/>
                <w:lang w:val="en-US" w:eastAsia="zh-CN"/>
              </w:rPr>
              <w:t>中寒5</w:t>
            </w:r>
            <w:r>
              <w:rPr>
                <w:rFonts w:hint="default" w:ascii="Times New Roman" w:hAnsi="Times New Roman" w:eastAsia="宋体" w:cs="Times New Roman"/>
                <w:color w:val="auto"/>
                <w:sz w:val="24"/>
                <w:highlight w:val="none"/>
                <w:lang w:val="en-US" w:eastAsia="zh-CN"/>
              </w:rPr>
              <w:t>井井身结构设计数据表2-3。</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表2-3    项目井身结构及泥浆体系一览表</w:t>
            </w:r>
          </w:p>
          <w:tbl>
            <w:tblPr>
              <w:tblStyle w:val="32"/>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54"/>
              <w:gridCol w:w="1460"/>
              <w:gridCol w:w="690"/>
              <w:gridCol w:w="634"/>
              <w:gridCol w:w="674"/>
              <w:gridCol w:w="749"/>
              <w:gridCol w:w="748"/>
              <w:gridCol w:w="292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 w:type="pct"/>
                  <w:noWrap w:val="0"/>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开钻</w:t>
                  </w:r>
                </w:p>
              </w:tc>
              <w:tc>
                <w:tcPr>
                  <w:tcW w:w="875" w:type="pct"/>
                  <w:noWrap w:val="0"/>
                  <w:vAlign w:val="center"/>
                </w:tcPr>
                <w:p>
                  <w:pPr>
                    <w:keepNext/>
                    <w:keepLines/>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钻头尺寸（钻头直径×深度）</w:t>
                  </w:r>
                </w:p>
              </w:tc>
              <w:tc>
                <w:tcPr>
                  <w:tcW w:w="413" w:type="pct"/>
                  <w:noWrap w:val="0"/>
                  <w:vAlign w:val="center"/>
                </w:tcPr>
                <w:p>
                  <w:pPr>
                    <w:keepNext/>
                    <w:keepLines/>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钻井液体系</w:t>
                  </w:r>
                </w:p>
              </w:tc>
              <w:tc>
                <w:tcPr>
                  <w:tcW w:w="380" w:type="pct"/>
                  <w:noWrap w:val="0"/>
                  <w:vAlign w:val="center"/>
                </w:tcPr>
                <w:p>
                  <w:pPr>
                    <w:keepNext/>
                    <w:keepLines/>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钻井泥浆体系</w:t>
                  </w:r>
                </w:p>
              </w:tc>
              <w:tc>
                <w:tcPr>
                  <w:tcW w:w="404" w:type="pct"/>
                  <w:noWrap w:val="0"/>
                  <w:vAlign w:val="center"/>
                </w:tcPr>
                <w:p>
                  <w:pPr>
                    <w:keepNext/>
                    <w:keepLines/>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泥浆用量m</w:t>
                  </w:r>
                  <w:r>
                    <w:rPr>
                      <w:rFonts w:hint="default" w:ascii="Times New Roman" w:hAnsi="Times New Roman" w:eastAsia="宋体" w:cs="Times New Roman"/>
                      <w:b w:val="0"/>
                      <w:bCs w:val="0"/>
                      <w:color w:val="auto"/>
                      <w:spacing w:val="-10"/>
                      <w:kern w:val="2"/>
                      <w:sz w:val="21"/>
                      <w:szCs w:val="21"/>
                      <w:highlight w:val="none"/>
                      <w:vertAlign w:val="superscript"/>
                      <w:lang w:val="en-US" w:eastAsia="zh-CN" w:bidi="ar-SA"/>
                    </w:rPr>
                    <w:t>3</w:t>
                  </w:r>
                </w:p>
              </w:tc>
              <w:tc>
                <w:tcPr>
                  <w:tcW w:w="449" w:type="pct"/>
                  <w:noWrap w:val="0"/>
                  <w:vAlign w:val="center"/>
                </w:tcPr>
                <w:p>
                  <w:pPr>
                    <w:keepNext/>
                    <w:keepLines/>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污染物</w:t>
                  </w:r>
                </w:p>
              </w:tc>
              <w:tc>
                <w:tcPr>
                  <w:tcW w:w="448" w:type="pct"/>
                  <w:noWrap w:val="0"/>
                  <w:vAlign w:val="center"/>
                </w:tcPr>
                <w:p>
                  <w:pPr>
                    <w:keepNext/>
                    <w:keepLines/>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岩屑产生量m</w:t>
                  </w:r>
                  <w:r>
                    <w:rPr>
                      <w:rFonts w:hint="default" w:ascii="Times New Roman" w:hAnsi="Times New Roman" w:eastAsia="宋体" w:cs="Times New Roman"/>
                      <w:b w:val="0"/>
                      <w:bCs w:val="0"/>
                      <w:color w:val="auto"/>
                      <w:spacing w:val="-10"/>
                      <w:kern w:val="2"/>
                      <w:sz w:val="21"/>
                      <w:szCs w:val="21"/>
                      <w:highlight w:val="none"/>
                      <w:vertAlign w:val="superscript"/>
                      <w:lang w:val="en-US" w:eastAsia="zh-CN" w:bidi="ar-SA"/>
                    </w:rPr>
                    <w:t>3</w:t>
                  </w:r>
                </w:p>
              </w:tc>
              <w:tc>
                <w:tcPr>
                  <w:tcW w:w="1755" w:type="pct"/>
                  <w:noWrap w:val="0"/>
                  <w:vAlign w:val="center"/>
                </w:tcPr>
                <w:p>
                  <w:pPr>
                    <w:keepNext/>
                    <w:keepLines/>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b w:val="0"/>
                      <w:bCs w:val="0"/>
                      <w:color w:val="auto"/>
                      <w:spacing w:val="-10"/>
                      <w:kern w:val="2"/>
                      <w:sz w:val="21"/>
                      <w:szCs w:val="21"/>
                      <w:highlight w:val="none"/>
                      <w:lang w:val="en-US" w:eastAsia="zh-CN" w:bidi="ar-SA"/>
                    </w:rPr>
                  </w:pPr>
                  <w:r>
                    <w:rPr>
                      <w:rFonts w:hint="default" w:ascii="Times New Roman" w:hAnsi="Times New Roman" w:eastAsia="宋体" w:cs="Times New Roman"/>
                      <w:b w:val="0"/>
                      <w:bCs w:val="0"/>
                      <w:color w:val="auto"/>
                      <w:spacing w:val="-10"/>
                      <w:kern w:val="2"/>
                      <w:sz w:val="21"/>
                      <w:szCs w:val="21"/>
                      <w:highlight w:val="none"/>
                      <w:lang w:val="en-US" w:eastAsia="zh-CN" w:bidi="ar-SA"/>
                    </w:rPr>
                    <w:t>治理措施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27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
                      <w:sz w:val="21"/>
                      <w:szCs w:val="21"/>
                      <w:highlight w:val="none"/>
                      <w:lang w:val="en-US" w:eastAsia="zh-CN" w:bidi="ar-SA"/>
                    </w:rPr>
                    <w:t>一开</w:t>
                  </w:r>
                </w:p>
              </w:tc>
              <w:tc>
                <w:tcPr>
                  <w:tcW w:w="875" w:type="pc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571.5</w:t>
                  </w:r>
                  <w:r>
                    <w:rPr>
                      <w:rFonts w:hint="default" w:ascii="Times New Roman" w:hAnsi="Times New Roman" w:eastAsia="宋体" w:cs="Times New Roman"/>
                      <w:color w:val="auto"/>
                      <w:spacing w:val="-10"/>
                      <w:sz w:val="21"/>
                      <w:szCs w:val="21"/>
                      <w:highlight w:val="none"/>
                    </w:rPr>
                    <w:t>mm×</w:t>
                  </w:r>
                </w:p>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(0～</w:t>
                  </w:r>
                  <w:r>
                    <w:rPr>
                      <w:rFonts w:hint="eastAsia" w:ascii="Times New Roman" w:cs="Times New Roman"/>
                      <w:color w:val="auto"/>
                      <w:spacing w:val="-10"/>
                      <w:sz w:val="21"/>
                      <w:szCs w:val="21"/>
                      <w:highlight w:val="none"/>
                      <w:lang w:val="en-US" w:eastAsia="zh-CN"/>
                    </w:rPr>
                    <w:t>1200</w:t>
                  </w:r>
                  <w:r>
                    <w:rPr>
                      <w:rFonts w:hint="default" w:ascii="Times New Roman" w:hAnsi="Times New Roman" w:eastAsia="宋体" w:cs="Times New Roman"/>
                      <w:color w:val="auto"/>
                      <w:spacing w:val="-10"/>
                      <w:sz w:val="21"/>
                      <w:szCs w:val="21"/>
                      <w:highlight w:val="none"/>
                    </w:rPr>
                    <w:t>)m</w:t>
                  </w:r>
                </w:p>
              </w:tc>
              <w:tc>
                <w:tcPr>
                  <w:tcW w:w="413"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4"/>
                      <w:sz w:val="21"/>
                      <w:szCs w:val="21"/>
                      <w:highlight w:val="none"/>
                    </w:rPr>
                    <w:t>膨润土-聚合物</w:t>
                  </w:r>
                </w:p>
              </w:tc>
              <w:tc>
                <w:tcPr>
                  <w:tcW w:w="380"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膨润土体系泥浆</w:t>
                  </w:r>
                </w:p>
              </w:tc>
              <w:tc>
                <w:tcPr>
                  <w:tcW w:w="404"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277.11</w:t>
                  </w:r>
                </w:p>
              </w:tc>
              <w:tc>
                <w:tcPr>
                  <w:tcW w:w="449"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膨润土钻井岩屑</w:t>
                  </w:r>
                </w:p>
              </w:tc>
              <w:tc>
                <w:tcPr>
                  <w:tcW w:w="448"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677.21</w:t>
                  </w:r>
                </w:p>
              </w:tc>
              <w:tc>
                <w:tcPr>
                  <w:tcW w:w="1755"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outlineLvl w:val="9"/>
                    <w:rPr>
                      <w:rFonts w:hint="eastAsia"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rPr>
                    <w:t>岩屑随钻井泥浆带出，采用“泥浆不落地”工艺收集，泥浆排入泥浆罐循环使用，完井后拉运至下一口井再利用</w:t>
                  </w:r>
                  <w:r>
                    <w:rPr>
                      <w:rFonts w:hint="eastAsia" w:ascii="Times New Roman" w:cs="Times New Roman"/>
                      <w:color w:val="auto"/>
                      <w:spacing w:val="-10"/>
                      <w:sz w:val="21"/>
                      <w:szCs w:val="21"/>
                      <w:highlight w:val="none"/>
                      <w:lang w:eastAsia="zh-CN"/>
                    </w:rPr>
                    <w:t>；膨润土体系废弃钻井岩屑排入防渗岩屑池干化</w:t>
                  </w:r>
                  <w:r>
                    <w:rPr>
                      <w:rFonts w:hint="default" w:ascii="Times New Roman" w:hAnsi="Times New Roman" w:eastAsia="宋体" w:cs="Times New Roman"/>
                      <w:color w:val="auto"/>
                      <w:spacing w:val="-10"/>
                      <w:sz w:val="21"/>
                      <w:szCs w:val="21"/>
                      <w:highlight w:val="none"/>
                    </w:rPr>
                    <w:t>，达到《油气田钻井固体废物综合利用污染控制要求》</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DB65/T3997-2017</w:t>
                  </w:r>
                  <w:r>
                    <w:rPr>
                      <w:rFonts w:hint="default" w:ascii="Times New Roman" w:hAnsi="Times New Roman" w:eastAsia="宋体" w:cs="Times New Roman"/>
                      <w:color w:val="auto"/>
                      <w:spacing w:val="-10"/>
                      <w:sz w:val="21"/>
                      <w:szCs w:val="21"/>
                      <w:highlight w:val="none"/>
                      <w:lang w:eastAsia="zh-CN"/>
                    </w:rPr>
                    <w:t>）</w:t>
                  </w:r>
                  <w:r>
                    <w:rPr>
                      <w:rFonts w:hint="eastAsia" w:ascii="Times New Roman" w:cs="Times New Roman"/>
                      <w:color w:val="auto"/>
                      <w:spacing w:val="-10"/>
                      <w:sz w:val="21"/>
                      <w:szCs w:val="21"/>
                      <w:highlight w:val="none"/>
                      <w:lang w:val="en-US" w:eastAsia="zh-CN"/>
                    </w:rPr>
                    <w:t>及《石油天然气开采业固体废物污染控制技术规范（试行）》（HJ1461-2026）</w:t>
                  </w:r>
                  <w:r>
                    <w:rPr>
                      <w:rFonts w:hint="default" w:ascii="Times New Roman" w:hAnsi="Times New Roman" w:eastAsia="宋体" w:cs="Times New Roman"/>
                      <w:color w:val="auto"/>
                      <w:spacing w:val="-10"/>
                      <w:sz w:val="21"/>
                      <w:szCs w:val="21"/>
                      <w:highlight w:val="none"/>
                    </w:rPr>
                    <w:t>标准后，用于井场平整</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聚磺体系废弃钻井岩屑在井场环保罐暂存，根据生产情况转运至</w:t>
                  </w:r>
                  <w:r>
                    <w:rPr>
                      <w:rFonts w:hint="default" w:ascii="Times New Roman" w:hAnsi="Times New Roman" w:eastAsia="宋体" w:cs="Times New Roman"/>
                      <w:snapToGrid w:val="0"/>
                      <w:color w:val="auto"/>
                      <w:spacing w:val="-10"/>
                      <w:kern w:val="0"/>
                      <w:sz w:val="21"/>
                      <w:szCs w:val="21"/>
                      <w:highlight w:val="none"/>
                      <w:lang w:val="en-US" w:eastAsia="zh-CN" w:bidi="ar"/>
                    </w:rPr>
                    <w:t>塔中钻试修废弃物环保处理站</w:t>
                  </w:r>
                  <w:r>
                    <w:rPr>
                      <w:rFonts w:hint="default" w:ascii="Times New Roman" w:hAnsi="Times New Roman" w:eastAsia="宋体" w:cs="Times New Roman"/>
                      <w:color w:val="auto"/>
                      <w:spacing w:val="-10"/>
                      <w:sz w:val="21"/>
                      <w:szCs w:val="21"/>
                      <w:highlight w:val="none"/>
                    </w:rPr>
                    <w:t>处置</w:t>
                  </w:r>
                  <w:r>
                    <w:rPr>
                      <w:rFonts w:hint="default" w:ascii="Times New Roman" w:hAnsi="Times New Roman" w:eastAsia="宋体"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95" w:hRule="atLeast"/>
                <w:jc w:val="center"/>
              </w:trPr>
              <w:tc>
                <w:tcPr>
                  <w:tcW w:w="272"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cs="Times New Roman"/>
                      <w:color w:val="auto"/>
                      <w:spacing w:val="-10"/>
                      <w:kern w:val="2"/>
                      <w:sz w:val="21"/>
                      <w:szCs w:val="21"/>
                      <w:highlight w:val="none"/>
                      <w:lang w:val="en-US" w:eastAsia="zh-CN" w:bidi="ar-SA"/>
                    </w:rPr>
                    <w:t>二开</w:t>
                  </w:r>
                </w:p>
              </w:tc>
              <w:tc>
                <w:tcPr>
                  <w:tcW w:w="875"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431.8</w:t>
                  </w:r>
                  <w:r>
                    <w:rPr>
                      <w:rFonts w:hint="default" w:ascii="Times New Roman" w:hAnsi="Times New Roman" w:eastAsia="宋体" w:cs="Times New Roman"/>
                      <w:color w:val="auto"/>
                      <w:spacing w:val="-10"/>
                      <w:sz w:val="21"/>
                      <w:szCs w:val="21"/>
                      <w:highlight w:val="none"/>
                    </w:rPr>
                    <w:t>mm×</w:t>
                  </w:r>
                </w:p>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1200</w:t>
                  </w: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5127</w:t>
                  </w:r>
                  <w:r>
                    <w:rPr>
                      <w:rFonts w:hint="default" w:ascii="Times New Roman" w:hAnsi="Times New Roman" w:eastAsia="宋体" w:cs="Times New Roman"/>
                      <w:color w:val="auto"/>
                      <w:spacing w:val="-10"/>
                      <w:sz w:val="21"/>
                      <w:szCs w:val="21"/>
                      <w:highlight w:val="none"/>
                    </w:rPr>
                    <w:t>)m</w:t>
                  </w:r>
                </w:p>
              </w:tc>
              <w:tc>
                <w:tcPr>
                  <w:tcW w:w="413"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4"/>
                      <w:sz w:val="21"/>
                      <w:szCs w:val="21"/>
                      <w:highlight w:val="none"/>
                    </w:rPr>
                  </w:pPr>
                </w:p>
              </w:tc>
              <w:tc>
                <w:tcPr>
                  <w:tcW w:w="380"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404"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both"/>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320.28</w:t>
                  </w:r>
                </w:p>
              </w:tc>
              <w:tc>
                <w:tcPr>
                  <w:tcW w:w="449"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448"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708.76</w:t>
                  </w:r>
                </w:p>
              </w:tc>
              <w:tc>
                <w:tcPr>
                  <w:tcW w:w="1755"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outlineLvl w:val="9"/>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97" w:hRule="atLeast"/>
                <w:jc w:val="center"/>
              </w:trPr>
              <w:tc>
                <w:tcPr>
                  <w:tcW w:w="272"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color w:val="auto"/>
                    </w:rPr>
                  </w:pPr>
                </w:p>
              </w:tc>
              <w:tc>
                <w:tcPr>
                  <w:tcW w:w="875"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color w:val="auto"/>
                    </w:rPr>
                  </w:pPr>
                </w:p>
              </w:tc>
              <w:tc>
                <w:tcPr>
                  <w:tcW w:w="413"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z w:val="21"/>
                      <w:szCs w:val="21"/>
                      <w:highlight w:val="none"/>
                    </w:rPr>
                    <w:t>KCl-聚磺体系</w:t>
                  </w:r>
                  <w:r>
                    <w:rPr>
                      <w:rFonts w:hint="default" w:ascii="Times New Roman" w:hAnsi="Times New Roman" w:eastAsia="宋体" w:cs="Times New Roman"/>
                      <w:color w:val="auto"/>
                      <w:sz w:val="21"/>
                      <w:szCs w:val="21"/>
                      <w:highlight w:val="none"/>
                      <w:lang w:val="en-US" w:eastAsia="zh-CN"/>
                    </w:rPr>
                    <w:t>泥浆</w:t>
                  </w:r>
                </w:p>
              </w:tc>
              <w:tc>
                <w:tcPr>
                  <w:tcW w:w="380"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磺化体系泥浆</w:t>
                  </w:r>
                </w:p>
              </w:tc>
              <w:tc>
                <w:tcPr>
                  <w:tcW w:w="404" w:type="pc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4"/>
                      <w:sz w:val="21"/>
                      <w:szCs w:val="21"/>
                      <w:highlight w:val="none"/>
                      <w:lang w:val="en-US" w:eastAsia="zh-CN"/>
                    </w:rPr>
                  </w:pPr>
                  <w:r>
                    <w:rPr>
                      <w:rFonts w:hint="eastAsia" w:ascii="Times New Roman" w:cs="Times New Roman"/>
                      <w:color w:val="auto"/>
                      <w:spacing w:val="4"/>
                      <w:sz w:val="21"/>
                      <w:szCs w:val="21"/>
                      <w:highlight w:val="none"/>
                      <w:lang w:val="en-US" w:eastAsia="zh-CN"/>
                    </w:rPr>
                    <w:t>268.62</w:t>
                  </w:r>
                </w:p>
              </w:tc>
              <w:tc>
                <w:tcPr>
                  <w:tcW w:w="449" w:type="pct"/>
                  <w:vMerge w:val="restar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聚磺钻井岩屑</w:t>
                  </w:r>
                </w:p>
              </w:tc>
              <w:tc>
                <w:tcPr>
                  <w:tcW w:w="448" w:type="pc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4"/>
                      <w:sz w:val="21"/>
                      <w:szCs w:val="21"/>
                      <w:highlight w:val="none"/>
                      <w:lang w:val="en-US" w:eastAsia="zh-CN"/>
                    </w:rPr>
                  </w:pPr>
                  <w:r>
                    <w:rPr>
                      <w:rFonts w:hint="eastAsia" w:ascii="Times New Roman" w:cs="Times New Roman"/>
                      <w:color w:val="auto"/>
                      <w:spacing w:val="4"/>
                      <w:sz w:val="21"/>
                      <w:szCs w:val="21"/>
                      <w:highlight w:val="none"/>
                      <w:lang w:val="en-US" w:eastAsia="zh-CN"/>
                    </w:rPr>
                    <w:t>556.38</w:t>
                  </w:r>
                </w:p>
              </w:tc>
              <w:tc>
                <w:tcPr>
                  <w:tcW w:w="1755"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outlineLvl w:val="9"/>
                    <w:rPr>
                      <w:rFonts w:hint="default" w:ascii="Times New Roman" w:hAnsi="Times New Roman" w:eastAsia="宋体" w:cs="Times New Roman"/>
                      <w:color w:val="auto"/>
                      <w:spacing w:val="-10"/>
                      <w:sz w:val="21"/>
                      <w:szCs w:val="21"/>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cs="Times New Roman"/>
                      <w:color w:val="auto"/>
                      <w:spacing w:val="-10"/>
                      <w:kern w:val="2"/>
                      <w:sz w:val="21"/>
                      <w:szCs w:val="21"/>
                      <w:highlight w:val="none"/>
                      <w:lang w:val="en-US" w:eastAsia="zh-CN" w:bidi="ar-SA"/>
                    </w:rPr>
                    <w:t>三</w:t>
                  </w:r>
                  <w:r>
                    <w:rPr>
                      <w:rFonts w:hint="default" w:ascii="Times New Roman" w:hAnsi="Times New Roman" w:eastAsia="宋体" w:cs="Times New Roman"/>
                      <w:color w:val="auto"/>
                      <w:spacing w:val="-10"/>
                      <w:kern w:val="2"/>
                      <w:sz w:val="21"/>
                      <w:szCs w:val="21"/>
                      <w:highlight w:val="none"/>
                      <w:lang w:val="en-US" w:eastAsia="zh-CN" w:bidi="ar-SA"/>
                    </w:rPr>
                    <w:t>开</w:t>
                  </w:r>
                </w:p>
              </w:tc>
              <w:tc>
                <w:tcPr>
                  <w:tcW w:w="875" w:type="pc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311.2</w:t>
                  </w:r>
                  <w:r>
                    <w:rPr>
                      <w:rFonts w:hint="default" w:ascii="Times New Roman" w:hAnsi="Times New Roman" w:eastAsia="宋体" w:cs="Times New Roman"/>
                      <w:color w:val="auto"/>
                      <w:spacing w:val="-10"/>
                      <w:sz w:val="21"/>
                      <w:szCs w:val="21"/>
                      <w:highlight w:val="none"/>
                    </w:rPr>
                    <w:t>mm×</w:t>
                  </w:r>
                </w:p>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5127</w:t>
                  </w: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8442</w:t>
                  </w:r>
                  <w:r>
                    <w:rPr>
                      <w:rFonts w:hint="default" w:ascii="Times New Roman" w:hAnsi="Times New Roman" w:eastAsia="宋体" w:cs="Times New Roman"/>
                      <w:color w:val="auto"/>
                      <w:spacing w:val="-10"/>
                      <w:sz w:val="21"/>
                      <w:szCs w:val="21"/>
                      <w:highlight w:val="none"/>
                    </w:rPr>
                    <w:t>)m</w:t>
                  </w:r>
                </w:p>
              </w:tc>
              <w:tc>
                <w:tcPr>
                  <w:tcW w:w="413"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380"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404"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325.41</w:t>
                  </w:r>
                </w:p>
              </w:tc>
              <w:tc>
                <w:tcPr>
                  <w:tcW w:w="449"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448"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554.72</w:t>
                  </w:r>
                </w:p>
              </w:tc>
              <w:tc>
                <w:tcPr>
                  <w:tcW w:w="1755"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outlineLvl w:val="9"/>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cs="Times New Roman"/>
                      <w:color w:val="auto"/>
                      <w:spacing w:val="-10"/>
                      <w:kern w:val="2"/>
                      <w:sz w:val="21"/>
                      <w:szCs w:val="21"/>
                      <w:highlight w:val="none"/>
                      <w:lang w:val="en-US" w:eastAsia="zh-CN" w:bidi="ar-SA"/>
                    </w:rPr>
                    <w:t>四</w:t>
                  </w:r>
                  <w:r>
                    <w:rPr>
                      <w:rFonts w:hint="default" w:ascii="Times New Roman" w:hAnsi="Times New Roman" w:eastAsia="宋体" w:cs="Times New Roman"/>
                      <w:color w:val="auto"/>
                      <w:spacing w:val="-10"/>
                      <w:kern w:val="2"/>
                      <w:sz w:val="21"/>
                      <w:szCs w:val="21"/>
                      <w:highlight w:val="none"/>
                      <w:lang w:val="en-US" w:eastAsia="zh-CN" w:bidi="ar-SA"/>
                    </w:rPr>
                    <w:t>开</w:t>
                  </w:r>
                </w:p>
              </w:tc>
              <w:tc>
                <w:tcPr>
                  <w:tcW w:w="875" w:type="pc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215.9</w:t>
                  </w:r>
                  <w:r>
                    <w:rPr>
                      <w:rFonts w:hint="default" w:ascii="Times New Roman" w:hAnsi="Times New Roman" w:eastAsia="宋体" w:cs="Times New Roman"/>
                      <w:color w:val="auto"/>
                      <w:spacing w:val="-10"/>
                      <w:sz w:val="21"/>
                      <w:szCs w:val="21"/>
                      <w:highlight w:val="none"/>
                    </w:rPr>
                    <w:t>mm×</w:t>
                  </w:r>
                </w:p>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(8442</w:t>
                  </w: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8635</w:t>
                  </w:r>
                  <w:r>
                    <w:rPr>
                      <w:rFonts w:hint="default" w:ascii="Times New Roman" w:hAnsi="Times New Roman" w:eastAsia="宋体" w:cs="Times New Roman"/>
                      <w:color w:val="auto"/>
                      <w:spacing w:val="-10"/>
                      <w:sz w:val="21"/>
                      <w:szCs w:val="21"/>
                      <w:highlight w:val="none"/>
                    </w:rPr>
                    <w:t>)m</w:t>
                  </w:r>
                </w:p>
              </w:tc>
              <w:tc>
                <w:tcPr>
                  <w:tcW w:w="413"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380"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lang w:val="en-US" w:eastAsia="zh-CN"/>
                    </w:rPr>
                  </w:pPr>
                </w:p>
              </w:tc>
              <w:tc>
                <w:tcPr>
                  <w:tcW w:w="404"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91.76</w:t>
                  </w:r>
                </w:p>
              </w:tc>
              <w:tc>
                <w:tcPr>
                  <w:tcW w:w="449"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448"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21.16</w:t>
                  </w:r>
                </w:p>
              </w:tc>
              <w:tc>
                <w:tcPr>
                  <w:tcW w:w="1755"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outlineLvl w:val="9"/>
                    <w:rPr>
                      <w:rFonts w:hint="default" w:ascii="Times New Roman" w:hAnsi="Times New Roman" w:eastAsia="宋体" w:cs="Times New Roman"/>
                      <w:color w:val="auto"/>
                      <w:spacing w:val="-10"/>
                      <w:sz w:val="21"/>
                      <w:szCs w:val="21"/>
                      <w:highlight w:val="none"/>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cs="Times New Roman"/>
                      <w:color w:val="auto"/>
                      <w:spacing w:val="-10"/>
                      <w:kern w:val="2"/>
                      <w:sz w:val="21"/>
                      <w:szCs w:val="21"/>
                      <w:highlight w:val="none"/>
                      <w:lang w:val="en-US" w:eastAsia="zh-CN" w:bidi="ar-SA"/>
                    </w:rPr>
                    <w:t>五</w:t>
                  </w:r>
                  <w:r>
                    <w:rPr>
                      <w:rFonts w:hint="default" w:ascii="Times New Roman" w:hAnsi="Times New Roman" w:eastAsia="宋体" w:cs="Times New Roman"/>
                      <w:color w:val="auto"/>
                      <w:spacing w:val="-10"/>
                      <w:kern w:val="2"/>
                      <w:sz w:val="21"/>
                      <w:szCs w:val="21"/>
                      <w:highlight w:val="none"/>
                      <w:lang w:val="en-US" w:eastAsia="zh-CN" w:bidi="ar-SA"/>
                    </w:rPr>
                    <w:t>开</w:t>
                  </w:r>
                </w:p>
              </w:tc>
              <w:tc>
                <w:tcPr>
                  <w:tcW w:w="875" w:type="pct"/>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149.2</w:t>
                  </w:r>
                  <w:r>
                    <w:rPr>
                      <w:rFonts w:hint="default" w:ascii="Times New Roman" w:hAnsi="Times New Roman" w:eastAsia="宋体" w:cs="Times New Roman"/>
                      <w:color w:val="auto"/>
                      <w:spacing w:val="-10"/>
                      <w:sz w:val="21"/>
                      <w:szCs w:val="21"/>
                      <w:highlight w:val="none"/>
                    </w:rPr>
                    <w:t>mm×</w:t>
                  </w:r>
                </w:p>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8635</w:t>
                  </w: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9070</w:t>
                  </w:r>
                  <w:r>
                    <w:rPr>
                      <w:rFonts w:hint="default" w:ascii="Times New Roman" w:hAnsi="Times New Roman" w:eastAsia="宋体" w:cs="Times New Roman"/>
                      <w:color w:val="auto"/>
                      <w:spacing w:val="-10"/>
                      <w:sz w:val="21"/>
                      <w:szCs w:val="21"/>
                      <w:highlight w:val="none"/>
                    </w:rPr>
                    <w:t>)m</w:t>
                  </w:r>
                </w:p>
              </w:tc>
              <w:tc>
                <w:tcPr>
                  <w:tcW w:w="413"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380"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404"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99.46</w:t>
                  </w:r>
                </w:p>
              </w:tc>
              <w:tc>
                <w:tcPr>
                  <w:tcW w:w="449"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jc w:val="center"/>
                    <w:outlineLvl w:val="9"/>
                    <w:rPr>
                      <w:rFonts w:hint="default" w:ascii="Times New Roman" w:hAnsi="Times New Roman" w:eastAsia="宋体" w:cs="Times New Roman"/>
                      <w:color w:val="auto"/>
                      <w:spacing w:val="-10"/>
                      <w:sz w:val="21"/>
                      <w:szCs w:val="21"/>
                      <w:highlight w:val="none"/>
                    </w:rPr>
                  </w:pPr>
                </w:p>
              </w:tc>
              <w:tc>
                <w:tcPr>
                  <w:tcW w:w="448" w:type="pct"/>
                  <w:noWrap w:val="0"/>
                  <w:vAlign w:val="center"/>
                </w:tcPr>
                <w:p>
                  <w:pPr>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exact"/>
                    <w:ind w:left="0" w:leftChars="0" w:right="0" w:firstLine="0"/>
                    <w:jc w:val="center"/>
                    <w:textAlignment w:val="center"/>
                    <w:outlineLvl w:val="9"/>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16.73</w:t>
                  </w:r>
                </w:p>
              </w:tc>
              <w:tc>
                <w:tcPr>
                  <w:tcW w:w="1755" w:type="pct"/>
                  <w:vMerge w:val="continue"/>
                  <w:noWrap w:val="0"/>
                  <w:vAlign w:val="center"/>
                </w:tcPr>
                <w:p>
                  <w:pPr>
                    <w:keepNext w:val="0"/>
                    <w:keepLines w:val="0"/>
                    <w:pageBreakBefore w:val="0"/>
                    <w:suppressLineNumbers w:val="0"/>
                    <w:tabs>
                      <w:tab w:val="left" w:pos="8925"/>
                    </w:tabs>
                    <w:kinsoku/>
                    <w:wordWrap/>
                    <w:overflowPunct/>
                    <w:topLinePunct w:val="0"/>
                    <w:autoSpaceDE/>
                    <w:autoSpaceDN/>
                    <w:bidi w:val="0"/>
                    <w:adjustRightInd w:val="0"/>
                    <w:snapToGrid/>
                    <w:spacing w:before="0" w:beforeAutospacing="0" w:after="0" w:afterAutospacing="0" w:line="360" w:lineRule="exact"/>
                    <w:ind w:left="0" w:leftChars="0" w:right="0" w:firstLine="0"/>
                    <w:outlineLvl w:val="9"/>
                    <w:rPr>
                      <w:rFonts w:hint="default" w:ascii="Times New Roman" w:hAnsi="Times New Roman" w:eastAsia="宋体" w:cs="Times New Roman"/>
                      <w:color w:val="auto"/>
                      <w:spacing w:val="-10"/>
                      <w:sz w:val="21"/>
                      <w:szCs w:val="21"/>
                      <w:highlight w:val="none"/>
                    </w:rPr>
                  </w:pP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宋体" w:cs="Times New Roman"/>
                <w:b/>
                <w:bCs/>
                <w:color w:val="auto"/>
                <w:sz w:val="24"/>
                <w:highlight w:val="none"/>
                <w:lang w:val="en-US" w:eastAsia="zh-CN"/>
              </w:rPr>
            </w:pPr>
            <w:r>
              <w:rPr>
                <w:rFonts w:hint="default"/>
                <w:color w:val="auto"/>
              </w:rPr>
              <w:drawing>
                <wp:anchor distT="0" distB="0" distL="114300" distR="114300" simplePos="0" relativeHeight="251668480" behindDoc="0" locked="0" layoutInCell="1" allowOverlap="1">
                  <wp:simplePos x="0" y="0"/>
                  <wp:positionH relativeFrom="column">
                    <wp:posOffset>440055</wp:posOffset>
                  </wp:positionH>
                  <wp:positionV relativeFrom="paragraph">
                    <wp:posOffset>98425</wp:posOffset>
                  </wp:positionV>
                  <wp:extent cx="4504055" cy="5291455"/>
                  <wp:effectExtent l="0" t="0" r="10795" b="4445"/>
                  <wp:wrapTopAndBottom/>
                  <wp:docPr id="13" name="图片 4" descr="中寒5-五开-钻井设计井身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descr="中寒5-五开-钻井设计井身结构图"/>
                          <pic:cNvPicPr>
                            <a:picLocks noChangeAspect="1"/>
                          </pic:cNvPicPr>
                        </pic:nvPicPr>
                        <pic:blipFill>
                          <a:blip r:embed="rId15"/>
                          <a:srcRect l="38300"/>
                          <a:stretch>
                            <a:fillRect/>
                          </a:stretch>
                        </pic:blipFill>
                        <pic:spPr>
                          <a:xfrm>
                            <a:off x="0" y="0"/>
                            <a:ext cx="4504055" cy="5291455"/>
                          </a:xfrm>
                          <a:prstGeom prst="rect">
                            <a:avLst/>
                          </a:prstGeom>
                        </pic:spPr>
                      </pic:pic>
                    </a:graphicData>
                  </a:graphic>
                </wp:anchor>
              </w:drawing>
            </w:r>
            <w:bookmarkEnd w:id="12"/>
            <w:bookmarkEnd w:id="13"/>
            <w:bookmarkEnd w:id="14"/>
            <w:bookmarkEnd w:id="15"/>
            <w:bookmarkEnd w:id="16"/>
            <w:bookmarkEnd w:id="17"/>
            <w:r>
              <w:rPr>
                <w:rFonts w:hint="default" w:ascii="Times New Roman" w:hAnsi="Times New Roman" w:eastAsia="宋体" w:cs="Times New Roman"/>
                <w:b/>
                <w:bCs/>
                <w:color w:val="auto"/>
                <w:sz w:val="24"/>
                <w:highlight w:val="none"/>
                <w:lang w:val="en-US" w:eastAsia="zh-CN"/>
              </w:rPr>
              <w:t>图2-1    井身结构图</w:t>
            </w:r>
          </w:p>
          <w:p>
            <w:pPr>
              <w:keepNext w:val="0"/>
              <w:keepLines w:val="0"/>
              <w:pageBreakBefore w:val="0"/>
              <w:widowControl w:val="0"/>
              <w:suppressLineNumbers w:val="0"/>
              <w:tabs>
                <w:tab w:val="left" w:pos="6720"/>
              </w:tabs>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7、建设内容</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0000FF"/>
                <w:sz w:val="24"/>
                <w:highlight w:val="none"/>
                <w:lang w:val="en-US" w:eastAsia="zh-CN"/>
              </w:rPr>
            </w:pPr>
            <w:r>
              <w:rPr>
                <w:rFonts w:hint="default" w:ascii="Times New Roman" w:hAnsi="Times New Roman" w:eastAsia="宋体" w:cs="Times New Roman"/>
                <w:color w:val="auto"/>
                <w:sz w:val="24"/>
                <w:highlight w:val="none"/>
              </w:rPr>
              <w:t>项目建设内容包括钻前工程、钻井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包含录井、固井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测井、</w:t>
            </w:r>
            <w:r>
              <w:rPr>
                <w:rFonts w:hint="default" w:ascii="Times New Roman" w:hAnsi="Times New Roman" w:eastAsia="宋体" w:cs="Times New Roman"/>
                <w:color w:val="auto"/>
                <w:sz w:val="24"/>
                <w:highlight w:val="none"/>
              </w:rPr>
              <w:t>试井、封井。钻前工程包括井场道路、井场平整、设备基础、活动房搭建等；钻井工程包括钻井设备安装、钻井、</w:t>
            </w:r>
            <w:r>
              <w:rPr>
                <w:rFonts w:hint="default" w:ascii="Times New Roman" w:hAnsi="Times New Roman" w:eastAsia="宋体" w:cs="Times New Roman"/>
                <w:color w:val="auto"/>
                <w:sz w:val="24"/>
                <w:highlight w:val="none"/>
                <w:lang w:val="en-US" w:eastAsia="zh-CN"/>
              </w:rPr>
              <w:t>录井、</w:t>
            </w:r>
            <w:r>
              <w:rPr>
                <w:rFonts w:hint="default" w:ascii="Times New Roman" w:hAnsi="Times New Roman" w:eastAsia="宋体" w:cs="Times New Roman"/>
                <w:color w:val="auto"/>
                <w:sz w:val="24"/>
                <w:highlight w:val="none"/>
              </w:rPr>
              <w:t>完井</w:t>
            </w:r>
            <w:r>
              <w:rPr>
                <w:rFonts w:hint="default" w:ascii="Times New Roman" w:hAnsi="Times New Roman" w:eastAsia="宋体" w:cs="Times New Roman"/>
                <w:color w:val="auto"/>
                <w:sz w:val="24"/>
                <w:highlight w:val="none"/>
                <w:lang w:val="en-US" w:eastAsia="zh-CN"/>
              </w:rPr>
              <w:t>等过程</w:t>
            </w:r>
            <w:r>
              <w:rPr>
                <w:rFonts w:hint="default" w:ascii="Times New Roman" w:hAnsi="Times New Roman" w:eastAsia="宋体" w:cs="Times New Roman"/>
                <w:color w:val="auto"/>
                <w:sz w:val="24"/>
                <w:highlight w:val="none"/>
              </w:rPr>
              <w:t>；试井包括试井设备安装</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测井</w:t>
            </w:r>
            <w:r>
              <w:rPr>
                <w:rFonts w:hint="default" w:ascii="Times New Roman" w:hAnsi="Times New Roman" w:eastAsia="宋体" w:cs="Times New Roman"/>
                <w:color w:val="auto"/>
                <w:sz w:val="24"/>
                <w:highlight w:val="none"/>
              </w:rPr>
              <w:t>及试井。</w:t>
            </w:r>
            <w:r>
              <w:rPr>
                <w:rFonts w:hint="default" w:ascii="Times New Roman" w:hAnsi="Times New Roman" w:eastAsia="宋体" w:cs="Times New Roman"/>
                <w:bCs/>
                <w:color w:val="auto"/>
                <w:sz w:val="24"/>
                <w:highlight w:val="none"/>
                <w:lang w:val="en-US" w:eastAsia="zh-CN"/>
              </w:rPr>
              <w:t>其具体工程见表2-4。</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表2-4    本项目主要工程组成一览表</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931"/>
              <w:gridCol w:w="1095"/>
              <w:gridCol w:w="4680"/>
              <w:gridCol w:w="16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项目组成</w:t>
                  </w:r>
                </w:p>
              </w:tc>
              <w:tc>
                <w:tcPr>
                  <w:tcW w:w="3462"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建设内容及规模</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restar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钻前</w:t>
                  </w:r>
                  <w:r>
                    <w:rPr>
                      <w:rFonts w:hint="default" w:ascii="Times New Roman" w:hAnsi="Times New Roman" w:eastAsia="宋体" w:cs="Times New Roman"/>
                      <w:color w:val="auto"/>
                      <w:spacing w:val="-10"/>
                      <w:kern w:val="2"/>
                      <w:sz w:val="21"/>
                      <w:szCs w:val="21"/>
                      <w:highlight w:val="none"/>
                      <w:lang w:val="en-US" w:eastAsia="zh-CN" w:bidi="ar-SA"/>
                    </w:rPr>
                    <w:t>工程</w:t>
                  </w:r>
                </w:p>
              </w:tc>
              <w:tc>
                <w:tcPr>
                  <w:tcW w:w="656"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井场平整</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color w:val="auto"/>
                      <w:spacing w:val="-10"/>
                      <w:sz w:val="21"/>
                      <w:szCs w:val="21"/>
                      <w:highlight w:val="none"/>
                      <w:lang w:eastAsia="zh-CN"/>
                    </w:rPr>
                  </w:pPr>
                  <w:r>
                    <w:rPr>
                      <w:rFonts w:hint="default" w:ascii="Times New Roman" w:hAnsi="Times New Roman" w:eastAsia="宋体" w:cs="Times New Roman"/>
                      <w:snapToGrid/>
                      <w:color w:val="auto"/>
                      <w:kern w:val="2"/>
                      <w:sz w:val="21"/>
                      <w:szCs w:val="21"/>
                      <w:highlight w:val="none"/>
                      <w:lang w:val="en-US" w:eastAsia="zh-CN"/>
                    </w:rPr>
                    <w:t>对井场占地区域进行平整，临时生活区的建设</w:t>
                  </w: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临时道路</w:t>
                  </w:r>
                  <w:r>
                    <w:rPr>
                      <w:rFonts w:hint="eastAsia" w:ascii="Times New Roman" w:cs="Times New Roman"/>
                      <w:color w:val="auto"/>
                      <w:spacing w:val="-10"/>
                      <w:sz w:val="21"/>
                      <w:szCs w:val="21"/>
                      <w:highlight w:val="none"/>
                      <w:lang w:val="en-US" w:eastAsia="zh-CN"/>
                    </w:rPr>
                    <w:t>405</w:t>
                  </w:r>
                  <w:r>
                    <w:rPr>
                      <w:rFonts w:hint="default" w:ascii="Times New Roman" w:hAnsi="Times New Roman" w:eastAsia="宋体" w:cs="Times New Roman"/>
                      <w:color w:val="auto"/>
                      <w:spacing w:val="-10"/>
                      <w:sz w:val="21"/>
                      <w:szCs w:val="21"/>
                      <w:highlight w:val="none"/>
                      <w:lang w:val="en-US" w:eastAsia="zh-CN"/>
                    </w:rPr>
                    <w:t>m及各类池体的开挖。</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0"/>
                      <w:sz w:val="21"/>
                      <w:szCs w:val="21"/>
                      <w:highlight w:val="none"/>
                    </w:rPr>
                  </w:pPr>
                </w:p>
              </w:tc>
              <w:tc>
                <w:tcPr>
                  <w:tcW w:w="656"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lang w:val="en-US" w:eastAsia="zh-CN"/>
                    </w:rPr>
                    <w:t>井场建设</w:t>
                  </w:r>
                </w:p>
              </w:tc>
              <w:tc>
                <w:tcPr>
                  <w:tcW w:w="2805"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snapToGrid/>
                      <w:color w:val="auto"/>
                      <w:kern w:val="2"/>
                      <w:sz w:val="21"/>
                      <w:szCs w:val="21"/>
                      <w:lang w:val="en-US" w:eastAsia="zh-CN" w:bidi="ar-SA"/>
                    </w:rPr>
                  </w:pPr>
                  <w:r>
                    <w:rPr>
                      <w:rFonts w:hint="default" w:ascii="Times New Roman" w:hAnsi="Times New Roman" w:eastAsia="宋体" w:cs="Times New Roman"/>
                      <w:color w:val="auto"/>
                      <w:sz w:val="21"/>
                      <w:szCs w:val="21"/>
                    </w:rPr>
                    <w:t>包括井场道路、基础设备、</w:t>
                  </w:r>
                  <w:r>
                    <w:rPr>
                      <w:rFonts w:hint="default" w:ascii="Times New Roman" w:hAnsi="Times New Roman" w:eastAsia="宋体" w:cs="Times New Roman"/>
                      <w:color w:val="auto"/>
                      <w:sz w:val="21"/>
                      <w:szCs w:val="21"/>
                      <w:lang w:val="en-US" w:eastAsia="zh-CN"/>
                    </w:rPr>
                    <w:t>生活营地</w:t>
                  </w:r>
                  <w:r>
                    <w:rPr>
                      <w:rFonts w:hint="default" w:ascii="Times New Roman" w:hAnsi="Times New Roman" w:eastAsia="宋体" w:cs="Times New Roman"/>
                      <w:color w:val="auto"/>
                      <w:sz w:val="21"/>
                      <w:szCs w:val="21"/>
                    </w:rPr>
                    <w:t>搭建</w:t>
                  </w:r>
                  <w:r>
                    <w:rPr>
                      <w:rFonts w:hint="default" w:ascii="Times New Roman" w:hAnsi="Times New Roman" w:eastAsia="宋体" w:cs="Times New Roman"/>
                      <w:color w:val="auto"/>
                      <w:sz w:val="21"/>
                      <w:szCs w:val="21"/>
                      <w:lang w:val="en-US" w:eastAsia="zh-CN"/>
                    </w:rPr>
                    <w:t>等</w:t>
                  </w:r>
                  <w:r>
                    <w:rPr>
                      <w:rFonts w:hint="default" w:ascii="Times New Roman" w:hAnsi="Times New Roman" w:eastAsia="宋体" w:cs="Times New Roman"/>
                      <w:color w:val="auto"/>
                      <w:sz w:val="21"/>
                      <w:szCs w:val="21"/>
                    </w:rPr>
                    <w:t>，为钻井工程入场提供保障。</w:t>
                  </w:r>
                </w:p>
              </w:tc>
              <w:tc>
                <w:tcPr>
                  <w:tcW w:w="979"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p>
              </w:tc>
              <w:tc>
                <w:tcPr>
                  <w:tcW w:w="656"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放喷池</w:t>
                  </w:r>
                </w:p>
              </w:tc>
              <w:tc>
                <w:tcPr>
                  <w:tcW w:w="2805"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rightChars="0" w:firstLine="0" w:firstLineChars="0"/>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rPr>
                    <w:t>共设</w:t>
                  </w:r>
                  <w:r>
                    <w:rPr>
                      <w:rFonts w:hint="default" w:ascii="Times New Roman" w:hAnsi="Times New Roman" w:eastAsia="宋体" w:cs="Times New Roman"/>
                      <w:snapToGrid/>
                      <w:color w:val="auto"/>
                      <w:kern w:val="2"/>
                      <w:sz w:val="21"/>
                      <w:szCs w:val="21"/>
                      <w:highlight w:val="none"/>
                      <w:lang w:eastAsia="zh-CN"/>
                    </w:rPr>
                    <w:t>2个放喷池，</w:t>
                  </w:r>
                  <w:r>
                    <w:rPr>
                      <w:rFonts w:hint="default" w:ascii="Times New Roman" w:hAnsi="Times New Roman" w:eastAsia="宋体" w:cs="Times New Roman"/>
                      <w:snapToGrid/>
                      <w:color w:val="auto"/>
                      <w:kern w:val="2"/>
                      <w:sz w:val="21"/>
                      <w:szCs w:val="21"/>
                      <w:highlight w:val="none"/>
                      <w:lang w:val="en-US" w:eastAsia="zh-CN"/>
                    </w:rPr>
                    <w:t>每个</w:t>
                  </w:r>
                  <w:r>
                    <w:rPr>
                      <w:rFonts w:hint="default" w:ascii="Times New Roman" w:hAnsi="Times New Roman" w:eastAsia="宋体" w:cs="Times New Roman"/>
                      <w:snapToGrid/>
                      <w:color w:val="auto"/>
                      <w:kern w:val="2"/>
                      <w:sz w:val="21"/>
                      <w:szCs w:val="21"/>
                      <w:highlight w:val="none"/>
                      <w:lang w:eastAsia="zh-CN"/>
                    </w:rPr>
                    <w:t>100m³，</w:t>
                  </w:r>
                  <w:r>
                    <w:rPr>
                      <w:rFonts w:hint="default" w:ascii="Times New Roman" w:hAnsi="Times New Roman" w:eastAsia="宋体" w:cs="Times New Roman"/>
                      <w:snapToGrid/>
                      <w:color w:val="auto"/>
                      <w:spacing w:val="-10"/>
                      <w:kern w:val="2"/>
                      <w:sz w:val="21"/>
                      <w:szCs w:val="21"/>
                      <w:highlight w:val="none"/>
                      <w:lang w:val="en-US" w:eastAsia="zh-CN"/>
                    </w:rPr>
                    <w:t>放喷池</w:t>
                  </w:r>
                  <w:r>
                    <w:rPr>
                      <w:rFonts w:hint="default" w:ascii="Times New Roman" w:hAnsi="Times New Roman" w:eastAsia="宋体" w:cs="Times New Roman"/>
                      <w:snapToGrid/>
                      <w:color w:val="auto"/>
                      <w:spacing w:val="-10"/>
                      <w:kern w:val="2"/>
                      <w:sz w:val="21"/>
                      <w:szCs w:val="21"/>
                      <w:highlight w:val="none"/>
                      <w:lang w:eastAsia="zh-CN"/>
                    </w:rPr>
                    <w:t>采用“</w:t>
                  </w:r>
                  <w:r>
                    <w:rPr>
                      <w:rFonts w:hint="default" w:ascii="Times New Roman" w:hAnsi="Times New Roman" w:eastAsia="宋体" w:cs="Times New Roman"/>
                      <w:snapToGrid/>
                      <w:color w:val="auto"/>
                      <w:spacing w:val="-10"/>
                      <w:kern w:val="0"/>
                      <w:sz w:val="21"/>
                      <w:szCs w:val="21"/>
                      <w:highlight w:val="none"/>
                      <w:lang w:eastAsia="zh-CN"/>
                    </w:rPr>
                    <w:t>整体型钢板池</w:t>
                  </w:r>
                  <w:r>
                    <w:rPr>
                      <w:rFonts w:hint="default" w:ascii="Times New Roman" w:hAnsi="Times New Roman" w:eastAsia="宋体" w:cs="Times New Roman"/>
                      <w:snapToGrid/>
                      <w:color w:val="auto"/>
                      <w:spacing w:val="-10"/>
                      <w:kern w:val="2"/>
                      <w:sz w:val="21"/>
                      <w:szCs w:val="21"/>
                      <w:highlight w:val="none"/>
                      <w:lang w:eastAsia="zh-CN"/>
                    </w:rPr>
                    <w:t>”，</w:t>
                  </w:r>
                  <w:r>
                    <w:rPr>
                      <w:rFonts w:hint="default" w:ascii="Times New Roman" w:hAnsi="Times New Roman" w:eastAsia="宋体" w:cs="Times New Roman"/>
                      <w:snapToGrid/>
                      <w:color w:val="auto"/>
                      <w:spacing w:val="-10"/>
                      <w:kern w:val="2"/>
                      <w:sz w:val="21"/>
                      <w:szCs w:val="21"/>
                      <w:highlight w:val="none"/>
                      <w:lang w:val="en-US" w:eastAsia="zh-CN"/>
                    </w:rPr>
                    <w:t>底部铺防渗膜</w:t>
                  </w:r>
                </w:p>
              </w:tc>
              <w:tc>
                <w:tcPr>
                  <w:tcW w:w="979"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p>
              </w:tc>
              <w:tc>
                <w:tcPr>
                  <w:tcW w:w="656"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cs="Times New Roman"/>
                      <w:color w:val="auto"/>
                      <w:spacing w:val="-10"/>
                      <w:sz w:val="21"/>
                      <w:szCs w:val="21"/>
                      <w:highlight w:val="none"/>
                      <w:lang w:val="en-US" w:eastAsia="zh-CN"/>
                    </w:rPr>
                    <w:t>生活污水池</w:t>
                  </w:r>
                </w:p>
              </w:tc>
              <w:tc>
                <w:tcPr>
                  <w:tcW w:w="2805"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rightChars="0" w:firstLine="0" w:firstLineChars="0"/>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cs="Times New Roman"/>
                      <w:snapToGrid/>
                      <w:color w:val="auto"/>
                      <w:kern w:val="2"/>
                      <w:sz w:val="21"/>
                      <w:szCs w:val="21"/>
                      <w:highlight w:val="none"/>
                      <w:lang w:val="en-US" w:eastAsia="zh-CN"/>
                    </w:rPr>
                    <w:t>共设2个生活污水池，每个</w:t>
                  </w:r>
                  <w:r>
                    <w:rPr>
                      <w:rFonts w:hint="default" w:ascii="Times New Roman" w:hAnsi="Times New Roman" w:eastAsia="宋体" w:cs="Times New Roman"/>
                      <w:snapToGrid/>
                      <w:color w:val="auto"/>
                      <w:kern w:val="2"/>
                      <w:sz w:val="21"/>
                      <w:szCs w:val="21"/>
                      <w:highlight w:val="none"/>
                      <w:lang w:eastAsia="zh-CN"/>
                    </w:rPr>
                    <w:t>100m³，</w:t>
                  </w:r>
                  <w:r>
                    <w:rPr>
                      <w:rFonts w:hint="default" w:ascii="Times New Roman" w:hAnsi="Times New Roman" w:eastAsia="宋体" w:cs="Times New Roman"/>
                      <w:snapToGrid/>
                      <w:color w:val="auto"/>
                      <w:spacing w:val="-10"/>
                      <w:kern w:val="2"/>
                      <w:sz w:val="21"/>
                      <w:szCs w:val="21"/>
                      <w:highlight w:val="none"/>
                      <w:lang w:eastAsia="zh-CN"/>
                    </w:rPr>
                    <w:t>采用“</w:t>
                  </w:r>
                  <w:r>
                    <w:rPr>
                      <w:rFonts w:hint="default" w:ascii="Times New Roman" w:hAnsi="Times New Roman" w:eastAsia="宋体" w:cs="Times New Roman"/>
                      <w:snapToGrid/>
                      <w:color w:val="auto"/>
                      <w:spacing w:val="-10"/>
                      <w:kern w:val="0"/>
                      <w:sz w:val="21"/>
                      <w:szCs w:val="21"/>
                      <w:highlight w:val="none"/>
                      <w:lang w:eastAsia="zh-CN"/>
                    </w:rPr>
                    <w:t>整体型钢板池</w:t>
                  </w:r>
                  <w:r>
                    <w:rPr>
                      <w:rFonts w:hint="default" w:ascii="Times New Roman" w:hAnsi="Times New Roman" w:eastAsia="宋体" w:cs="Times New Roman"/>
                      <w:snapToGrid/>
                      <w:color w:val="auto"/>
                      <w:spacing w:val="-10"/>
                      <w:kern w:val="2"/>
                      <w:sz w:val="21"/>
                      <w:szCs w:val="21"/>
                      <w:highlight w:val="none"/>
                      <w:lang w:eastAsia="zh-CN"/>
                    </w:rPr>
                    <w:t>”</w:t>
                  </w:r>
                </w:p>
              </w:tc>
              <w:tc>
                <w:tcPr>
                  <w:tcW w:w="979"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10"/>
                      <w:kern w:val="0"/>
                      <w:sz w:val="21"/>
                      <w:szCs w:val="21"/>
                      <w:highlight w:val="none"/>
                      <w:lang w:val="en-US" w:eastAsia="zh-CN" w:bidi="ar-SA"/>
                    </w:rPr>
                  </w:pPr>
                  <w:r>
                    <w:rPr>
                      <w:rFonts w:hint="eastAsia" w:ascii="Times New Roman" w:cs="Times New Roman"/>
                      <w:color w:val="auto"/>
                      <w:spacing w:val="-10"/>
                      <w:kern w:val="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p>
              </w:tc>
              <w:tc>
                <w:tcPr>
                  <w:tcW w:w="656"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膨润土</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岩屑池</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设膨润土岩屑池1个，1</w:t>
                  </w:r>
                  <w:r>
                    <w:rPr>
                      <w:rFonts w:hint="eastAsia" w:ascii="Times New Roman" w:cs="Times New Roman"/>
                      <w:color w:val="auto"/>
                      <w:spacing w:val="-10"/>
                      <w:sz w:val="21"/>
                      <w:szCs w:val="21"/>
                      <w:highlight w:val="none"/>
                      <w:lang w:val="en-US" w:eastAsia="zh-CN"/>
                    </w:rPr>
                    <w:t>5</w:t>
                  </w:r>
                  <w:r>
                    <w:rPr>
                      <w:rFonts w:hint="default" w:ascii="Times New Roman" w:hAnsi="Times New Roman" w:eastAsia="宋体" w:cs="Times New Roman"/>
                      <w:color w:val="auto"/>
                      <w:spacing w:val="-10"/>
                      <w:sz w:val="21"/>
                      <w:szCs w:val="21"/>
                      <w:highlight w:val="none"/>
                    </w:rPr>
                    <w:t>00m</w:t>
                  </w:r>
                  <w:r>
                    <w:rPr>
                      <w:rFonts w:hint="default" w:ascii="Times New Roman" w:hAnsi="Times New Roman" w:eastAsia="宋体" w:cs="Times New Roman"/>
                      <w:color w:val="auto"/>
                      <w:spacing w:val="-10"/>
                      <w:sz w:val="21"/>
                      <w:szCs w:val="21"/>
                      <w:highlight w:val="none"/>
                      <w:vertAlign w:val="superscript"/>
                    </w:rPr>
                    <w:t>3</w:t>
                  </w:r>
                  <w:r>
                    <w:rPr>
                      <w:rFonts w:hint="default" w:ascii="Times New Roman" w:hAnsi="Times New Roman" w:eastAsia="宋体" w:cs="Times New Roman"/>
                      <w:color w:val="auto"/>
                      <w:spacing w:val="-10"/>
                      <w:sz w:val="21"/>
                      <w:szCs w:val="21"/>
                      <w:highlight w:val="none"/>
                      <w:vertAlign w:val="baseline"/>
                      <w:lang w:eastAsia="zh-CN"/>
                    </w:rPr>
                    <w:t>。</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膨</w:t>
                  </w:r>
                  <w:r>
                    <w:rPr>
                      <w:rFonts w:hint="default" w:ascii="Times New Roman" w:hAnsi="Times New Roman" w:eastAsia="宋体" w:cs="Times New Roman"/>
                      <w:color w:val="auto"/>
                      <w:spacing w:val="-10"/>
                      <w:sz w:val="21"/>
                      <w:szCs w:val="21"/>
                      <w:highlight w:val="none"/>
                    </w:rPr>
                    <w:t>润土泥浆钻井岩屑；环保防渗膜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p>
              </w:tc>
              <w:tc>
                <w:tcPr>
                  <w:tcW w:w="656"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垃圾收集箱</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井场旁和生活区各设1个垃圾收集箱</w:t>
                  </w:r>
                  <w:r>
                    <w:rPr>
                      <w:rFonts w:hint="default" w:ascii="Times New Roman" w:hAnsi="Times New Roman" w:eastAsia="宋体" w:cs="Times New Roman"/>
                      <w:color w:val="auto"/>
                      <w:spacing w:val="-10"/>
                      <w:sz w:val="21"/>
                      <w:szCs w:val="21"/>
                      <w:highlight w:val="none"/>
                      <w:vertAlign w:val="baseline"/>
                      <w:lang w:eastAsia="zh-CN"/>
                    </w:rPr>
                    <w:t>。</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生活垃圾收集后</w:t>
                  </w:r>
                  <w:r>
                    <w:rPr>
                      <w:rFonts w:hint="default" w:ascii="Times New Roman" w:hAnsi="Times New Roman" w:eastAsia="宋体" w:cs="Times New Roman"/>
                      <w:color w:val="auto"/>
                      <w:spacing w:val="-10"/>
                      <w:sz w:val="21"/>
                      <w:szCs w:val="21"/>
                      <w:highlight w:val="none"/>
                      <w:lang w:val="en-US" w:eastAsia="zh-CN"/>
                    </w:rPr>
                    <w:t>清</w:t>
                  </w:r>
                  <w:r>
                    <w:rPr>
                      <w:rFonts w:hint="default" w:ascii="Times New Roman" w:hAnsi="Times New Roman" w:eastAsia="宋体" w:cs="Times New Roman"/>
                      <w:color w:val="auto"/>
                      <w:spacing w:val="-10"/>
                      <w:sz w:val="21"/>
                      <w:szCs w:val="21"/>
                      <w:highlight w:val="none"/>
                    </w:rPr>
                    <w:t>运至</w:t>
                  </w:r>
                  <w:r>
                    <w:rPr>
                      <w:rFonts w:hint="eastAsia" w:ascii="Times New Roman" w:cs="Times New Roman"/>
                      <w:color w:val="auto"/>
                      <w:spacing w:val="-10"/>
                      <w:sz w:val="21"/>
                      <w:szCs w:val="21"/>
                      <w:highlight w:val="none"/>
                      <w:lang w:val="en-US" w:eastAsia="zh-CN"/>
                    </w:rPr>
                    <w:t>塔中镇生活垃圾填埋场处理</w:t>
                  </w:r>
                  <w:r>
                    <w:rPr>
                      <w:rFonts w:hint="default" w:ascii="Times New Roman" w:hAnsi="Times New Roman" w:eastAsia="宋体"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p>
              </w:tc>
              <w:tc>
                <w:tcPr>
                  <w:tcW w:w="656"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辅助用房</w:t>
                  </w:r>
                </w:p>
              </w:tc>
              <w:tc>
                <w:tcPr>
                  <w:tcW w:w="2805"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建设值班房、HSE房、工程师房、平台经理房等管理用房，设置消防间、修理间、爬犁、材料房等功能房。</w:t>
                  </w:r>
                </w:p>
              </w:tc>
              <w:tc>
                <w:tcPr>
                  <w:tcW w:w="979"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p>
              </w:tc>
              <w:tc>
                <w:tcPr>
                  <w:tcW w:w="65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污水处理站</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vertAlign w:val="baseline"/>
                      <w:lang w:eastAsia="zh-CN"/>
                    </w:rPr>
                    <w:t>1座，占地50m</w:t>
                  </w:r>
                  <w:r>
                    <w:rPr>
                      <w:rFonts w:hint="default" w:ascii="Times New Roman" w:hAnsi="Times New Roman" w:eastAsia="宋体" w:cs="Times New Roman"/>
                      <w:color w:val="auto"/>
                      <w:spacing w:val="-10"/>
                      <w:sz w:val="21"/>
                      <w:szCs w:val="21"/>
                      <w:highlight w:val="none"/>
                      <w:vertAlign w:val="superscript"/>
                      <w:lang w:val="en-US" w:eastAsia="zh-CN"/>
                    </w:rPr>
                    <w:t>2</w:t>
                  </w:r>
                  <w:r>
                    <w:rPr>
                      <w:rFonts w:hint="default" w:ascii="Times New Roman" w:hAnsi="Times New Roman" w:eastAsia="宋体" w:cs="Times New Roman"/>
                      <w:color w:val="auto"/>
                      <w:spacing w:val="-10"/>
                      <w:sz w:val="21"/>
                      <w:szCs w:val="21"/>
                      <w:highlight w:val="none"/>
                      <w:vertAlign w:val="baseline"/>
                      <w:lang w:eastAsia="zh-CN"/>
                    </w:rPr>
                    <w:t>，撬装装置。</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color w:val="auto"/>
                      <w:spacing w:val="-10"/>
                      <w:kern w:val="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98" w:hRule="atLeast"/>
                <w:jc w:val="center"/>
              </w:trPr>
              <w:tc>
                <w:tcPr>
                  <w:tcW w:w="558" w:type="pct"/>
                  <w:vMerge w:val="restart"/>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10"/>
                      <w:sz w:val="21"/>
                      <w:szCs w:val="21"/>
                      <w:highlight w:val="none"/>
                    </w:rPr>
                  </w:pPr>
                  <w:r>
                    <w:rPr>
                      <w:rFonts w:hint="default" w:ascii="Times New Roman" w:hAnsi="Times New Roman" w:eastAsia="宋体" w:cs="Times New Roman"/>
                      <w:b w:val="0"/>
                      <w:color w:val="auto"/>
                      <w:spacing w:val="-10"/>
                      <w:sz w:val="21"/>
                      <w:szCs w:val="21"/>
                      <w:highlight w:val="none"/>
                    </w:rPr>
                    <w:t>钻井工程</w:t>
                  </w:r>
                </w:p>
              </w:tc>
              <w:tc>
                <w:tcPr>
                  <w:tcW w:w="65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钻井</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val="0"/>
                      <w:color w:val="auto"/>
                      <w:spacing w:val="-10"/>
                      <w:sz w:val="21"/>
                      <w:szCs w:val="21"/>
                      <w:highlight w:val="none"/>
                      <w:lang w:eastAsia="zh-CN"/>
                    </w:rPr>
                  </w:pPr>
                  <w:r>
                    <w:rPr>
                      <w:rFonts w:hint="default" w:ascii="Times New Roman" w:hAnsi="Times New Roman" w:eastAsia="宋体" w:cs="Times New Roman"/>
                      <w:bCs w:val="0"/>
                      <w:color w:val="auto"/>
                      <w:spacing w:val="-10"/>
                      <w:sz w:val="21"/>
                      <w:szCs w:val="21"/>
                      <w:highlight w:val="none"/>
                    </w:rPr>
                    <w:t>设备安装，并进行钻井活动。使用</w:t>
                  </w:r>
                  <w:r>
                    <w:rPr>
                      <w:rFonts w:hint="eastAsia" w:ascii="Times New Roman" w:cs="Times New Roman"/>
                      <w:bCs w:val="0"/>
                      <w:color w:val="auto"/>
                      <w:spacing w:val="-10"/>
                      <w:sz w:val="21"/>
                      <w:szCs w:val="21"/>
                      <w:highlight w:val="none"/>
                      <w:lang w:val="en-US" w:eastAsia="zh-CN"/>
                    </w:rPr>
                    <w:t>90D</w:t>
                  </w:r>
                  <w:r>
                    <w:rPr>
                      <w:rFonts w:hint="default" w:ascii="Times New Roman" w:hAnsi="Times New Roman" w:eastAsia="宋体" w:cs="Times New Roman"/>
                      <w:bCs w:val="0"/>
                      <w:color w:val="auto"/>
                      <w:spacing w:val="-10"/>
                      <w:sz w:val="21"/>
                      <w:szCs w:val="21"/>
                      <w:highlight w:val="none"/>
                      <w:lang w:eastAsia="zh-CN"/>
                    </w:rPr>
                    <w:t>及以上</w:t>
                  </w:r>
                  <w:r>
                    <w:rPr>
                      <w:rFonts w:hint="default" w:ascii="Times New Roman" w:hAnsi="Times New Roman" w:eastAsia="宋体" w:cs="Times New Roman"/>
                      <w:bCs w:val="0"/>
                      <w:color w:val="auto"/>
                      <w:spacing w:val="-10"/>
                      <w:sz w:val="21"/>
                      <w:szCs w:val="21"/>
                      <w:highlight w:val="none"/>
                    </w:rPr>
                    <w:t>钻机，</w:t>
                  </w:r>
                  <w:r>
                    <w:rPr>
                      <w:rFonts w:hint="default" w:ascii="Times New Roman" w:hAnsi="Times New Roman" w:eastAsia="宋体" w:cs="Times New Roman"/>
                      <w:color w:val="auto"/>
                      <w:spacing w:val="-10"/>
                      <w:sz w:val="21"/>
                      <w:szCs w:val="21"/>
                      <w:highlight w:val="none"/>
                    </w:rPr>
                    <w:t>井深</w:t>
                  </w:r>
                  <w:r>
                    <w:rPr>
                      <w:rFonts w:hint="eastAsia" w:ascii="Times New Roman" w:cs="Times New Roman"/>
                      <w:color w:val="auto"/>
                      <w:spacing w:val="-10"/>
                      <w:sz w:val="21"/>
                      <w:szCs w:val="21"/>
                      <w:highlight w:val="none"/>
                      <w:lang w:val="en-US" w:eastAsia="zh-CN"/>
                    </w:rPr>
                    <w:t>9070</w:t>
                  </w:r>
                  <w:r>
                    <w:rPr>
                      <w:rFonts w:hint="default" w:ascii="Times New Roman" w:hAnsi="Times New Roman" w:eastAsia="宋体" w:cs="Times New Roman"/>
                      <w:color w:val="auto"/>
                      <w:spacing w:val="-10"/>
                      <w:sz w:val="21"/>
                      <w:szCs w:val="21"/>
                      <w:highlight w:val="none"/>
                    </w:rPr>
                    <w:t>m</w:t>
                  </w:r>
                  <w:r>
                    <w:rPr>
                      <w:rFonts w:hint="default" w:ascii="Times New Roman" w:hAnsi="Times New Roman" w:eastAsia="宋体" w:cs="Times New Roman"/>
                      <w:bCs w:val="0"/>
                      <w:color w:val="auto"/>
                      <w:spacing w:val="-10"/>
                      <w:sz w:val="21"/>
                      <w:szCs w:val="21"/>
                      <w:highlight w:val="none"/>
                    </w:rPr>
                    <w:t>，目的层为</w:t>
                  </w:r>
                  <w:r>
                    <w:rPr>
                      <w:rFonts w:hint="eastAsia" w:ascii="Times New Roman" w:cs="Times New Roman"/>
                      <w:bCs w:val="0"/>
                      <w:color w:val="auto"/>
                      <w:spacing w:val="-10"/>
                      <w:sz w:val="21"/>
                      <w:szCs w:val="21"/>
                      <w:highlight w:val="none"/>
                      <w:lang w:eastAsia="zh-CN"/>
                    </w:rPr>
                    <w:t>寒武系吾松格尔、肖尔布拉克组</w:t>
                  </w:r>
                  <w:r>
                    <w:rPr>
                      <w:rFonts w:hint="default" w:ascii="Times New Roman" w:hAnsi="Times New Roman" w:eastAsia="宋体" w:cs="Times New Roman"/>
                      <w:color w:val="auto"/>
                      <w:spacing w:val="-10"/>
                      <w:sz w:val="21"/>
                      <w:szCs w:val="21"/>
                      <w:highlight w:val="none"/>
                      <w:vertAlign w:val="baseline"/>
                      <w:lang w:eastAsia="zh-CN"/>
                    </w:rPr>
                    <w:t>。</w:t>
                  </w:r>
                </w:p>
              </w:tc>
              <w:tc>
                <w:tcPr>
                  <w:tcW w:w="979" w:type="pct"/>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lang w:val="en-US" w:eastAsia="zh-CN"/>
                    </w:rPr>
                  </w:pPr>
                  <w:r>
                    <w:rPr>
                      <w:rFonts w:hint="default" w:ascii="Times New Roman" w:hAnsi="Times New Roman" w:eastAsia="宋体" w:cs="Times New Roman"/>
                      <w:b w:val="0"/>
                      <w:bCs w:val="0"/>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color w:val="auto"/>
                      <w:spacing w:val="-10"/>
                      <w:sz w:val="21"/>
                      <w:szCs w:val="21"/>
                      <w:highlight w:val="none"/>
                    </w:rPr>
                  </w:pPr>
                </w:p>
              </w:tc>
              <w:tc>
                <w:tcPr>
                  <w:tcW w:w="65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储层改造</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val="0"/>
                      <w:color w:val="auto"/>
                      <w:spacing w:val="-10"/>
                      <w:sz w:val="21"/>
                      <w:szCs w:val="21"/>
                      <w:highlight w:val="none"/>
                      <w:lang w:val="en-US"/>
                    </w:rPr>
                  </w:pPr>
                  <w:r>
                    <w:rPr>
                      <w:rFonts w:hint="default" w:ascii="Times New Roman" w:hAnsi="Times New Roman" w:eastAsia="宋体" w:cs="Times New Roman"/>
                      <w:bCs w:val="0"/>
                      <w:color w:val="auto"/>
                      <w:spacing w:val="-10"/>
                      <w:sz w:val="21"/>
                      <w:szCs w:val="21"/>
                      <w:highlight w:val="none"/>
                      <w:lang w:val="en-US" w:eastAsia="zh-CN"/>
                    </w:rPr>
                    <w:t>主要为酸化压裂。</w:t>
                  </w:r>
                </w:p>
              </w:tc>
              <w:tc>
                <w:tcPr>
                  <w:tcW w:w="979" w:type="pct"/>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color w:val="auto"/>
                      <w:spacing w:val="-10"/>
                      <w:sz w:val="21"/>
                      <w:szCs w:val="21"/>
                      <w:highlight w:val="none"/>
                    </w:rPr>
                  </w:pPr>
                </w:p>
              </w:tc>
              <w:tc>
                <w:tcPr>
                  <w:tcW w:w="65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1"/>
                      <w:sz w:val="21"/>
                      <w:szCs w:val="21"/>
                      <w:highlight w:val="none"/>
                    </w:rPr>
                  </w:pPr>
                  <w:r>
                    <w:rPr>
                      <w:rFonts w:hint="default" w:ascii="Times New Roman" w:hAnsi="Times New Roman" w:eastAsia="宋体" w:cs="Times New Roman"/>
                      <w:color w:val="auto"/>
                      <w:spacing w:val="-11"/>
                      <w:sz w:val="21"/>
                      <w:szCs w:val="21"/>
                      <w:highlight w:val="none"/>
                    </w:rPr>
                    <w:t>测试放喷</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val="0"/>
                      <w:color w:val="auto"/>
                      <w:spacing w:val="-11"/>
                      <w:sz w:val="21"/>
                      <w:szCs w:val="21"/>
                      <w:highlight w:val="none"/>
                    </w:rPr>
                  </w:pPr>
                  <w:r>
                    <w:rPr>
                      <w:rFonts w:hint="default" w:ascii="Times New Roman" w:hAnsi="Times New Roman" w:eastAsia="宋体" w:cs="Times New Roman"/>
                      <w:color w:val="auto"/>
                      <w:sz w:val="21"/>
                      <w:szCs w:val="21"/>
                      <w:highlight w:val="none"/>
                    </w:rPr>
                    <w:t>采</w:t>
                  </w:r>
                  <w:r>
                    <w:rPr>
                      <w:rFonts w:hint="default" w:ascii="Times New Roman" w:hAnsi="Times New Roman" w:eastAsia="宋体" w:cs="Times New Roman"/>
                      <w:bCs w:val="0"/>
                      <w:color w:val="auto"/>
                      <w:spacing w:val="-10"/>
                      <w:sz w:val="21"/>
                      <w:szCs w:val="21"/>
                      <w:highlight w:val="none"/>
                    </w:rPr>
                    <w:t>出液经分离器分离后，原油回收、天然气</w:t>
                  </w:r>
                  <w:r>
                    <w:rPr>
                      <w:rFonts w:hint="default" w:ascii="Times New Roman" w:hAnsi="Times New Roman" w:eastAsia="宋体" w:cs="Times New Roman"/>
                      <w:bCs w:val="0"/>
                      <w:color w:val="auto"/>
                      <w:spacing w:val="-10"/>
                      <w:sz w:val="21"/>
                      <w:szCs w:val="21"/>
                      <w:highlight w:val="none"/>
                      <w:lang w:val="en-US" w:eastAsia="zh-CN"/>
                    </w:rPr>
                    <w:t>在放喷池</w:t>
                  </w:r>
                  <w:r>
                    <w:rPr>
                      <w:rFonts w:hint="default" w:ascii="Times New Roman" w:hAnsi="Times New Roman" w:eastAsia="宋体" w:cs="Times New Roman"/>
                      <w:bCs w:val="0"/>
                      <w:color w:val="auto"/>
                      <w:spacing w:val="-10"/>
                      <w:sz w:val="21"/>
                      <w:szCs w:val="21"/>
                      <w:highlight w:val="none"/>
                    </w:rPr>
                    <w:t>经点火放空</w:t>
                  </w:r>
                  <w:r>
                    <w:rPr>
                      <w:rFonts w:hint="default" w:ascii="Times New Roman" w:hAnsi="Times New Roman" w:eastAsia="宋体" w:cs="Times New Roman"/>
                      <w:bCs w:val="0"/>
                      <w:color w:val="auto"/>
                      <w:spacing w:val="-10"/>
                      <w:sz w:val="21"/>
                      <w:szCs w:val="21"/>
                      <w:highlight w:val="none"/>
                      <w:lang w:eastAsia="zh-CN"/>
                    </w:rPr>
                    <w:t>。</w:t>
                  </w:r>
                </w:p>
              </w:tc>
              <w:tc>
                <w:tcPr>
                  <w:tcW w:w="979" w:type="pct"/>
                  <w:noWrap w:val="0"/>
                  <w:tcMar>
                    <w:left w:w="28" w:type="dxa"/>
                    <w:right w:w="28" w:type="dxa"/>
                  </w:tcMar>
                  <w:vAlign w:val="center"/>
                </w:tcPr>
                <w:p>
                  <w:pPr>
                    <w:pStyle w:val="71"/>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1"/>
                      <w:sz w:val="21"/>
                      <w:szCs w:val="21"/>
                      <w:highlight w:val="none"/>
                      <w:lang w:val="en-US" w:eastAsia="zh-CN"/>
                    </w:rPr>
                  </w:pPr>
                  <w:r>
                    <w:rPr>
                      <w:rFonts w:hint="default" w:ascii="Times New Roman" w:hAnsi="Times New Roman" w:eastAsia="宋体" w:cs="Times New Roman"/>
                      <w:bCs/>
                      <w:color w:val="auto"/>
                      <w:spacing w:val="-11"/>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color w:val="auto"/>
                      <w:spacing w:val="-10"/>
                      <w:sz w:val="21"/>
                      <w:szCs w:val="21"/>
                      <w:highlight w:val="none"/>
                    </w:rPr>
                  </w:pPr>
                </w:p>
              </w:tc>
              <w:tc>
                <w:tcPr>
                  <w:tcW w:w="65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left="0" w:leftChars="0" w:right="0" w:firstLine="0" w:firstLineChars="0"/>
                    <w:textAlignment w:val="auto"/>
                    <w:rPr>
                      <w:rFonts w:hint="default" w:ascii="Times New Roman" w:hAnsi="Times New Roman" w:eastAsia="宋体" w:cs="Times New Roman"/>
                      <w:bCs/>
                      <w:color w:val="auto"/>
                      <w:spacing w:val="-10"/>
                      <w:kern w:val="0"/>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lang w:eastAsia="zh-CN"/>
                    </w:rPr>
                    <w:t>危险废物暂存间</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占地面积8m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pacing w:val="-10"/>
                      <w:sz w:val="21"/>
                      <w:szCs w:val="21"/>
                      <w:highlight w:val="none"/>
                      <w:vertAlign w:val="baseline"/>
                      <w:lang w:eastAsia="zh-CN"/>
                    </w:rPr>
                    <w:t>。</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0"/>
                      <w:sz w:val="21"/>
                      <w:szCs w:val="21"/>
                      <w:highlight w:val="none"/>
                    </w:rPr>
                    <w:t>撬装式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10"/>
                      <w:sz w:val="21"/>
                      <w:szCs w:val="21"/>
                      <w:highlight w:val="none"/>
                    </w:rPr>
                  </w:pPr>
                  <w:r>
                    <w:rPr>
                      <w:rFonts w:hint="default" w:ascii="Times New Roman" w:hAnsi="Times New Roman" w:eastAsia="宋体" w:cs="Times New Roman"/>
                      <w:b w:val="0"/>
                      <w:color w:val="auto"/>
                      <w:spacing w:val="-10"/>
                      <w:sz w:val="21"/>
                      <w:szCs w:val="21"/>
                      <w:highlight w:val="none"/>
                    </w:rPr>
                    <w:t>钻后工程</w:t>
                  </w:r>
                </w:p>
              </w:tc>
              <w:tc>
                <w:tcPr>
                  <w:tcW w:w="3462"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进行设备搬迁以及钻井产生的“三废”处理，井场平整及临时占地恢复</w:t>
                  </w:r>
                  <w:r>
                    <w:rPr>
                      <w:rFonts w:hint="default" w:ascii="Times New Roman" w:hAnsi="Times New Roman" w:eastAsia="宋体" w:cs="Times New Roman"/>
                      <w:color w:val="auto"/>
                      <w:spacing w:val="-10"/>
                      <w:sz w:val="21"/>
                      <w:szCs w:val="21"/>
                      <w:highlight w:val="none"/>
                      <w:vertAlign w:val="baseline"/>
                      <w:lang w:eastAsia="zh-CN"/>
                    </w:rPr>
                    <w:t>。</w:t>
                  </w:r>
                </w:p>
              </w:tc>
              <w:tc>
                <w:tcPr>
                  <w:tcW w:w="979" w:type="pct"/>
                  <w:noWrap w:val="0"/>
                  <w:tcMar>
                    <w:left w:w="28" w:type="dxa"/>
                    <w:right w:w="28" w:type="dxa"/>
                  </w:tcMar>
                  <w:vAlign w:val="center"/>
                </w:tcPr>
                <w:p>
                  <w:pPr>
                    <w:pStyle w:val="71"/>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做到工完、料净、场地清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558" w:type="pct"/>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color w:val="auto"/>
                      <w:spacing w:val="-10"/>
                      <w:sz w:val="21"/>
                      <w:szCs w:val="21"/>
                      <w:highlight w:val="none"/>
                    </w:rPr>
                  </w:pPr>
                  <w:r>
                    <w:rPr>
                      <w:rFonts w:hint="default" w:ascii="Times New Roman" w:hAnsi="Times New Roman" w:eastAsia="宋体" w:cs="Times New Roman"/>
                      <w:b w:val="0"/>
                      <w:color w:val="auto"/>
                      <w:spacing w:val="-10"/>
                      <w:sz w:val="21"/>
                      <w:szCs w:val="21"/>
                      <w:highlight w:val="none"/>
                    </w:rPr>
                    <w:t>封井</w:t>
                  </w:r>
                </w:p>
              </w:tc>
              <w:tc>
                <w:tcPr>
                  <w:tcW w:w="3462"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若测试放喷显示无开采价值，需封井，井场临时占地恢复，落实各项生态保护措施</w:t>
                  </w:r>
                  <w:r>
                    <w:rPr>
                      <w:rFonts w:hint="default" w:ascii="Times New Roman" w:hAnsi="Times New Roman" w:eastAsia="宋体" w:cs="Times New Roman"/>
                      <w:bCs w:val="0"/>
                      <w:color w:val="auto"/>
                      <w:spacing w:val="-10"/>
                      <w:sz w:val="21"/>
                      <w:szCs w:val="21"/>
                      <w:highlight w:val="none"/>
                      <w:lang w:eastAsia="zh-CN"/>
                    </w:rPr>
                    <w:t>，</w:t>
                  </w:r>
                  <w:r>
                    <w:rPr>
                      <w:rFonts w:hint="default" w:ascii="Times New Roman" w:hAnsi="Times New Roman" w:eastAsia="宋体" w:cs="Times New Roman"/>
                      <w:bCs w:val="0"/>
                      <w:color w:val="auto"/>
                      <w:spacing w:val="-10"/>
                      <w:sz w:val="21"/>
                      <w:szCs w:val="21"/>
                      <w:highlight w:val="none"/>
                      <w:lang w:val="en-US" w:eastAsia="zh-CN"/>
                    </w:rPr>
                    <w:t>有开采价值，建设单位须履行探转采的手续后方可开采。</w:t>
                  </w:r>
                </w:p>
              </w:tc>
              <w:tc>
                <w:tcPr>
                  <w:tcW w:w="979" w:type="pct"/>
                  <w:noWrap w:val="0"/>
                  <w:tcMar>
                    <w:left w:w="28" w:type="dxa"/>
                    <w:right w:w="28" w:type="dxa"/>
                  </w:tcMar>
                  <w:vAlign w:val="center"/>
                </w:tcPr>
                <w:p>
                  <w:pPr>
                    <w:pStyle w:val="71"/>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bCs/>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rPr>
                    <w:t>施工周期</w:t>
                  </w:r>
                </w:p>
              </w:tc>
              <w:tc>
                <w:tcPr>
                  <w:tcW w:w="3462" w:type="pct"/>
                  <w:gridSpan w:val="2"/>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rPr>
                    <w:t>施工天数约</w:t>
                  </w:r>
                  <w:r>
                    <w:rPr>
                      <w:rFonts w:hint="eastAsia" w:ascii="Times New Roman" w:cs="Times New Roman"/>
                      <w:snapToGrid/>
                      <w:color w:val="auto"/>
                      <w:kern w:val="2"/>
                      <w:sz w:val="21"/>
                      <w:szCs w:val="21"/>
                      <w:highlight w:val="none"/>
                      <w:lang w:val="en-US" w:eastAsia="zh-CN"/>
                    </w:rPr>
                    <w:t>190</w:t>
                  </w:r>
                  <w:r>
                    <w:rPr>
                      <w:rFonts w:hint="default" w:ascii="Times New Roman" w:hAnsi="Times New Roman" w:eastAsia="宋体" w:cs="Times New Roman"/>
                      <w:snapToGrid/>
                      <w:color w:val="auto"/>
                      <w:kern w:val="2"/>
                      <w:sz w:val="21"/>
                      <w:szCs w:val="21"/>
                      <w:highlight w:val="none"/>
                      <w:lang w:val="en-US" w:eastAsia="zh-CN"/>
                    </w:rPr>
                    <w:t>d，其中钻前工程约10d，钻井期预计</w:t>
                  </w:r>
                  <w:r>
                    <w:rPr>
                      <w:rFonts w:hint="eastAsia" w:ascii="Times New Roman" w:cs="Times New Roman"/>
                      <w:snapToGrid/>
                      <w:color w:val="auto"/>
                      <w:kern w:val="2"/>
                      <w:sz w:val="21"/>
                      <w:szCs w:val="21"/>
                      <w:highlight w:val="none"/>
                      <w:lang w:val="en-US" w:eastAsia="zh-CN"/>
                    </w:rPr>
                    <w:t>1</w:t>
                  </w:r>
                  <w:r>
                    <w:rPr>
                      <w:rFonts w:hint="default" w:ascii="Times New Roman" w:hAnsi="Times New Roman" w:eastAsia="宋体" w:cs="Times New Roman"/>
                      <w:snapToGrid/>
                      <w:color w:val="auto"/>
                      <w:kern w:val="2"/>
                      <w:sz w:val="21"/>
                      <w:szCs w:val="21"/>
                      <w:highlight w:val="none"/>
                      <w:lang w:val="en-US" w:eastAsia="zh-CN"/>
                    </w:rPr>
                    <w:t>70d（其中测试放喷15d～20d），钻后工程约10d。</w:t>
                  </w:r>
                </w:p>
              </w:tc>
              <w:tc>
                <w:tcPr>
                  <w:tcW w:w="979" w:type="pct"/>
                  <w:noWrap w:val="0"/>
                  <w:tcMar>
                    <w:left w:w="28" w:type="dxa"/>
                    <w:right w:w="28" w:type="dxa"/>
                  </w:tcMar>
                  <w:vAlign w:val="center"/>
                </w:tcPr>
                <w:p>
                  <w:pPr>
                    <w:pStyle w:val="71"/>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restart"/>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10"/>
                      <w:sz w:val="21"/>
                      <w:szCs w:val="21"/>
                      <w:highlight w:val="none"/>
                    </w:rPr>
                  </w:pPr>
                  <w:r>
                    <w:rPr>
                      <w:rFonts w:hint="default" w:ascii="Times New Roman" w:hAnsi="Times New Roman" w:eastAsia="宋体" w:cs="Times New Roman"/>
                      <w:b w:val="0"/>
                      <w:color w:val="auto"/>
                      <w:spacing w:val="-10"/>
                      <w:sz w:val="21"/>
                      <w:szCs w:val="21"/>
                      <w:highlight w:val="none"/>
                    </w:rPr>
                    <w:t>公辅工程</w:t>
                  </w:r>
                </w:p>
              </w:tc>
              <w:tc>
                <w:tcPr>
                  <w:tcW w:w="65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供电工程</w:t>
                  </w:r>
                </w:p>
              </w:tc>
              <w:tc>
                <w:tcPr>
                  <w:tcW w:w="2805" w:type="pct"/>
                  <w:shd w:val="clear" w:color="auto" w:fill="auto"/>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val="0"/>
                    <w:snapToGrid/>
                    <w:spacing w:before="0" w:beforeLines="0" w:beforeAutospacing="0" w:after="0" w:afterAutospacing="0" w:line="360" w:lineRule="exact"/>
                    <w:ind w:left="0" w:leftChars="0" w:right="0" w:rightChars="0" w:firstLine="0" w:firstLineChars="0"/>
                    <w:jc w:val="both"/>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eastAsia" w:ascii="Times New Roman" w:cs="Times New Roman"/>
                      <w:color w:val="auto"/>
                      <w:spacing w:val="-10"/>
                      <w:sz w:val="21"/>
                      <w:szCs w:val="21"/>
                      <w:highlight w:val="none"/>
                      <w:lang w:val="en-US" w:eastAsia="zh-CN"/>
                    </w:rPr>
                    <w:t>项目用电由自备</w:t>
                  </w:r>
                  <w:r>
                    <w:rPr>
                      <w:rFonts w:hint="default" w:ascii="Times New Roman" w:hAnsi="Times New Roman" w:eastAsia="宋体" w:cs="Times New Roman"/>
                      <w:color w:val="auto"/>
                      <w:spacing w:val="-10"/>
                      <w:sz w:val="21"/>
                      <w:szCs w:val="21"/>
                      <w:highlight w:val="none"/>
                    </w:rPr>
                    <w:t>柴油发电机</w:t>
                  </w:r>
                  <w:r>
                    <w:rPr>
                      <w:rFonts w:hint="eastAsia" w:ascii="Times New Roman" w:cs="Times New Roman"/>
                      <w:color w:val="auto"/>
                      <w:spacing w:val="-10"/>
                      <w:sz w:val="21"/>
                      <w:szCs w:val="21"/>
                      <w:highlight w:val="none"/>
                      <w:lang w:val="en-US" w:eastAsia="zh-CN"/>
                    </w:rPr>
                    <w:t>供电</w:t>
                  </w:r>
                  <w:r>
                    <w:rPr>
                      <w:rFonts w:hint="default" w:ascii="Times New Roman" w:hAnsi="Times New Roman" w:eastAsia="宋体" w:cs="Times New Roman"/>
                      <w:color w:val="auto"/>
                      <w:kern w:val="2"/>
                      <w:sz w:val="21"/>
                      <w:szCs w:val="21"/>
                      <w:highlight w:val="none"/>
                      <w:lang w:val="en-US" w:eastAsia="zh-CN" w:bidi="ar-SA"/>
                    </w:rPr>
                    <w:t>。</w:t>
                  </w:r>
                </w:p>
              </w:tc>
              <w:tc>
                <w:tcPr>
                  <w:tcW w:w="979" w:type="pct"/>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color w:val="auto"/>
                      <w:spacing w:val="-10"/>
                      <w:sz w:val="21"/>
                      <w:szCs w:val="21"/>
                      <w:highlight w:val="none"/>
                    </w:rPr>
                  </w:pPr>
                </w:p>
              </w:tc>
              <w:tc>
                <w:tcPr>
                  <w:tcW w:w="65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供热工程</w:t>
                  </w:r>
                </w:p>
              </w:tc>
              <w:tc>
                <w:tcPr>
                  <w:tcW w:w="2805" w:type="pct"/>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冬季生活区供暖为电采暖，泥浆保温使用生物质锅炉。</w:t>
                  </w:r>
                </w:p>
              </w:tc>
              <w:tc>
                <w:tcPr>
                  <w:tcW w:w="979"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color w:val="auto"/>
                      <w:spacing w:val="-10"/>
                      <w:sz w:val="21"/>
                      <w:szCs w:val="21"/>
                      <w:highlight w:val="none"/>
                    </w:rPr>
                  </w:pPr>
                </w:p>
              </w:tc>
              <w:tc>
                <w:tcPr>
                  <w:tcW w:w="65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供水工程</w:t>
                  </w:r>
                </w:p>
              </w:tc>
              <w:tc>
                <w:tcPr>
                  <w:tcW w:w="2805"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jc w:val="both"/>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val="0"/>
                      <w:color w:val="000000" w:themeColor="text1"/>
                      <w:spacing w:val="-10"/>
                      <w:sz w:val="21"/>
                      <w:szCs w:val="21"/>
                      <w:highlight w:val="none"/>
                      <w14:textFill>
                        <w14:solidFill>
                          <w14:schemeClr w14:val="tx1"/>
                        </w14:solidFill>
                      </w14:textFill>
                    </w:rPr>
                    <w:t>钻井生产</w:t>
                  </w:r>
                  <w:r>
                    <w:rPr>
                      <w:rFonts w:hint="eastAsia" w:ascii="Times New Roman" w:cs="Times New Roman"/>
                      <w:bCs w:val="0"/>
                      <w:color w:val="000000" w:themeColor="text1"/>
                      <w:spacing w:val="-10"/>
                      <w:sz w:val="21"/>
                      <w:szCs w:val="21"/>
                      <w:highlight w:val="none"/>
                      <w:lang w:val="en-US" w:eastAsia="zh-CN"/>
                      <w14:textFill>
                        <w14:solidFill>
                          <w14:schemeClr w14:val="tx1"/>
                        </w14:solidFill>
                      </w14:textFill>
                    </w:rPr>
                    <w:t>用</w:t>
                  </w:r>
                  <w:r>
                    <w:rPr>
                      <w:rFonts w:hint="default" w:ascii="Times New Roman" w:hAnsi="Times New Roman" w:eastAsia="宋体" w:cs="Times New Roman"/>
                      <w:bCs w:val="0"/>
                      <w:color w:val="000000" w:themeColor="text1"/>
                      <w:spacing w:val="-10"/>
                      <w:sz w:val="21"/>
                      <w:szCs w:val="21"/>
                      <w:highlight w:val="none"/>
                      <w14:textFill>
                        <w14:solidFill>
                          <w14:schemeClr w14:val="tx1"/>
                        </w14:solidFill>
                      </w14:textFill>
                    </w:rPr>
                    <w:t>水</w:t>
                  </w:r>
                  <w:r>
                    <w:rPr>
                      <w:rFonts w:hint="eastAsia" w:ascii="Times New Roman" w:cs="Times New Roman"/>
                      <w:bCs w:val="0"/>
                      <w:color w:val="000000" w:themeColor="text1"/>
                      <w:spacing w:val="-10"/>
                      <w:sz w:val="21"/>
                      <w:szCs w:val="21"/>
                      <w:highlight w:val="none"/>
                      <w:lang w:val="en-US" w:eastAsia="zh-CN"/>
                      <w14:textFill>
                        <w14:solidFill>
                          <w14:schemeClr w14:val="tx1"/>
                        </w14:solidFill>
                      </w14:textFill>
                    </w:rPr>
                    <w:t>通过</w:t>
                  </w:r>
                  <w:r>
                    <w:rPr>
                      <w:rFonts w:hint="default" w:ascii="Times New Roman" w:hAnsi="Times New Roman" w:eastAsia="宋体" w:cs="Times New Roman"/>
                      <w:bCs w:val="0"/>
                      <w:color w:val="000000" w:themeColor="text1"/>
                      <w:spacing w:val="-10"/>
                      <w:sz w:val="21"/>
                      <w:szCs w:val="21"/>
                      <w:highlight w:val="none"/>
                      <w14:textFill>
                        <w14:solidFill>
                          <w14:schemeClr w14:val="tx1"/>
                        </w14:solidFill>
                      </w14:textFill>
                    </w:rPr>
                    <w:t>打水</w:t>
                  </w:r>
                  <w:r>
                    <w:rPr>
                      <w:rFonts w:hint="eastAsia" w:ascii="Times New Roman" w:cs="Times New Roman"/>
                      <w:bCs w:val="0"/>
                      <w:color w:val="000000" w:themeColor="text1"/>
                      <w:spacing w:val="-10"/>
                      <w:sz w:val="21"/>
                      <w:szCs w:val="21"/>
                      <w:highlight w:val="none"/>
                      <w:lang w:val="en-US" w:eastAsia="zh-CN"/>
                      <w14:textFill>
                        <w14:solidFill>
                          <w14:schemeClr w14:val="tx1"/>
                        </w14:solidFill>
                      </w14:textFill>
                    </w:rPr>
                    <w:t>井取水，水井使用前需取得取水相关文件。</w:t>
                  </w:r>
                  <w:r>
                    <w:rPr>
                      <w:rFonts w:hint="default" w:ascii="Times New Roman" w:hAnsi="Times New Roman" w:eastAsia="宋体" w:cs="Times New Roman"/>
                      <w:bCs w:val="0"/>
                      <w:color w:val="000000" w:themeColor="text1"/>
                      <w:spacing w:val="-10"/>
                      <w:sz w:val="21"/>
                      <w:szCs w:val="21"/>
                      <w:highlight w:val="none"/>
                      <w14:textFill>
                        <w14:solidFill>
                          <w14:schemeClr w14:val="tx1"/>
                        </w14:solidFill>
                      </w14:textFill>
                    </w:rPr>
                    <w:t>生活用水由水罐车由附近水站拉运</w:t>
                  </w:r>
                  <w:r>
                    <w:rPr>
                      <w:rFonts w:hint="default" w:ascii="Times New Roman" w:hAnsi="Times New Roman" w:eastAsia="宋体" w:cs="Times New Roman"/>
                      <w:bCs w:val="0"/>
                      <w:color w:val="000000" w:themeColor="text1"/>
                      <w:spacing w:val="-10"/>
                      <w:sz w:val="21"/>
                      <w:szCs w:val="21"/>
                      <w:highlight w:val="none"/>
                      <w:lang w:eastAsia="zh-CN"/>
                      <w14:textFill>
                        <w14:solidFill>
                          <w14:schemeClr w14:val="tx1"/>
                        </w14:solidFill>
                      </w14:textFill>
                    </w:rPr>
                    <w:t>。</w:t>
                  </w:r>
                </w:p>
              </w:tc>
              <w:tc>
                <w:tcPr>
                  <w:tcW w:w="979"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color w:val="auto"/>
                      <w:spacing w:val="-10"/>
                      <w:sz w:val="21"/>
                      <w:szCs w:val="21"/>
                      <w:highlight w:val="none"/>
                    </w:rPr>
                  </w:pPr>
                </w:p>
              </w:tc>
              <w:tc>
                <w:tcPr>
                  <w:tcW w:w="656"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道路工程</w:t>
                  </w:r>
                </w:p>
              </w:tc>
              <w:tc>
                <w:tcPr>
                  <w:tcW w:w="280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color w:val="auto"/>
                      <w:spacing w:val="-10"/>
                      <w:kern w:val="0"/>
                      <w:sz w:val="21"/>
                      <w:szCs w:val="21"/>
                      <w:highlight w:val="none"/>
                      <w:lang w:val="en-US" w:eastAsia="zh-CN"/>
                    </w:rPr>
                    <w:t>临时井场道路从最近现有道路进行引接，在依托现有道路基础上新建临时道路，结合地形等条件估算，需新建临时进场道路长约</w:t>
                  </w:r>
                  <w:r>
                    <w:rPr>
                      <w:rFonts w:hint="eastAsia" w:ascii="Times New Roman" w:cs="Times New Roman"/>
                      <w:color w:val="auto"/>
                      <w:spacing w:val="-10"/>
                      <w:kern w:val="0"/>
                      <w:sz w:val="21"/>
                      <w:szCs w:val="21"/>
                      <w:highlight w:val="none"/>
                      <w:lang w:val="en-US" w:eastAsia="zh-CN"/>
                    </w:rPr>
                    <w:t>405</w:t>
                  </w:r>
                  <w:r>
                    <w:rPr>
                      <w:rFonts w:hint="default" w:ascii="Times New Roman" w:hAnsi="Times New Roman" w:eastAsia="宋体" w:cs="Times New Roman"/>
                      <w:color w:val="auto"/>
                      <w:spacing w:val="-10"/>
                      <w:kern w:val="0"/>
                      <w:sz w:val="21"/>
                      <w:szCs w:val="21"/>
                      <w:highlight w:val="none"/>
                    </w:rPr>
                    <w:t>m，砂石路面，宽</w:t>
                  </w:r>
                  <w:r>
                    <w:rPr>
                      <w:rFonts w:hint="default" w:ascii="Times New Roman" w:hAnsi="Times New Roman" w:eastAsia="宋体" w:cs="Times New Roman"/>
                      <w:color w:val="auto"/>
                      <w:spacing w:val="-10"/>
                      <w:kern w:val="0"/>
                      <w:sz w:val="21"/>
                      <w:szCs w:val="21"/>
                      <w:highlight w:val="none"/>
                      <w:lang w:val="en-US" w:eastAsia="zh-CN"/>
                    </w:rPr>
                    <w:t>6</w:t>
                  </w:r>
                  <w:r>
                    <w:rPr>
                      <w:rFonts w:hint="default" w:ascii="Times New Roman" w:hAnsi="Times New Roman" w:eastAsia="宋体" w:cs="Times New Roman"/>
                      <w:color w:val="auto"/>
                      <w:spacing w:val="-10"/>
                      <w:kern w:val="0"/>
                      <w:sz w:val="21"/>
                      <w:szCs w:val="21"/>
                      <w:highlight w:val="none"/>
                    </w:rPr>
                    <w:t>m，</w:t>
                  </w:r>
                  <w:r>
                    <w:rPr>
                      <w:rFonts w:hint="default" w:ascii="Times New Roman" w:hAnsi="Times New Roman" w:eastAsia="宋体" w:cs="Times New Roman"/>
                      <w:color w:val="auto"/>
                      <w:spacing w:val="-10"/>
                      <w:sz w:val="21"/>
                      <w:szCs w:val="21"/>
                      <w:highlight w:val="none"/>
                    </w:rPr>
                    <w:t>井场临时道路占地</w:t>
                  </w:r>
                  <w:r>
                    <w:rPr>
                      <w:rFonts w:hint="eastAsia" w:ascii="Times New Roman" w:cs="Times New Roman"/>
                      <w:color w:val="auto"/>
                      <w:spacing w:val="-10"/>
                      <w:sz w:val="21"/>
                      <w:szCs w:val="21"/>
                      <w:highlight w:val="none"/>
                      <w:lang w:val="en-US" w:eastAsia="zh-CN"/>
                    </w:rPr>
                    <w:t>2430</w:t>
                  </w:r>
                  <w:r>
                    <w:rPr>
                      <w:rFonts w:hint="default" w:ascii="Times New Roman" w:hAnsi="Times New Roman" w:eastAsia="宋体" w:cs="Times New Roman"/>
                      <w:color w:val="auto"/>
                      <w:spacing w:val="-10"/>
                      <w:sz w:val="21"/>
                      <w:szCs w:val="21"/>
                      <w:highlight w:val="none"/>
                    </w:rPr>
                    <w:t>m</w:t>
                  </w:r>
                  <w:r>
                    <w:rPr>
                      <w:rFonts w:hint="default" w:ascii="Times New Roman" w:hAnsi="Times New Roman" w:eastAsia="宋体" w:cs="Times New Roman"/>
                      <w:color w:val="auto"/>
                      <w:spacing w:val="-10"/>
                      <w:sz w:val="21"/>
                      <w:szCs w:val="21"/>
                      <w:highlight w:val="none"/>
                      <w:vertAlign w:val="superscript"/>
                    </w:rPr>
                    <w:t>2</w:t>
                  </w:r>
                  <w:r>
                    <w:rPr>
                      <w:rFonts w:hint="default" w:ascii="Times New Roman" w:hAnsi="Times New Roman" w:eastAsia="宋体" w:cs="Times New Roman"/>
                      <w:color w:val="auto"/>
                      <w:spacing w:val="-10"/>
                      <w:sz w:val="21"/>
                      <w:szCs w:val="21"/>
                      <w:highlight w:val="none"/>
                      <w:vertAlign w:val="baseline"/>
                      <w:lang w:eastAsia="zh-CN"/>
                    </w:rPr>
                    <w:t>。</w:t>
                  </w:r>
                </w:p>
              </w:tc>
              <w:tc>
                <w:tcPr>
                  <w:tcW w:w="97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74"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restar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eastAsia="zh-CN"/>
                    </w:rPr>
                    <w:t>仓储</w:t>
                  </w:r>
                  <w:r>
                    <w:rPr>
                      <w:rFonts w:hint="default" w:ascii="Times New Roman" w:hAnsi="Times New Roman" w:eastAsia="宋体" w:cs="Times New Roman"/>
                      <w:color w:val="auto"/>
                      <w:spacing w:val="-10"/>
                      <w:sz w:val="21"/>
                      <w:szCs w:val="21"/>
                      <w:highlight w:val="none"/>
                    </w:rPr>
                    <w:t>或</w:t>
                  </w:r>
                </w:p>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其它</w:t>
                  </w:r>
                </w:p>
              </w:tc>
              <w:tc>
                <w:tcPr>
                  <w:tcW w:w="2805"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jc w:val="both"/>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w:t>
                  </w:r>
                  <w:r>
                    <w:rPr>
                      <w:rFonts w:hint="default" w:ascii="Times New Roman" w:hAnsi="Times New Roman" w:eastAsia="宋体" w:cs="Times New Roman"/>
                      <w:bCs/>
                      <w:color w:val="auto"/>
                      <w:spacing w:val="-17"/>
                      <w:sz w:val="21"/>
                      <w:szCs w:val="21"/>
                      <w:highlight w:val="none"/>
                    </w:rPr>
                    <w:t>罐（4个，60m</w:t>
                  </w:r>
                  <w:r>
                    <w:rPr>
                      <w:rFonts w:hint="default" w:ascii="Times New Roman" w:hAnsi="Times New Roman" w:eastAsia="宋体" w:cs="Times New Roman"/>
                      <w:bCs/>
                      <w:color w:val="auto"/>
                      <w:spacing w:val="-17"/>
                      <w:sz w:val="21"/>
                      <w:szCs w:val="21"/>
                      <w:highlight w:val="none"/>
                      <w:vertAlign w:val="superscript"/>
                    </w:rPr>
                    <w:t>3</w:t>
                  </w:r>
                  <w:r>
                    <w:rPr>
                      <w:rFonts w:hint="default" w:ascii="Times New Roman" w:hAnsi="Times New Roman" w:eastAsia="宋体" w:cs="Times New Roman"/>
                      <w:bCs/>
                      <w:color w:val="auto"/>
                      <w:spacing w:val="-17"/>
                      <w:sz w:val="21"/>
                      <w:szCs w:val="21"/>
                      <w:highlight w:val="none"/>
                    </w:rPr>
                    <w:t>/个）、生活水罐（1个，</w:t>
                  </w:r>
                  <w:r>
                    <w:rPr>
                      <w:rFonts w:hint="default" w:ascii="Times New Roman" w:hAnsi="Times New Roman" w:eastAsia="宋体" w:cs="Times New Roman"/>
                      <w:bCs/>
                      <w:color w:val="auto"/>
                      <w:spacing w:val="-17"/>
                      <w:sz w:val="21"/>
                      <w:szCs w:val="21"/>
                      <w:highlight w:val="none"/>
                      <w:lang w:val="en-US" w:eastAsia="zh-CN"/>
                    </w:rPr>
                    <w:t>45</w:t>
                  </w:r>
                  <w:r>
                    <w:rPr>
                      <w:rFonts w:hint="default" w:ascii="Times New Roman" w:hAnsi="Times New Roman" w:eastAsia="宋体" w:cs="Times New Roman"/>
                      <w:bCs/>
                      <w:color w:val="auto"/>
                      <w:spacing w:val="-17"/>
                      <w:sz w:val="21"/>
                      <w:szCs w:val="21"/>
                      <w:highlight w:val="none"/>
                    </w:rPr>
                    <w:t>m</w:t>
                  </w:r>
                  <w:r>
                    <w:rPr>
                      <w:rFonts w:hint="default" w:ascii="Times New Roman" w:hAnsi="Times New Roman" w:eastAsia="宋体" w:cs="Times New Roman"/>
                      <w:bCs/>
                      <w:color w:val="auto"/>
                      <w:spacing w:val="-17"/>
                      <w:sz w:val="21"/>
                      <w:szCs w:val="21"/>
                      <w:highlight w:val="none"/>
                      <w:vertAlign w:val="superscript"/>
                    </w:rPr>
                    <w:t>3</w:t>
                  </w:r>
                  <w:r>
                    <w:rPr>
                      <w:rFonts w:hint="default" w:ascii="Times New Roman" w:hAnsi="Times New Roman" w:eastAsia="宋体" w:cs="Times New Roman"/>
                      <w:bCs/>
                      <w:color w:val="auto"/>
                      <w:spacing w:val="-17"/>
                      <w:sz w:val="21"/>
                      <w:szCs w:val="21"/>
                      <w:highlight w:val="none"/>
                    </w:rPr>
                    <w:t>/个）、生产水罐（5个，60m</w:t>
                  </w:r>
                  <w:r>
                    <w:rPr>
                      <w:rFonts w:hint="default" w:ascii="Times New Roman" w:hAnsi="Times New Roman" w:eastAsia="宋体" w:cs="Times New Roman"/>
                      <w:bCs/>
                      <w:color w:val="auto"/>
                      <w:spacing w:val="-17"/>
                      <w:sz w:val="21"/>
                      <w:szCs w:val="21"/>
                      <w:highlight w:val="none"/>
                      <w:vertAlign w:val="superscript"/>
                    </w:rPr>
                    <w:t>3</w:t>
                  </w:r>
                  <w:r>
                    <w:rPr>
                      <w:rFonts w:hint="default" w:ascii="Times New Roman" w:hAnsi="Times New Roman" w:eastAsia="宋体" w:cs="Times New Roman"/>
                      <w:bCs/>
                      <w:color w:val="auto"/>
                      <w:spacing w:val="-17"/>
                      <w:sz w:val="21"/>
                      <w:szCs w:val="21"/>
                      <w:highlight w:val="none"/>
                    </w:rPr>
                    <w:t>/个）、泥浆循环罐（10个，71m</w:t>
                  </w:r>
                  <w:r>
                    <w:rPr>
                      <w:rFonts w:hint="default" w:ascii="Times New Roman" w:hAnsi="Times New Roman" w:eastAsia="宋体" w:cs="Times New Roman"/>
                      <w:bCs/>
                      <w:color w:val="auto"/>
                      <w:spacing w:val="-17"/>
                      <w:sz w:val="21"/>
                      <w:szCs w:val="21"/>
                      <w:highlight w:val="none"/>
                      <w:vertAlign w:val="superscript"/>
                    </w:rPr>
                    <w:t>3</w:t>
                  </w:r>
                  <w:r>
                    <w:rPr>
                      <w:rFonts w:hint="default" w:ascii="Times New Roman" w:hAnsi="Times New Roman" w:eastAsia="宋体" w:cs="Times New Roman"/>
                      <w:bCs/>
                      <w:color w:val="auto"/>
                      <w:spacing w:val="-17"/>
                      <w:sz w:val="21"/>
                      <w:szCs w:val="21"/>
                      <w:highlight w:val="none"/>
                    </w:rPr>
                    <w:t>/个）</w:t>
                  </w:r>
                  <w:r>
                    <w:rPr>
                      <w:rFonts w:hint="default" w:ascii="Times New Roman" w:hAnsi="Times New Roman" w:eastAsia="宋体" w:cs="Times New Roman"/>
                      <w:bCs/>
                      <w:color w:val="auto"/>
                      <w:spacing w:val="-17"/>
                      <w:sz w:val="21"/>
                      <w:szCs w:val="21"/>
                      <w:highlight w:val="none"/>
                      <w:lang w:eastAsia="zh-CN"/>
                    </w:rPr>
                    <w:t>。</w:t>
                  </w:r>
                </w:p>
              </w:tc>
              <w:tc>
                <w:tcPr>
                  <w:tcW w:w="979" w:type="pct"/>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lang w:val="en-US" w:eastAsia="zh-CN"/>
                    </w:rPr>
                  </w:pPr>
                  <w:r>
                    <w:rPr>
                      <w:rFonts w:hint="default" w:ascii="Times New Roman" w:hAnsi="Times New Roman" w:eastAsia="宋体" w:cs="Times New Roman"/>
                      <w:bCs/>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16"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textAlignment w:val="auto"/>
                    <w:rPr>
                      <w:rFonts w:hint="default" w:ascii="Times New Roman" w:hAnsi="Times New Roman" w:eastAsia="宋体" w:cs="Times New Roman"/>
                      <w:color w:val="auto"/>
                      <w:spacing w:val="-10"/>
                      <w:sz w:val="21"/>
                      <w:szCs w:val="21"/>
                      <w:highlight w:val="none"/>
                    </w:rPr>
                  </w:pPr>
                </w:p>
              </w:tc>
              <w:tc>
                <w:tcPr>
                  <w:tcW w:w="2805"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snapToGrid/>
                    <w:spacing w:before="0" w:beforeLines="0" w:beforeAutospacing="0" w:after="0" w:afterAutospacing="0" w:line="360" w:lineRule="exact"/>
                    <w:ind w:right="0" w:firstLine="0" w:firstLineChars="0"/>
                    <w:jc w:val="both"/>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17"/>
                      <w:sz w:val="21"/>
                      <w:szCs w:val="21"/>
                      <w:highlight w:val="none"/>
                    </w:rPr>
                    <w:t>柴油罐（3个，45m</w:t>
                  </w:r>
                  <w:r>
                    <w:rPr>
                      <w:rFonts w:hint="default" w:ascii="Times New Roman" w:hAnsi="Times New Roman" w:eastAsia="宋体" w:cs="Times New Roman"/>
                      <w:bCs/>
                      <w:color w:val="auto"/>
                      <w:spacing w:val="-17"/>
                      <w:sz w:val="21"/>
                      <w:szCs w:val="21"/>
                      <w:highlight w:val="none"/>
                      <w:vertAlign w:val="superscript"/>
                    </w:rPr>
                    <w:t>3</w:t>
                  </w:r>
                  <w:r>
                    <w:rPr>
                      <w:rFonts w:hint="default" w:ascii="Times New Roman" w:hAnsi="Times New Roman" w:eastAsia="宋体" w:cs="Times New Roman"/>
                      <w:bCs/>
                      <w:color w:val="auto"/>
                      <w:spacing w:val="-17"/>
                      <w:sz w:val="21"/>
                      <w:szCs w:val="21"/>
                      <w:highlight w:val="none"/>
                    </w:rPr>
                    <w:t>/个）</w:t>
                  </w:r>
                  <w:r>
                    <w:rPr>
                      <w:rFonts w:hint="default" w:ascii="Times New Roman" w:hAnsi="Times New Roman" w:eastAsia="宋体" w:cs="Times New Roman"/>
                      <w:bCs/>
                      <w:color w:val="auto"/>
                      <w:spacing w:val="-17"/>
                      <w:sz w:val="21"/>
                      <w:szCs w:val="21"/>
                      <w:highlight w:val="none"/>
                      <w:lang w:val="en-US" w:eastAsia="zh-CN"/>
                    </w:rPr>
                    <w:t>，</w:t>
                  </w:r>
                  <w:r>
                    <w:rPr>
                      <w:rFonts w:hint="default" w:ascii="Times New Roman" w:hAnsi="Times New Roman" w:eastAsia="宋体" w:cs="Times New Roman"/>
                      <w:bCs/>
                      <w:color w:val="auto"/>
                      <w:spacing w:val="-17"/>
                      <w:sz w:val="21"/>
                      <w:szCs w:val="21"/>
                      <w:highlight w:val="none"/>
                    </w:rPr>
                    <w:t>凝析油罐（4个，40m</w:t>
                  </w:r>
                  <w:r>
                    <w:rPr>
                      <w:rFonts w:hint="default" w:ascii="Times New Roman" w:hAnsi="Times New Roman" w:eastAsia="宋体" w:cs="Times New Roman"/>
                      <w:bCs/>
                      <w:color w:val="auto"/>
                      <w:spacing w:val="-17"/>
                      <w:sz w:val="21"/>
                      <w:szCs w:val="21"/>
                      <w:highlight w:val="none"/>
                      <w:vertAlign w:val="superscript"/>
                    </w:rPr>
                    <w:t>3</w:t>
                  </w:r>
                  <w:r>
                    <w:rPr>
                      <w:rFonts w:hint="default" w:ascii="Times New Roman" w:hAnsi="Times New Roman" w:eastAsia="宋体" w:cs="Times New Roman"/>
                      <w:bCs/>
                      <w:color w:val="auto"/>
                      <w:spacing w:val="-17"/>
                      <w:sz w:val="21"/>
                      <w:szCs w:val="21"/>
                      <w:highlight w:val="none"/>
                    </w:rPr>
                    <w:t>/个）</w:t>
                  </w:r>
                  <w:r>
                    <w:rPr>
                      <w:rFonts w:hint="default" w:ascii="Times New Roman" w:hAnsi="Times New Roman" w:eastAsia="宋体" w:cs="Times New Roman"/>
                      <w:bCs/>
                      <w:color w:val="auto"/>
                      <w:spacing w:val="-17"/>
                      <w:sz w:val="21"/>
                      <w:szCs w:val="21"/>
                      <w:highlight w:val="none"/>
                      <w:lang w:eastAsia="zh-CN"/>
                    </w:rPr>
                    <w:t>，</w:t>
                  </w:r>
                  <w:r>
                    <w:rPr>
                      <w:rFonts w:hint="default" w:ascii="Times New Roman" w:hAnsi="Times New Roman" w:eastAsia="宋体" w:cs="Times New Roman"/>
                      <w:bCs/>
                      <w:color w:val="auto"/>
                      <w:spacing w:val="-17"/>
                      <w:sz w:val="21"/>
                      <w:szCs w:val="21"/>
                      <w:highlight w:val="none"/>
                      <w:lang w:val="en-US" w:eastAsia="zh-CN"/>
                    </w:rPr>
                    <w:t>采取重点防渗。</w:t>
                  </w:r>
                </w:p>
              </w:tc>
              <w:tc>
                <w:tcPr>
                  <w:tcW w:w="979" w:type="pct"/>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bCs/>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restart"/>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10"/>
                      <w:sz w:val="21"/>
                      <w:szCs w:val="21"/>
                      <w:highlight w:val="none"/>
                    </w:rPr>
                  </w:pPr>
                  <w:r>
                    <w:rPr>
                      <w:rFonts w:hint="default" w:ascii="Times New Roman" w:hAnsi="Times New Roman" w:eastAsia="宋体" w:cs="Times New Roman"/>
                      <w:b w:val="0"/>
                      <w:bCs w:val="0"/>
                      <w:color w:val="auto"/>
                      <w:spacing w:val="-10"/>
                      <w:sz w:val="21"/>
                      <w:szCs w:val="21"/>
                      <w:highlight w:val="none"/>
                    </w:rPr>
                    <w:t>环保</w:t>
                  </w:r>
                  <w:r>
                    <w:rPr>
                      <w:rFonts w:hint="default" w:ascii="Times New Roman" w:hAnsi="Times New Roman" w:eastAsia="宋体" w:cs="Times New Roman"/>
                      <w:b w:val="0"/>
                      <w:color w:val="auto"/>
                      <w:spacing w:val="-10"/>
                      <w:sz w:val="21"/>
                      <w:szCs w:val="21"/>
                      <w:highlight w:val="none"/>
                    </w:rPr>
                    <w:t>工程</w:t>
                  </w:r>
                </w:p>
              </w:tc>
              <w:tc>
                <w:tcPr>
                  <w:tcW w:w="656" w:type="pct"/>
                  <w:vMerge w:val="restart"/>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bCs/>
                      <w:color w:val="auto"/>
                      <w:spacing w:val="-10"/>
                      <w:sz w:val="21"/>
                      <w:szCs w:val="21"/>
                      <w:highlight w:val="none"/>
                      <w:lang w:val="en-US" w:eastAsia="zh-CN"/>
                    </w:rPr>
                    <w:t>废气</w:t>
                  </w: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7"/>
                      <w:sz w:val="21"/>
                      <w:szCs w:val="21"/>
                      <w:highlight w:val="none"/>
                      <w:lang w:val="en-US" w:eastAsia="zh-CN"/>
                    </w:rPr>
                    <w:t>钻井作业时</w:t>
                  </w:r>
                  <w:bookmarkStart w:id="18" w:name="OLE_LINK11"/>
                  <w:r>
                    <w:rPr>
                      <w:rFonts w:hint="default" w:ascii="Times New Roman" w:hAnsi="Times New Roman" w:eastAsia="宋体" w:cs="Times New Roman"/>
                      <w:color w:val="auto"/>
                      <w:spacing w:val="-17"/>
                      <w:sz w:val="21"/>
                      <w:szCs w:val="21"/>
                      <w:highlight w:val="none"/>
                      <w:lang w:val="en-US" w:eastAsia="zh-CN"/>
                    </w:rPr>
                    <w:t>科学设置钻井流程，</w:t>
                  </w:r>
                  <w:bookmarkEnd w:id="18"/>
                  <w:r>
                    <w:rPr>
                      <w:rFonts w:hint="default" w:ascii="Times New Roman" w:hAnsi="Times New Roman" w:eastAsia="宋体" w:cs="Times New Roman"/>
                      <w:color w:val="auto"/>
                      <w:spacing w:val="-17"/>
                      <w:sz w:val="21"/>
                      <w:szCs w:val="21"/>
                      <w:highlight w:val="none"/>
                      <w:lang w:val="en-US" w:eastAsia="zh-CN"/>
                    </w:rPr>
                    <w:t>有效使用发电机，减少燃料燃烧产生的废气量</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测试放喷科学测算放喷时间，减少天然气点火放空造成的环境污染</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color w:val="auto"/>
                      <w:spacing w:val="-11"/>
                      <w:sz w:val="21"/>
                      <w:szCs w:val="21"/>
                      <w:highlight w:val="none"/>
                      <w:lang w:val="en-US" w:eastAsia="zh-CN"/>
                    </w:rPr>
                  </w:pPr>
                  <w:r>
                    <w:rPr>
                      <w:rFonts w:hint="default" w:ascii="Times New Roman" w:hAnsi="Times New Roman" w:eastAsia="宋体" w:cs="Times New Roman"/>
                      <w:bCs/>
                      <w:color w:val="auto"/>
                      <w:spacing w:val="-10"/>
                      <w:kern w:val="2"/>
                      <w:sz w:val="21"/>
                      <w:szCs w:val="21"/>
                      <w:highlight w:val="none"/>
                      <w:lang w:val="en-US" w:eastAsia="zh-CN"/>
                    </w:rPr>
                    <w:t>生物质蒸汽锅炉采用生物质成型燃料，烟气经低氮燃烧技术+布袋除尘器处理后经</w:t>
                  </w:r>
                  <w:r>
                    <w:rPr>
                      <w:rFonts w:hint="eastAsia" w:cs="Times New Roman"/>
                      <w:bCs/>
                      <w:color w:val="auto"/>
                      <w:spacing w:val="-10"/>
                      <w:kern w:val="2"/>
                      <w:sz w:val="21"/>
                      <w:szCs w:val="21"/>
                      <w:highlight w:val="none"/>
                      <w:lang w:val="en-US" w:eastAsia="zh-CN"/>
                    </w:rPr>
                    <w:t>30</w:t>
                  </w:r>
                  <w:r>
                    <w:rPr>
                      <w:rFonts w:hint="default" w:ascii="Times New Roman" w:hAnsi="Times New Roman" w:eastAsia="宋体" w:cs="Times New Roman"/>
                      <w:bCs/>
                      <w:color w:val="auto"/>
                      <w:spacing w:val="-10"/>
                      <w:kern w:val="2"/>
                      <w:sz w:val="21"/>
                      <w:szCs w:val="21"/>
                      <w:highlight w:val="none"/>
                      <w:lang w:val="en-US" w:eastAsia="zh-CN"/>
                    </w:rPr>
                    <w:t>m排气筒（可拆卸）排放。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11"/>
                      <w:sz w:val="21"/>
                      <w:szCs w:val="21"/>
                      <w:highlight w:val="none"/>
                      <w:lang w:val="en-US" w:eastAsia="zh-CN"/>
                    </w:rPr>
                    <w:t>井场储罐均密闭，减少挥发无组织废气</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1"/>
                      <w:sz w:val="21"/>
                      <w:szCs w:val="21"/>
                      <w:highlight w:val="none"/>
                      <w:lang w:val="en-US" w:eastAsia="zh-CN"/>
                    </w:rPr>
                    <w:t>运输土石方等车辆，车厢遮盖严密后方可运出场外；合理堆放物料，搭建苫布，同时定时洒水</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shd w:val="clear" w:color="auto" w:fill="auto"/>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bCs/>
                      <w:color w:val="auto"/>
                      <w:spacing w:val="-11"/>
                      <w:sz w:val="21"/>
                      <w:szCs w:val="21"/>
                      <w:highlight w:val="none"/>
                      <w:lang w:val="en-US" w:eastAsia="zh-CN"/>
                    </w:rPr>
                    <w:t>设备和车辆燃用合格的燃料，设备和车辆不超负荷运行，减少机械设备和车辆尾气</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z w:val="21"/>
                      <w:szCs w:val="21"/>
                      <w:highlight w:val="none"/>
                    </w:rPr>
                    <w:t>柴油发电机废气：使用环保节能型柴油机，选用轻质柴油燃料，加强管理维护等。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restart"/>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bCs/>
                      <w:color w:val="auto"/>
                      <w:spacing w:val="-10"/>
                      <w:sz w:val="21"/>
                      <w:szCs w:val="21"/>
                      <w:highlight w:val="none"/>
                      <w:lang w:val="en-US" w:eastAsia="zh-CN"/>
                    </w:rPr>
                    <w:t>废水</w:t>
                  </w: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1"/>
                      <w:sz w:val="21"/>
                      <w:szCs w:val="21"/>
                      <w:highlight w:val="none"/>
                      <w:lang w:val="en-US" w:eastAsia="zh-CN"/>
                    </w:rPr>
                    <w:t>酸化压裂返排液在井场加碱中和后，暂存于废液收集罐，运至富源7环保处理站处置。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bCs/>
                      <w:color w:val="auto"/>
                      <w:spacing w:val="-11"/>
                      <w:sz w:val="21"/>
                      <w:szCs w:val="21"/>
                      <w:highlight w:val="none"/>
                      <w:lang w:val="en-US" w:eastAsia="zh-CN"/>
                    </w:rPr>
                  </w:pPr>
                  <w:r>
                    <w:rPr>
                      <w:rFonts w:hint="default" w:ascii="Times New Roman" w:hAnsi="Times New Roman" w:eastAsia="宋体" w:cs="Times New Roman"/>
                      <w:bCs/>
                      <w:color w:val="auto"/>
                      <w:spacing w:val="-11"/>
                      <w:sz w:val="21"/>
                      <w:szCs w:val="21"/>
                      <w:highlight w:val="none"/>
                      <w:lang w:val="en-US" w:eastAsia="zh-CN"/>
                    </w:rPr>
                    <w:t>锅炉排污水用于井区周边洒水抑尘。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shd w:val="clear" w:color="auto" w:fill="auto"/>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生活污水：经井场撬装式污水处理装置处理后，水质达到《农村生活污水处理排放标准》（DB65</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4275-2019）表2的</w:t>
                  </w:r>
                  <w:r>
                    <w:rPr>
                      <w:rFonts w:hint="default" w:ascii="Times New Roman" w:hAnsi="Times New Roman" w:eastAsia="宋体" w:cs="Times New Roman"/>
                      <w:color w:val="auto"/>
                      <w:sz w:val="21"/>
                      <w:szCs w:val="21"/>
                      <w:highlight w:val="none"/>
                      <w:lang w:val="en-US" w:eastAsia="zh-CN"/>
                    </w:rPr>
                    <w:t>B</w:t>
                  </w:r>
                  <w:r>
                    <w:rPr>
                      <w:rFonts w:hint="default" w:ascii="Times New Roman" w:hAnsi="Times New Roman" w:eastAsia="宋体" w:cs="Times New Roman"/>
                      <w:color w:val="auto"/>
                      <w:sz w:val="21"/>
                      <w:szCs w:val="21"/>
                      <w:highlight w:val="none"/>
                    </w:rPr>
                    <w:t>级标准，用于荒漠生态恢复</w:t>
                  </w:r>
                  <w:r>
                    <w:rPr>
                      <w:rFonts w:hint="default" w:ascii="Times New Roman" w:hAnsi="Times New Roman" w:eastAsia="宋体" w:cs="Times New Roman"/>
                      <w:color w:val="auto"/>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restart"/>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r>
                    <w:rPr>
                      <w:rFonts w:hint="default" w:ascii="Times New Roman" w:hAnsi="Times New Roman" w:eastAsia="宋体" w:cs="Times New Roman"/>
                      <w:bCs/>
                      <w:color w:val="auto"/>
                      <w:spacing w:val="-10"/>
                      <w:sz w:val="21"/>
                      <w:szCs w:val="21"/>
                      <w:highlight w:val="none"/>
                      <w:lang w:val="en-US" w:eastAsia="zh-CN"/>
                    </w:rPr>
                    <w:t>固体废物</w:t>
                  </w:r>
                </w:p>
              </w:tc>
              <w:tc>
                <w:tcPr>
                  <w:tcW w:w="3785"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泥浆在井口采用“</w:t>
                  </w:r>
                  <w:r>
                    <w:rPr>
                      <w:rFonts w:hint="default" w:ascii="Times New Roman" w:hAnsi="Times New Roman" w:eastAsia="宋体" w:cs="Times New Roman"/>
                      <w:snapToGrid w:val="0"/>
                      <w:color w:val="auto"/>
                      <w:spacing w:val="-10"/>
                      <w:kern w:val="0"/>
                      <w:sz w:val="21"/>
                      <w:szCs w:val="21"/>
                      <w:highlight w:val="none"/>
                      <w:lang w:bidi="ar"/>
                    </w:rPr>
                    <w:t>泥浆不落地</w:t>
                  </w:r>
                  <w:r>
                    <w:rPr>
                      <w:rFonts w:hint="default" w:ascii="Times New Roman" w:hAnsi="Times New Roman" w:eastAsia="宋体" w:cs="Times New Roman"/>
                      <w:bCs/>
                      <w:color w:val="auto"/>
                      <w:spacing w:val="-10"/>
                      <w:sz w:val="21"/>
                      <w:szCs w:val="21"/>
                      <w:highlight w:val="none"/>
                    </w:rPr>
                    <w:t>”</w:t>
                  </w:r>
                  <w:r>
                    <w:rPr>
                      <w:rFonts w:hint="default" w:ascii="Times New Roman" w:hAnsi="Times New Roman" w:eastAsia="宋体" w:cs="Times New Roman"/>
                      <w:snapToGrid w:val="0"/>
                      <w:color w:val="auto"/>
                      <w:spacing w:val="-10"/>
                      <w:kern w:val="0"/>
                      <w:sz w:val="21"/>
                      <w:szCs w:val="21"/>
                      <w:highlight w:val="none"/>
                      <w:lang w:bidi="ar"/>
                    </w:rPr>
                    <w:t>工艺收集，泥浆排入泥浆罐循环使用，完井后拉运至下一口井再利用</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19"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snapToGrid w:val="0"/>
                      <w:color w:val="auto"/>
                      <w:spacing w:val="-10"/>
                      <w:kern w:val="0"/>
                      <w:sz w:val="21"/>
                      <w:szCs w:val="21"/>
                      <w:highlight w:val="none"/>
                      <w:lang w:bidi="ar"/>
                    </w:rPr>
                    <w:t>膨润土体系废弃钻井岩屑排入</w:t>
                  </w:r>
                  <w:r>
                    <w:rPr>
                      <w:rFonts w:hint="default" w:ascii="Times New Roman" w:hAnsi="Times New Roman" w:eastAsia="宋体" w:cs="Times New Roman"/>
                      <w:bCs/>
                      <w:color w:val="auto"/>
                      <w:spacing w:val="-10"/>
                      <w:sz w:val="21"/>
                      <w:szCs w:val="21"/>
                      <w:highlight w:val="none"/>
                    </w:rPr>
                    <w:t>膨润土</w:t>
                  </w:r>
                  <w:r>
                    <w:rPr>
                      <w:rFonts w:hint="default" w:ascii="Times New Roman" w:hAnsi="Times New Roman" w:eastAsia="宋体" w:cs="Times New Roman"/>
                      <w:snapToGrid w:val="0"/>
                      <w:color w:val="auto"/>
                      <w:spacing w:val="-10"/>
                      <w:kern w:val="0"/>
                      <w:sz w:val="21"/>
                      <w:szCs w:val="21"/>
                      <w:highlight w:val="none"/>
                      <w:lang w:bidi="ar"/>
                    </w:rPr>
                    <w:t>岩屑池（</w:t>
                  </w:r>
                  <w:r>
                    <w:rPr>
                      <w:rFonts w:hint="default" w:ascii="Times New Roman" w:hAnsi="Times New Roman" w:eastAsia="宋体" w:cs="Times New Roman"/>
                      <w:bCs/>
                      <w:color w:val="auto"/>
                      <w:spacing w:val="-10"/>
                      <w:sz w:val="21"/>
                      <w:szCs w:val="21"/>
                      <w:highlight w:val="none"/>
                    </w:rPr>
                    <w:t>1</w:t>
                  </w:r>
                  <w:r>
                    <w:rPr>
                      <w:rFonts w:hint="eastAsia" w:ascii="Times New Roman" w:cs="Times New Roman"/>
                      <w:bCs/>
                      <w:color w:val="auto"/>
                      <w:spacing w:val="-10"/>
                      <w:sz w:val="21"/>
                      <w:szCs w:val="21"/>
                      <w:highlight w:val="none"/>
                      <w:lang w:val="en-US" w:eastAsia="zh-CN"/>
                    </w:rPr>
                    <w:t>5</w:t>
                  </w:r>
                  <w:r>
                    <w:rPr>
                      <w:rFonts w:hint="default" w:ascii="Times New Roman" w:hAnsi="Times New Roman" w:eastAsia="宋体" w:cs="Times New Roman"/>
                      <w:bCs/>
                      <w:color w:val="auto"/>
                      <w:spacing w:val="-10"/>
                      <w:sz w:val="21"/>
                      <w:szCs w:val="21"/>
                      <w:highlight w:val="none"/>
                    </w:rPr>
                    <w:t>00m</w:t>
                  </w:r>
                  <w:r>
                    <w:rPr>
                      <w:rFonts w:hint="default" w:ascii="Times New Roman" w:hAnsi="Times New Roman" w:eastAsia="宋体" w:cs="Times New Roman"/>
                      <w:bCs/>
                      <w:color w:val="auto"/>
                      <w:spacing w:val="-10"/>
                      <w:sz w:val="21"/>
                      <w:szCs w:val="21"/>
                      <w:highlight w:val="none"/>
                      <w:vertAlign w:val="superscript"/>
                    </w:rPr>
                    <w:t>3</w:t>
                  </w:r>
                  <w:r>
                    <w:rPr>
                      <w:rFonts w:hint="default" w:ascii="Times New Roman" w:hAnsi="Times New Roman" w:eastAsia="宋体" w:cs="Times New Roman"/>
                      <w:color w:val="auto"/>
                      <w:spacing w:val="-10"/>
                      <w:sz w:val="21"/>
                      <w:szCs w:val="21"/>
                      <w:highlight w:val="none"/>
                    </w:rPr>
                    <w:t>）干</w:t>
                  </w:r>
                  <w:r>
                    <w:rPr>
                      <w:rFonts w:hint="default" w:ascii="Times New Roman" w:hAnsi="Times New Roman" w:eastAsia="宋体" w:cs="Times New Roman"/>
                      <w:snapToGrid w:val="0"/>
                      <w:color w:val="auto"/>
                      <w:spacing w:val="-10"/>
                      <w:kern w:val="0"/>
                      <w:sz w:val="21"/>
                      <w:szCs w:val="21"/>
                      <w:highlight w:val="none"/>
                      <w:lang w:bidi="ar"/>
                    </w:rPr>
                    <w:t>化，经检测达标后，用于井场平整</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snapToGrid w:val="0"/>
                      <w:color w:val="auto"/>
                      <w:spacing w:val="-10"/>
                      <w:kern w:val="0"/>
                      <w:sz w:val="21"/>
                      <w:szCs w:val="21"/>
                      <w:highlight w:val="none"/>
                      <w:lang w:val="en-US" w:eastAsia="zh-CN" w:bidi="ar"/>
                    </w:rPr>
                  </w:pPr>
                  <w:r>
                    <w:rPr>
                      <w:rFonts w:hint="eastAsia" w:ascii="Times New Roman" w:cs="Times New Roman"/>
                      <w:color w:val="auto"/>
                      <w:spacing w:val="-10"/>
                      <w:sz w:val="21"/>
                      <w:szCs w:val="21"/>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10"/>
                      <w:sz w:val="21"/>
                      <w:szCs w:val="21"/>
                      <w:highlight w:val="none"/>
                    </w:rPr>
                    <w:t>，</w:t>
                  </w:r>
                  <w:r>
                    <w:rPr>
                      <w:rFonts w:hint="eastAsia" w:ascii="Times New Roman" w:cs="Times New Roman"/>
                      <w:color w:val="auto"/>
                      <w:spacing w:val="-10"/>
                      <w:sz w:val="21"/>
                      <w:szCs w:val="21"/>
                      <w:highlight w:val="none"/>
                      <w:lang w:val="en-US" w:eastAsia="zh-CN"/>
                    </w:rPr>
                    <w:t>处理达标</w:t>
                  </w:r>
                  <w:r>
                    <w:rPr>
                      <w:rFonts w:hint="default" w:ascii="Times New Roman" w:hAnsi="Times New Roman" w:eastAsia="宋体" w:cs="Times New Roman"/>
                      <w:color w:val="auto"/>
                      <w:spacing w:val="-10"/>
                      <w:sz w:val="21"/>
                      <w:szCs w:val="21"/>
                      <w:highlight w:val="none"/>
                    </w:rPr>
                    <w:t>后，</w:t>
                  </w:r>
                  <w:r>
                    <w:rPr>
                      <w:rFonts w:hint="eastAsia" w:ascii="Times New Roman" w:cs="Times New Roman"/>
                      <w:color w:val="auto"/>
                      <w:spacing w:val="-10"/>
                      <w:sz w:val="21"/>
                      <w:szCs w:val="21"/>
                      <w:highlight w:val="none"/>
                      <w:lang w:val="en-US" w:eastAsia="zh-CN"/>
                    </w:rPr>
                    <w:t>还原土</w:t>
                  </w:r>
                  <w:r>
                    <w:rPr>
                      <w:rFonts w:hint="default" w:ascii="Times New Roman" w:hAnsi="Times New Roman" w:eastAsia="宋体" w:cs="Times New Roman"/>
                      <w:color w:val="auto"/>
                      <w:spacing w:val="-10"/>
                      <w:sz w:val="21"/>
                      <w:szCs w:val="21"/>
                      <w:highlight w:val="none"/>
                    </w:rPr>
                    <w:t>用于铺垫油区内的井场、道路</w:t>
                  </w:r>
                  <w:r>
                    <w:rPr>
                      <w:rFonts w:hint="default" w:ascii="Times New Roman" w:hAnsi="Times New Roman" w:eastAsia="宋体"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yellow"/>
                      <w:lang w:val="en-US" w:eastAsia="zh-CN" w:bidi="ar-SA"/>
                    </w:rPr>
                  </w:pPr>
                  <w:r>
                    <w:rPr>
                      <w:rFonts w:hint="default" w:ascii="Times New Roman" w:hAnsi="Times New Roman" w:eastAsia="宋体" w:cs="Times New Roman"/>
                      <w:color w:val="auto"/>
                      <w:spacing w:val="-10"/>
                      <w:sz w:val="21"/>
                      <w:szCs w:val="21"/>
                      <w:highlight w:val="none"/>
                    </w:rPr>
                    <w:t>锅炉灰渣与除尘灰集中收集后送至周边固废填埋场填埋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snapToGrid w:val="0"/>
                      <w:color w:val="auto"/>
                      <w:spacing w:val="-10"/>
                      <w:kern w:val="0"/>
                      <w:sz w:val="21"/>
                      <w:szCs w:val="21"/>
                      <w:highlight w:val="none"/>
                      <w:lang w:bidi="ar"/>
                    </w:rPr>
                  </w:pPr>
                  <w:r>
                    <w:rPr>
                      <w:rFonts w:hint="default" w:ascii="Times New Roman" w:hAnsi="Times New Roman" w:eastAsia="宋体" w:cs="Times New Roman"/>
                      <w:snapToGrid w:val="0"/>
                      <w:color w:val="auto"/>
                      <w:spacing w:val="-10"/>
                      <w:kern w:val="0"/>
                      <w:sz w:val="21"/>
                      <w:szCs w:val="21"/>
                      <w:highlight w:val="none"/>
                      <w:lang w:bidi="ar"/>
                    </w:rPr>
                    <w:t>废布袋由厂家回收处理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eastAsia="zh-CN"/>
                    </w:rPr>
                    <w:t>沾油废物</w:t>
                  </w:r>
                  <w:r>
                    <w:rPr>
                      <w:rFonts w:hint="default" w:ascii="Times New Roman" w:hAnsi="Times New Roman" w:eastAsia="宋体" w:cs="Times New Roman"/>
                      <w:color w:val="auto"/>
                      <w:spacing w:val="-10"/>
                      <w:sz w:val="21"/>
                      <w:szCs w:val="21"/>
                      <w:highlight w:val="none"/>
                    </w:rPr>
                    <w:t>（危险废物，HW08 900-249-08）、废烧碱包装袋（危险废物，HW49 900-</w:t>
                  </w:r>
                  <w:r>
                    <w:rPr>
                      <w:rFonts w:hint="default" w:ascii="Times New Roman" w:hAnsi="Times New Roman" w:eastAsia="宋体" w:cs="Times New Roman"/>
                      <w:color w:val="auto"/>
                      <w:spacing w:val="-10"/>
                      <w:sz w:val="21"/>
                      <w:szCs w:val="21"/>
                      <w:highlight w:val="none"/>
                      <w:lang w:val="en-US" w:eastAsia="zh-CN"/>
                    </w:rPr>
                    <w:t>041-49</w:t>
                  </w: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eastAsia="zh-CN"/>
                    </w:rPr>
                    <w:t>废矿物油及其包装物</w:t>
                  </w:r>
                  <w:r>
                    <w:rPr>
                      <w:rFonts w:hint="default" w:ascii="Times New Roman" w:hAnsi="Times New Roman" w:eastAsia="宋体" w:cs="Times New Roman"/>
                      <w:color w:val="auto"/>
                      <w:spacing w:val="-10"/>
                      <w:sz w:val="21"/>
                      <w:szCs w:val="21"/>
                      <w:highlight w:val="none"/>
                    </w:rPr>
                    <w:t>（危险废物，HW08 900-249-08）在危废贮存点（8m</w:t>
                  </w:r>
                  <w:r>
                    <w:rPr>
                      <w:rFonts w:hint="default" w:ascii="Times New Roman" w:hAnsi="Times New Roman" w:eastAsia="宋体" w:cs="Times New Roman"/>
                      <w:color w:val="auto"/>
                      <w:spacing w:val="-10"/>
                      <w:sz w:val="21"/>
                      <w:szCs w:val="21"/>
                      <w:highlight w:val="none"/>
                      <w:vertAlign w:val="superscript"/>
                    </w:rPr>
                    <w:t>2</w:t>
                  </w:r>
                  <w:r>
                    <w:rPr>
                      <w:rFonts w:hint="default" w:ascii="Times New Roman" w:hAnsi="Times New Roman" w:eastAsia="宋体" w:cs="Times New Roman"/>
                      <w:color w:val="auto"/>
                      <w:spacing w:val="-10"/>
                      <w:sz w:val="21"/>
                      <w:szCs w:val="21"/>
                      <w:highlight w:val="none"/>
                    </w:rPr>
                    <w:t>）暂存，定期由有处理资质的单位接收妥善处置</w:t>
                  </w:r>
                  <w:r>
                    <w:rPr>
                      <w:rFonts w:hint="default" w:ascii="Times New Roman" w:hAnsi="Times New Roman" w:eastAsia="宋体"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vMerge w:val="continue"/>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10"/>
                      <w:sz w:val="21"/>
                      <w:szCs w:val="21"/>
                      <w:highlight w:val="none"/>
                      <w:lang w:val="en-US" w:eastAsia="zh-CN"/>
                    </w:rPr>
                  </w:pPr>
                </w:p>
              </w:tc>
              <w:tc>
                <w:tcPr>
                  <w:tcW w:w="3785" w:type="pct"/>
                  <w:gridSpan w:val="2"/>
                  <w:noWrap w:val="0"/>
                  <w:tcMar>
                    <w:left w:w="28" w:type="dxa"/>
                    <w:right w:w="28" w:type="dxa"/>
                  </w:tcMar>
                  <w:vAlign w:val="center"/>
                </w:tcPr>
                <w:p>
                  <w:pPr>
                    <w:keepNext w:val="0"/>
                    <w:keepLines w:val="0"/>
                    <w:pageBreakBefore w:val="0"/>
                    <w:widowControl w:val="0"/>
                    <w:suppressLineNumbers w:val="0"/>
                    <w:tabs>
                      <w:tab w:val="left" w:pos="420"/>
                    </w:tabs>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生活垃圾及污水处理站污泥规范收集后统一清运至</w:t>
                  </w:r>
                  <w:r>
                    <w:rPr>
                      <w:rFonts w:hint="eastAsia" w:ascii="Times New Roman" w:cs="Times New Roman"/>
                      <w:color w:val="auto"/>
                      <w:spacing w:val="-10"/>
                      <w:sz w:val="21"/>
                      <w:szCs w:val="21"/>
                      <w:highlight w:val="none"/>
                      <w:lang w:eastAsia="zh-CN"/>
                    </w:rPr>
                    <w:t>塔中镇生活垃圾填埋场处理</w:t>
                  </w:r>
                  <w:r>
                    <w:rPr>
                      <w:rFonts w:hint="default" w:ascii="Times New Roman" w:hAnsi="Times New Roman" w:eastAsia="宋体"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bCs/>
                      <w:color w:val="auto"/>
                      <w:spacing w:val="-10"/>
                      <w:kern w:val="0"/>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lang w:val="en-US" w:eastAsia="zh-CN"/>
                    </w:rPr>
                    <w:t>噪声</w:t>
                  </w:r>
                </w:p>
              </w:tc>
              <w:tc>
                <w:tcPr>
                  <w:tcW w:w="3785"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基础减振</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防渗工程</w:t>
                  </w:r>
                </w:p>
              </w:tc>
              <w:tc>
                <w:tcPr>
                  <w:tcW w:w="3785"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0"/>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val="en-US" w:eastAsia="zh-CN"/>
                    </w:rPr>
                    <w:t>柴油</w:t>
                  </w:r>
                  <w:r>
                    <w:rPr>
                      <w:rFonts w:hint="default" w:ascii="Times New Roman" w:hAnsi="Times New Roman" w:eastAsia="宋体" w:cs="Times New Roman"/>
                      <w:bCs/>
                      <w:color w:val="auto"/>
                      <w:spacing w:val="-10"/>
                      <w:sz w:val="21"/>
                      <w:szCs w:val="21"/>
                      <w:highlight w:val="none"/>
                      <w:lang w:val="en-US" w:eastAsia="zh-CN"/>
                    </w:rPr>
                    <w:t>罐区</w:t>
                  </w:r>
                  <w:r>
                    <w:rPr>
                      <w:rFonts w:hint="default" w:ascii="Times New Roman" w:hAnsi="Times New Roman" w:eastAsia="宋体" w:cs="Times New Roman"/>
                      <w:color w:val="auto"/>
                      <w:spacing w:val="-10"/>
                      <w:sz w:val="21"/>
                      <w:szCs w:val="21"/>
                      <w:highlight w:val="none"/>
                      <w:lang w:val="en-US" w:eastAsia="zh-CN"/>
                    </w:rPr>
                    <w:t>、柴油发电机区、危险废物暂存间（危险废物贮存点）、放喷池、钻井平台、不落地收集装置、泥浆泵区、泥浆罐区、膨润土岩屑池等地面均采用环保防渗膜防渗</w:t>
                  </w:r>
                  <w:r>
                    <w:rPr>
                      <w:rFonts w:hint="default" w:ascii="Times New Roman" w:hAnsi="Times New Roman" w:eastAsia="宋体" w:cs="Times New Roman"/>
                      <w:color w:val="auto"/>
                      <w:spacing w:val="-10"/>
                      <w:sz w:val="21"/>
                      <w:szCs w:val="21"/>
                      <w:highlight w:val="none"/>
                      <w:vertAlign w:val="baseli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656" w:type="pct"/>
                  <w:noWrap w:val="0"/>
                  <w:tcMar>
                    <w:left w:w="28" w:type="dxa"/>
                    <w:right w:w="28" w:type="dxa"/>
                  </w:tcMar>
                  <w:vAlign w:val="center"/>
                </w:tcPr>
                <w:p>
                  <w:pPr>
                    <w:pStyle w:val="11"/>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生态</w:t>
                  </w:r>
                </w:p>
              </w:tc>
              <w:tc>
                <w:tcPr>
                  <w:tcW w:w="3785" w:type="pct"/>
                  <w:gridSpan w:val="2"/>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在井场设置“保护生态环境、保护野生动物”等警示牌，加强对施工人员的教育，强化保护野生动物的观念，不得捕猎。车辆行驶过程中不得鸣笛惊吓野生动物。确保各类废弃物妥善处理，井场采用围栏加以防护，避免野生动物误入而危及生命。降低风险概率，避免事故泄漏和火灾爆炸事故对野生动物产生影响。施工结束后及时清理施工现场，做到“工完、料净、场地清”。工程结束后，建设单位应承担恢复生态的责任，并及时对临时占地区域进行平整、恢复原貌，使占地造成的影响逐步得以恢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restart"/>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10"/>
                      <w:sz w:val="21"/>
                      <w:szCs w:val="21"/>
                      <w:highlight w:val="none"/>
                    </w:rPr>
                  </w:pPr>
                  <w:r>
                    <w:rPr>
                      <w:rFonts w:hint="default" w:ascii="Times New Roman" w:hAnsi="Times New Roman" w:eastAsia="宋体" w:cs="Times New Roman"/>
                      <w:b w:val="0"/>
                      <w:bCs w:val="0"/>
                      <w:color w:val="auto"/>
                      <w:spacing w:val="-10"/>
                      <w:sz w:val="21"/>
                      <w:szCs w:val="21"/>
                      <w:highlight w:val="none"/>
                      <w:lang w:val="en-US" w:eastAsia="zh-CN"/>
                    </w:rPr>
                    <w:t>依托工程</w:t>
                  </w:r>
                </w:p>
              </w:tc>
              <w:tc>
                <w:tcPr>
                  <w:tcW w:w="4441" w:type="pct"/>
                  <w:gridSpan w:val="3"/>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酸化压裂返排液：在井场加碱中和后，暂存于废液收集罐，定期运至富源7井废液处理站。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10"/>
                      <w:sz w:val="21"/>
                      <w:szCs w:val="21"/>
                      <w:highlight w:val="none"/>
                      <w:lang w:val="en-US" w:eastAsia="zh-CN"/>
                    </w:rPr>
                  </w:pPr>
                </w:p>
              </w:tc>
              <w:tc>
                <w:tcPr>
                  <w:tcW w:w="4441" w:type="pct"/>
                  <w:gridSpan w:val="3"/>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eastAsia" w:ascii="Times New Roman" w:cs="Times New Roman"/>
                      <w:color w:val="auto"/>
                      <w:spacing w:val="-10"/>
                      <w:sz w:val="21"/>
                      <w:szCs w:val="21"/>
                      <w:highlight w:val="none"/>
                      <w:lang w:eastAsia="zh-CN"/>
                    </w:rPr>
                    <w:t>聚磺体系废弃钻井岩屑收集后拉运至塔中油田钻试修废弃物环保处理站处理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8" w:type="pct"/>
                  <w:vMerge w:val="continue"/>
                  <w:noWrap w:val="0"/>
                  <w:tcMar>
                    <w:left w:w="28" w:type="dxa"/>
                    <w:right w:w="28" w:type="dxa"/>
                  </w:tcMar>
                  <w:vAlign w:val="center"/>
                </w:tcPr>
                <w:p>
                  <w:pPr>
                    <w:pStyle w:val="65"/>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pacing w:val="-10"/>
                      <w:sz w:val="21"/>
                      <w:szCs w:val="21"/>
                      <w:highlight w:val="none"/>
                    </w:rPr>
                  </w:pPr>
                </w:p>
              </w:tc>
              <w:tc>
                <w:tcPr>
                  <w:tcW w:w="4441" w:type="pct"/>
                  <w:gridSpan w:val="3"/>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生活垃圾、污水处理站污泥依托</w:t>
                  </w:r>
                  <w:r>
                    <w:rPr>
                      <w:rFonts w:hint="eastAsia" w:ascii="Times New Roman" w:cs="Times New Roman"/>
                      <w:color w:val="auto"/>
                      <w:spacing w:val="-10"/>
                      <w:kern w:val="2"/>
                      <w:sz w:val="21"/>
                      <w:szCs w:val="21"/>
                      <w:highlight w:val="none"/>
                      <w:lang w:val="en-US" w:eastAsia="zh-CN"/>
                    </w:rPr>
                    <w:t>塔中镇生活垃圾填埋场处理</w:t>
                  </w:r>
                  <w:r>
                    <w:rPr>
                      <w:rFonts w:hint="default" w:ascii="Times New Roman" w:hAnsi="Times New Roman" w:eastAsia="宋体" w:cs="Times New Roman"/>
                      <w:color w:val="auto"/>
                      <w:spacing w:val="-10"/>
                      <w:kern w:val="2"/>
                      <w:sz w:val="21"/>
                      <w:szCs w:val="21"/>
                      <w:highlight w:val="none"/>
                      <w:lang w:val="en-US" w:eastAsia="zh-CN"/>
                    </w:rPr>
                    <w:t>。</w:t>
                  </w:r>
                </w:p>
              </w:tc>
            </w:tr>
          </w:tbl>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8、工程建设所用施工机械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bCs/>
                <w:color w:val="auto"/>
                <w:sz w:val="24"/>
                <w:highlight w:val="none"/>
                <w:lang w:val="en-US" w:eastAsia="zh-CN"/>
              </w:rPr>
              <w:t>工程建设所需设备设施情况见表2-5。</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表2-5    施工所用机械一览表</w:t>
            </w:r>
          </w:p>
          <w:tbl>
            <w:tblPr>
              <w:tblStyle w:val="32"/>
              <w:tblW w:w="49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130"/>
              <w:gridCol w:w="2456"/>
              <w:gridCol w:w="1571"/>
              <w:gridCol w:w="760"/>
              <w:gridCol w:w="1227"/>
              <w:gridCol w:w="118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项目组成</w:t>
                  </w: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设备或部件名称</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规格型号</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数量</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单位</w:t>
                  </w:r>
                </w:p>
              </w:tc>
              <w:tc>
                <w:tcPr>
                  <w:tcW w:w="71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restar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钻前工程</w:t>
                  </w: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推土机</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辆</w:t>
                  </w:r>
                </w:p>
              </w:tc>
              <w:tc>
                <w:tcPr>
                  <w:tcW w:w="712" w:type="pct"/>
                  <w:vMerge w:val="restar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开挖池体</w:t>
                  </w:r>
                </w:p>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平整井场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挖掘机</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辆</w:t>
                  </w:r>
                </w:p>
              </w:tc>
              <w:tc>
                <w:tcPr>
                  <w:tcW w:w="712"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bCs w:val="0"/>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restar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钻井工程</w:t>
                  </w: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机械钻机</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lang w:eastAsia="zh-CN"/>
                    </w:rPr>
                  </w:pPr>
                  <w:r>
                    <w:rPr>
                      <w:rFonts w:hint="eastAsia" w:ascii="Times New Roman" w:cs="Times New Roman"/>
                      <w:color w:val="auto"/>
                      <w:spacing w:val="-10"/>
                      <w:sz w:val="21"/>
                      <w:szCs w:val="21"/>
                      <w:highlight w:val="none"/>
                      <w:lang w:val="en-US" w:eastAsia="zh-CN"/>
                    </w:rPr>
                    <w:t>90D</w:t>
                  </w:r>
                  <w:r>
                    <w:rPr>
                      <w:rFonts w:hint="default" w:ascii="Times New Roman" w:hAnsi="Times New Roman" w:eastAsia="宋体" w:cs="Times New Roman"/>
                      <w:color w:val="auto"/>
                      <w:spacing w:val="-10"/>
                      <w:sz w:val="21"/>
                      <w:szCs w:val="21"/>
                      <w:highlight w:val="none"/>
                      <w:lang w:eastAsia="zh-CN"/>
                    </w:rPr>
                    <w:t>及以上</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井架</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底座</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绞车</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天车</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游车/大钩</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水龙头</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转盘</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柴油发电机</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1380kW</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机械传动装置</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8"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泥浆泵</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1600HP</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3</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固井水泥罐</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68m</w:t>
                  </w:r>
                  <w:r>
                    <w:rPr>
                      <w:rFonts w:hint="default" w:ascii="Times New Roman" w:hAnsi="Times New Roman" w:eastAsia="宋体" w:cs="Times New Roman"/>
                      <w:color w:val="auto"/>
                      <w:spacing w:val="-10"/>
                      <w:sz w:val="21"/>
                      <w:szCs w:val="21"/>
                      <w:highlight w:val="none"/>
                      <w:vertAlign w:val="superscript"/>
                    </w:rPr>
                    <w:t>3</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7</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柴油罐</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45m</w:t>
                  </w:r>
                  <w:r>
                    <w:rPr>
                      <w:rFonts w:hint="default" w:ascii="Times New Roman" w:hAnsi="Times New Roman" w:eastAsia="宋体" w:cs="Times New Roman"/>
                      <w:color w:val="auto"/>
                      <w:spacing w:val="-10"/>
                      <w:sz w:val="21"/>
                      <w:szCs w:val="21"/>
                      <w:highlight w:val="none"/>
                      <w:vertAlign w:val="superscript"/>
                    </w:rPr>
                    <w:t>3</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3</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凝析油罐</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40m</w:t>
                  </w:r>
                  <w:r>
                    <w:rPr>
                      <w:rFonts w:hint="default" w:ascii="Times New Roman" w:hAnsi="Times New Roman" w:eastAsia="宋体" w:cs="Times New Roman"/>
                      <w:color w:val="auto"/>
                      <w:spacing w:val="-10"/>
                      <w:sz w:val="21"/>
                      <w:szCs w:val="21"/>
                      <w:highlight w:val="none"/>
                      <w:vertAlign w:val="superscript"/>
                    </w:rPr>
                    <w:t>3</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4</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泥浆罐</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60m</w:t>
                  </w:r>
                  <w:r>
                    <w:rPr>
                      <w:rFonts w:hint="default" w:ascii="Times New Roman" w:hAnsi="Times New Roman" w:eastAsia="宋体" w:cs="Times New Roman"/>
                      <w:color w:val="auto"/>
                      <w:spacing w:val="-10"/>
                      <w:sz w:val="21"/>
                      <w:szCs w:val="21"/>
                      <w:highlight w:val="none"/>
                      <w:vertAlign w:val="superscript"/>
                    </w:rPr>
                    <w:t>3</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4</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泥浆循环罐</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71m</w:t>
                  </w:r>
                  <w:r>
                    <w:rPr>
                      <w:rFonts w:hint="default" w:ascii="Times New Roman" w:hAnsi="Times New Roman" w:eastAsia="宋体" w:cs="Times New Roman"/>
                      <w:color w:val="auto"/>
                      <w:spacing w:val="-10"/>
                      <w:sz w:val="21"/>
                      <w:szCs w:val="21"/>
                      <w:highlight w:val="none"/>
                      <w:vertAlign w:val="superscript"/>
                    </w:rPr>
                    <w:t>3</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10</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生活水罐</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lang w:val="en-US" w:eastAsia="zh-CN"/>
                    </w:rPr>
                    <w:t>45</w:t>
                  </w:r>
                  <w:r>
                    <w:rPr>
                      <w:rFonts w:hint="default" w:ascii="Times New Roman" w:hAnsi="Times New Roman" w:eastAsia="宋体" w:cs="Times New Roman"/>
                      <w:color w:val="auto"/>
                      <w:spacing w:val="-10"/>
                      <w:sz w:val="21"/>
                      <w:szCs w:val="21"/>
                      <w:highlight w:val="none"/>
                    </w:rPr>
                    <w:t>m</w:t>
                  </w:r>
                  <w:r>
                    <w:rPr>
                      <w:rFonts w:hint="default" w:ascii="Times New Roman" w:hAnsi="Times New Roman" w:eastAsia="宋体" w:cs="Times New Roman"/>
                      <w:color w:val="auto"/>
                      <w:spacing w:val="-10"/>
                      <w:sz w:val="21"/>
                      <w:szCs w:val="21"/>
                      <w:highlight w:val="none"/>
                      <w:vertAlign w:val="superscript"/>
                    </w:rPr>
                    <w:t>3</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生产水罐</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60m</w:t>
                  </w:r>
                  <w:r>
                    <w:rPr>
                      <w:rFonts w:hint="default" w:ascii="Times New Roman" w:hAnsi="Times New Roman" w:eastAsia="宋体" w:cs="Times New Roman"/>
                      <w:color w:val="auto"/>
                      <w:spacing w:val="-10"/>
                      <w:sz w:val="21"/>
                      <w:szCs w:val="21"/>
                      <w:highlight w:val="none"/>
                      <w:vertAlign w:val="superscript"/>
                    </w:rPr>
                    <w:t>3</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泥浆不落地系统</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除气器</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泥浆除气</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除砂器</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除泥器</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加重泵、混合漏斗</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气液分离器</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充气泵</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轴流风机</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备用气瓶</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环保罐</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restar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储层改造</w:t>
                  </w:r>
                </w:p>
              </w:tc>
              <w:tc>
                <w:tcPr>
                  <w:tcW w:w="1473"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运输车辆</w:t>
                  </w:r>
                </w:p>
              </w:tc>
              <w:tc>
                <w:tcPr>
                  <w:tcW w:w="942"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73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辆</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电缆绞车</w:t>
                  </w:r>
                </w:p>
              </w:tc>
              <w:tc>
                <w:tcPr>
                  <w:tcW w:w="942"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辆</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混砂车</w:t>
                  </w:r>
                </w:p>
              </w:tc>
              <w:tc>
                <w:tcPr>
                  <w:tcW w:w="942"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w:t>
                  </w:r>
                </w:p>
              </w:tc>
              <w:tc>
                <w:tcPr>
                  <w:tcW w:w="73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辆</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供液系统</w:t>
                  </w:r>
                </w:p>
              </w:tc>
              <w:tc>
                <w:tcPr>
                  <w:tcW w:w="942"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压裂车</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20</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m</w:t>
                  </w:r>
                  <w:r>
                    <w:rPr>
                      <w:rFonts w:hint="default" w:ascii="Times New Roman" w:hAnsi="Times New Roman" w:eastAsia="宋体" w:cs="Times New Roman"/>
                      <w:bCs/>
                      <w:color w:val="auto"/>
                      <w:spacing w:val="-10"/>
                      <w:sz w:val="21"/>
                      <w:szCs w:val="21"/>
                      <w:highlight w:val="none"/>
                      <w:vertAlign w:val="superscript"/>
                    </w:rPr>
                    <w:t>3</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6辆</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加压泵组</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736"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废液收集罐</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30</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m</w:t>
                  </w:r>
                  <w:r>
                    <w:rPr>
                      <w:rFonts w:hint="default" w:ascii="Times New Roman" w:hAnsi="Times New Roman" w:eastAsia="宋体" w:cs="Times New Roman"/>
                      <w:bCs/>
                      <w:color w:val="auto"/>
                      <w:spacing w:val="-10"/>
                      <w:sz w:val="21"/>
                      <w:szCs w:val="21"/>
                      <w:highlight w:val="none"/>
                      <w:vertAlign w:val="superscript"/>
                    </w:rPr>
                    <w:t>3</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10个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钻采一体化井口装置</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放空火炬</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w:t>
                  </w:r>
                </w:p>
              </w:tc>
              <w:tc>
                <w:tcPr>
                  <w:tcW w:w="45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restar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测试放喷</w:t>
                  </w: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采油树</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防喷器</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测井车</w:t>
                  </w:r>
                </w:p>
              </w:tc>
              <w:tc>
                <w:tcPr>
                  <w:tcW w:w="94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val="0"/>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三相计量分离器</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restar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风险防护</w:t>
                  </w:r>
                </w:p>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设施</w:t>
                  </w: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left="0" w:leftChars="0" w:right="0" w:firstLine="0" w:firstLineChars="0"/>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lang w:eastAsia="zh-CN"/>
                    </w:rPr>
                    <w:t>危险废物暂存间</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left="0" w:leftChars="0" w:right="0" w:firstLine="0" w:firstLineChars="0"/>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8m</w:t>
                  </w:r>
                  <w:r>
                    <w:rPr>
                      <w:rFonts w:hint="default" w:ascii="Times New Roman" w:hAnsi="Times New Roman" w:eastAsia="宋体" w:cs="Times New Roman"/>
                      <w:color w:val="auto"/>
                      <w:spacing w:val="-10"/>
                      <w:sz w:val="21"/>
                      <w:szCs w:val="21"/>
                      <w:highlight w:val="none"/>
                      <w:vertAlign w:val="superscript"/>
                    </w:rPr>
                    <w:t>2</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left="0" w:leftChars="0" w:right="0" w:firstLine="0" w:firstLineChars="0"/>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left="0" w:leftChars="0" w:right="0" w:firstLine="0" w:firstLineChars="0"/>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间</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井控设备</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bCs/>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消防房及消防工具</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6.5m×2.5m×2.6m</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按标准配套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二层台逃生装置</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按标准配套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钻台紧急滑道</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按标准配套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四合一气体检测仪</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台</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正压式空气呼吸器</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14</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套</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声光报警器</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防爆对讲机</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p>
              </w:tc>
              <w:tc>
                <w:tcPr>
                  <w:tcW w:w="1473"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风向标</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7</w:t>
                  </w:r>
                </w:p>
              </w:tc>
              <w:tc>
                <w:tcPr>
                  <w:tcW w:w="73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个</w:t>
                  </w:r>
                </w:p>
              </w:tc>
              <w:tc>
                <w:tcPr>
                  <w:tcW w:w="71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restar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公辅设施</w:t>
                  </w:r>
                </w:p>
              </w:tc>
              <w:tc>
                <w:tcPr>
                  <w:tcW w:w="2456" w:type="dxa"/>
                  <w:shd w:val="clear" w:color="auto" w:fill="auto"/>
                  <w:noWrap w:val="0"/>
                  <w:tcMar>
                    <w:left w:w="28" w:type="dxa"/>
                    <w:right w:w="28" w:type="dxa"/>
                  </w:tcMar>
                  <w:vAlign w:val="center"/>
                </w:tcPr>
                <w:p>
                  <w:pPr>
                    <w:pStyle w:val="68"/>
                    <w:keepNext w:val="0"/>
                    <w:keepLines w:val="0"/>
                    <w:widowControl w:val="0"/>
                    <w:suppressLineNumbers w:val="0"/>
                    <w:spacing w:before="0" w:beforeAutospacing="0" w:after="0" w:afterAutospacing="0" w:line="0" w:lineRule="atLeast"/>
                    <w:ind w:left="0" w:leftChars="0" w:right="0" w:rightChars="0" w:firstLine="0" w:firstLineChars="0"/>
                    <w:rPr>
                      <w:rFonts w:hint="default" w:ascii="Times New Roman" w:hAnsi="Times New Roman" w:eastAsia="宋体" w:cs="Times New Roman"/>
                      <w:bCs/>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rPr>
                    <w:t>生物质锅炉</w:t>
                  </w:r>
                </w:p>
              </w:tc>
              <w:tc>
                <w:tcPr>
                  <w:tcW w:w="1571" w:type="dxa"/>
                  <w:shd w:val="clear" w:color="auto" w:fill="auto"/>
                  <w:noWrap w:val="0"/>
                  <w:tcMar>
                    <w:left w:w="28" w:type="dxa"/>
                    <w:right w:w="28" w:type="dxa"/>
                  </w:tcMar>
                  <w:vAlign w:val="center"/>
                </w:tcPr>
                <w:p>
                  <w:pPr>
                    <w:keepNext w:val="0"/>
                    <w:keepLines w:val="0"/>
                    <w:suppressLineNumbers w:val="0"/>
                    <w:spacing w:before="0" w:beforeAutospacing="0" w:after="0" w:afterAutospacing="0" w:line="0" w:lineRule="atLeast"/>
                    <w:ind w:left="0" w:leftChars="0" w:right="0" w:rightChars="0"/>
                    <w:jc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0"/>
                      <w:sz w:val="21"/>
                      <w:szCs w:val="21"/>
                      <w:highlight w:val="none"/>
                    </w:rPr>
                    <w:t>2.5t/h</w:t>
                  </w:r>
                </w:p>
              </w:tc>
              <w:tc>
                <w:tcPr>
                  <w:tcW w:w="760" w:type="dxa"/>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left="0" w:leftChars="0" w:right="0" w:rightChars="0" w:firstLine="0" w:firstLineChars="0"/>
                    <w:textAlignment w:val="auto"/>
                    <w:rPr>
                      <w:rFonts w:hint="eastAsia" w:ascii="Times New Roman" w:hAnsi="Times New Roman" w:eastAsia="宋体" w:cs="Times New Roman"/>
                      <w:bCs/>
                      <w:color w:val="auto"/>
                      <w:spacing w:val="0"/>
                      <w:kern w:val="2"/>
                      <w:sz w:val="21"/>
                      <w:szCs w:val="21"/>
                      <w:highlight w:val="none"/>
                      <w:lang w:val="en-US" w:eastAsia="zh-CN" w:bidi="ar-SA"/>
                    </w:rPr>
                  </w:pPr>
                  <w:r>
                    <w:rPr>
                      <w:rFonts w:hint="eastAsia" w:ascii="Times New Roman" w:cs="Times New Roman"/>
                      <w:color w:val="auto"/>
                      <w:spacing w:val="-10"/>
                      <w:sz w:val="21"/>
                      <w:szCs w:val="21"/>
                      <w:highlight w:val="none"/>
                      <w:lang w:val="en-US" w:eastAsia="zh-CN"/>
                    </w:rPr>
                    <w:t>1</w:t>
                  </w:r>
                </w:p>
              </w:tc>
              <w:tc>
                <w:tcPr>
                  <w:tcW w:w="1227" w:type="dxa"/>
                  <w:shd w:val="clear" w:color="auto" w:fill="auto"/>
                  <w:noWrap w:val="0"/>
                  <w:tcMar>
                    <w:left w:w="28" w:type="dxa"/>
                    <w:right w:w="28" w:type="dxa"/>
                  </w:tcMar>
                  <w:vAlign w:val="center"/>
                </w:tcPr>
                <w:p>
                  <w:pPr>
                    <w:pStyle w:val="68"/>
                    <w:keepNext w:val="0"/>
                    <w:keepLines w:val="0"/>
                    <w:widowControl w:val="0"/>
                    <w:suppressLineNumbers w:val="0"/>
                    <w:spacing w:before="0" w:beforeAutospacing="0" w:after="0" w:afterAutospacing="0" w:line="0" w:lineRule="atLeast"/>
                    <w:ind w:left="0" w:leftChars="0" w:right="0" w:rightChars="0" w:firstLine="0" w:firstLineChars="0"/>
                    <w:rPr>
                      <w:rFonts w:hint="default" w:ascii="Times New Roman" w:hAnsi="Times New Roman" w:eastAsia="宋体" w:cs="Times New Roman"/>
                      <w:bCs/>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rPr>
                    <w:t>台</w:t>
                  </w:r>
                </w:p>
              </w:tc>
              <w:tc>
                <w:tcPr>
                  <w:tcW w:w="1188" w:type="dxa"/>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leftChars="0" w:right="0" w:right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cs="Times New Roman"/>
                      <w:color w:val="auto"/>
                      <w:spacing w:val="0"/>
                      <w:sz w:val="21"/>
                      <w:szCs w:val="21"/>
                      <w:highlight w:val="none"/>
                      <w:lang w:val="en-US" w:eastAsia="zh-CN"/>
                    </w:rPr>
                    <w:t>常用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right="0"/>
                    <w:textAlignment w:val="auto"/>
                    <w:rPr>
                      <w:rFonts w:hint="default" w:ascii="Times New Roman" w:hAnsi="Times New Roman" w:eastAsia="宋体" w:cs="Times New Roman"/>
                      <w:color w:val="auto"/>
                      <w:spacing w:val="0"/>
                      <w:sz w:val="21"/>
                      <w:szCs w:val="21"/>
                      <w:highlight w:val="none"/>
                    </w:rPr>
                  </w:pPr>
                </w:p>
              </w:tc>
              <w:tc>
                <w:tcPr>
                  <w:tcW w:w="2456" w:type="dxa"/>
                  <w:shd w:val="clear" w:color="auto" w:fill="auto"/>
                  <w:noWrap w:val="0"/>
                  <w:tcMar>
                    <w:left w:w="28" w:type="dxa"/>
                    <w:right w:w="28" w:type="dxa"/>
                  </w:tcMar>
                  <w:vAlign w:val="center"/>
                </w:tcPr>
                <w:p>
                  <w:pPr>
                    <w:pStyle w:val="68"/>
                    <w:keepNext w:val="0"/>
                    <w:keepLines w:val="0"/>
                    <w:widowControl w:val="0"/>
                    <w:suppressLineNumbers w:val="0"/>
                    <w:spacing w:before="0" w:beforeAutospacing="0" w:after="0" w:afterAutospacing="0" w:line="0" w:lineRule="atLeast"/>
                    <w:ind w:left="0" w:leftChars="0" w:right="0" w:rightChars="0" w:firstLine="0" w:firstLineChars="0"/>
                    <w:rPr>
                      <w:rFonts w:hint="default" w:ascii="Times New Roman" w:hAnsi="Times New Roman" w:eastAsia="宋体" w:cs="Times New Roman"/>
                      <w:color w:val="auto"/>
                      <w:spacing w:val="0"/>
                      <w:sz w:val="21"/>
                      <w:szCs w:val="21"/>
                      <w:highlight w:val="none"/>
                    </w:rPr>
                  </w:pPr>
                  <w:r>
                    <w:rPr>
                      <w:rFonts w:hint="eastAsia" w:ascii="Times New Roman" w:cs="Times New Roman"/>
                      <w:color w:val="auto"/>
                      <w:spacing w:val="0"/>
                      <w:sz w:val="21"/>
                      <w:szCs w:val="21"/>
                      <w:highlight w:val="none"/>
                      <w:lang w:val="en-US" w:eastAsia="zh-CN"/>
                    </w:rPr>
                    <w:t>燃油锅炉</w:t>
                  </w:r>
                </w:p>
              </w:tc>
              <w:tc>
                <w:tcPr>
                  <w:tcW w:w="1571" w:type="dxa"/>
                  <w:shd w:val="clear" w:color="auto" w:fill="auto"/>
                  <w:noWrap w:val="0"/>
                  <w:tcMar>
                    <w:left w:w="28" w:type="dxa"/>
                    <w:right w:w="28" w:type="dxa"/>
                  </w:tcMar>
                  <w:vAlign w:val="center"/>
                </w:tcPr>
                <w:p>
                  <w:pPr>
                    <w:keepNext w:val="0"/>
                    <w:keepLines w:val="0"/>
                    <w:suppressLineNumbers w:val="0"/>
                    <w:spacing w:before="0" w:beforeAutospacing="0" w:after="0" w:afterAutospacing="0" w:line="0" w:lineRule="atLeast"/>
                    <w:ind w:left="0" w:leftChars="0" w:right="0" w:rightChars="0"/>
                    <w:jc w:val="center"/>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2.5t/h</w:t>
                  </w:r>
                </w:p>
              </w:tc>
              <w:tc>
                <w:tcPr>
                  <w:tcW w:w="760" w:type="dxa"/>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snapToGrid/>
                    <w:spacing w:before="0" w:beforeLines="0" w:beforeAutospacing="0" w:after="0" w:afterAutospacing="0" w:line="354" w:lineRule="exact"/>
                    <w:ind w:left="0" w:leftChars="0" w:right="0" w:rightChars="0" w:firstLine="0" w:firstLineChars="0"/>
                    <w:textAlignment w:val="auto"/>
                    <w:rPr>
                      <w:rFonts w:hint="eastAsia" w:ascii="Times New Roman"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1</w:t>
                  </w:r>
                </w:p>
              </w:tc>
              <w:tc>
                <w:tcPr>
                  <w:tcW w:w="1227" w:type="dxa"/>
                  <w:shd w:val="clear" w:color="auto" w:fill="auto"/>
                  <w:noWrap w:val="0"/>
                  <w:tcMar>
                    <w:left w:w="28" w:type="dxa"/>
                    <w:right w:w="28" w:type="dxa"/>
                  </w:tcMar>
                  <w:vAlign w:val="center"/>
                </w:tcPr>
                <w:p>
                  <w:pPr>
                    <w:pStyle w:val="68"/>
                    <w:keepNext w:val="0"/>
                    <w:keepLines w:val="0"/>
                    <w:widowControl w:val="0"/>
                    <w:suppressLineNumbers w:val="0"/>
                    <w:spacing w:before="0" w:beforeAutospacing="0" w:after="0" w:afterAutospacing="0" w:line="0" w:lineRule="atLeast"/>
                    <w:ind w:left="0" w:leftChars="0" w:right="0" w:rightChars="0" w:firstLine="0" w:firstLineChars="0"/>
                    <w:rPr>
                      <w:rFonts w:hint="default" w:ascii="Times New Roman" w:hAnsi="Times New Roman" w:eastAsia="宋体" w:cs="Times New Roman"/>
                      <w:color w:val="auto"/>
                      <w:spacing w:val="0"/>
                      <w:sz w:val="21"/>
                      <w:szCs w:val="21"/>
                      <w:highlight w:val="none"/>
                    </w:rPr>
                  </w:pPr>
                  <w:r>
                    <w:rPr>
                      <w:rFonts w:hint="eastAsia" w:ascii="Times New Roman" w:cs="Times New Roman"/>
                      <w:color w:val="auto"/>
                      <w:spacing w:val="0"/>
                      <w:sz w:val="21"/>
                      <w:szCs w:val="21"/>
                      <w:highlight w:val="none"/>
                      <w:lang w:val="en-US" w:eastAsia="zh-CN"/>
                    </w:rPr>
                    <w:t>台</w:t>
                  </w:r>
                </w:p>
              </w:tc>
              <w:tc>
                <w:tcPr>
                  <w:tcW w:w="1188" w:type="dxa"/>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54" w:lineRule="exact"/>
                    <w:ind w:left="0" w:leftChars="0" w:right="0" w:rightChars="0"/>
                    <w:jc w:val="center"/>
                    <w:textAlignment w:val="auto"/>
                    <w:rPr>
                      <w:rFonts w:hint="eastAsia" w:ascii="Times New Roman" w:cs="Times New Roman"/>
                      <w:color w:val="auto"/>
                      <w:spacing w:val="0"/>
                      <w:sz w:val="21"/>
                      <w:szCs w:val="21"/>
                      <w:highlight w:val="none"/>
                      <w:lang w:val="en-US" w:eastAsia="zh-CN"/>
                    </w:rPr>
                  </w:pPr>
                  <w:r>
                    <w:rPr>
                      <w:rFonts w:hint="eastAsia" w:ascii="Times New Roman" w:cs="Times New Roman"/>
                      <w:color w:val="auto"/>
                      <w:spacing w:val="0"/>
                      <w:sz w:val="21"/>
                      <w:szCs w:val="21"/>
                      <w:highlight w:val="none"/>
                      <w:lang w:val="en-US" w:eastAsia="zh-CN"/>
                    </w:rPr>
                    <w:t>备用</w:t>
                  </w:r>
                </w:p>
              </w:tc>
            </w:tr>
          </w:tbl>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9、主要原辅材料及能源消耗情况</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工程原辅材料消耗主要为钻井工程中钻井液调配、钻井、固井等工艺消耗的水、水泥、防塌润滑剂以及降失水剂等。</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0000FF"/>
                <w:sz w:val="24"/>
                <w:highlight w:val="none"/>
                <w:lang w:val="en-US" w:eastAsia="zh-CN"/>
              </w:rPr>
            </w:pPr>
            <w:r>
              <w:rPr>
                <w:rFonts w:hint="default" w:ascii="Times New Roman" w:hAnsi="Times New Roman" w:eastAsia="宋体" w:cs="Times New Roman"/>
                <w:color w:val="auto"/>
                <w:sz w:val="24"/>
                <w:highlight w:val="none"/>
              </w:rPr>
              <w:t>钻井工程原辅材料中的水由罐车拉运至井场，其他原辅材料由汽车拉运进场，堆存于场内原辅材料存放区内，</w:t>
            </w:r>
            <w:r>
              <w:rPr>
                <w:rFonts w:hint="default" w:ascii="Times New Roman" w:hAnsi="Times New Roman" w:eastAsia="宋体" w:cs="Times New Roman"/>
                <w:bCs/>
                <w:color w:val="auto"/>
                <w:sz w:val="24"/>
                <w:highlight w:val="none"/>
                <w:lang w:val="en-US" w:eastAsia="zh-CN"/>
              </w:rPr>
              <w:t>原辅材料及能源消耗见表2-6。</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表2-6    钻井工程原材料消耗一览表</w:t>
            </w:r>
          </w:p>
          <w:tbl>
            <w:tblPr>
              <w:tblStyle w:val="32"/>
              <w:tblW w:w="498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60"/>
              <w:gridCol w:w="1568"/>
              <w:gridCol w:w="593"/>
              <w:gridCol w:w="585"/>
              <w:gridCol w:w="511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top w:val="single" w:color="auto" w:sz="8" w:space="0"/>
                    <w:lef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序号</w:t>
                  </w:r>
                </w:p>
              </w:tc>
              <w:tc>
                <w:tcPr>
                  <w:tcW w:w="942" w:type="pct"/>
                  <w:tcBorders>
                    <w:top w:val="single" w:color="auto" w:sz="8"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材料名称</w:t>
                  </w:r>
                </w:p>
              </w:tc>
              <w:tc>
                <w:tcPr>
                  <w:tcW w:w="356" w:type="pct"/>
                  <w:tcBorders>
                    <w:top w:val="single" w:color="auto" w:sz="8"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单位</w:t>
                  </w:r>
                </w:p>
              </w:tc>
              <w:tc>
                <w:tcPr>
                  <w:tcW w:w="351" w:type="pct"/>
                  <w:tcBorders>
                    <w:top w:val="single" w:color="auto" w:sz="8"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数量</w:t>
                  </w:r>
                </w:p>
              </w:tc>
              <w:tc>
                <w:tcPr>
                  <w:tcW w:w="3074" w:type="pct"/>
                  <w:tcBorders>
                    <w:top w:val="single" w:color="auto" w:sz="8" w:space="0"/>
                    <w:right w:val="single" w:color="auto" w:sz="8"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1</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 w:val="21"/>
                      <w:szCs w:val="21"/>
                      <w:highlight w:val="none"/>
                      <w:lang w:val="en-US" w:eastAsia="zh-CN"/>
                    </w:rPr>
                    <w:t>新鲜</w:t>
                  </w:r>
                  <w:r>
                    <w:rPr>
                      <w:rFonts w:hint="default" w:ascii="Times New Roman" w:hAnsi="Times New Roman" w:eastAsia="宋体" w:cs="Times New Roman"/>
                      <w:color w:val="auto"/>
                      <w:spacing w:val="-10"/>
                      <w:kern w:val="21"/>
                      <w:sz w:val="21"/>
                      <w:szCs w:val="21"/>
                      <w:highlight w:val="none"/>
                    </w:rPr>
                    <w:t>水</w:t>
                  </w:r>
                </w:p>
              </w:tc>
              <w:tc>
                <w:tcPr>
                  <w:tcW w:w="3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 w:val="21"/>
                      <w:szCs w:val="21"/>
                      <w:highlight w:val="none"/>
                    </w:rPr>
                    <w:t>m</w:t>
                  </w:r>
                  <w:r>
                    <w:rPr>
                      <w:rFonts w:hint="default" w:ascii="Times New Roman" w:hAnsi="Times New Roman" w:eastAsia="宋体" w:cs="Times New Roman"/>
                      <w:color w:val="auto"/>
                      <w:spacing w:val="-10"/>
                      <w:kern w:val="21"/>
                      <w:sz w:val="21"/>
                      <w:szCs w:val="21"/>
                      <w:highlight w:val="none"/>
                      <w:vertAlign w:val="superscript"/>
                    </w:rPr>
                    <w:t>3</w:t>
                  </w:r>
                </w:p>
              </w:tc>
              <w:tc>
                <w:tcPr>
                  <w:tcW w:w="351"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20" w:lineRule="exact"/>
                    <w:ind w:left="0" w:leftChars="0" w:right="0" w:firstLine="0" w:firstLineChars="0"/>
                    <w:rPr>
                      <w:rFonts w:hint="default" w:ascii="Times New Roman" w:hAnsi="Times New Roman" w:eastAsia="宋体" w:cs="Times New Roman"/>
                      <w:color w:val="auto"/>
                      <w:spacing w:val="-10"/>
                      <w:kern w:val="21"/>
                      <w:sz w:val="21"/>
                      <w:szCs w:val="21"/>
                      <w:highlight w:val="none"/>
                      <w:lang w:val="en-US" w:eastAsia="zh-CN"/>
                    </w:rPr>
                  </w:pPr>
                  <w:r>
                    <w:rPr>
                      <w:rFonts w:hint="eastAsia" w:ascii="Times New Roman" w:cs="Times New Roman"/>
                      <w:color w:val="auto"/>
                      <w:spacing w:val="0"/>
                      <w:kern w:val="21"/>
                      <w:sz w:val="21"/>
                      <w:szCs w:val="21"/>
                      <w:highlight w:val="none"/>
                      <w:lang w:val="en-US" w:eastAsia="zh-CN"/>
                    </w:rPr>
                    <w:t>2831</w:t>
                  </w:r>
                </w:p>
              </w:tc>
              <w:tc>
                <w:tcPr>
                  <w:tcW w:w="3074" w:type="pct"/>
                  <w:tcBorders>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2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0"/>
                      <w:kern w:val="21"/>
                      <w:sz w:val="21"/>
                      <w:szCs w:val="21"/>
                      <w:highlight w:val="none"/>
                    </w:rPr>
                    <w:t>配制泥浆</w:t>
                  </w:r>
                  <w:r>
                    <w:rPr>
                      <w:rFonts w:hint="default" w:ascii="Times New Roman" w:hAnsi="Times New Roman" w:eastAsia="宋体" w:cs="Times New Roman"/>
                      <w:color w:val="auto"/>
                      <w:spacing w:val="0"/>
                      <w:kern w:val="21"/>
                      <w:sz w:val="21"/>
                      <w:szCs w:val="21"/>
                      <w:highlight w:val="none"/>
                      <w:lang w:val="en-US" w:eastAsia="zh-CN"/>
                    </w:rPr>
                    <w:t>新鲜水补水</w:t>
                  </w:r>
                  <w:r>
                    <w:rPr>
                      <w:rFonts w:hint="eastAsia" w:ascii="Times New Roman" w:cs="Times New Roman"/>
                      <w:color w:val="auto"/>
                      <w:spacing w:val="0"/>
                      <w:kern w:val="21"/>
                      <w:sz w:val="21"/>
                      <w:szCs w:val="21"/>
                      <w:highlight w:val="none"/>
                      <w:lang w:val="en-US" w:eastAsia="zh-CN"/>
                    </w:rPr>
                    <w:t>25</w:t>
                  </w:r>
                  <w:r>
                    <w:rPr>
                      <w:rFonts w:hint="default" w:ascii="Times New Roman" w:hAnsi="Times New Roman" w:eastAsia="宋体" w:cs="Times New Roman"/>
                      <w:color w:val="auto"/>
                      <w:spacing w:val="0"/>
                      <w:kern w:val="21"/>
                      <w:sz w:val="21"/>
                      <w:szCs w:val="21"/>
                      <w:highlight w:val="none"/>
                      <w:lang w:val="en-US" w:eastAsia="zh-CN"/>
                    </w:rPr>
                    <w:t>1</w:t>
                  </w:r>
                  <w:r>
                    <w:rPr>
                      <w:rFonts w:hint="default" w:ascii="Times New Roman" w:hAnsi="Times New Roman" w:eastAsia="宋体" w:cs="Times New Roman"/>
                      <w:color w:val="auto"/>
                      <w:spacing w:val="0"/>
                      <w:kern w:val="21"/>
                      <w:sz w:val="21"/>
                      <w:szCs w:val="21"/>
                      <w:highlight w:val="none"/>
                    </w:rPr>
                    <w:t>m</w:t>
                  </w:r>
                  <w:r>
                    <w:rPr>
                      <w:rFonts w:hint="default" w:ascii="Times New Roman" w:hAnsi="Times New Roman" w:eastAsia="宋体" w:cs="Times New Roman"/>
                      <w:color w:val="auto"/>
                      <w:spacing w:val="0"/>
                      <w:kern w:val="21"/>
                      <w:sz w:val="21"/>
                      <w:szCs w:val="21"/>
                      <w:highlight w:val="none"/>
                      <w:vertAlign w:val="superscript"/>
                    </w:rPr>
                    <w:t>3</w:t>
                  </w:r>
                  <w:r>
                    <w:rPr>
                      <w:rFonts w:hint="default" w:ascii="Times New Roman" w:hAnsi="Times New Roman" w:eastAsia="宋体" w:cs="Times New Roman"/>
                      <w:color w:val="auto"/>
                      <w:spacing w:val="0"/>
                      <w:kern w:val="21"/>
                      <w:sz w:val="21"/>
                      <w:szCs w:val="21"/>
                      <w:highlight w:val="none"/>
                    </w:rPr>
                    <w:t>，酸化压裂用水</w:t>
                  </w:r>
                  <w:r>
                    <w:rPr>
                      <w:rFonts w:hint="eastAsia" w:ascii="Times New Roman" w:cs="Times New Roman"/>
                      <w:color w:val="auto"/>
                      <w:spacing w:val="0"/>
                      <w:kern w:val="21"/>
                      <w:sz w:val="21"/>
                      <w:szCs w:val="21"/>
                      <w:highlight w:val="none"/>
                      <w:lang w:val="en-US" w:eastAsia="zh-CN"/>
                    </w:rPr>
                    <w:t>12</w:t>
                  </w:r>
                  <w:r>
                    <w:rPr>
                      <w:rFonts w:hint="default" w:ascii="Times New Roman" w:hAnsi="Times New Roman" w:eastAsia="宋体" w:cs="Times New Roman"/>
                      <w:color w:val="auto"/>
                      <w:spacing w:val="0"/>
                      <w:kern w:val="21"/>
                      <w:sz w:val="21"/>
                      <w:szCs w:val="21"/>
                      <w:highlight w:val="none"/>
                    </w:rPr>
                    <w:t>00m</w:t>
                  </w:r>
                  <w:r>
                    <w:rPr>
                      <w:rFonts w:hint="default" w:ascii="Times New Roman" w:hAnsi="Times New Roman" w:eastAsia="宋体" w:cs="Times New Roman"/>
                      <w:color w:val="auto"/>
                      <w:spacing w:val="0"/>
                      <w:kern w:val="21"/>
                      <w:sz w:val="21"/>
                      <w:szCs w:val="21"/>
                      <w:highlight w:val="none"/>
                      <w:vertAlign w:val="superscript"/>
                    </w:rPr>
                    <w:t>3</w:t>
                  </w:r>
                  <w:r>
                    <w:rPr>
                      <w:rFonts w:hint="default" w:ascii="Times New Roman" w:hAnsi="Times New Roman" w:eastAsia="宋体" w:cs="Times New Roman"/>
                      <w:color w:val="auto"/>
                      <w:spacing w:val="0"/>
                      <w:kern w:val="21"/>
                      <w:sz w:val="21"/>
                      <w:szCs w:val="21"/>
                      <w:highlight w:val="none"/>
                    </w:rPr>
                    <w:t>；生物质锅炉补水</w:t>
                  </w:r>
                  <w:r>
                    <w:rPr>
                      <w:rFonts w:hint="eastAsia" w:ascii="Times New Roman" w:cs="Times New Roman"/>
                      <w:color w:val="auto"/>
                      <w:spacing w:val="0"/>
                      <w:kern w:val="21"/>
                      <w:sz w:val="21"/>
                      <w:szCs w:val="21"/>
                      <w:highlight w:val="none"/>
                      <w:lang w:val="en-US" w:eastAsia="zh-CN"/>
                    </w:rPr>
                    <w:t>240</w:t>
                  </w:r>
                  <w:r>
                    <w:rPr>
                      <w:rFonts w:hint="default" w:ascii="Times New Roman" w:hAnsi="Times New Roman" w:eastAsia="宋体" w:cs="Times New Roman"/>
                      <w:color w:val="auto"/>
                      <w:spacing w:val="0"/>
                      <w:kern w:val="21"/>
                      <w:sz w:val="21"/>
                      <w:szCs w:val="21"/>
                      <w:highlight w:val="none"/>
                    </w:rPr>
                    <w:t>m</w:t>
                  </w:r>
                  <w:r>
                    <w:rPr>
                      <w:rFonts w:hint="default" w:ascii="Times New Roman" w:hAnsi="Times New Roman" w:eastAsia="宋体" w:cs="Times New Roman"/>
                      <w:color w:val="auto"/>
                      <w:spacing w:val="0"/>
                      <w:kern w:val="21"/>
                      <w:sz w:val="21"/>
                      <w:szCs w:val="21"/>
                      <w:highlight w:val="none"/>
                      <w:vertAlign w:val="superscript"/>
                    </w:rPr>
                    <w:t>3</w:t>
                  </w:r>
                  <w:r>
                    <w:rPr>
                      <w:rFonts w:hint="default" w:ascii="Times New Roman" w:hAnsi="Times New Roman" w:eastAsia="宋体" w:cs="Times New Roman"/>
                      <w:color w:val="auto"/>
                      <w:spacing w:val="0"/>
                      <w:kern w:val="21"/>
                      <w:sz w:val="21"/>
                      <w:szCs w:val="21"/>
                      <w:highlight w:val="none"/>
                      <w:lang w:eastAsia="zh-CN"/>
                    </w:rPr>
                    <w:t>；</w:t>
                  </w:r>
                  <w:r>
                    <w:rPr>
                      <w:rFonts w:hint="default" w:ascii="Times New Roman" w:hAnsi="Times New Roman" w:eastAsia="宋体" w:cs="Times New Roman"/>
                      <w:color w:val="auto"/>
                      <w:spacing w:val="0"/>
                      <w:kern w:val="21"/>
                      <w:sz w:val="21"/>
                      <w:szCs w:val="21"/>
                      <w:highlight w:val="none"/>
                    </w:rPr>
                    <w:t>生活用</w:t>
                  </w:r>
                  <w:r>
                    <w:rPr>
                      <w:rFonts w:hint="default" w:ascii="Times New Roman" w:hAnsi="Times New Roman" w:eastAsia="宋体" w:cs="Times New Roman"/>
                      <w:color w:val="auto"/>
                      <w:spacing w:val="0"/>
                      <w:kern w:val="21"/>
                      <w:sz w:val="21"/>
                      <w:szCs w:val="21"/>
                      <w:highlight w:val="none"/>
                      <w:lang w:val="en-US" w:eastAsia="zh-CN"/>
                    </w:rPr>
                    <w:t>水</w:t>
                  </w:r>
                  <w:r>
                    <w:rPr>
                      <w:rFonts w:hint="eastAsia" w:ascii="Times New Roman" w:cs="Times New Roman"/>
                      <w:color w:val="auto"/>
                      <w:spacing w:val="0"/>
                      <w:kern w:val="21"/>
                      <w:sz w:val="21"/>
                      <w:szCs w:val="21"/>
                      <w:highlight w:val="none"/>
                      <w:lang w:val="en-US" w:eastAsia="zh-CN"/>
                    </w:rPr>
                    <w:t>1140</w:t>
                  </w:r>
                  <w:r>
                    <w:rPr>
                      <w:rFonts w:hint="default" w:ascii="Times New Roman" w:hAnsi="Times New Roman" w:eastAsia="宋体" w:cs="Times New Roman"/>
                      <w:color w:val="auto"/>
                      <w:spacing w:val="0"/>
                      <w:kern w:val="21"/>
                      <w:sz w:val="21"/>
                      <w:szCs w:val="21"/>
                      <w:highlight w:val="none"/>
                    </w:rPr>
                    <w:t>m</w:t>
                  </w:r>
                  <w:r>
                    <w:rPr>
                      <w:rFonts w:hint="default" w:ascii="Times New Roman" w:hAnsi="Times New Roman" w:eastAsia="宋体" w:cs="Times New Roman"/>
                      <w:color w:val="auto"/>
                      <w:spacing w:val="0"/>
                      <w:kern w:val="21"/>
                      <w:sz w:val="21"/>
                      <w:szCs w:val="21"/>
                      <w:highlight w:val="none"/>
                      <w:vertAlign w:val="superscript"/>
                    </w:rPr>
                    <w:t>3</w:t>
                  </w:r>
                  <w:r>
                    <w:rPr>
                      <w:rFonts w:hint="default" w:ascii="Times New Roman" w:hAnsi="Times New Roman" w:eastAsia="宋体" w:cs="Times New Roman"/>
                      <w:color w:val="auto"/>
                      <w:spacing w:val="0"/>
                      <w:kern w:val="21"/>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kern w:val="21"/>
                      <w:szCs w:val="21"/>
                      <w:highlight w:val="none"/>
                      <w:lang w:val="en-US" w:eastAsia="zh-CN"/>
                    </w:rPr>
                    <w:t>2</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柴油</w:t>
                  </w:r>
                </w:p>
              </w:tc>
              <w:tc>
                <w:tcPr>
                  <w:tcW w:w="3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lang w:val="en-US" w:eastAsia="zh-CN"/>
                    </w:rPr>
                  </w:pPr>
                  <w:r>
                    <w:rPr>
                      <w:rFonts w:hint="default" w:ascii="Times New Roman" w:hAnsi="Times New Roman" w:eastAsia="宋体" w:cs="Times New Roman"/>
                      <w:color w:val="auto"/>
                      <w:spacing w:val="-10"/>
                      <w:kern w:val="21"/>
                      <w:sz w:val="21"/>
                      <w:szCs w:val="21"/>
                      <w:highlight w:val="none"/>
                      <w:lang w:val="en-US" w:eastAsia="zh-CN"/>
                    </w:rPr>
                    <w:t>t</w:t>
                  </w:r>
                </w:p>
              </w:tc>
              <w:tc>
                <w:tcPr>
                  <w:tcW w:w="351"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lang w:val="en-US" w:eastAsia="zh-CN"/>
                    </w:rPr>
                  </w:pPr>
                  <w:r>
                    <w:rPr>
                      <w:rFonts w:hint="eastAsia" w:ascii="Times New Roman" w:cs="Times New Roman"/>
                      <w:color w:val="auto"/>
                      <w:spacing w:val="-10"/>
                      <w:kern w:val="21"/>
                      <w:sz w:val="21"/>
                      <w:szCs w:val="21"/>
                      <w:highlight w:val="none"/>
                      <w:lang w:val="en-US" w:eastAsia="zh-CN"/>
                    </w:rPr>
                    <w:t>6270</w:t>
                  </w:r>
                </w:p>
              </w:tc>
              <w:tc>
                <w:tcPr>
                  <w:tcW w:w="3074" w:type="pct"/>
                  <w:tcBorders>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0"/>
                      <w:kern w:val="21"/>
                      <w:sz w:val="21"/>
                      <w:szCs w:val="21"/>
                      <w:highlight w:val="none"/>
                    </w:rPr>
                    <w:t>作为柴油发电机燃料</w:t>
                  </w:r>
                  <w:r>
                    <w:rPr>
                      <w:rFonts w:hint="default" w:ascii="Times New Roman" w:hAnsi="Times New Roman" w:eastAsia="宋体" w:cs="Times New Roman"/>
                      <w:color w:val="auto"/>
                      <w:spacing w:val="0"/>
                      <w:kern w:val="21"/>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3</w:t>
                  </w:r>
                </w:p>
              </w:tc>
              <w:tc>
                <w:tcPr>
                  <w:tcW w:w="942"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Cs w:val="21"/>
                      <w:highlight w:val="none"/>
                      <w:lang w:val="en-US" w:eastAsia="zh-CN"/>
                    </w:rPr>
                  </w:pPr>
                  <w:r>
                    <w:rPr>
                      <w:rFonts w:hint="default" w:ascii="Times New Roman" w:hAnsi="Times New Roman" w:eastAsia="宋体" w:cs="Times New Roman"/>
                      <w:color w:val="auto"/>
                      <w:spacing w:val="-10"/>
                      <w:kern w:val="21"/>
                      <w:szCs w:val="21"/>
                      <w:highlight w:val="none"/>
                      <w:lang w:val="en-US" w:eastAsia="zh-CN"/>
                    </w:rPr>
                    <w:t>生物质燃料</w:t>
                  </w:r>
                </w:p>
              </w:tc>
              <w:tc>
                <w:tcPr>
                  <w:tcW w:w="356"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lang w:val="en-US" w:eastAsia="zh-CN"/>
                    </w:rPr>
                  </w:pPr>
                  <w:r>
                    <w:rPr>
                      <w:rFonts w:hint="default" w:ascii="Times New Roman" w:hAnsi="Times New Roman" w:eastAsia="宋体" w:cs="Times New Roman"/>
                      <w:color w:val="auto"/>
                      <w:spacing w:val="-10"/>
                      <w:kern w:val="21"/>
                      <w:sz w:val="21"/>
                      <w:szCs w:val="21"/>
                      <w:highlight w:val="none"/>
                      <w:lang w:val="en-US" w:eastAsia="zh-CN"/>
                    </w:rPr>
                    <w:t>t</w:t>
                  </w:r>
                </w:p>
              </w:tc>
              <w:tc>
                <w:tcPr>
                  <w:tcW w:w="351"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lang w:val="en-US" w:eastAsia="zh-CN"/>
                    </w:rPr>
                  </w:pPr>
                  <w:r>
                    <w:rPr>
                      <w:rFonts w:hint="eastAsia" w:ascii="Times New Roman" w:cs="Times New Roman"/>
                      <w:color w:val="auto"/>
                      <w:spacing w:val="-10"/>
                      <w:kern w:val="21"/>
                      <w:sz w:val="21"/>
                      <w:szCs w:val="21"/>
                      <w:highlight w:val="none"/>
                      <w:lang w:val="en-US" w:eastAsia="zh-CN"/>
                    </w:rPr>
                    <w:t>1870</w:t>
                  </w:r>
                </w:p>
              </w:tc>
              <w:tc>
                <w:tcPr>
                  <w:tcW w:w="3074" w:type="pct"/>
                  <w:tcBorders>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szCs w:val="21"/>
                      <w:highlight w:val="none"/>
                    </w:rPr>
                  </w:pPr>
                  <w:r>
                    <w:rPr>
                      <w:rFonts w:hint="default" w:ascii="Times New Roman" w:hAnsi="Times New Roman" w:eastAsia="宋体" w:cs="Times New Roman"/>
                      <w:color w:val="auto"/>
                      <w:spacing w:val="-10"/>
                      <w:szCs w:val="21"/>
                      <w:highlight w:val="none"/>
                    </w:rPr>
                    <w:t>作为生物质锅炉燃料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4</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lang w:val="en-US" w:eastAsia="zh-CN"/>
                    </w:rPr>
                  </w:pPr>
                  <w:r>
                    <w:rPr>
                      <w:rFonts w:hint="default" w:ascii="Times New Roman" w:hAnsi="Times New Roman" w:eastAsia="宋体" w:cs="Times New Roman"/>
                      <w:color w:val="auto"/>
                      <w:spacing w:val="-10"/>
                      <w:kern w:val="21"/>
                      <w:szCs w:val="21"/>
                      <w:highlight w:val="none"/>
                    </w:rPr>
                    <w:t>水泥+硅粉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lang w:val="en-US" w:eastAsia="zh-CN"/>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Cs w:val="21"/>
                      <w:highlight w:val="none"/>
                      <w:lang w:val="en-US" w:eastAsia="zh-CN"/>
                    </w:rPr>
                  </w:pPr>
                  <w:r>
                    <w:rPr>
                      <w:rFonts w:hint="default" w:ascii="Times New Roman" w:hAnsi="Times New Roman" w:eastAsia="宋体" w:cs="Times New Roman"/>
                      <w:color w:val="auto"/>
                      <w:spacing w:val="-10"/>
                      <w:kern w:val="21"/>
                      <w:szCs w:val="21"/>
                      <w:highlight w:val="none"/>
                      <w:lang w:val="en-US" w:eastAsia="zh-CN"/>
                    </w:rPr>
                    <w:t>753</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szCs w:val="21"/>
                      <w:highlight w:val="none"/>
                      <w:lang w:val="en-US" w:eastAsia="zh-CN"/>
                    </w:rPr>
                  </w:pPr>
                  <w:r>
                    <w:rPr>
                      <w:rFonts w:hint="default" w:ascii="Times New Roman" w:hAnsi="Times New Roman" w:eastAsia="宋体" w:cs="Times New Roman"/>
                      <w:color w:val="auto"/>
                      <w:spacing w:val="-10"/>
                      <w:kern w:val="21"/>
                      <w:szCs w:val="21"/>
                      <w:highlight w:val="none"/>
                    </w:rPr>
                    <w:t>固井</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5</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0"/>
                      <w:szCs w:val="21"/>
                      <w:highlight w:val="none"/>
                      <w:lang w:bidi="ar"/>
                    </w:rPr>
                    <w:t>膨润土</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Cs w:val="21"/>
                      <w:highlight w:val="none"/>
                      <w:lang w:val="en-US" w:eastAsia="zh-CN"/>
                    </w:rPr>
                    <w:t>74</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bidi="ar"/>
                    </w:rPr>
                  </w:pPr>
                  <w:r>
                    <w:rPr>
                      <w:rFonts w:hint="default" w:ascii="Times New Roman" w:hAnsi="Times New Roman" w:eastAsia="宋体" w:cs="Times New Roman"/>
                      <w:color w:val="auto"/>
                      <w:spacing w:val="-10"/>
                      <w:kern w:val="21"/>
                      <w:szCs w:val="21"/>
                      <w:highlight w:val="none"/>
                      <w:lang w:bidi="ar"/>
                    </w:rPr>
                    <w:t>也叫坂土，是一种胶性黏土，具有良好的吸附性、膨胀性</w:t>
                  </w:r>
                  <w:r>
                    <w:rPr>
                      <w:rFonts w:hint="default" w:ascii="Times New Roman" w:hAnsi="Times New Roman" w:eastAsia="宋体" w:cs="Times New Roman"/>
                      <w:color w:val="auto"/>
                      <w:spacing w:val="-10"/>
                      <w:sz w:val="21"/>
                      <w:szCs w:val="21"/>
                      <w:highlight w:val="none"/>
                    </w:rPr>
                    <w:t>以及</w:t>
                  </w:r>
                  <w:r>
                    <w:rPr>
                      <w:rFonts w:hint="default" w:ascii="Times New Roman" w:hAnsi="Times New Roman" w:eastAsia="宋体" w:cs="Times New Roman"/>
                      <w:color w:val="auto"/>
                      <w:spacing w:val="-10"/>
                      <w:kern w:val="21"/>
                      <w:szCs w:val="21"/>
                      <w:highlight w:val="none"/>
                      <w:lang w:bidi="ar"/>
                    </w:rPr>
                    <w:t>悬浮性，用于配制泥浆</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1"/>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6</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烧碱/NaOH</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lang w:val="en-US" w:eastAsia="zh-CN"/>
                    </w:rPr>
                    <w:t>4</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bidi="ar"/>
                    </w:rPr>
                  </w:pPr>
                  <w:r>
                    <w:rPr>
                      <w:rFonts w:hint="default" w:ascii="Times New Roman" w:hAnsi="Times New Roman" w:eastAsia="宋体" w:cs="Times New Roman"/>
                      <w:color w:val="auto"/>
                      <w:spacing w:val="-10"/>
                      <w:kern w:val="21"/>
                      <w:szCs w:val="21"/>
                      <w:highlight w:val="none"/>
                    </w:rPr>
                    <w:t>用于</w:t>
                  </w:r>
                  <w:r>
                    <w:rPr>
                      <w:rFonts w:hint="default" w:ascii="Times New Roman" w:hAnsi="Times New Roman" w:eastAsia="宋体" w:cs="Times New Roman"/>
                      <w:color w:val="auto"/>
                      <w:spacing w:val="-10"/>
                      <w:sz w:val="21"/>
                      <w:szCs w:val="21"/>
                      <w:highlight w:val="none"/>
                    </w:rPr>
                    <w:t>调节</w:t>
                  </w:r>
                  <w:r>
                    <w:rPr>
                      <w:rFonts w:hint="default" w:ascii="Times New Roman" w:hAnsi="Times New Roman" w:eastAsia="宋体" w:cs="Times New Roman"/>
                      <w:color w:val="auto"/>
                      <w:spacing w:val="-10"/>
                      <w:kern w:val="21"/>
                      <w:szCs w:val="21"/>
                      <w:highlight w:val="none"/>
                    </w:rPr>
                    <w:t>钻井液pH值（</w:t>
                  </w:r>
                  <w:r>
                    <w:rPr>
                      <w:rFonts w:hint="default" w:ascii="Times New Roman" w:hAnsi="Times New Roman" w:eastAsia="宋体" w:cs="Times New Roman"/>
                      <w:color w:val="auto"/>
                      <w:spacing w:val="-10"/>
                      <w:szCs w:val="21"/>
                      <w:highlight w:val="none"/>
                    </w:rPr>
                    <w:t>烧碱属于危险化学品，单独存放在危险化学品间内</w:t>
                  </w:r>
                  <w:r>
                    <w:rPr>
                      <w:rFonts w:hint="default" w:ascii="Times New Roman" w:hAnsi="Times New Roman" w:eastAsia="宋体" w:cs="Times New Roman"/>
                      <w:color w:val="auto"/>
                      <w:spacing w:val="-10"/>
                      <w:kern w:val="21"/>
                      <w:szCs w:val="21"/>
                      <w:highlight w:val="none"/>
                    </w:rPr>
                    <w:t>）</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7</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纯碱/Na</w:t>
                  </w:r>
                  <w:r>
                    <w:rPr>
                      <w:rFonts w:hint="default" w:ascii="Times New Roman" w:hAnsi="Times New Roman" w:eastAsia="宋体" w:cs="Times New Roman"/>
                      <w:color w:val="auto"/>
                      <w:spacing w:val="-10"/>
                      <w:kern w:val="21"/>
                      <w:szCs w:val="21"/>
                      <w:highlight w:val="none"/>
                      <w:vertAlign w:val="subscript"/>
                    </w:rPr>
                    <w:t>2</w:t>
                  </w:r>
                  <w:r>
                    <w:rPr>
                      <w:rFonts w:hint="default" w:ascii="Times New Roman" w:hAnsi="Times New Roman" w:eastAsia="宋体" w:cs="Times New Roman"/>
                      <w:color w:val="auto"/>
                      <w:spacing w:val="-10"/>
                      <w:kern w:val="21"/>
                      <w:szCs w:val="21"/>
                      <w:highlight w:val="none"/>
                    </w:rPr>
                    <w:t>CO</w:t>
                  </w:r>
                  <w:r>
                    <w:rPr>
                      <w:rFonts w:hint="default" w:ascii="Times New Roman" w:hAnsi="Times New Roman" w:eastAsia="宋体" w:cs="Times New Roman"/>
                      <w:color w:val="auto"/>
                      <w:spacing w:val="-10"/>
                      <w:kern w:val="21"/>
                      <w:szCs w:val="21"/>
                      <w:highlight w:val="none"/>
                      <w:vertAlign w:val="subscript"/>
                    </w:rPr>
                    <w:t>3</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lang w:val="en-US" w:eastAsia="zh-CN"/>
                    </w:rPr>
                    <w:t>2</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kern w:val="21"/>
                      <w:szCs w:val="21"/>
                      <w:highlight w:val="none"/>
                    </w:rPr>
                    <w:t>用于调节钻井液pH值（单独存放在危险化学品间内）</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8</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大分子聚合物/80A51/NM1-4等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lang w:val="en-US" w:eastAsia="zh-CN"/>
                    </w:rPr>
                    <w:t>11</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kern w:val="21"/>
                      <w:szCs w:val="21"/>
                      <w:highlight w:val="none"/>
                    </w:rPr>
                    <w:t>丙烯酰胺与丙烯酸钠共聚物，易溶于水，其水溶液呈弱酸性。钻井液处理剂、防塌剂和增稠剂</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9</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羧甲基纤维素/CMC-LV等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0"/>
                      <w:szCs w:val="21"/>
                      <w:highlight w:val="none"/>
                      <w:lang w:val="en-US" w:eastAsia="zh-CN" w:bidi="ar"/>
                    </w:rPr>
                    <w:t>2</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kern w:val="21"/>
                      <w:szCs w:val="21"/>
                      <w:highlight w:val="none"/>
                    </w:rPr>
                    <w:t>羧甲基纤维素钠，白色或灰白色粉末，无毒，不溶于乙醇、甲醇等有机溶剂，溶于水，水溶液为透明黏稠液体，具有较好耐盐性。钻井液增黏合降滤失剂</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10</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中分子聚合物/LP++等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0"/>
                      <w:szCs w:val="21"/>
                      <w:highlight w:val="none"/>
                      <w:lang w:val="en-US" w:eastAsia="zh-CN" w:bidi="ar"/>
                    </w:rPr>
                    <w:t>7</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bCs/>
                      <w:color w:val="auto"/>
                      <w:spacing w:val="-10"/>
                      <w:kern w:val="21"/>
                      <w:szCs w:val="21"/>
                      <w:highlight w:val="none"/>
                      <w:lang w:eastAsia="zh-CN"/>
                    </w:rPr>
                    <w:t>改善</w:t>
                  </w:r>
                  <w:r>
                    <w:rPr>
                      <w:rFonts w:hint="default" w:ascii="Times New Roman" w:hAnsi="Times New Roman" w:eastAsia="宋体" w:cs="Times New Roman"/>
                      <w:color w:val="auto"/>
                      <w:spacing w:val="-10"/>
                      <w:sz w:val="21"/>
                      <w:szCs w:val="21"/>
                      <w:highlight w:val="none"/>
                    </w:rPr>
                    <w:t>附着力</w:t>
                  </w:r>
                  <w:r>
                    <w:rPr>
                      <w:rFonts w:hint="default" w:ascii="Times New Roman" w:hAnsi="Times New Roman" w:eastAsia="宋体" w:cs="Times New Roman"/>
                      <w:bCs/>
                      <w:color w:val="auto"/>
                      <w:spacing w:val="-10"/>
                      <w:kern w:val="21"/>
                      <w:szCs w:val="21"/>
                      <w:highlight w:val="none"/>
                    </w:rPr>
                    <w:t>、柔韧性等性能，提高作用时间和效果</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1"/>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11</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小分子聚合物/双聚铵盐NP-2等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0"/>
                      <w:szCs w:val="21"/>
                      <w:highlight w:val="none"/>
                      <w:lang w:val="en-US" w:eastAsia="zh-CN" w:bidi="ar"/>
                    </w:rPr>
                    <w:t>7</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bCs/>
                      <w:color w:val="auto"/>
                      <w:spacing w:val="-10"/>
                      <w:kern w:val="21"/>
                      <w:szCs w:val="21"/>
                      <w:highlight w:val="none"/>
                    </w:rPr>
                    <w:t>分子尺寸小，具有较好的扩散性和渗透性</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1"/>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12</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加重剂/重晶石粉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0"/>
                      <w:szCs w:val="21"/>
                      <w:highlight w:val="none"/>
                      <w:lang w:val="en-US" w:eastAsia="zh-CN" w:bidi="ar"/>
                    </w:rPr>
                    <w:t>106</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主要成分BaSO</w:t>
                  </w:r>
                  <w:r>
                    <w:rPr>
                      <w:rFonts w:hint="default" w:ascii="Times New Roman" w:hAnsi="Times New Roman" w:eastAsia="宋体" w:cs="Times New Roman"/>
                      <w:color w:val="auto"/>
                      <w:spacing w:val="-10"/>
                      <w:kern w:val="21"/>
                      <w:szCs w:val="21"/>
                      <w:highlight w:val="none"/>
                      <w:vertAlign w:val="subscript"/>
                    </w:rPr>
                    <w:t>4</w:t>
                  </w:r>
                  <w:r>
                    <w:rPr>
                      <w:rFonts w:hint="default" w:ascii="Times New Roman" w:hAnsi="Times New Roman" w:eastAsia="宋体" w:cs="Times New Roman"/>
                      <w:color w:val="auto"/>
                      <w:spacing w:val="-10"/>
                      <w:kern w:val="21"/>
                      <w:szCs w:val="21"/>
                      <w:highlight w:val="none"/>
                    </w:rPr>
                    <w:t>，白色粉末，可将钻井液密度配至2.0g/cm</w:t>
                  </w:r>
                  <w:r>
                    <w:rPr>
                      <w:rFonts w:hint="default" w:ascii="Times New Roman" w:hAnsi="Times New Roman" w:eastAsia="宋体" w:cs="Times New Roman"/>
                      <w:color w:val="auto"/>
                      <w:spacing w:val="-10"/>
                      <w:kern w:val="21"/>
                      <w:szCs w:val="21"/>
                      <w:highlight w:val="none"/>
                      <w:vertAlign w:val="superscript"/>
                    </w:rPr>
                    <w:t>3</w:t>
                  </w:r>
                  <w:r>
                    <w:rPr>
                      <w:rFonts w:hint="default" w:ascii="Times New Roman" w:hAnsi="Times New Roman" w:eastAsia="宋体" w:cs="Times New Roman"/>
                      <w:color w:val="auto"/>
                      <w:spacing w:val="-10"/>
                      <w:kern w:val="21"/>
                      <w:szCs w:val="21"/>
                      <w:highlight w:val="none"/>
                    </w:rPr>
                    <w:t>，钻井液加重剂</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1"/>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13</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0"/>
                      <w:szCs w:val="21"/>
                      <w:highlight w:val="none"/>
                      <w:lang w:bidi="ar"/>
                    </w:rPr>
                    <w:t>氯化钾</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kern w:val="0"/>
                      <w:szCs w:val="21"/>
                      <w:highlight w:val="none"/>
                      <w:lang w:val="en-US" w:eastAsia="zh-CN" w:bidi="ar"/>
                    </w:rPr>
                    <w:t>53</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kern w:val="21"/>
                      <w:szCs w:val="21"/>
                      <w:highlight w:val="none"/>
                      <w:lang w:bidi="ar"/>
                    </w:rPr>
                    <w:t>无色立方晶体或白色结晶，可抑制井壁泥饼页岩水化膨胀或坍塌，提高钻井液黏度和切力，抑制盐岩井段盐溶，钻井液防塌剂</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14</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right="0"/>
                    <w:rPr>
                      <w:rFonts w:hint="default" w:ascii="Times New Roman" w:hAnsi="Times New Roman" w:eastAsia="宋体" w:cs="Times New Roman"/>
                      <w:color w:val="auto"/>
                      <w:spacing w:val="-10"/>
                      <w:kern w:val="0"/>
                      <w:szCs w:val="21"/>
                      <w:highlight w:val="none"/>
                      <w:lang w:bidi="ar"/>
                    </w:rPr>
                  </w:pPr>
                  <w:r>
                    <w:rPr>
                      <w:rFonts w:hint="default" w:ascii="Times New Roman" w:hAnsi="Times New Roman" w:eastAsia="宋体" w:cs="Times New Roman"/>
                      <w:color w:val="auto"/>
                      <w:spacing w:val="-10"/>
                      <w:kern w:val="0"/>
                      <w:szCs w:val="21"/>
                      <w:highlight w:val="none"/>
                      <w:lang w:bidi="ar"/>
                    </w:rPr>
                    <w:t>随钻堵漏剂</w:t>
                  </w:r>
                </w:p>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0"/>
                      <w:szCs w:val="21"/>
                      <w:highlight w:val="none"/>
                      <w:lang w:bidi="ar"/>
                    </w:rPr>
                    <w:t>/TYSD-1/TP-2等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lang w:val="en-US" w:eastAsia="zh-CN"/>
                    </w:rPr>
                    <w:t>12</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kern w:val="21"/>
                      <w:szCs w:val="21"/>
                      <w:highlight w:val="none"/>
                      <w:lang w:bidi="ar"/>
                    </w:rPr>
                    <w:t>改性植物纤维，黄色粉末，堵漏裂缝性漏失，钻井液随钻堵漏剂</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15</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Cs w:val="21"/>
                      <w:highlight w:val="none"/>
                    </w:rPr>
                    <w:t>高粘羧甲基纤维素/CMC-HV等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rPr>
                    <w:t>3</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kern w:val="21"/>
                      <w:szCs w:val="21"/>
                      <w:highlight w:val="none"/>
                      <w:lang w:bidi="ar"/>
                    </w:rPr>
                    <w:t>高粘羧甲基纤维素（CMC-HV），它是羧甲基纤维素醚类中的一种，羧甲基纤维素钠（CMC）是纤维素醚类中产量最大、用途最广且使用最为方便的产品</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kern w:val="21"/>
                      <w:sz w:val="21"/>
                      <w:szCs w:val="21"/>
                      <w:highlight w:val="none"/>
                    </w:rPr>
                    <w:t>16</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Cs w:val="21"/>
                      <w:highlight w:val="none"/>
                      <w:lang w:bidi="ar"/>
                    </w:rPr>
                    <w:t>超细碳酸钙</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4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lang w:val="en-US" w:eastAsia="zh-CN"/>
                    </w:rPr>
                    <w:t>25</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kern w:val="21"/>
                      <w:szCs w:val="21"/>
                      <w:highlight w:val="none"/>
                      <w:lang w:bidi="ar"/>
                    </w:rPr>
                    <w:t>碳酸钙</w:t>
                  </w:r>
                  <w:r>
                    <w:rPr>
                      <w:rFonts w:hint="default" w:ascii="Times New Roman" w:hAnsi="Times New Roman" w:eastAsia="宋体" w:cs="Times New Roman"/>
                      <w:color w:val="auto"/>
                      <w:spacing w:val="-10"/>
                      <w:sz w:val="21"/>
                      <w:szCs w:val="21"/>
                      <w:highlight w:val="none"/>
                    </w:rPr>
                    <w:t>粉体</w:t>
                  </w:r>
                  <w:r>
                    <w:rPr>
                      <w:rFonts w:hint="default" w:ascii="Times New Roman" w:hAnsi="Times New Roman" w:eastAsia="宋体" w:cs="Times New Roman"/>
                      <w:color w:val="auto"/>
                      <w:spacing w:val="-10"/>
                      <w:kern w:val="21"/>
                      <w:szCs w:val="21"/>
                      <w:highlight w:val="none"/>
                      <w:lang w:bidi="ar"/>
                    </w:rPr>
                    <w:t>平均粒径0.02μm&lt;d≤0.1μm的碳酸钙，高分子复合材料</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shd w:val="clear" w:color="auto" w:fill="auto"/>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left="0" w:leftChars="0" w:right="0" w:firstLine="0" w:firstLineChars="0"/>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17</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Cs w:val="21"/>
                      <w:highlight w:val="none"/>
                      <w:lang w:bidi="ar"/>
                    </w:rPr>
                    <w:t>抑制剂/CHI等</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4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lang w:val="en-US" w:eastAsia="zh-CN"/>
                    </w:rPr>
                    <w:t>6</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kern w:val="21"/>
                      <w:szCs w:val="21"/>
                      <w:highlight w:val="none"/>
                      <w:lang w:bidi="ar"/>
                    </w:rPr>
                    <w:t>是一种可以抑制或缓和化学反应的物质</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常用物质包括</w:t>
                  </w:r>
                  <w:r>
                    <w:rPr>
                      <w:rFonts w:hint="default" w:ascii="Times New Roman" w:hAnsi="Times New Roman" w:eastAsia="宋体" w:cs="Times New Roman"/>
                      <w:i w:val="0"/>
                      <w:iCs w:val="0"/>
                      <w:caps w:val="0"/>
                      <w:color w:val="auto"/>
                      <w:spacing w:val="0"/>
                      <w:sz w:val="22"/>
                      <w:szCs w:val="22"/>
                      <w:shd w:val="clear" w:fill="FFFFFF"/>
                    </w:rPr>
                    <w:t>氯化钾</w:t>
                  </w:r>
                  <w:r>
                    <w:rPr>
                      <w:rFonts w:hint="default" w:ascii="Times New Roman" w:hAnsi="Times New Roman" w:eastAsia="宋体" w:cs="Times New Roman"/>
                      <w:i w:val="0"/>
                      <w:iCs w:val="0"/>
                      <w:caps w:val="0"/>
                      <w:color w:val="auto"/>
                      <w:spacing w:val="0"/>
                      <w:sz w:val="22"/>
                      <w:szCs w:val="22"/>
                      <w:shd w:val="clear" w:fill="FFFFFF"/>
                      <w:lang w:eastAsia="zh-CN"/>
                    </w:rPr>
                    <w:t>、</w:t>
                  </w:r>
                  <w:r>
                    <w:rPr>
                      <w:rFonts w:hint="default" w:ascii="Times New Roman" w:hAnsi="Times New Roman" w:eastAsia="宋体" w:cs="Times New Roman"/>
                      <w:i w:val="0"/>
                      <w:iCs w:val="0"/>
                      <w:caps w:val="0"/>
                      <w:color w:val="auto"/>
                      <w:spacing w:val="0"/>
                      <w:sz w:val="22"/>
                      <w:szCs w:val="22"/>
                      <w:shd w:val="clear" w:fill="FFFFFF"/>
                    </w:rPr>
                    <w:t>甲酸钾</w:t>
                  </w:r>
                  <w:r>
                    <w:rPr>
                      <w:rFonts w:hint="default" w:ascii="Times New Roman" w:hAnsi="Times New Roman" w:eastAsia="宋体" w:cs="Times New Roman"/>
                      <w:i w:val="0"/>
                      <w:iCs w:val="0"/>
                      <w:caps w:val="0"/>
                      <w:color w:val="auto"/>
                      <w:spacing w:val="0"/>
                      <w:sz w:val="22"/>
                      <w:szCs w:val="22"/>
                      <w:shd w:val="clear" w:fill="FFFFFF"/>
                      <w:lang w:eastAsia="zh-CN"/>
                    </w:rPr>
                    <w:t>、</w:t>
                  </w:r>
                  <w:r>
                    <w:rPr>
                      <w:rFonts w:hint="default" w:ascii="Times New Roman" w:hAnsi="Times New Roman" w:eastAsia="宋体" w:cs="Times New Roman"/>
                      <w:i w:val="0"/>
                      <w:iCs w:val="0"/>
                      <w:caps w:val="0"/>
                      <w:color w:val="auto"/>
                      <w:spacing w:val="0"/>
                      <w:sz w:val="22"/>
                      <w:szCs w:val="22"/>
                      <w:shd w:val="clear" w:fill="FFFFFF"/>
                    </w:rPr>
                    <w:t>聚胺</w:t>
                  </w:r>
                  <w:r>
                    <w:rPr>
                      <w:rFonts w:hint="default" w:ascii="Times New Roman" w:hAnsi="Times New Roman" w:eastAsia="宋体" w:cs="Times New Roman"/>
                      <w:i w:val="0"/>
                      <w:iCs w:val="0"/>
                      <w:caps w:val="0"/>
                      <w:color w:val="auto"/>
                      <w:spacing w:val="0"/>
                      <w:sz w:val="22"/>
                      <w:szCs w:val="22"/>
                      <w:shd w:val="clear" w:fill="FFFFFF"/>
                      <w:lang w:eastAsia="zh-CN"/>
                    </w:rPr>
                    <w:t>、</w:t>
                  </w:r>
                  <w:r>
                    <w:rPr>
                      <w:rFonts w:hint="default" w:ascii="Times New Roman" w:hAnsi="Times New Roman" w:eastAsia="宋体" w:cs="Times New Roman"/>
                      <w:i w:val="0"/>
                      <w:iCs w:val="0"/>
                      <w:caps w:val="0"/>
                      <w:color w:val="auto"/>
                      <w:spacing w:val="0"/>
                      <w:sz w:val="22"/>
                      <w:szCs w:val="22"/>
                      <w:shd w:val="clear" w:fill="FFFFFF"/>
                    </w:rPr>
                    <w:t>聚醚胺</w:t>
                  </w:r>
                  <w:r>
                    <w:rPr>
                      <w:rFonts w:hint="default" w:ascii="Times New Roman" w:hAnsi="Times New Roman" w:eastAsia="宋体" w:cs="Times New Roman"/>
                      <w:i w:val="0"/>
                      <w:iCs w:val="0"/>
                      <w:caps w:val="0"/>
                      <w:color w:val="auto"/>
                      <w:spacing w:val="0"/>
                      <w:sz w:val="22"/>
                      <w:szCs w:val="22"/>
                      <w:shd w:val="clear" w:fill="FFFFFF"/>
                      <w:lang w:val="en-US" w:eastAsia="zh-CN"/>
                    </w:rPr>
                    <w:t>等</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napToGrid/>
                    <w:spacing w:before="0" w:beforeLines="0" w:beforeAutospacing="0" w:after="0" w:afterAutospacing="0" w:line="340" w:lineRule="exact"/>
                    <w:ind w:right="0"/>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18</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spacing w:before="0" w:beforeLines="0" w:beforeAutospacing="0" w:after="0" w:afterAutospacing="0" w:line="340" w:lineRule="exact"/>
                    <w:ind w:left="0" w:leftChars="0" w:right="0" w:firstLine="0" w:firstLineChars="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润滑剂</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4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Cs w:val="21"/>
                      <w:highlight w:val="none"/>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Cs w:val="21"/>
                      <w:highlight w:val="none"/>
                      <w:lang w:val="en-US" w:eastAsia="zh-CN"/>
                    </w:rPr>
                    <w:t>9</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40" w:lineRule="exact"/>
                    <w:ind w:left="0" w:right="0" w:firstLine="0" w:firstLineChars="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kern w:val="21"/>
                      <w:szCs w:val="21"/>
                      <w:highlight w:val="none"/>
                      <w:lang w:bidi="ar"/>
                    </w:rPr>
                    <w:t>硫化脂肪酸皂，亚硝酸钠等，具有良好的抗磨阻性和降黏附性，无荧光干扰，不影响地质录井</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0"/>
                      <w:kern w:val="2"/>
                      <w:sz w:val="21"/>
                      <w:szCs w:val="21"/>
                      <w:lang w:val="en-US" w:eastAsia="zh-CN" w:bidi="ar"/>
                    </w:rPr>
                    <w:t>19</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bCs/>
                      <w:color w:val="auto"/>
                      <w:spacing w:val="0"/>
                      <w:kern w:val="21"/>
                      <w:sz w:val="21"/>
                      <w:szCs w:val="21"/>
                      <w:lang w:val="en-US" w:eastAsia="zh-CN" w:bidi="ar"/>
                    </w:rPr>
                    <w:t>破胶剂组分A</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val="0"/>
                    <w:suppressLineNumbers w:val="0"/>
                    <w:autoSpaceDE w:val="0"/>
                    <w:autoSpaceDN/>
                    <w:spacing w:before="0" w:beforeAutospacing="0" w:after="0" w:afterAutospacing="0" w:line="340" w:lineRule="exact"/>
                    <w:ind w:left="0" w:leftChars="0" w:right="0" w:right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color w:val="auto"/>
                      <w:spacing w:val="0"/>
                      <w:kern w:val="21"/>
                      <w:sz w:val="21"/>
                      <w:szCs w:val="21"/>
                      <w:lang w:val="en-US" w:eastAsia="zh-CN" w:bidi="ar"/>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suppressLineNumbers w:val="0"/>
                    <w:autoSpaceDE w:val="0"/>
                    <w:autoSpaceDN/>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spacing w:val="-10"/>
                      <w:kern w:val="21"/>
                      <w:szCs w:val="21"/>
                      <w:highlight w:val="none"/>
                      <w:lang w:val="en-US" w:eastAsia="zh-CN"/>
                    </w:rPr>
                  </w:pPr>
                  <w:r>
                    <w:rPr>
                      <w:rFonts w:hint="default" w:ascii="Times New Roman" w:hAnsi="Times New Roman" w:eastAsia="宋体" w:cs="Times New Roman"/>
                      <w:color w:val="auto"/>
                      <w:spacing w:val="0"/>
                      <w:kern w:val="21"/>
                      <w:sz w:val="21"/>
                      <w:szCs w:val="21"/>
                      <w:lang w:val="en-US" w:eastAsia="zh-CN" w:bidi="ar"/>
                    </w:rPr>
                    <w:t>210</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widowControl w:val="0"/>
                    <w:suppressLineNumbers w:val="0"/>
                    <w:autoSpaceDE w:val="0"/>
                    <w:autoSpaceDN/>
                    <w:adjustRightInd w:val="0"/>
                    <w:spacing w:before="0" w:beforeAutospacing="0" w:after="0" w:afterAutospacing="0" w:line="340" w:lineRule="exact"/>
                    <w:ind w:left="0" w:leftChars="0" w:right="0" w:rightChars="0" w:firstLine="0" w:firstLineChars="0"/>
                    <w:jc w:val="both"/>
                    <w:rPr>
                      <w:rFonts w:hint="default" w:ascii="Times New Roman" w:hAnsi="Times New Roman" w:eastAsia="宋体" w:cs="Times New Roman"/>
                      <w:color w:val="auto"/>
                      <w:spacing w:val="-10"/>
                      <w:kern w:val="21"/>
                      <w:szCs w:val="21"/>
                      <w:highlight w:val="none"/>
                      <w:lang w:bidi="ar"/>
                    </w:rPr>
                  </w:pPr>
                  <w:r>
                    <w:rPr>
                      <w:rFonts w:hint="default" w:ascii="Times New Roman" w:hAnsi="Times New Roman" w:eastAsia="宋体" w:cs="Times New Roman"/>
                      <w:color w:val="auto"/>
                      <w:spacing w:val="0"/>
                      <w:kern w:val="2"/>
                      <w:sz w:val="21"/>
                      <w:szCs w:val="21"/>
                      <w:lang w:val="en-US" w:eastAsia="zh-CN" w:bidi="ar"/>
                    </w:rPr>
                    <w:t>用于磺化泥浆及岩屑处理。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0"/>
                      <w:kern w:val="2"/>
                      <w:sz w:val="21"/>
                      <w:szCs w:val="21"/>
                      <w:lang w:val="en-US" w:eastAsia="zh-CN" w:bidi="ar"/>
                    </w:rPr>
                    <w:t>20</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bCs/>
                      <w:color w:val="auto"/>
                      <w:spacing w:val="0"/>
                      <w:kern w:val="21"/>
                      <w:sz w:val="21"/>
                      <w:szCs w:val="21"/>
                      <w:lang w:val="en-US" w:eastAsia="zh-CN" w:bidi="ar"/>
                    </w:rPr>
                    <w:t>破胶剂组分B</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val="0"/>
                    <w:suppressLineNumbers w:val="0"/>
                    <w:autoSpaceDE w:val="0"/>
                    <w:autoSpaceDN/>
                    <w:spacing w:before="0" w:beforeAutospacing="0" w:after="0" w:afterAutospacing="0" w:line="340" w:lineRule="exact"/>
                    <w:ind w:left="0" w:leftChars="0" w:right="0" w:right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color w:val="auto"/>
                      <w:spacing w:val="0"/>
                      <w:kern w:val="21"/>
                      <w:sz w:val="21"/>
                      <w:szCs w:val="21"/>
                      <w:lang w:val="en-US" w:eastAsia="zh-CN" w:bidi="ar"/>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suppressLineNumbers w:val="0"/>
                    <w:autoSpaceDE w:val="0"/>
                    <w:autoSpaceDN/>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spacing w:val="-10"/>
                      <w:kern w:val="21"/>
                      <w:szCs w:val="21"/>
                      <w:highlight w:val="none"/>
                      <w:lang w:val="en-US" w:eastAsia="zh-CN"/>
                    </w:rPr>
                  </w:pPr>
                  <w:r>
                    <w:rPr>
                      <w:rFonts w:hint="default" w:ascii="Times New Roman" w:hAnsi="Times New Roman" w:eastAsia="宋体" w:cs="Times New Roman"/>
                      <w:color w:val="auto"/>
                      <w:spacing w:val="0"/>
                      <w:kern w:val="21"/>
                      <w:sz w:val="21"/>
                      <w:szCs w:val="21"/>
                      <w:lang w:val="en-US" w:eastAsia="zh-CN" w:bidi="ar"/>
                    </w:rPr>
                    <w:t>42</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widowControl w:val="0"/>
                    <w:suppressLineNumbers w:val="0"/>
                    <w:autoSpaceDE w:val="0"/>
                    <w:autoSpaceDN/>
                    <w:adjustRightInd w:val="0"/>
                    <w:spacing w:before="0" w:beforeAutospacing="0" w:after="0" w:afterAutospacing="0" w:line="340" w:lineRule="exact"/>
                    <w:ind w:left="0" w:leftChars="0" w:right="0" w:rightChars="0" w:firstLine="0" w:firstLineChars="0"/>
                    <w:jc w:val="both"/>
                    <w:rPr>
                      <w:rFonts w:hint="default" w:ascii="Times New Roman" w:hAnsi="Times New Roman" w:eastAsia="宋体" w:cs="Times New Roman"/>
                      <w:color w:val="auto"/>
                      <w:spacing w:val="-10"/>
                      <w:kern w:val="21"/>
                      <w:szCs w:val="21"/>
                      <w:highlight w:val="none"/>
                      <w:lang w:bidi="ar"/>
                    </w:rPr>
                  </w:pPr>
                  <w:r>
                    <w:rPr>
                      <w:rFonts w:hint="default" w:ascii="Times New Roman" w:hAnsi="Times New Roman" w:eastAsia="宋体" w:cs="Times New Roman"/>
                      <w:color w:val="auto"/>
                      <w:spacing w:val="0"/>
                      <w:kern w:val="2"/>
                      <w:sz w:val="21"/>
                      <w:szCs w:val="21"/>
                      <w:lang w:val="en-US" w:eastAsia="zh-CN" w:bidi="ar"/>
                    </w:rPr>
                    <w:t>用于磺化泥浆及岩屑处理。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0"/>
                      <w:kern w:val="2"/>
                      <w:sz w:val="21"/>
                      <w:szCs w:val="21"/>
                      <w:lang w:val="en-US" w:eastAsia="zh-CN" w:bidi="ar"/>
                    </w:rPr>
                    <w:t>21</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bCs/>
                      <w:color w:val="auto"/>
                      <w:spacing w:val="0"/>
                      <w:kern w:val="21"/>
                      <w:sz w:val="21"/>
                      <w:szCs w:val="21"/>
                      <w:lang w:val="en-US" w:eastAsia="zh-CN" w:bidi="ar"/>
                    </w:rPr>
                    <w:t>高价离子去除剂</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val="0"/>
                    <w:suppressLineNumbers w:val="0"/>
                    <w:autoSpaceDE w:val="0"/>
                    <w:autoSpaceDN/>
                    <w:spacing w:before="0" w:beforeAutospacing="0" w:after="0" w:afterAutospacing="0" w:line="340" w:lineRule="exact"/>
                    <w:ind w:left="0" w:leftChars="0" w:right="0" w:right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color w:val="auto"/>
                      <w:spacing w:val="0"/>
                      <w:kern w:val="21"/>
                      <w:sz w:val="21"/>
                      <w:szCs w:val="21"/>
                      <w:lang w:val="en-US" w:eastAsia="zh-CN" w:bidi="ar"/>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suppressLineNumbers w:val="0"/>
                    <w:autoSpaceDE w:val="0"/>
                    <w:autoSpaceDN/>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spacing w:val="-10"/>
                      <w:kern w:val="21"/>
                      <w:szCs w:val="21"/>
                      <w:highlight w:val="none"/>
                      <w:lang w:val="en-US" w:eastAsia="zh-CN"/>
                    </w:rPr>
                  </w:pPr>
                  <w:r>
                    <w:rPr>
                      <w:rFonts w:hint="default" w:ascii="Times New Roman" w:hAnsi="Times New Roman" w:eastAsia="宋体" w:cs="Times New Roman"/>
                      <w:color w:val="auto"/>
                      <w:spacing w:val="0"/>
                      <w:kern w:val="21"/>
                      <w:sz w:val="21"/>
                      <w:szCs w:val="21"/>
                      <w:lang w:val="en-US" w:eastAsia="zh-CN" w:bidi="ar"/>
                    </w:rPr>
                    <w:t>4.5</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widowControl w:val="0"/>
                    <w:suppressLineNumbers w:val="0"/>
                    <w:autoSpaceDE w:val="0"/>
                    <w:autoSpaceDN/>
                    <w:adjustRightInd w:val="0"/>
                    <w:spacing w:before="0" w:beforeAutospacing="0" w:after="0" w:afterAutospacing="0" w:line="340" w:lineRule="exact"/>
                    <w:ind w:left="0" w:leftChars="0" w:right="0" w:rightChars="0" w:firstLine="0" w:firstLineChars="0"/>
                    <w:jc w:val="both"/>
                    <w:rPr>
                      <w:rFonts w:hint="default" w:ascii="Times New Roman" w:hAnsi="Times New Roman" w:eastAsia="宋体" w:cs="Times New Roman"/>
                      <w:color w:val="auto"/>
                      <w:spacing w:val="-10"/>
                      <w:kern w:val="21"/>
                      <w:szCs w:val="21"/>
                      <w:highlight w:val="none"/>
                      <w:lang w:bidi="ar"/>
                    </w:rPr>
                  </w:pPr>
                  <w:r>
                    <w:rPr>
                      <w:rFonts w:hint="default" w:ascii="Times New Roman" w:hAnsi="Times New Roman" w:eastAsia="宋体" w:cs="Times New Roman"/>
                      <w:color w:val="auto"/>
                      <w:spacing w:val="0"/>
                      <w:kern w:val="2"/>
                      <w:sz w:val="21"/>
                      <w:szCs w:val="21"/>
                      <w:lang w:val="en-US" w:eastAsia="zh-CN" w:bidi="ar"/>
                    </w:rPr>
                    <w:t>用于磺化泥浆及岩屑处理。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0"/>
                      <w:kern w:val="2"/>
                      <w:sz w:val="21"/>
                      <w:szCs w:val="21"/>
                      <w:lang w:val="en-US" w:eastAsia="zh-CN" w:bidi="ar"/>
                    </w:rPr>
                    <w:t>22</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bCs/>
                      <w:color w:val="auto"/>
                      <w:spacing w:val="0"/>
                      <w:kern w:val="21"/>
                      <w:sz w:val="21"/>
                      <w:szCs w:val="21"/>
                      <w:lang w:val="en-US" w:eastAsia="zh-CN" w:bidi="ar"/>
                    </w:rPr>
                    <w:t>调质剂</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val="0"/>
                    <w:suppressLineNumbers w:val="0"/>
                    <w:autoSpaceDE w:val="0"/>
                    <w:autoSpaceDN/>
                    <w:spacing w:before="0" w:beforeAutospacing="0" w:after="0" w:afterAutospacing="0" w:line="340" w:lineRule="exact"/>
                    <w:ind w:left="0" w:leftChars="0" w:right="0" w:right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color w:val="auto"/>
                      <w:spacing w:val="0"/>
                      <w:kern w:val="21"/>
                      <w:sz w:val="21"/>
                      <w:szCs w:val="21"/>
                      <w:lang w:val="en-US" w:eastAsia="zh-CN" w:bidi="ar"/>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suppressLineNumbers w:val="0"/>
                    <w:autoSpaceDE w:val="0"/>
                    <w:autoSpaceDN/>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spacing w:val="-10"/>
                      <w:kern w:val="21"/>
                      <w:szCs w:val="21"/>
                      <w:highlight w:val="none"/>
                      <w:lang w:val="en-US" w:eastAsia="zh-CN"/>
                    </w:rPr>
                  </w:pPr>
                  <w:r>
                    <w:rPr>
                      <w:rFonts w:hint="default" w:ascii="Times New Roman" w:hAnsi="Times New Roman" w:eastAsia="宋体" w:cs="Times New Roman"/>
                      <w:color w:val="auto"/>
                      <w:spacing w:val="0"/>
                      <w:kern w:val="21"/>
                      <w:sz w:val="21"/>
                      <w:szCs w:val="21"/>
                      <w:lang w:val="en-US" w:eastAsia="zh-CN" w:bidi="ar"/>
                    </w:rPr>
                    <w:t>9</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widowControl w:val="0"/>
                    <w:suppressLineNumbers w:val="0"/>
                    <w:autoSpaceDE w:val="0"/>
                    <w:autoSpaceDN/>
                    <w:adjustRightInd w:val="0"/>
                    <w:spacing w:before="0" w:beforeAutospacing="0" w:after="0" w:afterAutospacing="0" w:line="340" w:lineRule="exact"/>
                    <w:ind w:left="0" w:leftChars="0" w:right="0" w:rightChars="0" w:firstLine="0" w:firstLineChars="0"/>
                    <w:jc w:val="both"/>
                    <w:rPr>
                      <w:rFonts w:hint="default" w:ascii="Times New Roman" w:hAnsi="Times New Roman" w:eastAsia="宋体" w:cs="Times New Roman"/>
                      <w:color w:val="auto"/>
                      <w:spacing w:val="-10"/>
                      <w:kern w:val="21"/>
                      <w:szCs w:val="21"/>
                      <w:highlight w:val="none"/>
                      <w:lang w:bidi="ar"/>
                    </w:rPr>
                  </w:pPr>
                  <w:r>
                    <w:rPr>
                      <w:rFonts w:hint="default" w:ascii="Times New Roman" w:hAnsi="Times New Roman" w:eastAsia="宋体" w:cs="Times New Roman"/>
                      <w:color w:val="auto"/>
                      <w:spacing w:val="0"/>
                      <w:kern w:val="2"/>
                      <w:sz w:val="21"/>
                      <w:szCs w:val="21"/>
                      <w:lang w:val="en-US" w:eastAsia="zh-CN" w:bidi="ar"/>
                    </w:rPr>
                    <w:t>用于磺化泥浆及岩屑处理。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0"/>
                      <w:kern w:val="2"/>
                      <w:sz w:val="21"/>
                      <w:szCs w:val="21"/>
                      <w:lang w:val="en-US" w:eastAsia="zh-CN" w:bidi="ar"/>
                    </w:rPr>
                    <w:t>23</w:t>
                  </w:r>
                </w:p>
              </w:tc>
              <w:tc>
                <w:tcPr>
                  <w:tcW w:w="942"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bCs/>
                      <w:color w:val="auto"/>
                      <w:spacing w:val="0"/>
                      <w:kern w:val="21"/>
                      <w:sz w:val="21"/>
                      <w:szCs w:val="21"/>
                      <w:lang w:val="en-US" w:eastAsia="zh-CN" w:bidi="ar"/>
                    </w:rPr>
                    <w:t>改性剂</w:t>
                  </w:r>
                </w:p>
              </w:tc>
              <w:tc>
                <w:tcPr>
                  <w:tcW w:w="356"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val="0"/>
                    <w:suppressLineNumbers w:val="0"/>
                    <w:autoSpaceDE w:val="0"/>
                    <w:autoSpaceDN/>
                    <w:spacing w:before="0" w:beforeAutospacing="0" w:after="0" w:afterAutospacing="0" w:line="340" w:lineRule="exact"/>
                    <w:ind w:left="0" w:leftChars="0" w:right="0" w:right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color w:val="auto"/>
                      <w:spacing w:val="0"/>
                      <w:kern w:val="21"/>
                      <w:sz w:val="21"/>
                      <w:szCs w:val="21"/>
                      <w:lang w:val="en-US" w:eastAsia="zh-CN" w:bidi="ar"/>
                    </w:rPr>
                    <w:t>t</w:t>
                  </w:r>
                </w:p>
              </w:tc>
              <w:tc>
                <w:tcPr>
                  <w:tcW w:w="351" w:type="pc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keepNext w:val="0"/>
                    <w:keepLines w:val="0"/>
                    <w:widowControl/>
                    <w:suppressLineNumbers w:val="0"/>
                    <w:autoSpaceDE w:val="0"/>
                    <w:autoSpaceDN/>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spacing w:val="-10"/>
                      <w:kern w:val="21"/>
                      <w:szCs w:val="21"/>
                      <w:highlight w:val="none"/>
                      <w:lang w:val="en-US" w:eastAsia="zh-CN"/>
                    </w:rPr>
                  </w:pPr>
                  <w:r>
                    <w:rPr>
                      <w:rFonts w:hint="default" w:ascii="Times New Roman" w:hAnsi="Times New Roman" w:eastAsia="宋体" w:cs="Times New Roman"/>
                      <w:color w:val="auto"/>
                      <w:spacing w:val="0"/>
                      <w:kern w:val="21"/>
                      <w:sz w:val="21"/>
                      <w:szCs w:val="21"/>
                      <w:lang w:val="en-US" w:eastAsia="zh-CN" w:bidi="ar"/>
                    </w:rPr>
                    <w:t>60</w:t>
                  </w:r>
                </w:p>
              </w:tc>
              <w:tc>
                <w:tcPr>
                  <w:tcW w:w="3074" w:type="pct"/>
                  <w:tcBorders>
                    <w:top w:val="single" w:color="auto" w:sz="4" w:space="0"/>
                    <w:left w:val="single" w:color="auto" w:sz="4" w:space="0"/>
                    <w:bottom w:val="single" w:color="auto" w:sz="4" w:space="0"/>
                    <w:right w:val="single" w:color="auto" w:sz="8" w:space="0"/>
                  </w:tcBorders>
                  <w:noWrap w:val="0"/>
                  <w:tcMar>
                    <w:left w:w="28" w:type="dxa"/>
                    <w:right w:w="28" w:type="dxa"/>
                  </w:tcMar>
                  <w:vAlign w:val="center"/>
                </w:tcPr>
                <w:p>
                  <w:pPr>
                    <w:keepNext w:val="0"/>
                    <w:keepLines w:val="0"/>
                    <w:widowControl w:val="0"/>
                    <w:suppressLineNumbers w:val="0"/>
                    <w:autoSpaceDE w:val="0"/>
                    <w:autoSpaceDN/>
                    <w:adjustRightInd w:val="0"/>
                    <w:spacing w:before="0" w:beforeAutospacing="0" w:after="0" w:afterAutospacing="0" w:line="340" w:lineRule="exact"/>
                    <w:ind w:left="0" w:leftChars="0" w:right="0" w:rightChars="0" w:firstLine="0" w:firstLineChars="0"/>
                    <w:jc w:val="both"/>
                    <w:rPr>
                      <w:rFonts w:hint="default" w:ascii="Times New Roman" w:hAnsi="Times New Roman" w:eastAsia="宋体" w:cs="Times New Roman"/>
                      <w:color w:val="auto"/>
                      <w:spacing w:val="-10"/>
                      <w:kern w:val="21"/>
                      <w:szCs w:val="21"/>
                      <w:highlight w:val="none"/>
                      <w:lang w:bidi="ar"/>
                    </w:rPr>
                  </w:pPr>
                  <w:r>
                    <w:rPr>
                      <w:rFonts w:hint="default" w:ascii="Times New Roman" w:hAnsi="Times New Roman" w:eastAsia="宋体" w:cs="Times New Roman"/>
                      <w:color w:val="auto"/>
                      <w:spacing w:val="0"/>
                      <w:kern w:val="2"/>
                      <w:sz w:val="21"/>
                      <w:szCs w:val="21"/>
                      <w:lang w:val="en-US" w:eastAsia="zh-CN" w:bidi="ar"/>
                    </w:rPr>
                    <w:t>用于磺化泥浆及岩屑处理。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76" w:type="pct"/>
                  <w:tcBorders>
                    <w:lef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bCs/>
                      <w:color w:val="auto"/>
                      <w:spacing w:val="0"/>
                      <w:kern w:val="2"/>
                      <w:sz w:val="21"/>
                      <w:szCs w:val="21"/>
                      <w:lang w:val="en-US" w:eastAsia="zh-CN" w:bidi="ar"/>
                    </w:rPr>
                    <w:t>24</w:t>
                  </w:r>
                </w:p>
              </w:tc>
              <w:tc>
                <w:tcPr>
                  <w:tcW w:w="942" w:type="pct"/>
                  <w:tcBorders>
                    <w:top w:val="single" w:color="auto" w:sz="4" w:space="0"/>
                    <w:left w:val="single" w:color="auto" w:sz="4" w:space="0"/>
                    <w:bottom w:val="single" w:color="auto" w:sz="8" w:space="0"/>
                    <w:right w:val="single" w:color="auto" w:sz="4" w:space="0"/>
                  </w:tcBorders>
                  <w:noWrap w:val="0"/>
                  <w:tcMar>
                    <w:left w:w="28" w:type="dxa"/>
                    <w:right w:w="28" w:type="dxa"/>
                  </w:tcMar>
                  <w:vAlign w:val="center"/>
                </w:tcPr>
                <w:p>
                  <w:pPr>
                    <w:pStyle w:val="29"/>
                    <w:keepNext w:val="0"/>
                    <w:keepLines w:val="0"/>
                    <w:widowControl w:val="0"/>
                    <w:suppressLineNumbers w:val="0"/>
                    <w:autoSpaceDE w:val="0"/>
                    <w:autoSpaceDN/>
                    <w:adjustRightInd w:val="0"/>
                    <w:spacing w:before="0" w:beforeLines="0" w:beforeAutospacing="0" w:after="0" w:afterAutospacing="1" w:line="340" w:lineRule="exact"/>
                    <w:ind w:left="0" w:leftChars="0" w:right="0" w:rightChars="0" w:firstLine="0" w:firstLine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bCs/>
                      <w:color w:val="auto"/>
                      <w:spacing w:val="0"/>
                      <w:kern w:val="21"/>
                      <w:sz w:val="21"/>
                      <w:szCs w:val="21"/>
                      <w:lang w:val="en-US" w:eastAsia="zh-CN" w:bidi="ar"/>
                    </w:rPr>
                    <w:t>增强剂</w:t>
                  </w:r>
                </w:p>
              </w:tc>
              <w:tc>
                <w:tcPr>
                  <w:tcW w:w="356" w:type="pct"/>
                  <w:tcBorders>
                    <w:top w:val="single" w:color="auto" w:sz="4" w:space="0"/>
                    <w:left w:val="single" w:color="auto" w:sz="4" w:space="0"/>
                    <w:bottom w:val="single" w:color="auto" w:sz="8" w:space="0"/>
                    <w:right w:val="single" w:color="auto" w:sz="4" w:space="0"/>
                  </w:tcBorders>
                  <w:noWrap w:val="0"/>
                  <w:tcMar>
                    <w:left w:w="28" w:type="dxa"/>
                    <w:right w:w="28" w:type="dxa"/>
                  </w:tcMar>
                  <w:vAlign w:val="center"/>
                </w:tcPr>
                <w:p>
                  <w:pPr>
                    <w:keepNext w:val="0"/>
                    <w:keepLines w:val="0"/>
                    <w:widowControl w:val="0"/>
                    <w:suppressLineNumbers w:val="0"/>
                    <w:autoSpaceDE w:val="0"/>
                    <w:autoSpaceDN/>
                    <w:spacing w:before="0" w:beforeAutospacing="0" w:after="0" w:afterAutospacing="0" w:line="340" w:lineRule="exact"/>
                    <w:ind w:left="0" w:leftChars="0" w:right="0" w:rightChars="0"/>
                    <w:jc w:val="center"/>
                    <w:rPr>
                      <w:rFonts w:hint="default" w:ascii="Times New Roman" w:hAnsi="Times New Roman" w:eastAsia="宋体" w:cs="Times New Roman"/>
                      <w:color w:val="auto"/>
                      <w:spacing w:val="-10"/>
                      <w:kern w:val="21"/>
                      <w:szCs w:val="21"/>
                      <w:highlight w:val="none"/>
                    </w:rPr>
                  </w:pPr>
                  <w:r>
                    <w:rPr>
                      <w:rFonts w:hint="default" w:ascii="Times New Roman" w:hAnsi="Times New Roman" w:eastAsia="宋体" w:cs="Times New Roman"/>
                      <w:color w:val="auto"/>
                      <w:spacing w:val="0"/>
                      <w:kern w:val="21"/>
                      <w:sz w:val="21"/>
                      <w:szCs w:val="21"/>
                      <w:lang w:val="en-US" w:eastAsia="zh-CN" w:bidi="ar"/>
                    </w:rPr>
                    <w:t>t</w:t>
                  </w:r>
                </w:p>
              </w:tc>
              <w:tc>
                <w:tcPr>
                  <w:tcW w:w="351" w:type="pct"/>
                  <w:tcBorders>
                    <w:top w:val="single" w:color="auto" w:sz="4" w:space="0"/>
                    <w:left w:val="single" w:color="auto" w:sz="4" w:space="0"/>
                    <w:bottom w:val="single" w:color="auto" w:sz="8" w:space="0"/>
                    <w:right w:val="single" w:color="auto" w:sz="4" w:space="0"/>
                  </w:tcBorders>
                  <w:noWrap w:val="0"/>
                  <w:tcMar>
                    <w:left w:w="28" w:type="dxa"/>
                    <w:right w:w="28" w:type="dxa"/>
                  </w:tcMar>
                  <w:vAlign w:val="center"/>
                </w:tcPr>
                <w:p>
                  <w:pPr>
                    <w:keepNext w:val="0"/>
                    <w:keepLines w:val="0"/>
                    <w:widowControl/>
                    <w:suppressLineNumbers w:val="0"/>
                    <w:autoSpaceDE w:val="0"/>
                    <w:autoSpaceDN/>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spacing w:val="-10"/>
                      <w:kern w:val="21"/>
                      <w:szCs w:val="21"/>
                      <w:highlight w:val="none"/>
                      <w:lang w:val="en-US" w:eastAsia="zh-CN"/>
                    </w:rPr>
                  </w:pPr>
                  <w:r>
                    <w:rPr>
                      <w:rFonts w:hint="default" w:ascii="Times New Roman" w:hAnsi="Times New Roman" w:eastAsia="宋体" w:cs="Times New Roman"/>
                      <w:color w:val="auto"/>
                      <w:spacing w:val="0"/>
                      <w:kern w:val="21"/>
                      <w:sz w:val="21"/>
                      <w:szCs w:val="21"/>
                      <w:lang w:val="en-US" w:eastAsia="zh-CN" w:bidi="ar"/>
                    </w:rPr>
                    <w:t>120</w:t>
                  </w:r>
                </w:p>
              </w:tc>
              <w:tc>
                <w:tcPr>
                  <w:tcW w:w="3074" w:type="pct"/>
                  <w:tcBorders>
                    <w:top w:val="single" w:color="auto" w:sz="4" w:space="0"/>
                    <w:left w:val="single" w:color="auto" w:sz="4" w:space="0"/>
                    <w:bottom w:val="single" w:color="auto" w:sz="8" w:space="0"/>
                    <w:right w:val="single" w:color="auto" w:sz="8" w:space="0"/>
                  </w:tcBorders>
                  <w:noWrap w:val="0"/>
                  <w:tcMar>
                    <w:left w:w="28" w:type="dxa"/>
                    <w:right w:w="28" w:type="dxa"/>
                  </w:tcMar>
                  <w:vAlign w:val="center"/>
                </w:tcPr>
                <w:p>
                  <w:pPr>
                    <w:keepNext w:val="0"/>
                    <w:keepLines w:val="0"/>
                    <w:widowControl w:val="0"/>
                    <w:suppressLineNumbers w:val="0"/>
                    <w:autoSpaceDE w:val="0"/>
                    <w:autoSpaceDN/>
                    <w:adjustRightInd w:val="0"/>
                    <w:spacing w:before="0" w:beforeAutospacing="0" w:after="0" w:afterAutospacing="0" w:line="340" w:lineRule="exact"/>
                    <w:ind w:left="0" w:leftChars="0" w:right="0" w:rightChars="0" w:firstLine="0" w:firstLineChars="0"/>
                    <w:jc w:val="both"/>
                    <w:rPr>
                      <w:rFonts w:hint="default" w:ascii="Times New Roman" w:hAnsi="Times New Roman" w:eastAsia="宋体" w:cs="Times New Roman"/>
                      <w:color w:val="auto"/>
                      <w:spacing w:val="-10"/>
                      <w:kern w:val="21"/>
                      <w:szCs w:val="21"/>
                      <w:highlight w:val="none"/>
                      <w:lang w:bidi="ar"/>
                    </w:rPr>
                  </w:pPr>
                  <w:r>
                    <w:rPr>
                      <w:rFonts w:hint="default" w:ascii="Times New Roman" w:hAnsi="Times New Roman" w:eastAsia="宋体" w:cs="Times New Roman"/>
                      <w:color w:val="auto"/>
                      <w:spacing w:val="0"/>
                      <w:kern w:val="2"/>
                      <w:sz w:val="21"/>
                      <w:szCs w:val="21"/>
                      <w:lang w:val="en-US" w:eastAsia="zh-CN" w:bidi="ar"/>
                    </w:rPr>
                    <w:t>用于磺化泥浆及岩屑处理。</w:t>
                  </w:r>
                </w:p>
              </w:tc>
            </w:tr>
          </w:tbl>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表2-7    储层改造原材料消耗一览表</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59"/>
              <w:gridCol w:w="1033"/>
              <w:gridCol w:w="582"/>
              <w:gridCol w:w="631"/>
              <w:gridCol w:w="563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5"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序号</w:t>
                  </w:r>
                </w:p>
              </w:tc>
              <w:tc>
                <w:tcPr>
                  <w:tcW w:w="619"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材料名称</w:t>
                  </w:r>
                </w:p>
              </w:tc>
              <w:tc>
                <w:tcPr>
                  <w:tcW w:w="348"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单位</w:t>
                  </w:r>
                </w:p>
              </w:tc>
              <w:tc>
                <w:tcPr>
                  <w:tcW w:w="378"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val="0"/>
                      <w:color w:val="auto"/>
                      <w:spacing w:val="-10"/>
                      <w:sz w:val="21"/>
                      <w:szCs w:val="21"/>
                      <w:highlight w:val="none"/>
                    </w:rPr>
                    <w:t>数量</w:t>
                  </w:r>
                </w:p>
              </w:tc>
              <w:tc>
                <w:tcPr>
                  <w:tcW w:w="3378"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val="0"/>
                      <w:color w:val="auto"/>
                      <w:spacing w:val="-10"/>
                      <w:kern w:val="21"/>
                      <w:sz w:val="21"/>
                      <w:szCs w:val="21"/>
                      <w:highlight w:val="none"/>
                    </w:rPr>
                    <w:t>理化特性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5"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619"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水</w:t>
                  </w:r>
                </w:p>
              </w:tc>
              <w:tc>
                <w:tcPr>
                  <w:tcW w:w="348"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m</w:t>
                  </w:r>
                  <w:r>
                    <w:rPr>
                      <w:rFonts w:hint="default" w:ascii="Times New Roman" w:hAnsi="Times New Roman" w:eastAsia="宋体" w:cs="Times New Roman"/>
                      <w:color w:val="auto"/>
                      <w:spacing w:val="-10"/>
                      <w:sz w:val="21"/>
                      <w:szCs w:val="21"/>
                      <w:highlight w:val="none"/>
                      <w:vertAlign w:val="superscript"/>
                    </w:rPr>
                    <w:t>3</w:t>
                  </w:r>
                </w:p>
              </w:tc>
              <w:tc>
                <w:tcPr>
                  <w:tcW w:w="378"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spacing w:val="-10"/>
                      <w:sz w:val="21"/>
                      <w:szCs w:val="21"/>
                      <w:highlight w:val="none"/>
                      <w:lang w:val="en-US"/>
                    </w:rPr>
                  </w:pPr>
                  <w:r>
                    <w:rPr>
                      <w:rFonts w:hint="eastAsia" w:ascii="Times New Roman" w:cs="Times New Roman"/>
                      <w:color w:val="auto"/>
                      <w:spacing w:val="-10"/>
                      <w:kern w:val="0"/>
                      <w:sz w:val="21"/>
                      <w:szCs w:val="21"/>
                      <w:highlight w:val="none"/>
                      <w:lang w:val="en-US" w:eastAsia="zh-CN" w:bidi="ar"/>
                    </w:rPr>
                    <w:t>1200</w:t>
                  </w:r>
                </w:p>
              </w:tc>
              <w:tc>
                <w:tcPr>
                  <w:tcW w:w="3378"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kern w:val="21"/>
                      <w:sz w:val="21"/>
                      <w:szCs w:val="21"/>
                      <w:highlight w:val="none"/>
                      <w:lang w:bidi="ar"/>
                    </w:rPr>
                  </w:pPr>
                  <w:r>
                    <w:rPr>
                      <w:rFonts w:hint="default" w:ascii="Times New Roman" w:hAnsi="Times New Roman" w:eastAsia="宋体" w:cs="Times New Roman"/>
                      <w:color w:val="auto"/>
                      <w:spacing w:val="-10"/>
                      <w:kern w:val="21"/>
                      <w:sz w:val="21"/>
                      <w:szCs w:val="21"/>
                      <w:highlight w:val="none"/>
                      <w:lang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5"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2</w:t>
                  </w:r>
                </w:p>
              </w:tc>
              <w:tc>
                <w:tcPr>
                  <w:tcW w:w="61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 w:val="21"/>
                      <w:szCs w:val="21"/>
                      <w:highlight w:val="none"/>
                      <w:lang w:bidi="ar"/>
                    </w:rPr>
                    <w:t>黄原胶</w:t>
                  </w:r>
                </w:p>
              </w:tc>
              <w:tc>
                <w:tcPr>
                  <w:tcW w:w="348"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t</w:t>
                  </w:r>
                </w:p>
              </w:tc>
              <w:tc>
                <w:tcPr>
                  <w:tcW w:w="378"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lang w:val="en-US"/>
                    </w:rPr>
                  </w:pPr>
                  <w:r>
                    <w:rPr>
                      <w:rFonts w:hint="eastAsia" w:ascii="Times New Roman" w:cs="Times New Roman"/>
                      <w:color w:val="auto"/>
                      <w:spacing w:val="-10"/>
                      <w:sz w:val="21"/>
                      <w:szCs w:val="21"/>
                      <w:highlight w:val="none"/>
                      <w:lang w:val="en-US" w:eastAsia="zh-CN"/>
                    </w:rPr>
                    <w:t>1.4</w:t>
                  </w:r>
                </w:p>
              </w:tc>
              <w:tc>
                <w:tcPr>
                  <w:tcW w:w="3378"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bidi="ar"/>
                    </w:rPr>
                  </w:pPr>
                  <w:r>
                    <w:rPr>
                      <w:rFonts w:hint="default" w:ascii="Times New Roman" w:hAnsi="Times New Roman" w:eastAsia="宋体" w:cs="Times New Roman"/>
                      <w:color w:val="auto"/>
                      <w:spacing w:val="-10"/>
                      <w:kern w:val="21"/>
                      <w:sz w:val="21"/>
                      <w:szCs w:val="21"/>
                      <w:highlight w:val="none"/>
                      <w:lang w:bidi="ar"/>
                    </w:rPr>
                    <w:t>黄原胶是一种由黄单胞杆菌发酵产生的细胞外酸性杂多糖。是由D</w:t>
                  </w:r>
                  <w:r>
                    <w:rPr>
                      <w:rFonts w:hint="default" w:ascii="Times New Roman" w:hAnsi="Times New Roman" w:eastAsia="宋体" w:cs="Times New Roman"/>
                      <w:color w:val="auto"/>
                      <w:spacing w:val="-10"/>
                      <w:kern w:val="21"/>
                      <w:sz w:val="21"/>
                      <w:szCs w:val="21"/>
                      <w:highlight w:val="none"/>
                      <w:lang w:eastAsia="zh-CN" w:bidi="ar"/>
                    </w:rPr>
                    <w:t>－</w:t>
                  </w:r>
                  <w:r>
                    <w:rPr>
                      <w:rFonts w:hint="default" w:ascii="Times New Roman" w:hAnsi="Times New Roman" w:eastAsia="宋体" w:cs="Times New Roman"/>
                      <w:color w:val="auto"/>
                      <w:spacing w:val="-10"/>
                      <w:kern w:val="21"/>
                      <w:sz w:val="21"/>
                      <w:szCs w:val="21"/>
                      <w:highlight w:val="none"/>
                      <w:lang w:bidi="ar"/>
                    </w:rPr>
                    <w:t>葡萄糖、D-甘露糖和D-</w:t>
                  </w:r>
                  <w:r>
                    <w:rPr>
                      <w:rFonts w:hint="eastAsia" w:ascii="Times New Roman" w:cs="Times New Roman"/>
                      <w:color w:val="auto"/>
                      <w:spacing w:val="-10"/>
                      <w:kern w:val="21"/>
                      <w:sz w:val="21"/>
                      <w:szCs w:val="21"/>
                      <w:highlight w:val="none"/>
                      <w:lang w:eastAsia="zh-CN" w:bidi="ar"/>
                    </w:rPr>
                    <w:t>葡糖醛酸</w:t>
                  </w:r>
                  <w:r>
                    <w:rPr>
                      <w:rFonts w:hint="default" w:ascii="Times New Roman" w:hAnsi="Times New Roman" w:eastAsia="宋体" w:cs="Times New Roman"/>
                      <w:color w:val="auto"/>
                      <w:spacing w:val="-10"/>
                      <w:kern w:val="21"/>
                      <w:sz w:val="21"/>
                      <w:szCs w:val="21"/>
                      <w:highlight w:val="none"/>
                      <w:lang w:bidi="ar"/>
                    </w:rPr>
                    <w:t>按2:2:1组成的多糖类高分子化合物，相对分子质量在100万以上；黄原胶为浅黄色至白色可流动粉末，稍带臭味。易溶于冷、热水中，溶液中性，耐冻结和解冻，不溶于乙醇。遇水分散、乳化变成稳定的亲水性</w:t>
                  </w:r>
                  <w:r>
                    <w:rPr>
                      <w:rFonts w:hint="eastAsia" w:ascii="Times New Roman" w:cs="Times New Roman"/>
                      <w:color w:val="auto"/>
                      <w:spacing w:val="-10"/>
                      <w:kern w:val="21"/>
                      <w:sz w:val="21"/>
                      <w:szCs w:val="21"/>
                      <w:highlight w:val="none"/>
                      <w:lang w:eastAsia="zh-CN" w:bidi="ar"/>
                    </w:rPr>
                    <w:t>黏稠</w:t>
                  </w:r>
                  <w:r>
                    <w:rPr>
                      <w:rFonts w:hint="default" w:ascii="Times New Roman" w:hAnsi="Times New Roman" w:eastAsia="宋体" w:cs="Times New Roman"/>
                      <w:color w:val="auto"/>
                      <w:spacing w:val="-10"/>
                      <w:kern w:val="21"/>
                      <w:sz w:val="21"/>
                      <w:szCs w:val="21"/>
                      <w:highlight w:val="none"/>
                      <w:lang w:bidi="ar"/>
                    </w:rPr>
                    <w:t>胶体</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5"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3</w:t>
                  </w:r>
                </w:p>
              </w:tc>
              <w:tc>
                <w:tcPr>
                  <w:tcW w:w="61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破乳剂</w:t>
                  </w:r>
                </w:p>
              </w:tc>
              <w:tc>
                <w:tcPr>
                  <w:tcW w:w="348"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 w:val="21"/>
                      <w:szCs w:val="21"/>
                      <w:highlight w:val="none"/>
                    </w:rPr>
                    <w:t>t</w:t>
                  </w:r>
                </w:p>
              </w:tc>
              <w:tc>
                <w:tcPr>
                  <w:tcW w:w="378"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2.2</w:t>
                  </w:r>
                </w:p>
              </w:tc>
              <w:tc>
                <w:tcPr>
                  <w:tcW w:w="3378"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bidi="ar"/>
                    </w:rPr>
                  </w:pPr>
                  <w:r>
                    <w:rPr>
                      <w:rFonts w:hint="default" w:ascii="Times New Roman" w:hAnsi="Times New Roman" w:eastAsia="宋体" w:cs="Times New Roman"/>
                      <w:color w:val="auto"/>
                      <w:spacing w:val="-10"/>
                      <w:kern w:val="21"/>
                      <w:sz w:val="21"/>
                      <w:szCs w:val="21"/>
                      <w:highlight w:val="none"/>
                      <w:lang w:bidi="ar"/>
                    </w:rPr>
                    <w:t>含量3%的1，2-丙二醇、甲基环氧乙烷、环氧乙烷的共聚物，其余为水</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62" w:hRule="atLeast"/>
                <w:jc w:val="center"/>
              </w:trPr>
              <w:tc>
                <w:tcPr>
                  <w:tcW w:w="275"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4</w:t>
                  </w:r>
                </w:p>
              </w:tc>
              <w:tc>
                <w:tcPr>
                  <w:tcW w:w="61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氯化钾</w:t>
                  </w:r>
                </w:p>
              </w:tc>
              <w:tc>
                <w:tcPr>
                  <w:tcW w:w="348"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21"/>
                      <w:sz w:val="21"/>
                      <w:szCs w:val="21"/>
                      <w:highlight w:val="none"/>
                    </w:rPr>
                    <w:t>t</w:t>
                  </w:r>
                </w:p>
              </w:tc>
              <w:tc>
                <w:tcPr>
                  <w:tcW w:w="378"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2.6</w:t>
                  </w:r>
                </w:p>
              </w:tc>
              <w:tc>
                <w:tcPr>
                  <w:tcW w:w="3378"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bidi="ar"/>
                    </w:rPr>
                  </w:pPr>
                  <w:r>
                    <w:rPr>
                      <w:rFonts w:hint="default" w:ascii="Times New Roman" w:hAnsi="Times New Roman" w:eastAsia="宋体" w:cs="Times New Roman"/>
                      <w:color w:val="auto"/>
                      <w:spacing w:val="-10"/>
                      <w:kern w:val="21"/>
                      <w:sz w:val="21"/>
                      <w:szCs w:val="21"/>
                      <w:highlight w:val="none"/>
                      <w:lang w:bidi="ar"/>
                    </w:rPr>
                    <w:t>无色细长菱形或立方晶体，或白色结晶小颗粒粉末，用作添加剂</w:t>
                  </w:r>
                  <w:r>
                    <w:rPr>
                      <w:rFonts w:hint="default" w:ascii="Times New Roman" w:hAnsi="Times New Roman" w:eastAsia="宋体" w:cs="Times New Roman"/>
                      <w:color w:val="auto"/>
                      <w:spacing w:val="-10"/>
                      <w:kern w:val="21"/>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5"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 w:val="21"/>
                      <w:szCs w:val="21"/>
                      <w:highlight w:val="none"/>
                    </w:rPr>
                    <w:t>5</w:t>
                  </w:r>
                </w:p>
              </w:tc>
              <w:tc>
                <w:tcPr>
                  <w:tcW w:w="61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spacing w:val="-10"/>
                      <w:kern w:val="21"/>
                      <w:sz w:val="21"/>
                      <w:szCs w:val="21"/>
                      <w:highlight w:val="none"/>
                      <w:lang w:bidi="ar"/>
                    </w:rPr>
                  </w:pPr>
                  <w:r>
                    <w:rPr>
                      <w:rFonts w:hint="default" w:ascii="Times New Roman" w:hAnsi="Times New Roman" w:eastAsia="宋体" w:cs="Times New Roman"/>
                      <w:color w:val="auto"/>
                      <w:spacing w:val="-10"/>
                      <w:kern w:val="21"/>
                      <w:sz w:val="21"/>
                      <w:szCs w:val="21"/>
                      <w:highlight w:val="none"/>
                      <w:lang w:bidi="ar"/>
                    </w:rPr>
                    <w:t>支撑剂</w:t>
                  </w:r>
                </w:p>
              </w:tc>
              <w:tc>
                <w:tcPr>
                  <w:tcW w:w="348" w:type="pct"/>
                  <w:noWrap w:val="0"/>
                  <w:tcMar>
                    <w:left w:w="28" w:type="dxa"/>
                    <w:right w:w="28" w:type="dxa"/>
                  </w:tcMar>
                  <w:vAlign w:val="center"/>
                </w:tcPr>
                <w:p>
                  <w:pPr>
                    <w:pStyle w:val="68"/>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right="0"/>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kern w:val="21"/>
                      <w:sz w:val="21"/>
                      <w:szCs w:val="21"/>
                      <w:highlight w:val="none"/>
                    </w:rPr>
                    <w:t>t</w:t>
                  </w:r>
                </w:p>
              </w:tc>
              <w:tc>
                <w:tcPr>
                  <w:tcW w:w="378"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43.8</w:t>
                  </w:r>
                </w:p>
              </w:tc>
              <w:tc>
                <w:tcPr>
                  <w:tcW w:w="3378"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10"/>
                      <w:kern w:val="21"/>
                      <w:sz w:val="21"/>
                      <w:szCs w:val="21"/>
                      <w:highlight w:val="none"/>
                      <w:lang w:eastAsia="zh-CN" w:bidi="ar"/>
                    </w:rPr>
                  </w:pPr>
                  <w:r>
                    <w:rPr>
                      <w:rFonts w:hint="default" w:ascii="Times New Roman" w:hAnsi="Times New Roman" w:eastAsia="宋体" w:cs="Times New Roman"/>
                      <w:color w:val="auto"/>
                      <w:spacing w:val="-10"/>
                      <w:kern w:val="21"/>
                      <w:sz w:val="21"/>
                      <w:szCs w:val="21"/>
                      <w:highlight w:val="none"/>
                      <w:lang w:bidi="ar"/>
                    </w:rPr>
                    <w:t>压裂支撑剂是一种石英砂、陶瓷颗粒产品，具有很高的压裂强度，主要用于油田井下支撑，以增加石油天然气的产量</w:t>
                  </w:r>
                  <w:r>
                    <w:rPr>
                      <w:rFonts w:hint="default" w:ascii="Times New Roman" w:hAnsi="Times New Roman" w:eastAsia="宋体" w:cs="Times New Roman"/>
                      <w:color w:val="auto"/>
                      <w:spacing w:val="-10"/>
                      <w:kern w:val="21"/>
                      <w:sz w:val="21"/>
                      <w:szCs w:val="21"/>
                      <w:highlight w:val="none"/>
                      <w:lang w:eastAsia="zh-CN" w:bidi="ar"/>
                    </w:rPr>
                    <w:t>。</w:t>
                  </w:r>
                </w:p>
              </w:tc>
            </w:tr>
          </w:tbl>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10、</w:t>
            </w:r>
            <w:r>
              <w:rPr>
                <w:rFonts w:hint="default" w:ascii="Times New Roman" w:hAnsi="Times New Roman" w:eastAsia="宋体" w:cs="Times New Roman"/>
                <w:b/>
                <w:bCs/>
                <w:color w:val="auto"/>
                <w:sz w:val="24"/>
                <w:highlight w:val="none"/>
              </w:rPr>
              <w:t>公用工程</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bCs/>
                <w:color w:val="auto"/>
                <w:spacing w:val="0"/>
                <w:kern w:val="2"/>
                <w:sz w:val="24"/>
                <w:szCs w:val="24"/>
              </w:rPr>
            </w:pPr>
            <w:r>
              <w:rPr>
                <w:rFonts w:hint="default" w:ascii="Times New Roman" w:hAnsi="Times New Roman" w:eastAsia="宋体" w:cs="Times New Roman"/>
                <w:bCs/>
                <w:color w:val="auto"/>
                <w:spacing w:val="0"/>
                <w:kern w:val="2"/>
                <w:sz w:val="24"/>
                <w:szCs w:val="24"/>
                <w:lang w:val="en-US" w:eastAsia="zh-CN" w:bidi="ar"/>
              </w:rPr>
              <w:t>（1）给排水</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kern w:val="2"/>
                <w:sz w:val="24"/>
                <w:szCs w:val="24"/>
              </w:rPr>
            </w:pPr>
            <w:r>
              <w:rPr>
                <w:rFonts w:hint="default" w:ascii="Times New Roman" w:hAnsi="Times New Roman" w:eastAsia="宋体" w:cs="Times New Roman"/>
                <w:color w:val="auto"/>
                <w:spacing w:val="0"/>
                <w:kern w:val="2"/>
                <w:sz w:val="24"/>
                <w:szCs w:val="24"/>
                <w:lang w:val="en-US" w:eastAsia="zh-CN" w:bidi="ar"/>
              </w:rPr>
              <w:t>①给水：工程用水主要包括钻井用水、酸化压裂用水、锅炉补水和生活用水。</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bCs/>
                <w:color w:val="auto"/>
                <w:spacing w:val="0"/>
                <w:kern w:val="2"/>
                <w:sz w:val="24"/>
                <w:szCs w:val="24"/>
              </w:rPr>
            </w:pPr>
            <w:r>
              <w:rPr>
                <w:rFonts w:hint="default" w:ascii="Times New Roman" w:hAnsi="Times New Roman" w:eastAsia="宋体" w:cs="Times New Roman"/>
                <w:bCs/>
                <w:color w:val="auto"/>
                <w:spacing w:val="0"/>
                <w:sz w:val="24"/>
                <w:highlight w:val="none"/>
                <w:lang w:val="en-US" w:eastAsia="zh-CN"/>
              </w:rPr>
              <w:t>工程钻井用水</w:t>
            </w:r>
            <w:r>
              <w:rPr>
                <w:rFonts w:hint="eastAsia" w:ascii="Times New Roman" w:cs="Times New Roman"/>
                <w:bCs/>
                <w:color w:val="auto"/>
                <w:spacing w:val="0"/>
                <w:sz w:val="24"/>
                <w:highlight w:val="none"/>
                <w:lang w:val="en-US" w:eastAsia="zh-CN"/>
              </w:rPr>
              <w:t>自备水井，</w:t>
            </w:r>
            <w:r>
              <w:rPr>
                <w:rFonts w:hint="default" w:ascii="Times New Roman" w:hAnsi="Times New Roman" w:eastAsia="宋体" w:cs="Times New Roman"/>
                <w:bCs/>
                <w:color w:val="auto"/>
                <w:spacing w:val="0"/>
                <w:sz w:val="24"/>
                <w:highlight w:val="none"/>
                <w:lang w:val="en-US" w:eastAsia="zh-CN"/>
              </w:rPr>
              <w:t>生活用水由罐车拉至井场及生活区</w:t>
            </w:r>
            <w:r>
              <w:rPr>
                <w:rFonts w:hint="eastAsia" w:ascii="Times New Roman" w:cs="Times New Roman"/>
                <w:bCs/>
                <w:color w:val="auto"/>
                <w:spacing w:val="0"/>
                <w:sz w:val="24"/>
                <w:highlight w:val="none"/>
                <w:lang w:val="en-US" w:eastAsia="zh-CN"/>
              </w:rPr>
              <w:t>；</w:t>
            </w:r>
            <w:r>
              <w:rPr>
                <w:rFonts w:hint="default" w:ascii="Times New Roman" w:hAnsi="Times New Roman" w:eastAsia="宋体" w:cs="Times New Roman"/>
                <w:bCs/>
                <w:color w:val="auto"/>
                <w:spacing w:val="0"/>
                <w:sz w:val="24"/>
                <w:highlight w:val="none"/>
                <w:lang w:val="en-US" w:eastAsia="zh-CN"/>
              </w:rPr>
              <w:t>钻井用水量</w:t>
            </w:r>
            <w:r>
              <w:rPr>
                <w:rFonts w:hint="eastAsia" w:ascii="Times New Roman" w:cs="Times New Roman"/>
                <w:bCs/>
                <w:color w:val="auto"/>
                <w:spacing w:val="0"/>
                <w:sz w:val="24"/>
                <w:highlight w:val="none"/>
                <w:lang w:val="en-US" w:eastAsia="zh-CN"/>
              </w:rPr>
              <w:t>5025</w:t>
            </w:r>
            <w:r>
              <w:rPr>
                <w:rFonts w:hint="default" w:ascii="Times New Roman" w:hAnsi="Times New Roman" w:eastAsia="宋体" w:cs="Times New Roman"/>
                <w:bCs/>
                <w:color w:val="auto"/>
                <w:spacing w:val="0"/>
                <w:sz w:val="24"/>
                <w:highlight w:val="none"/>
                <w:lang w:val="en-US" w:eastAsia="zh-CN"/>
              </w:rPr>
              <w:t>m</w:t>
            </w:r>
            <w:r>
              <w:rPr>
                <w:rFonts w:hint="default" w:ascii="Times New Roman" w:hAnsi="Times New Roman" w:eastAsia="宋体" w:cs="Times New Roman"/>
                <w:bCs/>
                <w:color w:val="auto"/>
                <w:spacing w:val="0"/>
                <w:sz w:val="24"/>
                <w:highlight w:val="none"/>
                <w:vertAlign w:val="superscript"/>
                <w:lang w:val="en-US" w:eastAsia="zh-CN"/>
              </w:rPr>
              <w:t>3</w:t>
            </w:r>
            <w:r>
              <w:rPr>
                <w:rFonts w:hint="default" w:ascii="Times New Roman" w:hAnsi="Times New Roman" w:eastAsia="宋体" w:cs="Times New Roman"/>
                <w:bCs/>
                <w:color w:val="auto"/>
                <w:spacing w:val="0"/>
                <w:sz w:val="24"/>
                <w:highlight w:val="none"/>
                <w:vertAlign w:val="baseline"/>
                <w:lang w:val="en-US" w:eastAsia="zh-CN"/>
              </w:rPr>
              <w:t>（其中新鲜水用量</w:t>
            </w:r>
            <w:r>
              <w:rPr>
                <w:rFonts w:hint="eastAsia" w:ascii="Times New Roman" w:cs="Times New Roman"/>
                <w:bCs/>
                <w:color w:val="auto"/>
                <w:spacing w:val="0"/>
                <w:sz w:val="24"/>
                <w:highlight w:val="none"/>
                <w:vertAlign w:val="baseline"/>
                <w:lang w:val="en-US" w:eastAsia="zh-CN"/>
              </w:rPr>
              <w:t>251</w:t>
            </w:r>
            <w:r>
              <w:rPr>
                <w:rFonts w:hint="default" w:ascii="Times New Roman" w:hAnsi="Times New Roman" w:eastAsia="宋体" w:cs="Times New Roman"/>
                <w:bCs/>
                <w:color w:val="auto"/>
                <w:spacing w:val="0"/>
                <w:sz w:val="24"/>
                <w:highlight w:val="none"/>
                <w:lang w:val="en-US" w:eastAsia="zh-CN"/>
              </w:rPr>
              <w:t>m</w:t>
            </w:r>
            <w:r>
              <w:rPr>
                <w:rFonts w:hint="default" w:ascii="Times New Roman" w:hAnsi="Times New Roman" w:eastAsia="宋体" w:cs="Times New Roman"/>
                <w:bCs/>
                <w:color w:val="auto"/>
                <w:spacing w:val="0"/>
                <w:sz w:val="24"/>
                <w:highlight w:val="none"/>
                <w:vertAlign w:val="superscript"/>
                <w:lang w:val="en-US" w:eastAsia="zh-CN"/>
              </w:rPr>
              <w:t>3</w:t>
            </w:r>
            <w:r>
              <w:rPr>
                <w:rFonts w:hint="default" w:ascii="Times New Roman" w:hAnsi="Times New Roman" w:eastAsia="宋体" w:cs="Times New Roman"/>
                <w:bCs/>
                <w:color w:val="auto"/>
                <w:spacing w:val="0"/>
                <w:sz w:val="24"/>
                <w:highlight w:val="none"/>
                <w:vertAlign w:val="baseline"/>
                <w:lang w:val="en-US" w:eastAsia="zh-CN"/>
              </w:rPr>
              <w:t>，循环水量</w:t>
            </w:r>
            <w:r>
              <w:rPr>
                <w:rFonts w:hint="eastAsia" w:ascii="Times New Roman" w:cs="Times New Roman"/>
                <w:bCs/>
                <w:color w:val="auto"/>
                <w:spacing w:val="0"/>
                <w:sz w:val="24"/>
                <w:highlight w:val="none"/>
                <w:vertAlign w:val="baseline"/>
                <w:lang w:val="en-US" w:eastAsia="zh-CN"/>
              </w:rPr>
              <w:t>4774</w:t>
            </w:r>
            <w:r>
              <w:rPr>
                <w:rFonts w:hint="default" w:ascii="Times New Roman" w:hAnsi="Times New Roman" w:eastAsia="宋体" w:cs="Times New Roman"/>
                <w:bCs/>
                <w:color w:val="auto"/>
                <w:spacing w:val="0"/>
                <w:sz w:val="24"/>
                <w:highlight w:val="none"/>
                <w:lang w:val="en-US" w:eastAsia="zh-CN"/>
              </w:rPr>
              <w:t>m</w:t>
            </w:r>
            <w:r>
              <w:rPr>
                <w:rFonts w:hint="default" w:ascii="Times New Roman" w:hAnsi="Times New Roman" w:eastAsia="宋体" w:cs="Times New Roman"/>
                <w:bCs/>
                <w:color w:val="auto"/>
                <w:spacing w:val="0"/>
                <w:sz w:val="24"/>
                <w:highlight w:val="none"/>
                <w:vertAlign w:val="superscript"/>
                <w:lang w:val="en-US" w:eastAsia="zh-CN"/>
              </w:rPr>
              <w:t>3</w:t>
            </w:r>
            <w:r>
              <w:rPr>
                <w:rFonts w:hint="default" w:ascii="Times New Roman" w:hAnsi="Times New Roman" w:eastAsia="宋体" w:cs="Times New Roman"/>
                <w:bCs/>
                <w:color w:val="auto"/>
                <w:spacing w:val="0"/>
                <w:sz w:val="24"/>
                <w:highlight w:val="none"/>
                <w:vertAlign w:val="baseline"/>
                <w:lang w:val="en-US" w:eastAsia="zh-CN"/>
              </w:rPr>
              <w:t>）</w:t>
            </w:r>
            <w:r>
              <w:rPr>
                <w:rFonts w:hint="default" w:ascii="Times New Roman" w:hAnsi="Times New Roman" w:eastAsia="宋体" w:cs="Times New Roman"/>
                <w:bCs/>
                <w:color w:val="auto"/>
                <w:spacing w:val="0"/>
                <w:sz w:val="24"/>
                <w:highlight w:val="none"/>
                <w:lang w:val="en-US" w:eastAsia="zh-CN"/>
              </w:rPr>
              <w:t>，主要用于配制泥浆等；酸化压裂用水</w:t>
            </w:r>
            <w:r>
              <w:rPr>
                <w:rFonts w:hint="eastAsia" w:ascii="Times New Roman" w:cs="Times New Roman"/>
                <w:bCs/>
                <w:color w:val="auto"/>
                <w:spacing w:val="0"/>
                <w:sz w:val="24"/>
                <w:highlight w:val="none"/>
                <w:lang w:val="en-US" w:eastAsia="zh-CN"/>
              </w:rPr>
              <w:t>12</w:t>
            </w:r>
            <w:r>
              <w:rPr>
                <w:rFonts w:hint="default" w:ascii="Times New Roman" w:hAnsi="Times New Roman" w:eastAsia="宋体" w:cs="Times New Roman"/>
                <w:bCs/>
                <w:color w:val="auto"/>
                <w:spacing w:val="0"/>
                <w:sz w:val="24"/>
                <w:highlight w:val="none"/>
                <w:lang w:val="en-US" w:eastAsia="zh-CN"/>
              </w:rPr>
              <w:t>00m</w:t>
            </w:r>
            <w:r>
              <w:rPr>
                <w:rFonts w:hint="default" w:ascii="Times New Roman" w:hAnsi="Times New Roman" w:eastAsia="宋体" w:cs="Times New Roman"/>
                <w:bCs/>
                <w:color w:val="auto"/>
                <w:spacing w:val="0"/>
                <w:sz w:val="24"/>
                <w:highlight w:val="none"/>
                <w:vertAlign w:val="superscript"/>
                <w:lang w:val="en-US" w:eastAsia="zh-CN"/>
              </w:rPr>
              <w:t>3</w:t>
            </w:r>
            <w:r>
              <w:rPr>
                <w:rFonts w:hint="default" w:ascii="Times New Roman" w:hAnsi="Times New Roman" w:eastAsia="宋体" w:cs="Times New Roman"/>
                <w:bCs/>
                <w:color w:val="auto"/>
                <w:spacing w:val="0"/>
                <w:sz w:val="24"/>
                <w:highlight w:val="none"/>
                <w:lang w:val="en-US" w:eastAsia="zh-CN"/>
              </w:rPr>
              <w:t>；工程井队人数约60人，施工总天数</w:t>
            </w:r>
            <w:r>
              <w:rPr>
                <w:rFonts w:hint="eastAsia" w:ascii="Times New Roman" w:cs="Times New Roman"/>
                <w:bCs/>
                <w:color w:val="auto"/>
                <w:spacing w:val="0"/>
                <w:sz w:val="24"/>
                <w:highlight w:val="none"/>
                <w:lang w:val="en-US" w:eastAsia="zh-CN"/>
              </w:rPr>
              <w:t>190</w:t>
            </w:r>
            <w:r>
              <w:rPr>
                <w:rFonts w:hint="default" w:ascii="Times New Roman" w:hAnsi="Times New Roman" w:eastAsia="宋体" w:cs="Times New Roman"/>
                <w:bCs/>
                <w:color w:val="auto"/>
                <w:spacing w:val="0"/>
                <w:sz w:val="24"/>
                <w:highlight w:val="none"/>
                <w:lang w:val="en-US" w:eastAsia="zh-CN"/>
              </w:rPr>
              <w:t>天，按生活用水量100L/d·人计，生活用水量约</w:t>
            </w:r>
            <w:r>
              <w:rPr>
                <w:rFonts w:hint="eastAsia" w:ascii="Times New Roman" w:cs="Times New Roman"/>
                <w:bCs/>
                <w:color w:val="auto"/>
                <w:spacing w:val="0"/>
                <w:sz w:val="24"/>
                <w:highlight w:val="none"/>
                <w:lang w:val="en-US" w:eastAsia="zh-CN"/>
              </w:rPr>
              <w:t>1140</w:t>
            </w:r>
            <w:r>
              <w:rPr>
                <w:rFonts w:hint="default" w:ascii="Times New Roman" w:hAnsi="Times New Roman" w:eastAsia="宋体" w:cs="Times New Roman"/>
                <w:bCs/>
                <w:color w:val="auto"/>
                <w:spacing w:val="0"/>
                <w:sz w:val="24"/>
                <w:highlight w:val="none"/>
                <w:lang w:val="en-US" w:eastAsia="zh-CN"/>
              </w:rPr>
              <w:t>m</w:t>
            </w:r>
            <w:r>
              <w:rPr>
                <w:rFonts w:hint="default" w:ascii="Times New Roman" w:hAnsi="Times New Roman" w:eastAsia="宋体" w:cs="Times New Roman"/>
                <w:bCs/>
                <w:color w:val="auto"/>
                <w:spacing w:val="0"/>
                <w:sz w:val="24"/>
                <w:highlight w:val="none"/>
                <w:vertAlign w:val="superscript"/>
                <w:lang w:val="en-US" w:eastAsia="zh-CN"/>
              </w:rPr>
              <w:t>3</w:t>
            </w:r>
            <w:r>
              <w:rPr>
                <w:rFonts w:hint="eastAsia" w:ascii="Times New Roman" w:cs="Times New Roman"/>
                <w:bCs/>
                <w:color w:val="auto"/>
                <w:spacing w:val="0"/>
                <w:sz w:val="24"/>
                <w:highlight w:val="none"/>
                <w:lang w:val="en-US" w:eastAsia="zh-CN"/>
              </w:rPr>
              <w:t>（</w:t>
            </w:r>
            <w:r>
              <w:rPr>
                <w:rFonts w:hint="default" w:ascii="Times New Roman" w:hAnsi="Times New Roman" w:eastAsia="宋体" w:cs="Times New Roman"/>
                <w:bCs/>
                <w:color w:val="auto"/>
                <w:spacing w:val="0"/>
                <w:sz w:val="24"/>
                <w:highlight w:val="none"/>
                <w:lang w:val="en-US" w:eastAsia="zh-CN"/>
              </w:rPr>
              <w:t>6m</w:t>
            </w:r>
            <w:r>
              <w:rPr>
                <w:rFonts w:hint="default" w:ascii="Times New Roman" w:hAnsi="Times New Roman" w:eastAsia="宋体" w:cs="Times New Roman"/>
                <w:bCs/>
                <w:color w:val="auto"/>
                <w:spacing w:val="0"/>
                <w:sz w:val="24"/>
                <w:highlight w:val="none"/>
                <w:vertAlign w:val="superscript"/>
                <w:lang w:val="en-US" w:eastAsia="zh-CN"/>
              </w:rPr>
              <w:t>3</w:t>
            </w:r>
            <w:r>
              <w:rPr>
                <w:rFonts w:hint="default" w:ascii="Times New Roman" w:hAnsi="Times New Roman" w:eastAsia="宋体" w:cs="Times New Roman"/>
                <w:bCs/>
                <w:color w:val="auto"/>
                <w:spacing w:val="0"/>
                <w:sz w:val="24"/>
                <w:highlight w:val="none"/>
                <w:lang w:val="en-US" w:eastAsia="zh-CN"/>
              </w:rPr>
              <w:t>/d</w:t>
            </w:r>
            <w:r>
              <w:rPr>
                <w:rFonts w:hint="eastAsia" w:ascii="Times New Roman" w:cs="Times New Roman"/>
                <w:bCs/>
                <w:color w:val="auto"/>
                <w:spacing w:val="0"/>
                <w:sz w:val="24"/>
                <w:highlight w:val="none"/>
                <w:lang w:val="en-US" w:eastAsia="zh-CN"/>
              </w:rPr>
              <w:t>）</w:t>
            </w:r>
            <w:r>
              <w:rPr>
                <w:rFonts w:hint="default" w:ascii="Times New Roman" w:hAnsi="Times New Roman" w:eastAsia="宋体" w:cs="Times New Roman"/>
                <w:bCs/>
                <w:color w:val="auto"/>
                <w:spacing w:val="0"/>
                <w:sz w:val="24"/>
                <w:highlight w:val="none"/>
                <w:lang w:val="en-US" w:eastAsia="zh-CN"/>
              </w:rPr>
              <w:t>；锅炉补水主要为蒸汽损耗，根据《热力输送系统节能监测》（GB/T15910-2009）规定了蒸汽系统的节能监测项目，蒸汽损耗量按</w:t>
            </w:r>
            <w:r>
              <w:rPr>
                <w:rFonts w:hint="eastAsia" w:ascii="Times New Roman" w:cs="Times New Roman"/>
                <w:bCs/>
                <w:color w:val="auto"/>
                <w:spacing w:val="0"/>
                <w:sz w:val="24"/>
                <w:highlight w:val="none"/>
                <w:lang w:val="en-US" w:eastAsia="zh-CN"/>
              </w:rPr>
              <w:t>循环水量的</w:t>
            </w:r>
            <w:r>
              <w:rPr>
                <w:rFonts w:hint="default" w:ascii="Times New Roman" w:hAnsi="Times New Roman" w:eastAsia="宋体" w:cs="Times New Roman"/>
                <w:bCs/>
                <w:color w:val="auto"/>
                <w:spacing w:val="0"/>
                <w:sz w:val="24"/>
                <w:highlight w:val="none"/>
                <w:lang w:val="en-US" w:eastAsia="zh-CN"/>
              </w:rPr>
              <w:t>5%计，则锅炉补水量为</w:t>
            </w:r>
            <w:r>
              <w:rPr>
                <w:rFonts w:hint="eastAsia" w:ascii="Times New Roman" w:cs="Times New Roman"/>
                <w:bCs/>
                <w:color w:val="auto"/>
                <w:spacing w:val="0"/>
                <w:sz w:val="24"/>
                <w:highlight w:val="none"/>
                <w:lang w:val="en-US" w:eastAsia="zh-CN"/>
              </w:rPr>
              <w:t>240</w:t>
            </w:r>
            <w:r>
              <w:rPr>
                <w:rFonts w:hint="default" w:ascii="Times New Roman" w:hAnsi="Times New Roman" w:eastAsia="宋体" w:cs="Times New Roman"/>
                <w:bCs/>
                <w:color w:val="auto"/>
                <w:spacing w:val="0"/>
                <w:sz w:val="24"/>
                <w:highlight w:val="none"/>
                <w:lang w:val="en-US" w:eastAsia="zh-CN"/>
              </w:rPr>
              <w:t>m</w:t>
            </w:r>
            <w:r>
              <w:rPr>
                <w:rFonts w:hint="default" w:ascii="Times New Roman" w:hAnsi="Times New Roman" w:eastAsia="宋体" w:cs="Times New Roman"/>
                <w:bCs/>
                <w:color w:val="auto"/>
                <w:spacing w:val="0"/>
                <w:sz w:val="24"/>
                <w:highlight w:val="none"/>
                <w:vertAlign w:val="superscript"/>
                <w:lang w:val="en-US" w:eastAsia="zh-CN"/>
              </w:rPr>
              <w:t>3</w:t>
            </w:r>
            <w:r>
              <w:rPr>
                <w:rFonts w:hint="eastAsia" w:ascii="Times New Roman" w:cs="Times New Roman"/>
                <w:bCs/>
                <w:color w:val="auto"/>
                <w:spacing w:val="0"/>
                <w:sz w:val="24"/>
                <w:highlight w:val="none"/>
                <w:vertAlign w:val="baseline"/>
                <w:lang w:val="en-US" w:eastAsia="zh-CN"/>
              </w:rPr>
              <w:t>/钻井期</w:t>
            </w:r>
            <w:r>
              <w:rPr>
                <w:rFonts w:hint="default" w:ascii="Times New Roman" w:hAnsi="Times New Roman" w:eastAsia="宋体" w:cs="Times New Roman"/>
                <w:bCs/>
                <w:color w:val="auto"/>
                <w:spacing w:val="0"/>
                <w:sz w:val="24"/>
                <w:highlight w:val="none"/>
                <w:lang w:val="en-US" w:eastAsia="zh-CN"/>
              </w:rPr>
              <w:t>。工程总用水量</w:t>
            </w:r>
            <w:r>
              <w:rPr>
                <w:rFonts w:hint="eastAsia" w:ascii="Times New Roman" w:cs="Times New Roman"/>
                <w:bCs/>
                <w:color w:val="auto"/>
                <w:spacing w:val="0"/>
                <w:sz w:val="24"/>
                <w:highlight w:val="none"/>
                <w:lang w:val="en-US" w:eastAsia="zh-CN"/>
              </w:rPr>
              <w:t>12405</w:t>
            </w:r>
            <w:r>
              <w:rPr>
                <w:rFonts w:hint="default" w:ascii="Times New Roman" w:hAnsi="Times New Roman" w:eastAsia="宋体" w:cs="Times New Roman"/>
                <w:bCs/>
                <w:color w:val="auto"/>
                <w:spacing w:val="0"/>
                <w:sz w:val="24"/>
                <w:highlight w:val="none"/>
                <w:lang w:val="en-US" w:eastAsia="zh-CN"/>
              </w:rPr>
              <w:t>m</w:t>
            </w:r>
            <w:r>
              <w:rPr>
                <w:rFonts w:hint="default" w:ascii="Times New Roman" w:hAnsi="Times New Roman" w:eastAsia="宋体" w:cs="Times New Roman"/>
                <w:bCs/>
                <w:color w:val="auto"/>
                <w:spacing w:val="0"/>
                <w:sz w:val="24"/>
                <w:highlight w:val="none"/>
                <w:vertAlign w:val="superscript"/>
                <w:lang w:val="en-US" w:eastAsia="zh-CN"/>
              </w:rPr>
              <w:t>3</w:t>
            </w:r>
            <w:r>
              <w:rPr>
                <w:rFonts w:hint="default" w:ascii="Times New Roman" w:hAnsi="Times New Roman" w:eastAsia="宋体" w:cs="Times New Roman"/>
                <w:bCs/>
                <w:color w:val="auto"/>
                <w:spacing w:val="0"/>
                <w:sz w:val="24"/>
                <w:highlight w:val="none"/>
                <w:lang w:val="en-US" w:eastAsia="zh-CN"/>
              </w:rPr>
              <w:t>。</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bCs/>
                <w:color w:val="0000FF"/>
                <w:spacing w:val="0"/>
                <w:kern w:val="2"/>
                <w:sz w:val="24"/>
                <w:szCs w:val="24"/>
              </w:rPr>
            </w:pPr>
            <w:r>
              <w:rPr>
                <w:rFonts w:hint="default" w:ascii="Times New Roman" w:hAnsi="Times New Roman" w:eastAsia="宋体" w:cs="Times New Roman"/>
                <w:bCs/>
                <w:color w:val="auto"/>
                <w:spacing w:val="0"/>
                <w:kern w:val="2"/>
                <w:sz w:val="24"/>
                <w:szCs w:val="24"/>
                <w:lang w:val="en-US" w:eastAsia="zh-CN" w:bidi="ar"/>
              </w:rPr>
              <w:t>②排水：工程废水主要为钻井废水、酸化压裂返排液、锅炉系统排污水和生活污水。</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0000FF"/>
                <w:spacing w:val="0"/>
                <w:kern w:val="2"/>
                <w:sz w:val="24"/>
                <w:szCs w:val="24"/>
              </w:rPr>
            </w:pPr>
            <w:r>
              <w:rPr>
                <w:rFonts w:hint="default" w:ascii="Times New Roman" w:hAnsi="Times New Roman" w:eastAsia="宋体" w:cs="Times New Roman"/>
                <w:bCs/>
                <w:color w:val="auto"/>
                <w:spacing w:val="0"/>
                <w:kern w:val="2"/>
                <w:sz w:val="24"/>
                <w:szCs w:val="24"/>
                <w:lang w:val="en-US" w:eastAsia="zh-CN" w:bidi="ar"/>
              </w:rPr>
              <w:t>参照《排放源统计调查产排污核算方法和系数手册》中石油和天然气开采专业及辅助性活动行业系数手册钻井作业废水（≥4km）产污系数52.64t/100m，项目钻井深度为</w:t>
            </w:r>
            <w:r>
              <w:rPr>
                <w:rFonts w:hint="eastAsia" w:ascii="Times New Roman" w:cs="Times New Roman"/>
                <w:bCs/>
                <w:color w:val="auto"/>
                <w:spacing w:val="0"/>
                <w:kern w:val="2"/>
                <w:sz w:val="24"/>
                <w:szCs w:val="24"/>
                <w:lang w:val="en-US" w:eastAsia="zh-CN" w:bidi="ar"/>
              </w:rPr>
              <w:t>9070</w:t>
            </w:r>
            <w:r>
              <w:rPr>
                <w:rFonts w:hint="default" w:ascii="Times New Roman" w:hAnsi="Times New Roman" w:eastAsia="宋体" w:cs="Times New Roman"/>
                <w:bCs/>
                <w:color w:val="auto"/>
                <w:spacing w:val="0"/>
                <w:kern w:val="2"/>
                <w:sz w:val="24"/>
                <w:szCs w:val="24"/>
                <w:lang w:val="en-US" w:eastAsia="zh-CN" w:bidi="ar"/>
              </w:rPr>
              <w:t>m，则钻井废水产生量为</w:t>
            </w:r>
            <w:r>
              <w:rPr>
                <w:rFonts w:hint="eastAsia" w:ascii="Times New Roman" w:cs="Times New Roman"/>
                <w:bCs/>
                <w:color w:val="auto"/>
                <w:spacing w:val="0"/>
                <w:kern w:val="2"/>
                <w:sz w:val="24"/>
                <w:szCs w:val="24"/>
                <w:lang w:val="en-US" w:eastAsia="zh-CN" w:bidi="ar"/>
              </w:rPr>
              <w:t>4774</w:t>
            </w:r>
            <w:r>
              <w:rPr>
                <w:rFonts w:hint="default" w:ascii="Times New Roman" w:hAnsi="Times New Roman" w:eastAsia="宋体" w:cs="Times New Roman"/>
                <w:bCs/>
                <w:color w:val="auto"/>
                <w:spacing w:val="0"/>
                <w:kern w:val="2"/>
                <w:sz w:val="24"/>
                <w:szCs w:val="24"/>
                <w:lang w:val="en-US" w:eastAsia="zh-CN" w:bidi="ar"/>
              </w:rPr>
              <w:t>t，</w:t>
            </w:r>
            <w:r>
              <w:rPr>
                <w:rFonts w:hint="default" w:ascii="Times New Roman" w:hAnsi="Times New Roman" w:eastAsia="宋体" w:cs="Times New Roman"/>
                <w:color w:val="auto"/>
                <w:spacing w:val="0"/>
                <w:kern w:val="2"/>
                <w:sz w:val="24"/>
                <w:szCs w:val="24"/>
                <w:lang w:val="en-US" w:eastAsia="zh-CN" w:bidi="ar"/>
              </w:rPr>
              <w:t>钻井废水与钻井泥浆、岩屑一同进入不落地系统处理，处理后的液相全部回用于钻井液配制，不外排。压裂作业产生的酸化压裂返排液，产生量约</w:t>
            </w:r>
            <w:r>
              <w:rPr>
                <w:rFonts w:hint="eastAsia" w:ascii="Times New Roman" w:cs="Times New Roman"/>
                <w:color w:val="auto"/>
                <w:spacing w:val="0"/>
                <w:kern w:val="2"/>
                <w:sz w:val="24"/>
                <w:szCs w:val="24"/>
                <w:lang w:val="en-US" w:eastAsia="zh-CN" w:bidi="ar"/>
              </w:rPr>
              <w:t>1</w:t>
            </w:r>
            <w:r>
              <w:rPr>
                <w:rFonts w:hint="default" w:ascii="Times New Roman" w:hAnsi="Times New Roman" w:eastAsia="宋体" w:cs="Times New Roman"/>
                <w:color w:val="auto"/>
                <w:spacing w:val="0"/>
                <w:kern w:val="2"/>
                <w:sz w:val="24"/>
                <w:szCs w:val="24"/>
                <w:lang w:val="en-US" w:eastAsia="zh-CN" w:bidi="ar"/>
              </w:rPr>
              <w:t>000m</w:t>
            </w:r>
            <w:r>
              <w:rPr>
                <w:rFonts w:hint="default" w:ascii="Times New Roman" w:hAnsi="Times New Roman" w:eastAsia="宋体" w:cs="Times New Roman"/>
                <w:color w:val="auto"/>
                <w:spacing w:val="0"/>
                <w:kern w:val="2"/>
                <w:sz w:val="24"/>
                <w:szCs w:val="24"/>
                <w:vertAlign w:val="superscript"/>
                <w:lang w:val="en-US" w:eastAsia="zh-CN" w:bidi="ar"/>
              </w:rPr>
              <w:t>3</w:t>
            </w:r>
            <w:r>
              <w:rPr>
                <w:rFonts w:hint="default" w:ascii="Times New Roman" w:hAnsi="Times New Roman" w:eastAsia="宋体" w:cs="Times New Roman"/>
                <w:color w:val="auto"/>
                <w:spacing w:val="0"/>
                <w:kern w:val="2"/>
                <w:sz w:val="24"/>
                <w:szCs w:val="24"/>
                <w:lang w:val="en-US" w:eastAsia="zh-CN" w:bidi="ar"/>
              </w:rPr>
              <w:t>，</w:t>
            </w:r>
            <w:r>
              <w:rPr>
                <w:rFonts w:hint="eastAsia" w:ascii="Times New Roman" w:cs="Times New Roman"/>
                <w:color w:val="auto"/>
                <w:spacing w:val="0"/>
                <w:kern w:val="2"/>
                <w:sz w:val="24"/>
                <w:szCs w:val="24"/>
                <w:lang w:val="en-US" w:eastAsia="zh-CN" w:bidi="ar"/>
              </w:rPr>
              <w:t>在井场加碱中和后，</w:t>
            </w:r>
            <w:r>
              <w:rPr>
                <w:rFonts w:hint="default" w:ascii="Times New Roman" w:hAnsi="Times New Roman" w:eastAsia="宋体" w:cs="Times New Roman"/>
                <w:color w:val="auto"/>
                <w:spacing w:val="0"/>
                <w:kern w:val="2"/>
                <w:sz w:val="24"/>
                <w:szCs w:val="24"/>
                <w:lang w:val="en-US" w:eastAsia="zh-CN" w:bidi="ar"/>
              </w:rPr>
              <w:t>采用专用废液收集罐，定期运至塔里木油田富源7环保处理站。生活污水主要为盥洗废水，产生量约</w:t>
            </w:r>
            <w:r>
              <w:rPr>
                <w:rFonts w:hint="eastAsia" w:ascii="Times New Roman" w:cs="Times New Roman"/>
                <w:color w:val="auto"/>
                <w:spacing w:val="0"/>
                <w:kern w:val="2"/>
                <w:sz w:val="24"/>
                <w:szCs w:val="24"/>
                <w:lang w:val="en-US" w:eastAsia="zh-CN" w:bidi="ar"/>
              </w:rPr>
              <w:t>912</w:t>
            </w:r>
            <w:r>
              <w:rPr>
                <w:rFonts w:hint="default" w:ascii="Times New Roman" w:hAnsi="Times New Roman" w:eastAsia="宋体" w:cs="Times New Roman"/>
                <w:color w:val="auto"/>
                <w:spacing w:val="0"/>
                <w:kern w:val="2"/>
                <w:sz w:val="24"/>
                <w:szCs w:val="24"/>
                <w:lang w:val="en-US" w:eastAsia="zh-CN" w:bidi="ar"/>
              </w:rPr>
              <w:t>m</w:t>
            </w:r>
            <w:r>
              <w:rPr>
                <w:rFonts w:hint="default" w:ascii="Times New Roman" w:hAnsi="Times New Roman" w:eastAsia="宋体" w:cs="Times New Roman"/>
                <w:color w:val="auto"/>
                <w:spacing w:val="0"/>
                <w:kern w:val="2"/>
                <w:sz w:val="24"/>
                <w:szCs w:val="24"/>
                <w:vertAlign w:val="superscript"/>
                <w:lang w:val="en-US" w:eastAsia="zh-CN" w:bidi="ar"/>
              </w:rPr>
              <w:t>3</w:t>
            </w:r>
            <w:r>
              <w:rPr>
                <w:rFonts w:hint="default" w:ascii="Times New Roman" w:hAnsi="Times New Roman" w:eastAsia="宋体" w:cs="Times New Roman"/>
                <w:color w:val="auto"/>
                <w:spacing w:val="0"/>
                <w:kern w:val="2"/>
                <w:sz w:val="24"/>
                <w:szCs w:val="24"/>
                <w:lang w:val="en-US" w:eastAsia="zh-CN" w:bidi="ar"/>
              </w:rPr>
              <w:t>（4.8m</w:t>
            </w:r>
            <w:r>
              <w:rPr>
                <w:rFonts w:hint="default" w:ascii="Times New Roman" w:hAnsi="Times New Roman" w:eastAsia="宋体" w:cs="Times New Roman"/>
                <w:color w:val="auto"/>
                <w:spacing w:val="0"/>
                <w:kern w:val="2"/>
                <w:sz w:val="24"/>
                <w:szCs w:val="24"/>
                <w:vertAlign w:val="superscript"/>
                <w:lang w:val="en-US" w:eastAsia="zh-CN" w:bidi="ar"/>
              </w:rPr>
              <w:t>3</w:t>
            </w:r>
            <w:r>
              <w:rPr>
                <w:rFonts w:hint="default" w:ascii="Times New Roman" w:hAnsi="Times New Roman" w:eastAsia="宋体" w:cs="Times New Roman"/>
                <w:color w:val="auto"/>
                <w:spacing w:val="0"/>
                <w:kern w:val="2"/>
                <w:sz w:val="24"/>
                <w:szCs w:val="24"/>
                <w:lang w:val="en-US" w:eastAsia="zh-CN" w:bidi="ar"/>
              </w:rPr>
              <w:t>/d），经井场撬装式污水处理装置处理后，水质达到《农村生活污水处理排放标准》（DB654275-2019）表2的B级标准，用于荒漠生态恢复；生物质锅炉系统排污水水量为0.3m</w:t>
            </w:r>
            <w:r>
              <w:rPr>
                <w:rFonts w:hint="default" w:ascii="Times New Roman" w:hAnsi="Times New Roman" w:eastAsia="宋体" w:cs="Times New Roman"/>
                <w:color w:val="auto"/>
                <w:spacing w:val="0"/>
                <w:kern w:val="2"/>
                <w:sz w:val="24"/>
                <w:szCs w:val="24"/>
                <w:vertAlign w:val="superscript"/>
                <w:lang w:val="en-US" w:eastAsia="zh-CN" w:bidi="ar"/>
              </w:rPr>
              <w:t>3</w:t>
            </w:r>
            <w:r>
              <w:rPr>
                <w:rFonts w:hint="default" w:ascii="Times New Roman" w:hAnsi="Times New Roman" w:eastAsia="宋体" w:cs="Times New Roman"/>
                <w:color w:val="auto"/>
                <w:spacing w:val="0"/>
                <w:kern w:val="2"/>
                <w:sz w:val="24"/>
                <w:szCs w:val="24"/>
                <w:lang w:val="en-US" w:eastAsia="zh-CN" w:bidi="ar"/>
              </w:rPr>
              <w:t>/d，钻井期产生量为</w:t>
            </w:r>
            <w:r>
              <w:rPr>
                <w:rFonts w:hint="eastAsia" w:ascii="Times New Roman" w:cs="Times New Roman"/>
                <w:color w:val="auto"/>
                <w:spacing w:val="0"/>
                <w:kern w:val="2"/>
                <w:sz w:val="24"/>
                <w:szCs w:val="24"/>
                <w:lang w:val="en-US" w:eastAsia="zh-CN" w:bidi="ar"/>
              </w:rPr>
              <w:t>51</w:t>
            </w:r>
            <w:r>
              <w:rPr>
                <w:rFonts w:hint="default" w:ascii="Times New Roman" w:hAnsi="Times New Roman" w:eastAsia="宋体" w:cs="Times New Roman"/>
                <w:color w:val="auto"/>
                <w:spacing w:val="0"/>
                <w:kern w:val="2"/>
                <w:sz w:val="24"/>
                <w:szCs w:val="24"/>
                <w:lang w:val="en-US" w:eastAsia="zh-CN" w:bidi="ar"/>
              </w:rPr>
              <w:t>m</w:t>
            </w:r>
            <w:r>
              <w:rPr>
                <w:rFonts w:hint="default" w:ascii="Times New Roman" w:hAnsi="Times New Roman" w:eastAsia="宋体" w:cs="Times New Roman"/>
                <w:color w:val="auto"/>
                <w:spacing w:val="0"/>
                <w:kern w:val="2"/>
                <w:sz w:val="24"/>
                <w:szCs w:val="24"/>
                <w:vertAlign w:val="superscript"/>
                <w:lang w:val="en-US" w:eastAsia="zh-CN" w:bidi="ar"/>
              </w:rPr>
              <w:t>3</w:t>
            </w:r>
            <w:r>
              <w:rPr>
                <w:rFonts w:hint="default" w:ascii="Times New Roman" w:hAnsi="Times New Roman" w:eastAsia="宋体" w:cs="Times New Roman"/>
                <w:color w:val="auto"/>
                <w:spacing w:val="0"/>
                <w:kern w:val="2"/>
                <w:sz w:val="24"/>
                <w:szCs w:val="24"/>
                <w:lang w:val="en-US" w:eastAsia="zh-CN" w:bidi="ar"/>
              </w:rPr>
              <w:t>，水质简单，污染物主要为SS、COD及含盐量，用于井区周边洒水抑尘。</w:t>
            </w:r>
          </w:p>
          <w:p>
            <w:pPr>
              <w:keepNext w:val="0"/>
              <w:keepLines w:val="0"/>
              <w:widowControl w:val="0"/>
              <w:suppressLineNumbers w:val="0"/>
              <w:spacing w:before="0" w:beforeAutospacing="0" w:after="0" w:afterAutospacing="0" w:line="440" w:lineRule="exact"/>
              <w:ind w:left="0" w:right="0" w:firstLine="482" w:firstLineChars="200"/>
              <w:jc w:val="both"/>
              <w:rPr>
                <w:rFonts w:hint="default" w:ascii="Times New Roman" w:hAnsi="Times New Roman" w:eastAsia="宋体" w:cs="Times New Roman"/>
                <w:b/>
                <w:bCs/>
                <w:color w:val="auto"/>
                <w:spacing w:val="0"/>
                <w:kern w:val="2"/>
                <w:sz w:val="24"/>
                <w:szCs w:val="24"/>
              </w:rPr>
            </w:pPr>
            <w:r>
              <w:rPr>
                <w:rFonts w:hint="default" w:ascii="Times New Roman" w:hAnsi="Times New Roman" w:eastAsia="宋体" w:cs="Times New Roman"/>
                <w:b/>
                <w:bCs/>
                <w:color w:val="auto"/>
                <w:spacing w:val="0"/>
                <w:kern w:val="2"/>
                <w:sz w:val="24"/>
                <w:szCs w:val="24"/>
                <w:lang w:val="en-US" w:eastAsia="zh-CN" w:bidi="ar"/>
              </w:rPr>
              <w:t>表2-8    项目用排水量一览表</w:t>
            </w:r>
          </w:p>
          <w:tbl>
            <w:tblPr>
              <w:tblStyle w:val="32"/>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1346"/>
              <w:gridCol w:w="1155"/>
              <w:gridCol w:w="1155"/>
              <w:gridCol w:w="1155"/>
              <w:gridCol w:w="1095"/>
              <w:gridCol w:w="1110"/>
              <w:gridCol w:w="132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1346" w:type="dxa"/>
                  <w:tcBorders>
                    <w:top w:val="single" w:color="auto" w:sz="8"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用水项目</w:t>
                  </w:r>
                </w:p>
              </w:tc>
              <w:tc>
                <w:tcPr>
                  <w:tcW w:w="1155" w:type="dxa"/>
                  <w:vMerge w:val="restart"/>
                  <w:tcBorders>
                    <w:top w:val="single" w:color="auto" w:sz="8" w:space="0"/>
                    <w:left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总用水量</w:t>
                  </w:r>
                  <w:r>
                    <w:rPr>
                      <w:rStyle w:val="99"/>
                      <w:rFonts w:hint="default" w:ascii="Times New Roman" w:hAnsi="Times New Roman" w:eastAsia="宋体" w:cs="Times New Roman"/>
                      <w:color w:val="auto"/>
                      <w:spacing w:val="0"/>
                      <w:kern w:val="2"/>
                      <w:sz w:val="21"/>
                      <w:szCs w:val="21"/>
                      <w:lang w:val="en-US" w:eastAsia="zh-CN" w:bidi="ar"/>
                    </w:rPr>
                    <w:t>m</w:t>
                  </w:r>
                  <w:r>
                    <w:rPr>
                      <w:rStyle w:val="97"/>
                      <w:rFonts w:hint="default" w:ascii="Times New Roman" w:hAnsi="Times New Roman" w:eastAsia="宋体" w:cs="Times New Roman"/>
                      <w:color w:val="auto"/>
                      <w:spacing w:val="0"/>
                      <w:kern w:val="2"/>
                      <w:sz w:val="21"/>
                      <w:szCs w:val="21"/>
                      <w:vertAlign w:val="superscript"/>
                      <w:lang w:val="en-US" w:eastAsia="zh-CN" w:bidi="ar"/>
                    </w:rPr>
                    <w:t>3</w:t>
                  </w:r>
                </w:p>
              </w:tc>
              <w:tc>
                <w:tcPr>
                  <w:tcW w:w="1155" w:type="dxa"/>
                  <w:vMerge w:val="restart"/>
                  <w:tcBorders>
                    <w:top w:val="single" w:color="auto" w:sz="8" w:space="0"/>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新鲜水</w:t>
                  </w:r>
                  <w:r>
                    <w:rPr>
                      <w:rStyle w:val="99"/>
                      <w:rFonts w:hint="default" w:ascii="Times New Roman" w:hAnsi="Times New Roman" w:eastAsia="宋体" w:cs="Times New Roman"/>
                      <w:color w:val="auto"/>
                      <w:spacing w:val="0"/>
                      <w:kern w:val="2"/>
                      <w:sz w:val="21"/>
                      <w:szCs w:val="21"/>
                      <w:lang w:val="en-US" w:eastAsia="zh-CN" w:bidi="ar"/>
                    </w:rPr>
                    <w:t>m</w:t>
                  </w:r>
                  <w:r>
                    <w:rPr>
                      <w:rStyle w:val="97"/>
                      <w:rFonts w:hint="default" w:ascii="Times New Roman" w:hAnsi="Times New Roman" w:eastAsia="宋体" w:cs="Times New Roman"/>
                      <w:color w:val="auto"/>
                      <w:spacing w:val="0"/>
                      <w:kern w:val="2"/>
                      <w:sz w:val="21"/>
                      <w:szCs w:val="21"/>
                      <w:vertAlign w:val="superscript"/>
                      <w:lang w:val="en-US" w:eastAsia="zh-CN" w:bidi="ar"/>
                    </w:rPr>
                    <w:t>3</w:t>
                  </w:r>
                </w:p>
              </w:tc>
              <w:tc>
                <w:tcPr>
                  <w:tcW w:w="3360" w:type="dxa"/>
                  <w:gridSpan w:val="3"/>
                  <w:tcBorders>
                    <w:top w:val="single" w:color="auto" w:sz="8" w:space="0"/>
                    <w:left w:val="single" w:color="auto" w:sz="4" w:space="0"/>
                    <w:bottom w:val="single" w:color="auto" w:sz="4" w:space="0"/>
                    <w:right w:val="single" w:color="auto" w:sz="8"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iCs w:val="0"/>
                      <w:color w:val="auto"/>
                      <w:spacing w:val="0"/>
                      <w:kern w:val="0"/>
                      <w:sz w:val="21"/>
                      <w:szCs w:val="21"/>
                      <w:lang w:val="en-US" w:eastAsia="zh-CN" w:bidi="ar"/>
                    </w:rPr>
                  </w:pPr>
                  <w:r>
                    <w:rPr>
                      <w:rFonts w:hint="default" w:ascii="Times New Roman" w:hAnsi="Times New Roman" w:eastAsia="宋体" w:cs="Times New Roman"/>
                      <w:i w:val="0"/>
                      <w:iCs w:val="0"/>
                      <w:color w:val="auto"/>
                      <w:spacing w:val="0"/>
                      <w:kern w:val="0"/>
                      <w:sz w:val="21"/>
                      <w:szCs w:val="21"/>
                      <w:lang w:val="en-US" w:eastAsia="zh-CN" w:bidi="ar"/>
                    </w:rPr>
                    <w:t>废水量</w:t>
                  </w:r>
                  <w:r>
                    <w:rPr>
                      <w:rStyle w:val="99"/>
                      <w:rFonts w:hint="default" w:ascii="Times New Roman" w:hAnsi="Times New Roman" w:eastAsia="宋体" w:cs="Times New Roman"/>
                      <w:color w:val="auto"/>
                      <w:spacing w:val="0"/>
                      <w:kern w:val="2"/>
                      <w:sz w:val="21"/>
                      <w:szCs w:val="21"/>
                      <w:lang w:val="en-US" w:eastAsia="zh-CN" w:bidi="ar"/>
                    </w:rPr>
                    <w:t>m</w:t>
                  </w:r>
                  <w:r>
                    <w:rPr>
                      <w:rStyle w:val="97"/>
                      <w:rFonts w:hint="default" w:ascii="Times New Roman" w:hAnsi="Times New Roman" w:eastAsia="宋体" w:cs="Times New Roman"/>
                      <w:color w:val="auto"/>
                      <w:spacing w:val="0"/>
                      <w:kern w:val="2"/>
                      <w:sz w:val="21"/>
                      <w:szCs w:val="21"/>
                      <w:vertAlign w:val="superscript"/>
                      <w:lang w:val="en-US" w:eastAsia="zh-CN" w:bidi="ar"/>
                    </w:rPr>
                    <w:t>3</w:t>
                  </w:r>
                </w:p>
              </w:tc>
              <w:tc>
                <w:tcPr>
                  <w:tcW w:w="1321" w:type="dxa"/>
                  <w:vMerge w:val="restart"/>
                  <w:tcBorders>
                    <w:top w:val="single" w:color="auto" w:sz="8" w:space="0"/>
                    <w:left w:val="single" w:color="auto" w:sz="4" w:space="0"/>
                    <w:right w:val="single" w:color="auto" w:sz="8"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处理量</w:t>
                  </w:r>
                  <w:r>
                    <w:rPr>
                      <w:rStyle w:val="99"/>
                      <w:rFonts w:hint="default" w:ascii="Times New Roman" w:hAnsi="Times New Roman" w:eastAsia="宋体" w:cs="Times New Roman"/>
                      <w:color w:val="auto"/>
                      <w:spacing w:val="0"/>
                      <w:kern w:val="2"/>
                      <w:sz w:val="21"/>
                      <w:szCs w:val="21"/>
                      <w:lang w:val="en-US" w:eastAsia="zh-CN" w:bidi="ar"/>
                    </w:rPr>
                    <w:t>m</w:t>
                  </w:r>
                  <w:r>
                    <w:rPr>
                      <w:rStyle w:val="97"/>
                      <w:rFonts w:hint="default" w:ascii="Times New Roman" w:hAnsi="Times New Roman" w:eastAsia="宋体" w:cs="Times New Roman"/>
                      <w:color w:val="auto"/>
                      <w:spacing w:val="0"/>
                      <w:kern w:val="2"/>
                      <w:sz w:val="21"/>
                      <w:szCs w:val="21"/>
                      <w:vertAlign w:val="superscript"/>
                      <w:lang w:val="en-US" w:eastAsia="zh-CN" w:bidi="ar"/>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34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名称</w:t>
                  </w:r>
                </w:p>
              </w:tc>
              <w:tc>
                <w:tcPr>
                  <w:tcW w:w="1155"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p>
              </w:tc>
              <w:tc>
                <w:tcPr>
                  <w:tcW w:w="1155"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损耗量</w:t>
                  </w:r>
                  <w:r>
                    <w:rPr>
                      <w:rStyle w:val="99"/>
                      <w:rFonts w:hint="default" w:ascii="Times New Roman" w:hAnsi="Times New Roman" w:eastAsia="宋体" w:cs="Times New Roman"/>
                      <w:color w:val="auto"/>
                      <w:spacing w:val="0"/>
                      <w:kern w:val="2"/>
                      <w:sz w:val="21"/>
                      <w:szCs w:val="21"/>
                      <w:lang w:val="en-US" w:eastAsia="zh-CN" w:bidi="ar"/>
                    </w:rPr>
                    <w:t>m</w:t>
                  </w:r>
                  <w:r>
                    <w:rPr>
                      <w:rStyle w:val="97"/>
                      <w:rFonts w:hint="default" w:ascii="Times New Roman" w:hAnsi="Times New Roman" w:eastAsia="宋体" w:cs="Times New Roman"/>
                      <w:color w:val="auto"/>
                      <w:spacing w:val="0"/>
                      <w:kern w:val="2"/>
                      <w:sz w:val="21"/>
                      <w:szCs w:val="21"/>
                      <w:vertAlign w:val="superscript"/>
                      <w:lang w:val="en-US" w:eastAsia="zh-CN" w:bidi="ar"/>
                    </w:rPr>
                    <w:t>3</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产生量</w:t>
                  </w:r>
                  <w:r>
                    <w:rPr>
                      <w:rStyle w:val="99"/>
                      <w:rFonts w:hint="default" w:ascii="Times New Roman" w:hAnsi="Times New Roman" w:eastAsia="宋体" w:cs="Times New Roman"/>
                      <w:color w:val="auto"/>
                      <w:spacing w:val="0"/>
                      <w:kern w:val="2"/>
                      <w:sz w:val="21"/>
                      <w:szCs w:val="21"/>
                      <w:lang w:val="en-US" w:eastAsia="zh-CN" w:bidi="ar"/>
                    </w:rPr>
                    <w:t>m</w:t>
                  </w:r>
                  <w:r>
                    <w:rPr>
                      <w:rStyle w:val="97"/>
                      <w:rFonts w:hint="default" w:ascii="Times New Roman" w:hAnsi="Times New Roman" w:eastAsia="宋体" w:cs="Times New Roman"/>
                      <w:color w:val="auto"/>
                      <w:spacing w:val="0"/>
                      <w:kern w:val="2"/>
                      <w:sz w:val="21"/>
                      <w:szCs w:val="21"/>
                      <w:vertAlign w:val="superscript"/>
                      <w:lang w:val="en-US" w:eastAsia="zh-CN" w:bidi="ar"/>
                    </w:rPr>
                    <w:t>3</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iCs w:val="0"/>
                      <w:color w:val="auto"/>
                      <w:spacing w:val="0"/>
                      <w:kern w:val="0"/>
                      <w:sz w:val="21"/>
                      <w:szCs w:val="21"/>
                    </w:rPr>
                  </w:pPr>
                  <w:r>
                    <w:rPr>
                      <w:rFonts w:hint="default" w:ascii="Times New Roman" w:hAnsi="Times New Roman" w:eastAsia="宋体" w:cs="Times New Roman"/>
                      <w:i w:val="0"/>
                      <w:iCs w:val="0"/>
                      <w:color w:val="auto"/>
                      <w:spacing w:val="0"/>
                      <w:kern w:val="0"/>
                      <w:sz w:val="21"/>
                      <w:szCs w:val="21"/>
                      <w:lang w:val="en-US" w:eastAsia="zh-CN" w:bidi="ar"/>
                    </w:rPr>
                    <w:t>回用量</w:t>
                  </w:r>
                  <w:r>
                    <w:rPr>
                      <w:rStyle w:val="99"/>
                      <w:rFonts w:hint="default" w:ascii="Times New Roman" w:hAnsi="Times New Roman" w:eastAsia="宋体" w:cs="Times New Roman"/>
                      <w:color w:val="auto"/>
                      <w:spacing w:val="0"/>
                      <w:kern w:val="2"/>
                      <w:sz w:val="21"/>
                      <w:szCs w:val="21"/>
                      <w:lang w:val="en-US" w:eastAsia="zh-CN" w:bidi="ar"/>
                    </w:rPr>
                    <w:t>m</w:t>
                  </w:r>
                  <w:r>
                    <w:rPr>
                      <w:rStyle w:val="97"/>
                      <w:rFonts w:hint="default" w:ascii="Times New Roman" w:hAnsi="Times New Roman" w:eastAsia="宋体" w:cs="Times New Roman"/>
                      <w:color w:val="auto"/>
                      <w:spacing w:val="0"/>
                      <w:kern w:val="2"/>
                      <w:sz w:val="21"/>
                      <w:szCs w:val="21"/>
                      <w:vertAlign w:val="superscript"/>
                      <w:lang w:val="en-US" w:eastAsia="zh-CN" w:bidi="ar"/>
                    </w:rPr>
                    <w:t>3</w:t>
                  </w:r>
                </w:p>
              </w:tc>
              <w:tc>
                <w:tcPr>
                  <w:tcW w:w="1321" w:type="dxa"/>
                  <w:vMerge w:val="continue"/>
                  <w:tcBorders>
                    <w:left w:val="single" w:color="auto" w:sz="4" w:space="0"/>
                    <w:bottom w:val="single" w:color="auto" w:sz="4" w:space="0"/>
                    <w:right w:val="single" w:color="auto" w:sz="8"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34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钻井用水</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rPr>
                    <w:t>5025</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bidi="ar-SA"/>
                    </w:rPr>
                    <w:t>251</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251</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bidi="ar-SA"/>
                    </w:rPr>
                    <w:t>0</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4774</w:t>
                  </w:r>
                </w:p>
              </w:tc>
              <w:tc>
                <w:tcPr>
                  <w:tcW w:w="1321" w:type="dxa"/>
                  <w:tcBorders>
                    <w:top w:val="single" w:color="auto" w:sz="4" w:space="0"/>
                    <w:left w:val="single" w:color="auto" w:sz="4" w:space="0"/>
                    <w:bottom w:val="single" w:color="auto" w:sz="4" w:space="0"/>
                    <w:right w:val="single" w:color="auto"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34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酸化压裂用水</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1200</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bidi="ar-SA"/>
                    </w:rPr>
                    <w:t>1200</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200</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1000</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rPr>
                    <w:t>0</w:t>
                  </w:r>
                </w:p>
              </w:tc>
              <w:tc>
                <w:tcPr>
                  <w:tcW w:w="1321" w:type="dxa"/>
                  <w:tcBorders>
                    <w:top w:val="single" w:color="auto" w:sz="4" w:space="0"/>
                    <w:left w:val="single" w:color="auto" w:sz="4" w:space="0"/>
                    <w:bottom w:val="single" w:color="auto" w:sz="4" w:space="0"/>
                    <w:right w:val="single" w:color="auto"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1000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34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i w:val="0"/>
                      <w:iCs w:val="0"/>
                      <w:color w:val="auto"/>
                      <w:spacing w:val="0"/>
                      <w:kern w:val="0"/>
                      <w:sz w:val="21"/>
                      <w:szCs w:val="21"/>
                    </w:rPr>
                  </w:pPr>
                  <w:r>
                    <w:rPr>
                      <w:rFonts w:hint="default" w:ascii="Times New Roman" w:hAnsi="Times New Roman" w:eastAsia="宋体" w:cs="Times New Roman"/>
                      <w:i w:val="0"/>
                      <w:iCs w:val="0"/>
                      <w:color w:val="auto"/>
                      <w:spacing w:val="0"/>
                      <w:kern w:val="0"/>
                      <w:sz w:val="21"/>
                      <w:szCs w:val="21"/>
                      <w:lang w:val="en-US" w:eastAsia="zh-CN" w:bidi="ar"/>
                    </w:rPr>
                    <w:t>锅炉用水</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5310</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240</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189</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bidi="ar-SA"/>
                    </w:rPr>
                    <w:t>51</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4800</w:t>
                  </w:r>
                </w:p>
              </w:tc>
              <w:tc>
                <w:tcPr>
                  <w:tcW w:w="1321" w:type="dxa"/>
                  <w:tcBorders>
                    <w:top w:val="single" w:color="auto" w:sz="4" w:space="0"/>
                    <w:left w:val="single" w:color="auto" w:sz="4" w:space="0"/>
                    <w:bottom w:val="single" w:color="auto" w:sz="4" w:space="0"/>
                    <w:right w:val="single" w:color="auto"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51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34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生活用水</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1140</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1140</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color w:val="auto"/>
                      <w:sz w:val="21"/>
                      <w:szCs w:val="21"/>
                      <w:highlight w:val="none"/>
                      <w:lang w:val="en-US" w:eastAsia="zh-CN"/>
                    </w:rPr>
                    <w:t>228</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912</w:t>
                  </w:r>
                </w:p>
              </w:tc>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default" w:ascii="Times New Roman" w:hAnsi="Times New Roman" w:eastAsia="宋体" w:cs="Times New Roman"/>
                      <w:snapToGrid w:val="0"/>
                      <w:color w:val="auto"/>
                      <w:kern w:val="0"/>
                      <w:sz w:val="21"/>
                      <w:szCs w:val="21"/>
                      <w:highlight w:val="none"/>
                      <w:lang w:val="en-US" w:eastAsia="zh-CN"/>
                    </w:rPr>
                    <w:t>0</w:t>
                  </w:r>
                </w:p>
              </w:tc>
              <w:tc>
                <w:tcPr>
                  <w:tcW w:w="1321" w:type="dxa"/>
                  <w:tcBorders>
                    <w:top w:val="single" w:color="auto" w:sz="4" w:space="0"/>
                    <w:left w:val="single" w:color="auto" w:sz="4" w:space="0"/>
                    <w:bottom w:val="single" w:color="auto" w:sz="4" w:space="0"/>
                    <w:right w:val="single" w:color="auto" w:sz="8"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rPr>
                    <w:t>912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346"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autoSpaceDE w:val="0"/>
                    <w:autoSpaceDN/>
                    <w:spacing w:before="0" w:beforeAutospacing="0" w:after="0" w:afterAutospacing="0" w:line="320" w:lineRule="exact"/>
                    <w:ind w:left="0" w:right="0"/>
                    <w:jc w:val="center"/>
                    <w:textAlignment w:val="center"/>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i w:val="0"/>
                      <w:iCs w:val="0"/>
                      <w:color w:val="auto"/>
                      <w:spacing w:val="0"/>
                      <w:kern w:val="0"/>
                      <w:sz w:val="21"/>
                      <w:szCs w:val="21"/>
                      <w:lang w:val="en-US" w:eastAsia="zh-CN" w:bidi="ar"/>
                    </w:rPr>
                    <w:t>小计</w:t>
                  </w:r>
                </w:p>
              </w:tc>
              <w:tc>
                <w:tcPr>
                  <w:tcW w:w="1155"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i w:val="0"/>
                      <w:iCs w:val="0"/>
                      <w:color w:val="auto"/>
                      <w:kern w:val="0"/>
                      <w:sz w:val="21"/>
                      <w:szCs w:val="21"/>
                      <w:u w:val="none"/>
                      <w:lang w:val="en-US" w:eastAsia="zh-CN" w:bidi="ar"/>
                    </w:rPr>
                    <w:t>12405</w:t>
                  </w:r>
                </w:p>
              </w:tc>
              <w:tc>
                <w:tcPr>
                  <w:tcW w:w="1155"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i w:val="0"/>
                      <w:iCs w:val="0"/>
                      <w:color w:val="auto"/>
                      <w:kern w:val="0"/>
                      <w:sz w:val="21"/>
                      <w:szCs w:val="21"/>
                      <w:u w:val="none"/>
                      <w:lang w:val="en-US" w:eastAsia="zh-CN" w:bidi="ar"/>
                    </w:rPr>
                    <w:t>2831</w:t>
                  </w:r>
                </w:p>
              </w:tc>
              <w:tc>
                <w:tcPr>
                  <w:tcW w:w="1155"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i w:val="0"/>
                      <w:iCs w:val="0"/>
                      <w:color w:val="auto"/>
                      <w:kern w:val="0"/>
                      <w:sz w:val="21"/>
                      <w:szCs w:val="21"/>
                      <w:u w:val="none"/>
                      <w:lang w:val="en-US" w:eastAsia="zh-CN" w:bidi="ar"/>
                    </w:rPr>
                    <w:t>868</w:t>
                  </w:r>
                </w:p>
              </w:tc>
              <w:tc>
                <w:tcPr>
                  <w:tcW w:w="1095"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i w:val="0"/>
                      <w:iCs w:val="0"/>
                      <w:color w:val="auto"/>
                      <w:kern w:val="0"/>
                      <w:sz w:val="21"/>
                      <w:szCs w:val="21"/>
                      <w:u w:val="none"/>
                      <w:lang w:val="en-US" w:eastAsia="zh-CN" w:bidi="ar"/>
                    </w:rPr>
                    <w:t>1963</w:t>
                  </w:r>
                </w:p>
              </w:tc>
              <w:tc>
                <w:tcPr>
                  <w:tcW w:w="1110" w:type="dxa"/>
                  <w:tcBorders>
                    <w:top w:val="single" w:color="auto" w:sz="4" w:space="0"/>
                    <w:left w:val="single" w:color="auto" w:sz="4" w:space="0"/>
                    <w:bottom w:val="single" w:color="auto" w:sz="8"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snapToGrid w:val="0"/>
                      <w:color w:val="auto"/>
                      <w:kern w:val="0"/>
                      <w:sz w:val="21"/>
                      <w:szCs w:val="21"/>
                      <w:highlight w:val="none"/>
                      <w:lang w:val="en-US" w:eastAsia="zh-CN" w:bidi="ar-SA"/>
                    </w:rPr>
                    <w:t>9574</w:t>
                  </w:r>
                </w:p>
              </w:tc>
              <w:tc>
                <w:tcPr>
                  <w:tcW w:w="1321" w:type="dxa"/>
                  <w:tcBorders>
                    <w:top w:val="single" w:color="auto" w:sz="4" w:space="0"/>
                    <w:left w:val="single" w:color="auto" w:sz="4" w:space="0"/>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ascii="Times New Roman" w:cs="Times New Roman"/>
                      <w:i w:val="0"/>
                      <w:iCs w:val="0"/>
                      <w:color w:val="auto"/>
                      <w:kern w:val="0"/>
                      <w:sz w:val="21"/>
                      <w:szCs w:val="21"/>
                      <w:u w:val="none"/>
                      <w:lang w:val="en-US" w:eastAsia="zh-CN" w:bidi="ar"/>
                    </w:rPr>
                    <w:t>1963</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b/>
                <w:bCs/>
                <w:color w:val="auto"/>
                <w:sz w:val="24"/>
                <w:szCs w:val="24"/>
                <w:highlight w:val="none"/>
                <w:lang w:val="en-US" w:eastAsia="zh-CN"/>
              </w:rPr>
            </w:pPr>
            <w:r>
              <w:rPr>
                <w:rFonts w:hint="default"/>
                <w:sz w:val="24"/>
              </w:rPr>
              <mc:AlternateContent>
                <mc:Choice Requires="wpg">
                  <w:drawing>
                    <wp:anchor distT="0" distB="0" distL="114300" distR="114300" simplePos="0" relativeHeight="251669504" behindDoc="0" locked="0" layoutInCell="1" allowOverlap="1">
                      <wp:simplePos x="0" y="0"/>
                      <wp:positionH relativeFrom="column">
                        <wp:posOffset>173990</wp:posOffset>
                      </wp:positionH>
                      <wp:positionV relativeFrom="paragraph">
                        <wp:posOffset>10795</wp:posOffset>
                      </wp:positionV>
                      <wp:extent cx="5117465" cy="2917190"/>
                      <wp:effectExtent l="0" t="0" r="0" b="17145"/>
                      <wp:wrapTopAndBottom/>
                      <wp:docPr id="47" name="组合 47"/>
                      <wp:cNvGraphicFramePr/>
                      <a:graphic xmlns:a="http://schemas.openxmlformats.org/drawingml/2006/main">
                        <a:graphicData uri="http://schemas.microsoft.com/office/word/2010/wordprocessingGroup">
                          <wpg:wgp>
                            <wpg:cNvGrpSpPr/>
                            <wpg:grpSpPr>
                              <a:xfrm>
                                <a:off x="0" y="0"/>
                                <a:ext cx="5117465" cy="2917190"/>
                                <a:chOff x="2578" y="978348"/>
                                <a:chExt cx="8059" cy="4594"/>
                              </a:xfrm>
                            </wpg:grpSpPr>
                            <wps:wsp>
                              <wps:cNvPr id="70" name="文本框 70"/>
                              <wps:cNvSpPr txBox="1"/>
                              <wps:spPr>
                                <a:xfrm>
                                  <a:off x="2578" y="980118"/>
                                  <a:ext cx="963" cy="428"/>
                                </a:xfrm>
                                <a:prstGeom prst="rect">
                                  <a:avLst/>
                                </a:prstGeom>
                                <a:noFill/>
                                <a:ln w="6350">
                                  <a:noFill/>
                                </a:ln>
                              </wps:spPr>
                              <wps:txbx>
                                <w:txbxContent>
                                  <w:p>
                                    <w:pPr>
                                      <w:widowControl/>
                                      <w:jc w:val="center"/>
                                      <w:rPr>
                                        <w:rFonts w:hAnsi="宋体"/>
                                        <w:kern w:val="0"/>
                                        <w:sz w:val="24"/>
                                      </w:rPr>
                                    </w:pPr>
                                    <w:r>
                                      <w:rPr>
                                        <w:rFonts w:hint="eastAsia" w:ascii="Times New Roman" w:hAnsi="宋体"/>
                                        <w:szCs w:val="21"/>
                                      </w:rPr>
                                      <w:t>新鲜水</w:t>
                                    </w:r>
                                  </w:p>
                                </w:txbxContent>
                              </wps:txbx>
                              <wps:bodyPr upright="1"/>
                            </wps:wsp>
                            <wps:wsp>
                              <wps:cNvPr id="71" name="矩形 71"/>
                              <wps:cNvSpPr/>
                              <wps:spPr>
                                <a:xfrm>
                                  <a:off x="8149" y="982398"/>
                                  <a:ext cx="2200" cy="453"/>
                                </a:xfrm>
                                <a:prstGeom prst="rect">
                                  <a:avLst/>
                                </a:prstGeom>
                                <a:noFill/>
                                <a:ln w="6350">
                                  <a:noFill/>
                                </a:ln>
                              </wps:spPr>
                              <wps:txbx>
                                <w:txbxContent>
                                  <w:p>
                                    <w:pPr>
                                      <w:jc w:val="center"/>
                                      <w:rPr>
                                        <w:rFonts w:hint="default" w:hAnsi="宋体" w:cs="宋体"/>
                                        <w:szCs w:val="21"/>
                                        <w:lang w:val="en-US" w:eastAsia="zh-CN"/>
                                      </w:rPr>
                                    </w:pPr>
                                    <w:r>
                                      <w:rPr>
                                        <w:rFonts w:hint="eastAsia" w:hAnsi="宋体" w:cs="宋体"/>
                                        <w:szCs w:val="21"/>
                                        <w:lang w:val="en-US" w:eastAsia="zh-CN"/>
                                      </w:rPr>
                                      <w:t>用于荒漠生态恢复</w:t>
                                    </w:r>
                                  </w:p>
                                </w:txbxContent>
                              </wps:txbx>
                              <wps:bodyPr upright="1"/>
                            </wps:wsp>
                            <wps:wsp>
                              <wps:cNvPr id="72" name="直接箭头连接符 72"/>
                              <wps:cNvCnPr/>
                              <wps:spPr>
                                <a:xfrm>
                                  <a:off x="3430" y="980330"/>
                                  <a:ext cx="461" cy="2"/>
                                </a:xfrm>
                                <a:prstGeom prst="straightConnector1">
                                  <a:avLst/>
                                </a:prstGeom>
                                <a:ln w="6350" cap="flat" cmpd="sng">
                                  <a:solidFill>
                                    <a:srgbClr val="000000"/>
                                  </a:solidFill>
                                  <a:prstDash val="solid"/>
                                  <a:round/>
                                  <a:headEnd type="none" w="med" len="med"/>
                                  <a:tailEnd type="stealth" w="sm" len="sm"/>
                                </a:ln>
                              </wps:spPr>
                              <wps:bodyPr/>
                            </wps:wsp>
                            <wps:wsp>
                              <wps:cNvPr id="20" name="矩形 73"/>
                              <wps:cNvSpPr/>
                              <wps:spPr>
                                <a:xfrm>
                                  <a:off x="4468" y="982435"/>
                                  <a:ext cx="1250" cy="457"/>
                                </a:xfrm>
                                <a:prstGeom prst="rect">
                                  <a:avLst/>
                                </a:prstGeom>
                                <a:noFill/>
                                <a:ln w="6350" cap="flat" cmpd="sng">
                                  <a:solidFill>
                                    <a:srgbClr val="000000"/>
                                  </a:solidFill>
                                  <a:prstDash val="solid"/>
                                  <a:miter/>
                                  <a:headEnd type="none" w="med" len="med"/>
                                  <a:tailEnd type="none" w="med" len="med"/>
                                </a:ln>
                              </wps:spPr>
                              <wps:txbx>
                                <w:txbxContent>
                                  <w:p>
                                    <w:pPr>
                                      <w:widowControl/>
                                      <w:spacing w:line="0" w:lineRule="atLeast"/>
                                      <w:jc w:val="center"/>
                                      <w:rPr>
                                        <w:rFonts w:hAnsi="宋体"/>
                                        <w:kern w:val="0"/>
                                        <w:sz w:val="24"/>
                                      </w:rPr>
                                    </w:pPr>
                                    <w:r>
                                      <w:rPr>
                                        <w:rFonts w:hint="eastAsia" w:ascii="Times New Roman" w:hAnsi="宋体"/>
                                        <w:szCs w:val="21"/>
                                      </w:rPr>
                                      <w:t>生活用水</w:t>
                                    </w:r>
                                  </w:p>
                                </w:txbxContent>
                              </wps:txbx>
                              <wps:bodyPr upright="1"/>
                            </wps:wsp>
                            <wps:wsp>
                              <wps:cNvPr id="74" name="文本框 74"/>
                              <wps:cNvSpPr txBox="1"/>
                              <wps:spPr>
                                <a:xfrm>
                                  <a:off x="3844" y="982332"/>
                                  <a:ext cx="760" cy="374"/>
                                </a:xfrm>
                                <a:prstGeom prst="rect">
                                  <a:avLst/>
                                </a:prstGeom>
                                <a:noFill/>
                                <a:ln w="6350">
                                  <a:noFill/>
                                </a:ln>
                              </wps:spPr>
                              <wps:txbx>
                                <w:txbxContent>
                                  <w:p>
                                    <w:pPr>
                                      <w:widowControl/>
                                      <w:rPr>
                                        <w:rFonts w:hint="default" w:hAnsi="宋体" w:eastAsia="宋体"/>
                                        <w:kern w:val="0"/>
                                        <w:sz w:val="24"/>
                                        <w:lang w:val="en-US" w:eastAsia="zh-CN"/>
                                      </w:rPr>
                                    </w:pPr>
                                    <w:r>
                                      <w:rPr>
                                        <w:rFonts w:hint="eastAsia" w:ascii="Times New Roman"/>
                                        <w:szCs w:val="21"/>
                                        <w:lang w:val="en-US" w:eastAsia="zh-CN"/>
                                      </w:rPr>
                                      <w:t>1140</w:t>
                                    </w:r>
                                  </w:p>
                                </w:txbxContent>
                              </wps:txbx>
                              <wps:bodyPr upright="1"/>
                            </wps:wsp>
                            <wps:wsp>
                              <wps:cNvPr id="75" name="直接箭头连接符 75"/>
                              <wps:cNvCnPr/>
                              <wps:spPr>
                                <a:xfrm>
                                  <a:off x="7456" y="982640"/>
                                  <a:ext cx="923" cy="6"/>
                                </a:xfrm>
                                <a:prstGeom prst="straightConnector1">
                                  <a:avLst/>
                                </a:prstGeom>
                                <a:ln w="6350" cap="flat" cmpd="sng">
                                  <a:solidFill>
                                    <a:srgbClr val="000000"/>
                                  </a:solidFill>
                                  <a:prstDash val="solid"/>
                                  <a:round/>
                                  <a:headEnd type="none" w="med" len="med"/>
                                  <a:tailEnd type="stealth" w="sm" len="sm"/>
                                </a:ln>
                              </wps:spPr>
                              <wps:bodyPr/>
                            </wps:wsp>
                            <wps:wsp>
                              <wps:cNvPr id="76" name="文本框 76"/>
                              <wps:cNvSpPr txBox="1"/>
                              <wps:spPr>
                                <a:xfrm>
                                  <a:off x="5696" y="982332"/>
                                  <a:ext cx="632" cy="355"/>
                                </a:xfrm>
                                <a:prstGeom prst="rect">
                                  <a:avLst/>
                                </a:prstGeom>
                                <a:noFill/>
                                <a:ln w="6350">
                                  <a:noFill/>
                                </a:ln>
                              </wps:spPr>
                              <wps:txbx>
                                <w:txbxContent>
                                  <w:p>
                                    <w:pPr>
                                      <w:widowControl/>
                                      <w:rPr>
                                        <w:rFonts w:hint="default" w:ascii="Times New Roman" w:hAnsi="Times New Roman" w:eastAsia="宋体" w:cs="Times New Roman"/>
                                        <w:szCs w:val="21"/>
                                        <w:lang w:val="en-US" w:eastAsia="zh-CN"/>
                                      </w:rPr>
                                    </w:pPr>
                                    <w:r>
                                      <w:rPr>
                                        <w:rFonts w:hint="eastAsia" w:ascii="Times New Roman" w:cs="Times New Roman"/>
                                        <w:szCs w:val="21"/>
                                        <w:lang w:val="en-US" w:eastAsia="zh-CN"/>
                                      </w:rPr>
                                      <w:t>912</w:t>
                                    </w:r>
                                  </w:p>
                                </w:txbxContent>
                              </wps:txbx>
                              <wps:bodyPr upright="1"/>
                            </wps:wsp>
                            <wps:wsp>
                              <wps:cNvPr id="77" name="文本框 77"/>
                              <wps:cNvSpPr txBox="1"/>
                              <wps:spPr>
                                <a:xfrm>
                                  <a:off x="3257" y="979973"/>
                                  <a:ext cx="837" cy="398"/>
                                </a:xfrm>
                                <a:prstGeom prst="rect">
                                  <a:avLst/>
                                </a:prstGeom>
                                <a:noFill/>
                                <a:ln w="6350">
                                  <a:noFill/>
                                </a:ln>
                              </wps:spPr>
                              <wps:txbx>
                                <w:txbxContent>
                                  <w:p>
                                    <w:pPr>
                                      <w:widowControl/>
                                      <w:rPr>
                                        <w:rFonts w:hint="default" w:ascii="Times New Roman" w:hAnsi="Times New Roman" w:eastAsia="宋体" w:cs="Times New Roman"/>
                                        <w:szCs w:val="21"/>
                                        <w:lang w:val="en-US" w:eastAsia="zh-CN"/>
                                      </w:rPr>
                                    </w:pPr>
                                    <w:r>
                                      <w:rPr>
                                        <w:rFonts w:hint="eastAsia" w:ascii="Times New Roman" w:cs="Times New Roman"/>
                                        <w:i w:val="0"/>
                                        <w:iCs w:val="0"/>
                                        <w:color w:val="000000"/>
                                        <w:kern w:val="0"/>
                                        <w:sz w:val="21"/>
                                        <w:szCs w:val="21"/>
                                        <w:u w:val="none"/>
                                        <w:lang w:val="en-US" w:eastAsia="zh-CN" w:bidi="ar"/>
                                      </w:rPr>
                                      <w:t>2831</w:t>
                                    </w:r>
                                  </w:p>
                                </w:txbxContent>
                              </wps:txbx>
                              <wps:bodyPr upright="1"/>
                            </wps:wsp>
                            <wps:wsp>
                              <wps:cNvPr id="78" name="直接箭头连接符 78"/>
                              <wps:cNvCnPr/>
                              <wps:spPr>
                                <a:xfrm>
                                  <a:off x="3888" y="982665"/>
                                  <a:ext cx="598" cy="0"/>
                                </a:xfrm>
                                <a:prstGeom prst="straightConnector1">
                                  <a:avLst/>
                                </a:prstGeom>
                                <a:ln w="6350" cap="flat" cmpd="sng">
                                  <a:solidFill>
                                    <a:srgbClr val="000000"/>
                                  </a:solidFill>
                                  <a:prstDash val="solid"/>
                                  <a:round/>
                                  <a:headEnd type="none" w="med" len="med"/>
                                  <a:tailEnd type="stealth" w="sm" len="sm"/>
                                </a:ln>
                              </wps:spPr>
                              <wps:bodyPr/>
                            </wps:wsp>
                            <wps:wsp>
                              <wps:cNvPr id="79" name="文本框 79"/>
                              <wps:cNvSpPr txBox="1"/>
                              <wps:spPr>
                                <a:xfrm>
                                  <a:off x="5100" y="982042"/>
                                  <a:ext cx="765" cy="378"/>
                                </a:xfrm>
                                <a:prstGeom prst="rect">
                                  <a:avLst/>
                                </a:prstGeom>
                                <a:noFill/>
                                <a:ln w="6350">
                                  <a:noFill/>
                                </a:ln>
                              </wps:spPr>
                              <wps:txbx>
                                <w:txbxContent>
                                  <w:p>
                                    <w:pPr>
                                      <w:widowControl/>
                                      <w:rPr>
                                        <w:rFonts w:hint="default" w:ascii="Times New Roman" w:eastAsia="宋体"/>
                                        <w:szCs w:val="21"/>
                                        <w:lang w:val="en-US" w:eastAsia="zh-CN"/>
                                      </w:rPr>
                                    </w:pPr>
                                    <w:r>
                                      <w:rPr>
                                        <w:rFonts w:hint="eastAsia" w:ascii="Times New Roman"/>
                                        <w:szCs w:val="21"/>
                                        <w:lang w:val="en-US" w:eastAsia="zh-CN"/>
                                      </w:rPr>
                                      <w:t>228</w:t>
                                    </w:r>
                                  </w:p>
                                </w:txbxContent>
                              </wps:txbx>
                              <wps:bodyPr upright="1"/>
                            </wps:wsp>
                            <wps:wsp>
                              <wps:cNvPr id="80" name="直接箭头连接符 80"/>
                              <wps:cNvCnPr/>
                              <wps:spPr>
                                <a:xfrm flipH="1" flipV="1">
                                  <a:off x="5238" y="981232"/>
                                  <a:ext cx="0" cy="344"/>
                                </a:xfrm>
                                <a:prstGeom prst="straightConnector1">
                                  <a:avLst/>
                                </a:prstGeom>
                                <a:ln w="6350" cap="flat" cmpd="sng">
                                  <a:solidFill>
                                    <a:srgbClr val="000000"/>
                                  </a:solidFill>
                                  <a:prstDash val="dashDot"/>
                                  <a:round/>
                                  <a:headEnd type="none" w="med" len="med"/>
                                  <a:tailEnd type="stealth" w="sm" len="sm"/>
                                </a:ln>
                              </wps:spPr>
                              <wps:bodyPr/>
                            </wps:wsp>
                            <wps:wsp>
                              <wps:cNvPr id="81" name="直接箭头连接符 81"/>
                              <wps:cNvCnPr/>
                              <wps:spPr>
                                <a:xfrm>
                                  <a:off x="3884" y="979079"/>
                                  <a:ext cx="0" cy="3571"/>
                                </a:xfrm>
                                <a:prstGeom prst="straightConnector1">
                                  <a:avLst/>
                                </a:prstGeom>
                                <a:ln w="6350" cap="flat" cmpd="sng">
                                  <a:solidFill>
                                    <a:srgbClr val="000000"/>
                                  </a:solidFill>
                                  <a:prstDash val="solid"/>
                                  <a:round/>
                                  <a:headEnd type="none" w="med" len="med"/>
                                  <a:tailEnd type="none" w="med" len="med"/>
                                </a:ln>
                              </wps:spPr>
                              <wps:bodyPr/>
                            </wps:wsp>
                            <wps:wsp>
                              <wps:cNvPr id="82" name="直接箭头连接符 82"/>
                              <wps:cNvCnPr/>
                              <wps:spPr>
                                <a:xfrm>
                                  <a:off x="3907" y="979083"/>
                                  <a:ext cx="598" cy="1"/>
                                </a:xfrm>
                                <a:prstGeom prst="straightConnector1">
                                  <a:avLst/>
                                </a:prstGeom>
                                <a:ln w="6350" cap="flat" cmpd="sng">
                                  <a:solidFill>
                                    <a:srgbClr val="000000"/>
                                  </a:solidFill>
                                  <a:prstDash val="solid"/>
                                  <a:round/>
                                  <a:headEnd type="none" w="med" len="med"/>
                                  <a:tailEnd type="stealth" w="sm" len="sm"/>
                                </a:ln>
                              </wps:spPr>
                              <wps:bodyPr/>
                            </wps:wsp>
                            <wps:wsp>
                              <wps:cNvPr id="83" name="矩形 83"/>
                              <wps:cNvSpPr/>
                              <wps:spPr>
                                <a:xfrm>
                                  <a:off x="4527" y="978856"/>
                                  <a:ext cx="1356" cy="392"/>
                                </a:xfrm>
                                <a:prstGeom prst="rect">
                                  <a:avLst/>
                                </a:prstGeom>
                                <a:noFill/>
                                <a:ln w="6350" cap="flat" cmpd="sng">
                                  <a:solidFill>
                                    <a:srgbClr val="000000"/>
                                  </a:solidFill>
                                  <a:prstDash val="solid"/>
                                  <a:miter/>
                                  <a:headEnd type="none" w="med" len="med"/>
                                  <a:tailEnd type="none" w="med" len="med"/>
                                </a:ln>
                              </wps:spPr>
                              <wps:txbx>
                                <w:txbxContent>
                                  <w:p>
                                    <w:pPr>
                                      <w:widowControl/>
                                      <w:jc w:val="center"/>
                                      <w:rPr>
                                        <w:rFonts w:hAnsi="宋体"/>
                                        <w:kern w:val="0"/>
                                        <w:sz w:val="24"/>
                                      </w:rPr>
                                    </w:pPr>
                                    <w:r>
                                      <w:rPr>
                                        <w:rFonts w:hint="eastAsia" w:ascii="Times New Roman" w:hAnsi="宋体"/>
                                        <w:szCs w:val="21"/>
                                      </w:rPr>
                                      <w:t>钻井用水</w:t>
                                    </w:r>
                                  </w:p>
                                </w:txbxContent>
                              </wps:txbx>
                              <wps:bodyPr upright="1"/>
                            </wps:wsp>
                            <wps:wsp>
                              <wps:cNvPr id="84" name="文本框 84"/>
                              <wps:cNvSpPr txBox="1"/>
                              <wps:spPr>
                                <a:xfrm>
                                  <a:off x="3801" y="978642"/>
                                  <a:ext cx="815" cy="466"/>
                                </a:xfrm>
                                <a:prstGeom prst="rect">
                                  <a:avLst/>
                                </a:prstGeom>
                                <a:noFill/>
                                <a:ln w="6350">
                                  <a:noFill/>
                                </a:ln>
                              </wps:spPr>
                              <wps:txbx>
                                <w:txbxContent>
                                  <w:p>
                                    <w:pPr>
                                      <w:widowControl/>
                                      <w:rPr>
                                        <w:rFonts w:hint="default" w:ascii="Times New Roman" w:hAnsi="Times New Roman" w:eastAsia="宋体" w:cs="Times New Roman"/>
                                        <w:szCs w:val="21"/>
                                        <w:lang w:val="en-US" w:eastAsia="zh-CN"/>
                                      </w:rPr>
                                    </w:pPr>
                                    <w:r>
                                      <w:rPr>
                                        <w:rFonts w:hint="eastAsia" w:ascii="Times New Roman" w:cs="Times New Roman"/>
                                        <w:szCs w:val="21"/>
                                        <w:lang w:val="en-US" w:eastAsia="zh-CN"/>
                                      </w:rPr>
                                      <w:t>251</w:t>
                                    </w:r>
                                  </w:p>
                                </w:txbxContent>
                              </wps:txbx>
                              <wps:bodyPr upright="1"/>
                            </wps:wsp>
                            <wps:wsp>
                              <wps:cNvPr id="85" name="直接箭头连接符 85"/>
                              <wps:cNvCnPr/>
                              <wps:spPr>
                                <a:xfrm flipV="1">
                                  <a:off x="5892" y="979099"/>
                                  <a:ext cx="691" cy="2"/>
                                </a:xfrm>
                                <a:prstGeom prst="straightConnector1">
                                  <a:avLst/>
                                </a:prstGeom>
                                <a:ln w="6350" cap="flat" cmpd="sng">
                                  <a:solidFill>
                                    <a:srgbClr val="000000"/>
                                  </a:solidFill>
                                  <a:prstDash val="solid"/>
                                  <a:round/>
                                  <a:headEnd type="none" w="med" len="med"/>
                                  <a:tailEnd type="stealth" w="sm" len="sm"/>
                                </a:ln>
                              </wps:spPr>
                              <wps:bodyPr/>
                            </wps:wsp>
                            <wps:wsp>
                              <wps:cNvPr id="86" name="矩形 86"/>
                              <wps:cNvSpPr/>
                              <wps:spPr>
                                <a:xfrm>
                                  <a:off x="6571" y="978687"/>
                                  <a:ext cx="1031" cy="661"/>
                                </a:xfrm>
                                <a:prstGeom prst="rect">
                                  <a:avLst/>
                                </a:prstGeom>
                                <a:noFill/>
                                <a:ln w="6350" cap="flat" cmpd="sng">
                                  <a:solidFill>
                                    <a:srgbClr val="000000"/>
                                  </a:solidFill>
                                  <a:prstDash val="solid"/>
                                  <a:miter/>
                                  <a:headEnd type="none" w="med" len="med"/>
                                  <a:tailEnd type="none" w="med" len="med"/>
                                </a:ln>
                              </wps:spPr>
                              <wps:txbx>
                                <w:txbxContent>
                                  <w:p>
                                    <w:pPr>
                                      <w:widowControl/>
                                      <w:adjustRightInd w:val="0"/>
                                      <w:snapToGrid w:val="0"/>
                                      <w:jc w:val="center"/>
                                      <w:rPr>
                                        <w:rFonts w:hAnsi="宋体"/>
                                        <w:kern w:val="0"/>
                                        <w:sz w:val="24"/>
                                      </w:rPr>
                                    </w:pPr>
                                    <w:r>
                                      <w:rPr>
                                        <w:rFonts w:hint="eastAsia" w:hAnsi="宋体" w:cs="宋体"/>
                                        <w:szCs w:val="21"/>
                                      </w:rPr>
                                      <w:t>不落地系统</w:t>
                                    </w:r>
                                  </w:p>
                                </w:txbxContent>
                              </wps:txbx>
                              <wps:bodyPr upright="1"/>
                            </wps:wsp>
                            <wps:wsp>
                              <wps:cNvPr id="87" name="文本框 87"/>
                              <wps:cNvSpPr txBox="1"/>
                              <wps:spPr>
                                <a:xfrm>
                                  <a:off x="8275" y="978797"/>
                                  <a:ext cx="2111" cy="442"/>
                                </a:xfrm>
                                <a:prstGeom prst="rect">
                                  <a:avLst/>
                                </a:prstGeom>
                                <a:noFill/>
                                <a:ln w="6350" cap="flat" cmpd="sng">
                                  <a:solidFill>
                                    <a:srgbClr val="000000"/>
                                  </a:solidFill>
                                  <a:prstDash val="solid"/>
                                  <a:miter/>
                                  <a:headEnd type="none" w="med" len="med"/>
                                  <a:tailEnd type="none" w="med" len="med"/>
                                </a:ln>
                              </wps:spPr>
                              <wps:txbx>
                                <w:txbxContent>
                                  <w:p>
                                    <w:pPr>
                                      <w:widowControl/>
                                      <w:rPr>
                                        <w:rFonts w:hAnsi="宋体"/>
                                        <w:kern w:val="0"/>
                                        <w:sz w:val="24"/>
                                        <w:szCs w:val="20"/>
                                      </w:rPr>
                                    </w:pPr>
                                    <w:r>
                                      <w:rPr>
                                        <w:rFonts w:hint="eastAsia" w:ascii="Times New Roman" w:hAnsi="宋体"/>
                                        <w:szCs w:val="21"/>
                                      </w:rPr>
                                      <w:t>回用于钻井液配制</w:t>
                                    </w:r>
                                  </w:p>
                                </w:txbxContent>
                              </wps:txbx>
                              <wps:bodyPr upright="1"/>
                            </wps:wsp>
                            <wps:wsp>
                              <wps:cNvPr id="88" name="直接箭头连接符 88"/>
                              <wps:cNvCnPr/>
                              <wps:spPr>
                                <a:xfrm>
                                  <a:off x="7660" y="979066"/>
                                  <a:ext cx="608" cy="0"/>
                                </a:xfrm>
                                <a:prstGeom prst="straightConnector1">
                                  <a:avLst/>
                                </a:prstGeom>
                                <a:ln w="6350" cap="flat" cmpd="sng">
                                  <a:solidFill>
                                    <a:srgbClr val="000000"/>
                                  </a:solidFill>
                                  <a:prstDash val="solid"/>
                                  <a:round/>
                                  <a:headEnd type="none" w="med" len="med"/>
                                  <a:tailEnd type="stealth" w="sm" len="sm"/>
                                </a:ln>
                              </wps:spPr>
                              <wps:bodyPr/>
                            </wps:wsp>
                            <wps:wsp>
                              <wps:cNvPr id="90" name="直接箭头连接符 90"/>
                              <wps:cNvCnPr/>
                              <wps:spPr>
                                <a:xfrm flipV="1">
                                  <a:off x="5091" y="978635"/>
                                  <a:ext cx="308" cy="183"/>
                                </a:xfrm>
                                <a:prstGeom prst="straightConnector1">
                                  <a:avLst/>
                                </a:prstGeom>
                                <a:ln w="6350" cap="flat" cmpd="sng">
                                  <a:solidFill>
                                    <a:srgbClr val="000000"/>
                                  </a:solidFill>
                                  <a:prstDash val="dashDot"/>
                                  <a:round/>
                                  <a:headEnd type="none" w="med" len="med"/>
                                  <a:tailEnd type="stealth" w="sm" len="sm"/>
                                </a:ln>
                              </wps:spPr>
                              <wps:bodyPr/>
                            </wps:wsp>
                            <wps:wsp>
                              <wps:cNvPr id="91" name="文本框 91"/>
                              <wps:cNvSpPr txBox="1"/>
                              <wps:spPr>
                                <a:xfrm>
                                  <a:off x="5245" y="978348"/>
                                  <a:ext cx="1012" cy="379"/>
                                </a:xfrm>
                                <a:prstGeom prst="rect">
                                  <a:avLst/>
                                </a:prstGeom>
                                <a:noFill/>
                                <a:ln w="6350">
                                  <a:noFill/>
                                </a:ln>
                              </wps:spPr>
                              <wps:txbx>
                                <w:txbxContent>
                                  <w:p>
                                    <w:pPr>
                                      <w:widowControl/>
                                      <w:rPr>
                                        <w:rFonts w:hint="default" w:ascii="Times New Roman" w:eastAsia="宋体"/>
                                        <w:szCs w:val="21"/>
                                        <w:lang w:val="en-US" w:eastAsia="zh-CN"/>
                                      </w:rPr>
                                    </w:pPr>
                                    <w:r>
                                      <w:rPr>
                                        <w:rFonts w:hint="eastAsia" w:ascii="Times New Roman"/>
                                        <w:szCs w:val="21"/>
                                        <w:lang w:val="en-US" w:eastAsia="zh-CN"/>
                                      </w:rPr>
                                      <w:t>251</w:t>
                                    </w:r>
                                  </w:p>
                                </w:txbxContent>
                              </wps:txbx>
                              <wps:bodyPr upright="1"/>
                            </wps:wsp>
                            <wps:wsp>
                              <wps:cNvPr id="92" name="文本框 92"/>
                              <wps:cNvSpPr txBox="1"/>
                              <wps:spPr>
                                <a:xfrm>
                                  <a:off x="5777" y="978729"/>
                                  <a:ext cx="889" cy="362"/>
                                </a:xfrm>
                                <a:prstGeom prst="rect">
                                  <a:avLst/>
                                </a:prstGeom>
                                <a:noFill/>
                                <a:ln w="6350">
                                  <a:noFill/>
                                </a:ln>
                              </wps:spPr>
                              <wps:txbx>
                                <w:txbxContent>
                                  <w:p>
                                    <w:pPr>
                                      <w:jc w:val="center"/>
                                      <w:rPr>
                                        <w:rFonts w:hint="default" w:ascii="Times New Roman" w:hAnsi="Times New Roman" w:eastAsia="宋体" w:cs="Times New Roman"/>
                                        <w:sz w:val="24"/>
                                        <w:szCs w:val="24"/>
                                        <w:highlight w:val="none"/>
                                        <w:lang w:val="en-US" w:eastAsia="zh-CN"/>
                                      </w:rPr>
                                    </w:pPr>
                                    <w:r>
                                      <w:rPr>
                                        <w:rFonts w:hint="eastAsia" w:ascii="Times New Roman" w:cs="Times New Roman"/>
                                        <w:szCs w:val="21"/>
                                        <w:lang w:val="en-US" w:eastAsia="zh-CN"/>
                                      </w:rPr>
                                      <w:t>4774</w:t>
                                    </w:r>
                                  </w:p>
                                </w:txbxContent>
                              </wps:txbx>
                              <wps:bodyPr upright="1"/>
                            </wps:wsp>
                            <wps:wsp>
                              <wps:cNvPr id="93" name="文本框 93"/>
                              <wps:cNvSpPr txBox="1"/>
                              <wps:spPr>
                                <a:xfrm>
                                  <a:off x="7457" y="978686"/>
                                  <a:ext cx="981" cy="366"/>
                                </a:xfrm>
                                <a:prstGeom prst="rect">
                                  <a:avLst/>
                                </a:prstGeom>
                                <a:noFill/>
                                <a:ln w="6350">
                                  <a:noFill/>
                                </a:ln>
                              </wps:spPr>
                              <wps:txbx>
                                <w:txbxContent>
                                  <w:p>
                                    <w:pPr>
                                      <w:widowControl/>
                                      <w:jc w:val="center"/>
                                      <w:rPr>
                                        <w:rFonts w:hint="default" w:ascii="Times New Roman" w:hAnsi="Times New Roman" w:eastAsia="宋体" w:cs="Times New Roman"/>
                                        <w:szCs w:val="21"/>
                                        <w:lang w:val="en-US" w:eastAsia="zh-CN"/>
                                      </w:rPr>
                                    </w:pPr>
                                    <w:r>
                                      <w:rPr>
                                        <w:rFonts w:hint="eastAsia" w:ascii="Times New Roman" w:cs="Times New Roman"/>
                                        <w:szCs w:val="21"/>
                                        <w:lang w:val="en-US" w:eastAsia="zh-CN"/>
                                      </w:rPr>
                                      <w:t>4774</w:t>
                                    </w:r>
                                  </w:p>
                                </w:txbxContent>
                              </wps:txbx>
                              <wps:bodyPr upright="1"/>
                            </wps:wsp>
                            <wps:wsp>
                              <wps:cNvPr id="94" name="直接箭头连接符 94"/>
                              <wps:cNvCnPr/>
                              <wps:spPr>
                                <a:xfrm>
                                  <a:off x="3899" y="980329"/>
                                  <a:ext cx="662" cy="2"/>
                                </a:xfrm>
                                <a:prstGeom prst="straightConnector1">
                                  <a:avLst/>
                                </a:prstGeom>
                                <a:ln w="6350" cap="flat" cmpd="sng">
                                  <a:solidFill>
                                    <a:srgbClr val="000000"/>
                                  </a:solidFill>
                                  <a:prstDash val="solid"/>
                                  <a:round/>
                                  <a:headEnd type="none" w="med" len="med"/>
                                  <a:tailEnd type="stealth" w="sm" len="sm"/>
                                </a:ln>
                              </wps:spPr>
                              <wps:bodyPr/>
                            </wps:wsp>
                            <wps:wsp>
                              <wps:cNvPr id="96" name="直接箭头连接符 96"/>
                              <wps:cNvCnPr/>
                              <wps:spPr>
                                <a:xfrm>
                                  <a:off x="5947" y="980310"/>
                                  <a:ext cx="690" cy="2"/>
                                </a:xfrm>
                                <a:prstGeom prst="straightConnector1">
                                  <a:avLst/>
                                </a:prstGeom>
                                <a:ln w="6350" cap="flat" cmpd="sng">
                                  <a:solidFill>
                                    <a:srgbClr val="000000"/>
                                  </a:solidFill>
                                  <a:prstDash val="solid"/>
                                  <a:round/>
                                  <a:headEnd type="none" w="med" len="med"/>
                                  <a:tailEnd type="stealth" w="sm" len="sm"/>
                                </a:ln>
                              </wps:spPr>
                              <wps:bodyPr/>
                            </wps:wsp>
                            <wps:wsp>
                              <wps:cNvPr id="99" name="文本框 99"/>
                              <wps:cNvSpPr txBox="1"/>
                              <wps:spPr>
                                <a:xfrm>
                                  <a:off x="6379" y="982263"/>
                                  <a:ext cx="1068" cy="67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eastAsia="宋体"/>
                                        <w:lang w:val="en-US" w:eastAsia="zh-CN"/>
                                      </w:rPr>
                                    </w:pPr>
                                    <w:r>
                                      <w:rPr>
                                        <w:rFonts w:hint="eastAsia" w:ascii="Times New Roman" w:hAnsi="宋体" w:cs="Times New Roman"/>
                                        <w:szCs w:val="21"/>
                                        <w:lang w:val="en-US" w:eastAsia="zh-CN"/>
                                      </w:rPr>
                                      <w:t>污水处理站</w:t>
                                    </w:r>
                                  </w:p>
                                </w:txbxContent>
                              </wps:txbx>
                              <wps:bodyPr upright="1"/>
                            </wps:wsp>
                            <wps:wsp>
                              <wps:cNvPr id="100" name="直接箭头连接符 100"/>
                              <wps:cNvCnPr/>
                              <wps:spPr>
                                <a:xfrm>
                                  <a:off x="5736" y="982653"/>
                                  <a:ext cx="639" cy="6"/>
                                </a:xfrm>
                                <a:prstGeom prst="straightConnector1">
                                  <a:avLst/>
                                </a:prstGeom>
                                <a:ln w="6350" cap="flat" cmpd="sng">
                                  <a:solidFill>
                                    <a:srgbClr val="000000"/>
                                  </a:solidFill>
                                  <a:prstDash val="solid"/>
                                  <a:round/>
                                  <a:headEnd type="none" w="med" len="med"/>
                                  <a:tailEnd type="stealth" w="sm" len="sm"/>
                                </a:ln>
                              </wps:spPr>
                              <wps:bodyPr/>
                            </wps:wsp>
                            <wps:wsp>
                              <wps:cNvPr id="101" name="文本框 101"/>
                              <wps:cNvSpPr txBox="1"/>
                              <wps:spPr>
                                <a:xfrm>
                                  <a:off x="7465" y="982289"/>
                                  <a:ext cx="910" cy="384"/>
                                </a:xfrm>
                                <a:prstGeom prst="rect">
                                  <a:avLst/>
                                </a:prstGeom>
                                <a:noFill/>
                                <a:ln w="6350">
                                  <a:noFill/>
                                </a:ln>
                              </wps:spPr>
                              <wps:txbx>
                                <w:txbxContent>
                                  <w:p>
                                    <w:pPr>
                                      <w:widowControl/>
                                      <w:jc w:val="center"/>
                                      <w:rPr>
                                        <w:rFonts w:hint="default" w:ascii="Times New Roman" w:hAnsi="Times New Roman" w:eastAsia="宋体" w:cs="Times New Roman"/>
                                        <w:szCs w:val="21"/>
                                        <w:lang w:val="en-US" w:eastAsia="zh-CN"/>
                                      </w:rPr>
                                    </w:pPr>
                                    <w:r>
                                      <w:rPr>
                                        <w:rFonts w:hint="eastAsia" w:ascii="Times New Roman" w:cs="Times New Roman"/>
                                        <w:szCs w:val="21"/>
                                        <w:lang w:val="en-US" w:eastAsia="zh-CN"/>
                                      </w:rPr>
                                      <w:t>912</w:t>
                                    </w:r>
                                  </w:p>
                                </w:txbxContent>
                              </wps:txbx>
                              <wps:bodyPr upright="1"/>
                            </wps:wsp>
                            <wps:wsp>
                              <wps:cNvPr id="6" name="直接箭头连接符 6"/>
                              <wps:cNvCnPr/>
                              <wps:spPr>
                                <a:xfrm>
                                  <a:off x="3904" y="981052"/>
                                  <a:ext cx="661" cy="0"/>
                                </a:xfrm>
                                <a:prstGeom prst="straightConnector1">
                                  <a:avLst/>
                                </a:prstGeom>
                                <a:ln w="6350" cap="flat" cmpd="sng">
                                  <a:solidFill>
                                    <a:srgbClr val="000000"/>
                                  </a:solidFill>
                                  <a:prstDash val="solid"/>
                                  <a:round/>
                                  <a:headEnd type="none" w="med" len="med"/>
                                  <a:tailEnd type="stealth" w="sm" len="sm"/>
                                </a:ln>
                              </wps:spPr>
                              <wps:bodyPr/>
                            </wps:wsp>
                            <wps:wsp>
                              <wps:cNvPr id="7" name="矩形 7"/>
                              <wps:cNvSpPr/>
                              <wps:spPr>
                                <a:xfrm>
                                  <a:off x="4569" y="980834"/>
                                  <a:ext cx="1380" cy="397"/>
                                </a:xfrm>
                                <a:prstGeom prst="rect">
                                  <a:avLst/>
                                </a:prstGeom>
                                <a:noFill/>
                                <a:ln w="6350" cap="flat" cmpd="sng">
                                  <a:solidFill>
                                    <a:srgbClr val="000000"/>
                                  </a:solidFill>
                                  <a:prstDash val="solid"/>
                                  <a:miter/>
                                  <a:headEnd type="none" w="med" len="med"/>
                                  <a:tailEnd type="none" w="med" len="med"/>
                                </a:ln>
                              </wps:spPr>
                              <wps:txbx>
                                <w:txbxContent>
                                  <w:p>
                                    <w:pPr>
                                      <w:widowControl/>
                                      <w:spacing w:line="0" w:lineRule="atLeast"/>
                                      <w:jc w:val="center"/>
                                      <w:rPr>
                                        <w:rFonts w:hint="default" w:hAnsi="宋体" w:eastAsia="宋体"/>
                                        <w:kern w:val="0"/>
                                        <w:sz w:val="24"/>
                                        <w:lang w:val="en-US" w:eastAsia="zh-CN"/>
                                      </w:rPr>
                                    </w:pPr>
                                    <w:r>
                                      <w:rPr>
                                        <w:rFonts w:hint="eastAsia" w:ascii="Times New Roman" w:hAnsi="宋体"/>
                                        <w:szCs w:val="21"/>
                                        <w:lang w:val="en-US" w:eastAsia="zh-CN"/>
                                      </w:rPr>
                                      <w:t>生物质锅炉</w:t>
                                    </w:r>
                                  </w:p>
                                </w:txbxContent>
                              </wps:txbx>
                              <wps:bodyPr upright="1"/>
                            </wps:wsp>
                            <wps:wsp>
                              <wps:cNvPr id="8" name="直接箭头连接符 8"/>
                              <wps:cNvCnPr/>
                              <wps:spPr>
                                <a:xfrm>
                                  <a:off x="5964" y="981049"/>
                                  <a:ext cx="665" cy="6"/>
                                </a:xfrm>
                                <a:prstGeom prst="straightConnector1">
                                  <a:avLst/>
                                </a:prstGeom>
                                <a:ln w="6350" cap="flat" cmpd="sng">
                                  <a:solidFill>
                                    <a:srgbClr val="000000"/>
                                  </a:solidFill>
                                  <a:prstDash val="solid"/>
                                  <a:round/>
                                  <a:headEnd type="none" w="med" len="med"/>
                                  <a:tailEnd type="stealth" w="sm" len="sm"/>
                                </a:ln>
                              </wps:spPr>
                              <wps:bodyPr/>
                            </wps:wsp>
                            <wps:wsp>
                              <wps:cNvPr id="9" name="矩形 9"/>
                              <wps:cNvSpPr/>
                              <wps:spPr>
                                <a:xfrm>
                                  <a:off x="6642" y="980802"/>
                                  <a:ext cx="1248" cy="429"/>
                                </a:xfrm>
                                <a:prstGeom prst="rect">
                                  <a:avLst/>
                                </a:prstGeom>
                                <a:noFill/>
                                <a:ln w="6350" cap="flat" cmpd="sng">
                                  <a:solidFill>
                                    <a:srgbClr val="000000"/>
                                  </a:solidFill>
                                  <a:prstDash val="solid"/>
                                  <a:miter/>
                                  <a:headEnd type="none" w="med" len="med"/>
                                  <a:tailEnd type="none" w="med" len="med"/>
                                </a:ln>
                              </wps:spPr>
                              <wps:txbx>
                                <w:txbxContent>
                                  <w:p>
                                    <w:pPr>
                                      <w:widowControl/>
                                      <w:spacing w:line="0" w:lineRule="atLeast"/>
                                      <w:jc w:val="center"/>
                                      <w:rPr>
                                        <w:rFonts w:hint="eastAsia" w:hAnsi="宋体" w:eastAsia="宋体"/>
                                        <w:kern w:val="0"/>
                                        <w:sz w:val="24"/>
                                        <w:lang w:eastAsia="zh-CN"/>
                                      </w:rPr>
                                    </w:pPr>
                                    <w:r>
                                      <w:rPr>
                                        <w:rFonts w:hint="eastAsia" w:ascii="Times New Roman" w:hAnsi="宋体"/>
                                        <w:szCs w:val="21"/>
                                        <w:lang w:val="en-US" w:eastAsia="zh-CN"/>
                                      </w:rPr>
                                      <w:t>泥浆罐</w:t>
                                    </w:r>
                                  </w:p>
                                </w:txbxContent>
                              </wps:txbx>
                              <wps:bodyPr upright="1"/>
                            </wps:wsp>
                            <wps:wsp>
                              <wps:cNvPr id="10" name="直接箭头连接符 10"/>
                              <wps:cNvCnPr/>
                              <wps:spPr>
                                <a:xfrm flipV="1">
                                  <a:off x="7124" y="980615"/>
                                  <a:ext cx="308" cy="183"/>
                                </a:xfrm>
                                <a:prstGeom prst="straightConnector1">
                                  <a:avLst/>
                                </a:prstGeom>
                                <a:ln w="6350" cap="flat" cmpd="sng">
                                  <a:solidFill>
                                    <a:srgbClr val="000000"/>
                                  </a:solidFill>
                                  <a:prstDash val="dashDot"/>
                                  <a:round/>
                                  <a:headEnd type="none" w="med" len="med"/>
                                  <a:tailEnd type="stealth" w="sm" len="sm"/>
                                </a:ln>
                              </wps:spPr>
                              <wps:bodyPr/>
                            </wps:wsp>
                            <wps:wsp>
                              <wps:cNvPr id="104" name="文本框 104"/>
                              <wps:cNvSpPr txBox="1"/>
                              <wps:spPr>
                                <a:xfrm>
                                  <a:off x="7336" y="980471"/>
                                  <a:ext cx="694" cy="366"/>
                                </a:xfrm>
                                <a:prstGeom prst="rect">
                                  <a:avLst/>
                                </a:prstGeom>
                                <a:noFill/>
                                <a:ln w="6350">
                                  <a:noFill/>
                                </a:ln>
                              </wps:spPr>
                              <wps:txbx>
                                <w:txbxContent>
                                  <w:p>
                                    <w:pPr>
                                      <w:widowControl/>
                                      <w:rPr>
                                        <w:rFonts w:hint="default" w:ascii="Times New Roman" w:eastAsia="宋体"/>
                                        <w:szCs w:val="21"/>
                                        <w:lang w:val="en-US" w:eastAsia="zh-CN"/>
                                      </w:rPr>
                                    </w:pPr>
                                    <w:r>
                                      <w:rPr>
                                        <w:rFonts w:hint="eastAsia" w:ascii="Times New Roman"/>
                                        <w:szCs w:val="21"/>
                                        <w:lang w:val="en-US" w:eastAsia="zh-CN"/>
                                      </w:rPr>
                                      <w:t>189</w:t>
                                    </w:r>
                                  </w:p>
                                </w:txbxContent>
                              </wps:txbx>
                              <wps:bodyPr upright="1"/>
                            </wps:wsp>
                            <wps:wsp>
                              <wps:cNvPr id="105" name="直接箭头连接符 105"/>
                              <wps:cNvCnPr/>
                              <wps:spPr>
                                <a:xfrm flipH="1">
                                  <a:off x="7277" y="981236"/>
                                  <a:ext cx="0" cy="344"/>
                                </a:xfrm>
                                <a:prstGeom prst="straightConnector1">
                                  <a:avLst/>
                                </a:prstGeom>
                                <a:ln w="6350" cap="flat" cmpd="sng">
                                  <a:solidFill>
                                    <a:srgbClr val="000000"/>
                                  </a:solidFill>
                                  <a:prstDash val="dash"/>
                                  <a:round/>
                                  <a:headEnd type="none" w="med" len="med"/>
                                  <a:tailEnd type="none" w="sm" len="sm"/>
                                </a:ln>
                              </wps:spPr>
                              <wps:bodyPr/>
                            </wps:wsp>
                            <wps:wsp>
                              <wps:cNvPr id="107" name="直接箭头连接符 107"/>
                              <wps:cNvCnPr/>
                              <wps:spPr>
                                <a:xfrm>
                                  <a:off x="5218" y="981574"/>
                                  <a:ext cx="2074" cy="0"/>
                                </a:xfrm>
                                <a:prstGeom prst="straightConnector1">
                                  <a:avLst/>
                                </a:prstGeom>
                                <a:ln w="6350" cap="flat" cmpd="sng">
                                  <a:solidFill>
                                    <a:srgbClr val="000000"/>
                                  </a:solidFill>
                                  <a:prstDash val="dash"/>
                                  <a:round/>
                                  <a:headEnd type="none" w="med" len="med"/>
                                  <a:tailEnd type="none" w="sm" len="sm"/>
                                </a:ln>
                              </wps:spPr>
                              <wps:bodyPr/>
                            </wps:wsp>
                            <wps:wsp>
                              <wps:cNvPr id="108" name="文本框 108"/>
                              <wps:cNvSpPr txBox="1"/>
                              <wps:spPr>
                                <a:xfrm>
                                  <a:off x="3883" y="980707"/>
                                  <a:ext cx="761" cy="388"/>
                                </a:xfrm>
                                <a:prstGeom prst="rect">
                                  <a:avLst/>
                                </a:prstGeom>
                                <a:noFill/>
                                <a:ln w="6350">
                                  <a:noFill/>
                                </a:ln>
                              </wps:spPr>
                              <wps:txbx>
                                <w:txbxContent>
                                  <w:p>
                                    <w:pPr>
                                      <w:widowControl/>
                                      <w:rPr>
                                        <w:rFonts w:hint="default" w:ascii="Times New Roman" w:hAnsi="Times New Roman" w:eastAsia="宋体" w:cs="Times New Roman"/>
                                        <w:szCs w:val="21"/>
                                        <w:lang w:val="en-US" w:eastAsia="zh-CN"/>
                                      </w:rPr>
                                    </w:pPr>
                                    <w:r>
                                      <w:rPr>
                                        <w:rFonts w:hint="eastAsia" w:ascii="Times New Roman" w:cs="Times New Roman"/>
                                        <w:szCs w:val="21"/>
                                        <w:lang w:val="en-US" w:eastAsia="zh-CN"/>
                                      </w:rPr>
                                      <w:t>240</w:t>
                                    </w:r>
                                  </w:p>
                                </w:txbxContent>
                              </wps:txbx>
                              <wps:bodyPr upright="1"/>
                            </wps:wsp>
                            <wps:wsp>
                              <wps:cNvPr id="109" name="直接箭头连接符 109"/>
                              <wps:cNvCnPr/>
                              <wps:spPr>
                                <a:xfrm>
                                  <a:off x="4927" y="981231"/>
                                  <a:ext cx="0" cy="558"/>
                                </a:xfrm>
                                <a:prstGeom prst="straightConnector1">
                                  <a:avLst/>
                                </a:prstGeom>
                                <a:ln w="6350" cap="flat" cmpd="sng">
                                  <a:solidFill>
                                    <a:srgbClr val="000000"/>
                                  </a:solidFill>
                                  <a:prstDash val="solid"/>
                                  <a:round/>
                                  <a:headEnd type="none" w="med" len="med"/>
                                  <a:tailEnd type="stealth" w="sm" len="sm"/>
                                </a:ln>
                              </wps:spPr>
                              <wps:bodyPr/>
                            </wps:wsp>
                            <wps:wsp>
                              <wps:cNvPr id="110" name="文本框 110"/>
                              <wps:cNvSpPr txBox="1"/>
                              <wps:spPr>
                                <a:xfrm>
                                  <a:off x="3973" y="981683"/>
                                  <a:ext cx="2480" cy="414"/>
                                </a:xfrm>
                                <a:prstGeom prst="rect">
                                  <a:avLst/>
                                </a:prstGeom>
                                <a:noFill/>
                                <a:ln w="6350">
                                  <a:noFill/>
                                </a:ln>
                              </wps:spPr>
                              <wps:txbx>
                                <w:txbxContent>
                                  <w:p>
                                    <w:pPr>
                                      <w:keepNext w:val="0"/>
                                      <w:keepLines w:val="0"/>
                                      <w:pageBreakBefore w:val="0"/>
                                      <w:widowControl w:val="0"/>
                                      <w:kinsoku/>
                                      <w:wordWrap/>
                                      <w:overflowPunct/>
                                      <w:topLinePunct w:val="0"/>
                                      <w:bidi w:val="0"/>
                                      <w:adjustRightInd/>
                                      <w:snapToGrid/>
                                      <w:spacing w:before="0"/>
                                      <w:jc w:val="center"/>
                                      <w:textAlignment w:val="auto"/>
                                      <w:rPr>
                                        <w:rFonts w:hint="eastAsia"/>
                                      </w:rPr>
                                    </w:pPr>
                                    <w:r>
                                      <w:rPr>
                                        <w:rFonts w:hint="eastAsia"/>
                                        <w:lang w:val="en-US" w:eastAsia="zh-CN"/>
                                      </w:rPr>
                                      <w:t>井场周边洒水抑尘。</w:t>
                                    </w:r>
                                  </w:p>
                                </w:txbxContent>
                              </wps:txbx>
                              <wps:bodyPr upright="1"/>
                            </wps:wsp>
                            <wps:wsp>
                              <wps:cNvPr id="118" name="直接箭头连接符 118"/>
                              <wps:cNvCnPr/>
                              <wps:spPr>
                                <a:xfrm flipV="1">
                                  <a:off x="4931" y="982229"/>
                                  <a:ext cx="308" cy="183"/>
                                </a:xfrm>
                                <a:prstGeom prst="straightConnector1">
                                  <a:avLst/>
                                </a:prstGeom>
                                <a:ln w="6350" cap="flat" cmpd="sng">
                                  <a:solidFill>
                                    <a:srgbClr val="000000"/>
                                  </a:solidFill>
                                  <a:prstDash val="dashDot"/>
                                  <a:round/>
                                  <a:headEnd type="none" w="med" len="med"/>
                                  <a:tailEnd type="stealth" w="sm" len="sm"/>
                                </a:ln>
                              </wps:spPr>
                              <wps:bodyPr/>
                            </wps:wsp>
                            <wps:wsp>
                              <wps:cNvPr id="119" name="文本框 119"/>
                              <wps:cNvSpPr txBox="1"/>
                              <wps:spPr>
                                <a:xfrm>
                                  <a:off x="4374" y="981290"/>
                                  <a:ext cx="580" cy="389"/>
                                </a:xfrm>
                                <a:prstGeom prst="rect">
                                  <a:avLst/>
                                </a:prstGeom>
                                <a:noFill/>
                                <a:ln w="6350">
                                  <a:noFill/>
                                </a:ln>
                              </wps:spPr>
                              <wps:txbx>
                                <w:txbxContent>
                                  <w:p>
                                    <w:pPr>
                                      <w:widowControl/>
                                      <w:rPr>
                                        <w:rFonts w:hint="default" w:ascii="Times New Roman" w:hAnsi="Times New Roman" w:eastAsia="宋体" w:cs="Times New Roman"/>
                                        <w:szCs w:val="21"/>
                                        <w:lang w:val="en-US" w:eastAsia="zh-CN"/>
                                      </w:rPr>
                                    </w:pPr>
                                    <w:r>
                                      <w:rPr>
                                        <w:rFonts w:hint="eastAsia" w:ascii="Times New Roman" w:cs="Times New Roman"/>
                                        <w:szCs w:val="21"/>
                                        <w:lang w:val="en-US" w:eastAsia="zh-CN"/>
                                      </w:rPr>
                                      <w:t>51</w:t>
                                    </w:r>
                                  </w:p>
                                </w:txbxContent>
                              </wps:txbx>
                              <wps:bodyPr upright="1"/>
                            </wps:wsp>
                            <wps:wsp>
                              <wps:cNvPr id="120" name="文本框 120"/>
                              <wps:cNvSpPr txBox="1"/>
                              <wps:spPr>
                                <a:xfrm>
                                  <a:off x="5891" y="980681"/>
                                  <a:ext cx="833" cy="405"/>
                                </a:xfrm>
                                <a:prstGeom prst="rect">
                                  <a:avLst/>
                                </a:prstGeom>
                                <a:noFill/>
                                <a:ln w="6350">
                                  <a:noFill/>
                                </a:ln>
                              </wps:spPr>
                              <wps:txbx>
                                <w:txbxContent>
                                  <w:p>
                                    <w:pPr>
                                      <w:widowControl/>
                                      <w:rPr>
                                        <w:rFonts w:hint="default" w:ascii="Times New Roman" w:eastAsia="宋体"/>
                                        <w:szCs w:val="21"/>
                                        <w:highlight w:val="none"/>
                                        <w:lang w:val="en-US" w:eastAsia="zh-CN"/>
                                      </w:rPr>
                                    </w:pPr>
                                    <w:r>
                                      <w:rPr>
                                        <w:rFonts w:hint="eastAsia" w:ascii="Times New Roman"/>
                                        <w:szCs w:val="21"/>
                                        <w:highlight w:val="none"/>
                                        <w:lang w:val="en-US" w:eastAsia="zh-CN"/>
                                      </w:rPr>
                                      <w:t>4989</w:t>
                                    </w:r>
                                  </w:p>
                                </w:txbxContent>
                              </wps:txbx>
                              <wps:bodyPr upright="1"/>
                            </wps:wsp>
                            <wps:wsp>
                              <wps:cNvPr id="121" name="文本框 121"/>
                              <wps:cNvSpPr txBox="1"/>
                              <wps:spPr>
                                <a:xfrm>
                                  <a:off x="5880" y="981241"/>
                                  <a:ext cx="812" cy="378"/>
                                </a:xfrm>
                                <a:prstGeom prst="rect">
                                  <a:avLst/>
                                </a:prstGeom>
                                <a:noFill/>
                                <a:ln w="6350">
                                  <a:noFill/>
                                </a:ln>
                              </wps:spPr>
                              <wps:txbx>
                                <w:txbxContent>
                                  <w:p>
                                    <w:pPr>
                                      <w:widowControl/>
                                      <w:rPr>
                                        <w:rFonts w:hint="default" w:ascii="Times New Roman" w:eastAsia="宋体"/>
                                        <w:szCs w:val="21"/>
                                        <w:lang w:val="en-US" w:eastAsia="zh-CN"/>
                                      </w:rPr>
                                    </w:pPr>
                                    <w:r>
                                      <w:rPr>
                                        <w:rFonts w:hint="eastAsia" w:ascii="Times New Roman"/>
                                        <w:szCs w:val="21"/>
                                        <w:lang w:val="en-US" w:eastAsia="zh-CN"/>
                                      </w:rPr>
                                      <w:t>4800</w:t>
                                    </w:r>
                                  </w:p>
                                </w:txbxContent>
                              </wps:txbx>
                              <wps:bodyPr upright="1"/>
                            </wps:wsp>
                            <wps:wsp>
                              <wps:cNvPr id="21" name="直接箭头连接符 11"/>
                              <wps:cNvCnPr/>
                              <wps:spPr>
                                <a:xfrm flipH="1">
                                  <a:off x="9301" y="979238"/>
                                  <a:ext cx="0" cy="344"/>
                                </a:xfrm>
                                <a:prstGeom prst="straightConnector1">
                                  <a:avLst/>
                                </a:prstGeom>
                                <a:ln w="6350" cap="flat" cmpd="sng">
                                  <a:solidFill>
                                    <a:srgbClr val="000000"/>
                                  </a:solidFill>
                                  <a:prstDash val="solid"/>
                                  <a:round/>
                                  <a:headEnd type="none" w="med" len="med"/>
                                  <a:tailEnd type="none" w="sm" len="sm"/>
                                </a:ln>
                              </wps:spPr>
                              <wps:bodyPr/>
                            </wps:wsp>
                            <wps:wsp>
                              <wps:cNvPr id="22" name="直接箭头连接符 12"/>
                              <wps:cNvCnPr/>
                              <wps:spPr>
                                <a:xfrm>
                                  <a:off x="5283" y="979575"/>
                                  <a:ext cx="4024" cy="0"/>
                                </a:xfrm>
                                <a:prstGeom prst="straightConnector1">
                                  <a:avLst/>
                                </a:prstGeom>
                                <a:ln w="6350" cap="flat" cmpd="sng">
                                  <a:solidFill>
                                    <a:srgbClr val="000000"/>
                                  </a:solidFill>
                                  <a:prstDash val="solid"/>
                                  <a:round/>
                                  <a:headEnd type="none" w="med" len="med"/>
                                  <a:tailEnd type="none" w="sm" len="sm"/>
                                </a:ln>
                              </wps:spPr>
                              <wps:bodyPr/>
                            </wps:wsp>
                            <wps:wsp>
                              <wps:cNvPr id="23" name="直接箭头连接符 23"/>
                              <wps:cNvCnPr/>
                              <wps:spPr>
                                <a:xfrm flipH="1">
                                  <a:off x="5274" y="979245"/>
                                  <a:ext cx="0" cy="344"/>
                                </a:xfrm>
                                <a:prstGeom prst="straightConnector1">
                                  <a:avLst/>
                                </a:prstGeom>
                                <a:ln w="6350" cap="flat" cmpd="sng">
                                  <a:solidFill>
                                    <a:srgbClr val="000000"/>
                                  </a:solidFill>
                                  <a:prstDash val="solid"/>
                                  <a:round/>
                                  <a:headEnd type="triangle" w="med" len="med"/>
                                  <a:tailEnd type="none" w="sm" len="sm"/>
                                </a:ln>
                              </wps:spPr>
                              <wps:bodyPr/>
                            </wps:wsp>
                            <wps:wsp>
                              <wps:cNvPr id="24" name="文本框 24"/>
                              <wps:cNvSpPr txBox="1"/>
                              <wps:spPr>
                                <a:xfrm>
                                  <a:off x="5780" y="979260"/>
                                  <a:ext cx="981" cy="367"/>
                                </a:xfrm>
                                <a:prstGeom prst="rect">
                                  <a:avLst/>
                                </a:prstGeom>
                                <a:noFill/>
                                <a:ln w="6350">
                                  <a:noFill/>
                                </a:ln>
                              </wps:spPr>
                              <wps:txbx>
                                <w:txbxContent>
                                  <w:p>
                                    <w:pPr>
                                      <w:widowControl/>
                                      <w:jc w:val="center"/>
                                      <w:rPr>
                                        <w:rFonts w:hint="default" w:ascii="Times New Roman" w:hAnsi="Times New Roman" w:eastAsia="宋体" w:cs="Times New Roman"/>
                                        <w:szCs w:val="21"/>
                                        <w:lang w:val="en-US" w:eastAsia="zh-CN"/>
                                      </w:rPr>
                                    </w:pPr>
                                    <w:r>
                                      <w:rPr>
                                        <w:rFonts w:hint="eastAsia" w:ascii="Times New Roman" w:cs="Times New Roman"/>
                                        <w:szCs w:val="21"/>
                                        <w:lang w:val="en-US" w:eastAsia="zh-CN"/>
                                      </w:rPr>
                                      <w:t>4774</w:t>
                                    </w:r>
                                  </w:p>
                                </w:txbxContent>
                              </wps:txbx>
                              <wps:bodyPr upright="1"/>
                            </wps:wsp>
                            <wpg:grpSp>
                              <wpg:cNvPr id="34" name="组合 34"/>
                              <wpg:cNvGrpSpPr/>
                              <wpg:grpSpPr>
                                <a:xfrm>
                                  <a:off x="3864" y="979646"/>
                                  <a:ext cx="6773" cy="954"/>
                                  <a:chOff x="3864" y="979646"/>
                                  <a:chExt cx="6773" cy="954"/>
                                </a:xfrm>
                              </wpg:grpSpPr>
                              <wps:wsp>
                                <wps:cNvPr id="89" name="文本框 89"/>
                                <wps:cNvSpPr txBox="1"/>
                                <wps:spPr>
                                  <a:xfrm>
                                    <a:off x="6547" y="979906"/>
                                    <a:ext cx="4090" cy="694"/>
                                  </a:xfrm>
                                  <a:prstGeom prst="rect">
                                    <a:avLst/>
                                  </a:prstGeom>
                                  <a:noFill/>
                                  <a:ln w="6350">
                                    <a:noFill/>
                                  </a:ln>
                                </wps:spPr>
                                <wps:txbx>
                                  <w:txbxContent>
                                    <w:p>
                                      <w:pPr>
                                        <w:keepNext w:val="0"/>
                                        <w:keepLines w:val="0"/>
                                        <w:pageBreakBefore w:val="0"/>
                                        <w:widowControl w:val="0"/>
                                        <w:kinsoku/>
                                        <w:wordWrap/>
                                        <w:overflowPunct/>
                                        <w:topLinePunct w:val="0"/>
                                        <w:bidi w:val="0"/>
                                        <w:adjustRightInd/>
                                        <w:snapToGrid/>
                                        <w:spacing w:before="0"/>
                                        <w:textAlignment w:val="auto"/>
                                        <w:rPr>
                                          <w:rFonts w:hint="default" w:ascii="Times New Roman" w:hAnsi="Times New Roman" w:cs="Times New Roman"/>
                                        </w:rPr>
                                      </w:pPr>
                                      <w:r>
                                        <w:rPr>
                                          <w:rFonts w:hint="default" w:ascii="Times New Roman" w:hAnsi="Times New Roman" w:cs="Times New Roman"/>
                                          <w:lang w:val="en-US" w:eastAsia="zh-CN"/>
                                        </w:rPr>
                                        <w:t>在井场加碱中和后，采用专用废液收集罐，定期运至塔里木油田富源7环保处理站。</w:t>
                                      </w:r>
                                    </w:p>
                                  </w:txbxContent>
                                </wps:txbx>
                                <wps:bodyPr upright="1"/>
                              </wps:wsp>
                              <wps:wsp>
                                <wps:cNvPr id="95" name="矩形 95"/>
                                <wps:cNvSpPr/>
                                <wps:spPr>
                                  <a:xfrm>
                                    <a:off x="4560" y="980101"/>
                                    <a:ext cx="1378" cy="410"/>
                                  </a:xfrm>
                                  <a:prstGeom prst="rect">
                                    <a:avLst/>
                                  </a:prstGeom>
                                  <a:noFill/>
                                  <a:ln w="6350" cap="flat" cmpd="sng">
                                    <a:solidFill>
                                      <a:srgbClr val="000000"/>
                                    </a:solidFill>
                                    <a:prstDash val="solid"/>
                                    <a:miter/>
                                    <a:headEnd type="none" w="med" len="med"/>
                                    <a:tailEnd type="none" w="med" len="med"/>
                                  </a:ln>
                                </wps:spPr>
                                <wps:txbx>
                                  <w:txbxContent>
                                    <w:p>
                                      <w:pPr>
                                        <w:spacing w:line="0" w:lineRule="atLeast"/>
                                        <w:jc w:val="center"/>
                                      </w:pPr>
                                      <w:r>
                                        <w:rPr>
                                          <w:rFonts w:hint="eastAsia" w:hAnsi="宋体" w:cs="宋体"/>
                                          <w:spacing w:val="-20"/>
                                          <w:szCs w:val="21"/>
                                        </w:rPr>
                                        <w:t>酸化压裂用水</w:t>
                                      </w:r>
                                    </w:p>
                                  </w:txbxContent>
                                </wps:txbx>
                                <wps:bodyPr upright="1"/>
                              </wps:wsp>
                              <wps:wsp>
                                <wps:cNvPr id="98" name="文本框 98"/>
                                <wps:cNvSpPr txBox="1"/>
                                <wps:spPr>
                                  <a:xfrm>
                                    <a:off x="3864" y="979946"/>
                                    <a:ext cx="765" cy="389"/>
                                  </a:xfrm>
                                  <a:prstGeom prst="rect">
                                    <a:avLst/>
                                  </a:prstGeom>
                                  <a:noFill/>
                                  <a:ln w="6350">
                                    <a:noFill/>
                                  </a:ln>
                                </wps:spPr>
                                <wps:txbx>
                                  <w:txbxContent>
                                    <w:p>
                                      <w:pPr>
                                        <w:widowControl/>
                                        <w:rPr>
                                          <w:rFonts w:hint="eastAsia" w:ascii="Times New Roman" w:hAnsi="Times New Roman" w:eastAsia="宋体" w:cs="Times New Roman"/>
                                          <w:szCs w:val="21"/>
                                          <w:lang w:val="en-US" w:eastAsia="zh-CN"/>
                                        </w:rPr>
                                      </w:pPr>
                                      <w:r>
                                        <w:rPr>
                                          <w:rFonts w:hint="eastAsia" w:ascii="Times New Roman" w:cs="Times New Roman"/>
                                          <w:szCs w:val="21"/>
                                          <w:lang w:val="en-US" w:eastAsia="zh-CN"/>
                                        </w:rPr>
                                        <w:t>1200</w:t>
                                      </w:r>
                                    </w:p>
                                  </w:txbxContent>
                                </wps:txbx>
                                <wps:bodyPr upright="1"/>
                              </wps:wsp>
                              <wps:wsp>
                                <wps:cNvPr id="30" name="直接箭头连接符 118"/>
                                <wps:cNvCnPr/>
                                <wps:spPr>
                                  <a:xfrm flipV="1">
                                    <a:off x="5519" y="979929"/>
                                    <a:ext cx="309" cy="184"/>
                                  </a:xfrm>
                                  <a:prstGeom prst="straightConnector1">
                                    <a:avLst/>
                                  </a:prstGeom>
                                  <a:ln w="6350" cap="flat" cmpd="sng">
                                    <a:solidFill>
                                      <a:srgbClr val="000000"/>
                                    </a:solidFill>
                                    <a:prstDash val="dashDot"/>
                                    <a:round/>
                                    <a:headEnd type="none" w="med" len="med"/>
                                    <a:tailEnd type="stealth" w="sm" len="sm"/>
                                  </a:ln>
                                </wps:spPr>
                                <wps:bodyPr/>
                              </wps:wsp>
                              <wps:wsp>
                                <wps:cNvPr id="40" name="文本框 28"/>
                                <wps:cNvSpPr txBox="1"/>
                                <wps:spPr>
                                  <a:xfrm>
                                    <a:off x="5643" y="979646"/>
                                    <a:ext cx="671" cy="420"/>
                                  </a:xfrm>
                                  <a:prstGeom prst="rect">
                                    <a:avLst/>
                                  </a:prstGeom>
                                  <a:noFill/>
                                  <a:ln w="6350">
                                    <a:noFill/>
                                  </a:ln>
                                </wps:spPr>
                                <wps:txbx>
                                  <w:txbxContent>
                                    <w:p>
                                      <w:pPr>
                                        <w:widowControl/>
                                        <w:rPr>
                                          <w:rFonts w:hint="default" w:ascii="Times New Roman" w:eastAsia="宋体"/>
                                          <w:szCs w:val="21"/>
                                          <w:lang w:val="en-US" w:eastAsia="zh-CN"/>
                                        </w:rPr>
                                      </w:pPr>
                                      <w:r>
                                        <w:rPr>
                                          <w:rFonts w:hint="eastAsia" w:ascii="Times New Roman"/>
                                          <w:szCs w:val="21"/>
                                          <w:lang w:val="en-US" w:eastAsia="zh-CN"/>
                                        </w:rPr>
                                        <w:t>200</w:t>
                                      </w:r>
                                    </w:p>
                                  </w:txbxContent>
                                </wps:txbx>
                                <wps:bodyPr upright="1"/>
                              </wps:wsp>
                              <wps:wsp>
                                <wps:cNvPr id="44" name="文本框 29"/>
                                <wps:cNvSpPr txBox="1"/>
                                <wps:spPr>
                                  <a:xfrm>
                                    <a:off x="5885" y="980001"/>
                                    <a:ext cx="780" cy="434"/>
                                  </a:xfrm>
                                  <a:prstGeom prst="rect">
                                    <a:avLst/>
                                  </a:prstGeom>
                                  <a:noFill/>
                                  <a:ln w="6350">
                                    <a:noFill/>
                                  </a:ln>
                                </wps:spPr>
                                <wps:txbx>
                                  <w:txbxContent>
                                    <w:p>
                                      <w:pPr>
                                        <w:widowControl/>
                                        <w:rPr>
                                          <w:rFonts w:hint="default" w:ascii="Times New Roman" w:eastAsia="宋体"/>
                                          <w:szCs w:val="21"/>
                                          <w:lang w:val="en-US" w:eastAsia="zh-CN"/>
                                        </w:rPr>
                                      </w:pPr>
                                      <w:r>
                                        <w:rPr>
                                          <w:rFonts w:hint="eastAsia" w:ascii="Times New Roman"/>
                                          <w:szCs w:val="21"/>
                                          <w:lang w:val="en-US" w:eastAsia="zh-CN"/>
                                        </w:rPr>
                                        <w:t>1000</w:t>
                                      </w:r>
                                    </w:p>
                                  </w:txbxContent>
                                </wps:txbx>
                                <wps:bodyPr upright="1"/>
                              </wps:wsp>
                            </wpg:grpSp>
                          </wpg:wgp>
                        </a:graphicData>
                      </a:graphic>
                    </wp:anchor>
                  </w:drawing>
                </mc:Choice>
                <mc:Fallback>
                  <w:pict>
                    <v:group id="_x0000_s1026" o:spid="_x0000_s1026" o:spt="203" style="position:absolute;left:0pt;margin-left:13.7pt;margin-top:0.85pt;height:229.7pt;width:402.95pt;mso-wrap-distance-bottom:0pt;mso-wrap-distance-top:0pt;z-index:251669504;mso-width-relative:page;mso-height-relative:page;" coordorigin="2578,978348" coordsize="8059,4594" o:gfxdata="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">
                      <o:lock v:ext="edit" aspectratio="f"/>
                      <v:shape id="_x0000_s1026" o:spid="_x0000_s1026" o:spt="202" type="#_x0000_t202" style="position:absolute;left:2578;top:980118;height:428;width:963;" filled="f" stroked="f" coordsize="21600,21600" o:gfxdata="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vusIL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widowControl/>
                                <w:jc w:val="center"/>
                                <w:rPr>
                                  <w:rFonts w:hAnsi="宋体"/>
                                  <w:kern w:val="0"/>
                                  <w:sz w:val="24"/>
                                </w:rPr>
                              </w:pPr>
                              <w:r>
                                <w:rPr>
                                  <w:rFonts w:hint="eastAsia" w:ascii="Times New Roman" w:hAnsi="宋体"/>
                                  <w:szCs w:val="21"/>
                                </w:rPr>
                                <w:t>新鲜水</w:t>
                              </w:r>
                            </w:p>
                          </w:txbxContent>
                        </v:textbox>
                      </v:shape>
                      <v:rect id="_x0000_s1026" o:spid="_x0000_s1026" o:spt="1" style="position:absolute;left:8149;top:982398;height:453;width:2200;" filled="f" stroked="f" coordsize="21600,21600" o:gfxdata="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5oDcp&#10;wAAAANs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jc w:val="center"/>
                                <w:rPr>
                                  <w:rFonts w:hint="default" w:hAnsi="宋体" w:cs="宋体"/>
                                  <w:szCs w:val="21"/>
                                  <w:lang w:val="en-US" w:eastAsia="zh-CN"/>
                                </w:rPr>
                              </w:pPr>
                              <w:r>
                                <w:rPr>
                                  <w:rFonts w:hint="eastAsia" w:hAnsi="宋体" w:cs="宋体"/>
                                  <w:szCs w:val="21"/>
                                  <w:lang w:val="en-US" w:eastAsia="zh-CN"/>
                                </w:rPr>
                                <w:t>用于荒漠生态恢复</w:t>
                              </w:r>
                            </w:p>
                          </w:txbxContent>
                        </v:textbox>
                      </v:rect>
                      <v:shape id="_x0000_s1026" o:spid="_x0000_s1026" o:spt="32" type="#_x0000_t32" style="position:absolute;left:3430;top:980330;height:2;width:461;" filled="f" stroked="t" coordsize="21600,21600" o:gfxdata="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KhjJi/&#10;AAAA2wAAAA8AAAAAAAAAAQAgAAAAIgAAAGRycy9kb3ducmV2LnhtbFBLAQIUABQAAAAIAIdO4kAz&#10;LwWeOwAAADkAAAAQAAAAAAAAAAEAIAAAAA4BAABkcnMvc2hhcGV4bWwueG1sUEsFBgAAAAAGAAYA&#10;WwEAALgDAAAAAA==&#10;">
                        <v:fill on="f" focussize="0,0"/>
                        <v:stroke weight="0.5pt" color="#000000" joinstyle="round" endarrow="classic" endarrowwidth="narrow" endarrowlength="short"/>
                        <v:imagedata o:title=""/>
                        <o:lock v:ext="edit" aspectratio="f"/>
                      </v:shape>
                      <v:rect id="矩形 73" o:spid="_x0000_s1026" o:spt="1" style="position:absolute;left:4468;top:982435;height:457;width:1250;" filled="f" stroked="t" coordsize="21600,21600" o:gfxdata="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tI6lC5AAAA2wAA&#10;AA8AAAAAAAAAAQAgAAAAIgAAAGRycy9kb3ducmV2LnhtbFBLAQIUABQAAAAIAIdO4kAzLwWeOwAA&#10;ADkAAAAQAAAAAAAAAAEAIAAAAAgBAABkcnMvc2hhcGV4bWwueG1sUEsFBgAAAAAGAAYAWwEAALID&#10;AAAAAA==&#10;">
                        <v:fill on="f" focussize="0,0"/>
                        <v:stroke weight="0.5pt" color="#000000" joinstyle="miter"/>
                        <v:imagedata o:title=""/>
                        <o:lock v:ext="edit" aspectratio="f"/>
                        <v:textbox>
                          <w:txbxContent>
                            <w:p>
                              <w:pPr>
                                <w:widowControl/>
                                <w:spacing w:line="0" w:lineRule="atLeast"/>
                                <w:jc w:val="center"/>
                                <w:rPr>
                                  <w:rFonts w:hAnsi="宋体"/>
                                  <w:kern w:val="0"/>
                                  <w:sz w:val="24"/>
                                </w:rPr>
                              </w:pPr>
                              <w:r>
                                <w:rPr>
                                  <w:rFonts w:hint="eastAsia" w:ascii="Times New Roman" w:hAnsi="宋体"/>
                                  <w:szCs w:val="21"/>
                                </w:rPr>
                                <w:t>生活用水</w:t>
                              </w:r>
                            </w:p>
                          </w:txbxContent>
                        </v:textbox>
                      </v:rect>
                      <v:shape id="_x0000_s1026" o:spid="_x0000_s1026" o:spt="202" type="#_x0000_t202" style="position:absolute;left:3844;top:982332;height:374;width:760;" filled="f" stroked="f" coordsize="21600,21600" o:gfxdata="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cCqI7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widowControl/>
                                <w:rPr>
                                  <w:rFonts w:hint="default" w:hAnsi="宋体" w:eastAsia="宋体"/>
                                  <w:kern w:val="0"/>
                                  <w:sz w:val="24"/>
                                  <w:lang w:val="en-US" w:eastAsia="zh-CN"/>
                                </w:rPr>
                              </w:pPr>
                              <w:r>
                                <w:rPr>
                                  <w:rFonts w:hint="eastAsia" w:ascii="Times New Roman"/>
                                  <w:szCs w:val="21"/>
                                  <w:lang w:val="en-US" w:eastAsia="zh-CN"/>
                                </w:rPr>
                                <w:t>1140</w:t>
                              </w:r>
                            </w:p>
                          </w:txbxContent>
                        </v:textbox>
                      </v:shape>
                      <v:shape id="_x0000_s1026" o:spid="_x0000_s1026" o:spt="32" type="#_x0000_t32" style="position:absolute;left:7456;top:982640;height:6;width:923;" filled="f" stroked="t" coordsize="21600,21600" o:gfxdata="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gU7L4A&#10;AADbAAAADwAAAAAAAAABACAAAAAiAAAAZHJzL2Rvd25yZXYueG1sUEsBAhQAFAAAAAgAh07iQDMv&#10;BZ47AAAAOQAAABAAAAAAAAAAAQAgAAAADQEAAGRycy9zaGFwZXhtbC54bWxQSwUGAAAAAAYABgBb&#10;AQAAtwMAAAAA&#10;">
                        <v:fill on="f" focussize="0,0"/>
                        <v:stroke weight="0.5pt" color="#000000" joinstyle="round" endarrow="classic" endarrowwidth="narrow" endarrowlength="short"/>
                        <v:imagedata o:title=""/>
                        <o:lock v:ext="edit" aspectratio="f"/>
                      </v:shape>
                      <v:shape id="_x0000_s1026" o:spid="_x0000_s1026" o:spt="202" type="#_x0000_t202" style="position:absolute;left:5696;top:982332;height:355;width:632;" filled="f" stroked="f" coordsize="21600,21600" o:gfxdata="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ekc+/&#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widowControl/>
                                <w:rPr>
                                  <w:rFonts w:hint="default" w:ascii="Times New Roman" w:hAnsi="Times New Roman" w:eastAsia="宋体" w:cs="Times New Roman"/>
                                  <w:szCs w:val="21"/>
                                  <w:lang w:val="en-US" w:eastAsia="zh-CN"/>
                                </w:rPr>
                              </w:pPr>
                              <w:r>
                                <w:rPr>
                                  <w:rFonts w:hint="eastAsia" w:ascii="Times New Roman" w:cs="Times New Roman"/>
                                  <w:szCs w:val="21"/>
                                  <w:lang w:val="en-US" w:eastAsia="zh-CN"/>
                                </w:rPr>
                                <w:t>912</w:t>
                              </w:r>
                            </w:p>
                          </w:txbxContent>
                        </v:textbox>
                      </v:shape>
                      <v:shape id="_x0000_s1026" o:spid="_x0000_s1026" o:spt="202" type="#_x0000_t202" style="position:absolute;left:3257;top:979973;height:398;width:837;" filled="f" stroked="f" coordsize="21600,21600" o:gfxdata="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kSNFS/&#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widowControl/>
                                <w:rPr>
                                  <w:rFonts w:hint="default" w:ascii="Times New Roman" w:hAnsi="Times New Roman" w:eastAsia="宋体" w:cs="Times New Roman"/>
                                  <w:szCs w:val="21"/>
                                  <w:lang w:val="en-US" w:eastAsia="zh-CN"/>
                                </w:rPr>
                              </w:pPr>
                              <w:r>
                                <w:rPr>
                                  <w:rFonts w:hint="eastAsia" w:ascii="Times New Roman" w:cs="Times New Roman"/>
                                  <w:i w:val="0"/>
                                  <w:iCs w:val="0"/>
                                  <w:color w:val="000000"/>
                                  <w:kern w:val="0"/>
                                  <w:sz w:val="21"/>
                                  <w:szCs w:val="21"/>
                                  <w:u w:val="none"/>
                                  <w:lang w:val="en-US" w:eastAsia="zh-CN" w:bidi="ar"/>
                                </w:rPr>
                                <w:t>2831</w:t>
                              </w:r>
                            </w:p>
                          </w:txbxContent>
                        </v:textbox>
                      </v:shape>
                      <v:shape id="_x0000_s1026" o:spid="_x0000_s1026" o:spt="32" type="#_x0000_t32" style="position:absolute;left:3888;top:982665;height:0;width:598;" filled="f" stroked="t" coordsize="21600,21600" o:gfxdata="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NJu3K8AAAA&#10;2wAAAA8AAAAAAAAAAQAgAAAAIgAAAGRycy9kb3ducmV2LnhtbFBLAQIUABQAAAAIAIdO4kAzLwWe&#10;OwAAADkAAAAQAAAAAAAAAAEAIAAAAAsBAABkcnMvc2hhcGV4bWwueG1sUEsFBgAAAAAGAAYAWwEA&#10;ALUDAAAAAA==&#10;">
                        <v:fill on="f" focussize="0,0"/>
                        <v:stroke weight="0.5pt" color="#000000" joinstyle="round" endarrow="classic" endarrowwidth="narrow" endarrowlength="short"/>
                        <v:imagedata o:title=""/>
                        <o:lock v:ext="edit" aspectratio="f"/>
                      </v:shape>
                      <v:shape id="_x0000_s1026" o:spid="_x0000_s1026" o:spt="202" type="#_x0000_t202" style="position:absolute;left:5100;top:982042;height:378;width:765;" filled="f" stroked="f" coordsize="21600,21600" o:gfxdata="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8EFv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widowControl/>
                                <w:rPr>
                                  <w:rFonts w:hint="default" w:ascii="Times New Roman" w:eastAsia="宋体"/>
                                  <w:szCs w:val="21"/>
                                  <w:lang w:val="en-US" w:eastAsia="zh-CN"/>
                                </w:rPr>
                              </w:pPr>
                              <w:r>
                                <w:rPr>
                                  <w:rFonts w:hint="eastAsia" w:ascii="Times New Roman"/>
                                  <w:szCs w:val="21"/>
                                  <w:lang w:val="en-US" w:eastAsia="zh-CN"/>
                                </w:rPr>
                                <w:t>228</w:t>
                              </w:r>
                            </w:p>
                          </w:txbxContent>
                        </v:textbox>
                      </v:shape>
                      <v:shape id="_x0000_s1026" o:spid="_x0000_s1026" o:spt="32" type="#_x0000_t32" style="position:absolute;left:5238;top:981232;flip:x y;height:344;width:0;" filled="f" stroked="t" coordsize="21600,21600" o:gfxdata="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M2h25AAAA2wAA&#10;AA8AAAAAAAAAAQAgAAAAIgAAAGRycy9kb3ducmV2LnhtbFBLAQIUABQAAAAIAIdO4kAzLwWeOwAA&#10;ADkAAAAQAAAAAAAAAAEAIAAAAAgBAABkcnMvc2hhcGV4bWwueG1sUEsFBgAAAAAGAAYAWwEAALID&#10;AAAAAA==&#10;">
                        <v:fill on="f" focussize="0,0"/>
                        <v:stroke weight="0.5pt" color="#000000" joinstyle="round" dashstyle="dashDot" endarrow="classic" endarrowwidth="narrow" endarrowlength="short"/>
                        <v:imagedata o:title=""/>
                        <o:lock v:ext="edit" aspectratio="f"/>
                      </v:shape>
                      <v:shape id="_x0000_s1026" o:spid="_x0000_s1026" o:spt="32" type="#_x0000_t32" style="position:absolute;left:3884;top:979079;height:3571;width:0;" filled="f" stroked="t" coordsize="21600,21600" o:gfxdata="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u4SdvQAA&#10;ANs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shape>
                      <v:shape id="_x0000_s1026" o:spid="_x0000_s1026" o:spt="32" type="#_x0000_t32" style="position:absolute;left:3907;top:979083;height:1;width:598;" filled="f" stroked="t" coordsize="21600,21600" o:gfxdata="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d0/L+/&#10;AAAA2wAAAA8AAAAAAAAAAQAgAAAAIgAAAGRycy9kb3ducmV2LnhtbFBLAQIUABQAAAAIAIdO4kAz&#10;LwWeOwAAADkAAAAQAAAAAAAAAAEAIAAAAA4BAABkcnMvc2hhcGV4bWwueG1sUEsFBgAAAAAGAAYA&#10;WwEAALgDAAAAAA==&#10;">
                        <v:fill on="f" focussize="0,0"/>
                        <v:stroke weight="0.5pt" color="#000000" joinstyle="round" endarrow="classic" endarrowwidth="narrow" endarrowlength="short"/>
                        <v:imagedata o:title=""/>
                        <o:lock v:ext="edit" aspectratio="f"/>
                      </v:shape>
                      <v:rect id="_x0000_s1026" o:spid="_x0000_s1026" o:spt="1" style="position:absolute;left:4527;top:978856;height:392;width:1356;" filled="f" stroked="t" coordsize="21600,21600" o:gfxdata="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38Kx28AAAA&#10;2wAAAA8AAAAAAAAAAQAgAAAAIgAAAGRycy9kb3ducmV2LnhtbFBLAQIUABQAAAAIAIdO4kAzLwWe&#10;OwAAADkAAAAQAAAAAAAAAAEAIAAAAAsBAABkcnMvc2hhcGV4bWwueG1sUEsFBgAAAAAGAAYAWwEA&#10;ALUDAAAAAA==&#10;">
                        <v:fill on="f" focussize="0,0"/>
                        <v:stroke weight="0.5pt" color="#000000" joinstyle="miter"/>
                        <v:imagedata o:title=""/>
                        <o:lock v:ext="edit" aspectratio="f"/>
                        <v:textbox>
                          <w:txbxContent>
                            <w:p>
                              <w:pPr>
                                <w:widowControl/>
                                <w:jc w:val="center"/>
                                <w:rPr>
                                  <w:rFonts w:hAnsi="宋体"/>
                                  <w:kern w:val="0"/>
                                  <w:sz w:val="24"/>
                                </w:rPr>
                              </w:pPr>
                              <w:r>
                                <w:rPr>
                                  <w:rFonts w:hint="eastAsia" w:ascii="Times New Roman" w:hAnsi="宋体"/>
                                  <w:szCs w:val="21"/>
                                </w:rPr>
                                <w:t>钻井用水</w:t>
                              </w:r>
                            </w:p>
                          </w:txbxContent>
                        </v:textbox>
                      </v:rect>
                      <v:shape id="_x0000_s1026" o:spid="_x0000_s1026" o:spt="202" type="#_x0000_t202" style="position:absolute;left:3801;top:978642;height:466;width:815;" filled="f" stroked="f" coordsize="21600,21600" o:gfxdata="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wV2gS/&#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widowControl/>
                                <w:rPr>
                                  <w:rFonts w:hint="default" w:ascii="Times New Roman" w:hAnsi="Times New Roman" w:eastAsia="宋体" w:cs="Times New Roman"/>
                                  <w:szCs w:val="21"/>
                                  <w:lang w:val="en-US" w:eastAsia="zh-CN"/>
                                </w:rPr>
                              </w:pPr>
                              <w:r>
                                <w:rPr>
                                  <w:rFonts w:hint="eastAsia" w:ascii="Times New Roman" w:cs="Times New Roman"/>
                                  <w:szCs w:val="21"/>
                                  <w:lang w:val="en-US" w:eastAsia="zh-CN"/>
                                </w:rPr>
                                <w:t>251</w:t>
                              </w:r>
                            </w:p>
                          </w:txbxContent>
                        </v:textbox>
                      </v:shape>
                      <v:shape id="_x0000_s1026" o:spid="_x0000_s1026" o:spt="32" type="#_x0000_t32" style="position:absolute;left:5892;top:979099;flip:y;height:2;width:691;" filled="f" stroked="t" coordsize="21600,21600" o:gfxdata="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5kCq8AAAA&#10;2wAAAA8AAAAAAAAAAQAgAAAAIgAAAGRycy9kb3ducmV2LnhtbFBLAQIUABQAAAAIAIdO4kAzLwWe&#10;OwAAADkAAAAQAAAAAAAAAAEAIAAAAAsBAABkcnMvc2hhcGV4bWwueG1sUEsFBgAAAAAGAAYAWwEA&#10;ALUDAAAAAA==&#10;">
                        <v:fill on="f" focussize="0,0"/>
                        <v:stroke weight="0.5pt" color="#000000" joinstyle="round" endarrow="classic" endarrowwidth="narrow" endarrowlength="short"/>
                        <v:imagedata o:title=""/>
                        <o:lock v:ext="edit" aspectratio="f"/>
                      </v:shape>
                      <v:rect id="_x0000_s1026" o:spid="_x0000_s1026" o:spt="1" style="position:absolute;left:6571;top:978687;height:661;width:1031;" filled="f" stroked="t" coordsize="21600,21600" o:gfxdata="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i4iFugAAANsA&#10;AAAPAAAAAAAAAAEAIAAAACIAAABkcnMvZG93bnJldi54bWxQSwECFAAUAAAACACHTuJAMy8FnjsA&#10;AAA5AAAAEAAAAAAAAAABACAAAAAJAQAAZHJzL3NoYXBleG1sLnhtbFBLBQYAAAAABgAGAFsBAACz&#10;AwAAAAA=&#10;">
                        <v:fill on="f" focussize="0,0"/>
                        <v:stroke weight="0.5pt" color="#000000" joinstyle="miter"/>
                        <v:imagedata o:title=""/>
                        <o:lock v:ext="edit" aspectratio="f"/>
                        <v:textbox>
                          <w:txbxContent>
                            <w:p>
                              <w:pPr>
                                <w:widowControl/>
                                <w:adjustRightInd w:val="0"/>
                                <w:snapToGrid w:val="0"/>
                                <w:jc w:val="center"/>
                                <w:rPr>
                                  <w:rFonts w:hAnsi="宋体"/>
                                  <w:kern w:val="0"/>
                                  <w:sz w:val="24"/>
                                </w:rPr>
                              </w:pPr>
                              <w:r>
                                <w:rPr>
                                  <w:rFonts w:hint="eastAsia" w:hAnsi="宋体" w:cs="宋体"/>
                                  <w:szCs w:val="21"/>
                                </w:rPr>
                                <w:t>不落地系统</w:t>
                              </w:r>
                            </w:p>
                          </w:txbxContent>
                        </v:textbox>
                      </v:rect>
                      <v:shape id="_x0000_s1026" o:spid="_x0000_s1026" o:spt="202" type="#_x0000_t202" style="position:absolute;left:8275;top:978797;height:442;width:2111;" filled="f" stroked="t" coordsize="21600,21600" o:gfxdata="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qkmD2/&#10;AAAA2wAAAA8AAAAAAAAAAQAgAAAAIgAAAGRycy9kb3ducmV2LnhtbFBLAQIUABQAAAAIAIdO4kAz&#10;LwWeOwAAADkAAAAQAAAAAAAAAAEAIAAAAA4BAABkcnMvc2hhcGV4bWwueG1sUEsFBgAAAAAGAAYA&#10;WwEAALgDAAAAAA==&#10;">
                        <v:fill on="f" focussize="0,0"/>
                        <v:stroke weight="0.5pt" color="#000000" joinstyle="miter"/>
                        <v:imagedata o:title=""/>
                        <o:lock v:ext="edit" aspectratio="f"/>
                        <v:textbox>
                          <w:txbxContent>
                            <w:p>
                              <w:pPr>
                                <w:widowControl/>
                                <w:rPr>
                                  <w:rFonts w:hAnsi="宋体"/>
                                  <w:kern w:val="0"/>
                                  <w:sz w:val="24"/>
                                  <w:szCs w:val="20"/>
                                </w:rPr>
                              </w:pPr>
                              <w:r>
                                <w:rPr>
                                  <w:rFonts w:hint="eastAsia" w:ascii="Times New Roman" w:hAnsi="宋体"/>
                                  <w:szCs w:val="21"/>
                                </w:rPr>
                                <w:t>回用于钻井液配制</w:t>
                              </w:r>
                            </w:p>
                          </w:txbxContent>
                        </v:textbox>
                      </v:shape>
                      <v:shape id="_x0000_s1026" o:spid="_x0000_s1026" o:spt="32" type="#_x0000_t32" style="position:absolute;left:7660;top:979066;height:0;width:608;" filled="f" stroked="t" coordsize="21600,21600" o:gfxdata="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pzLVbsAAADb&#10;AAAADwAAAAAAAAABACAAAAAiAAAAZHJzL2Rvd25yZXYueG1sUEsBAhQAFAAAAAgAh07iQDMvBZ47&#10;AAAAOQAAABAAAAAAAAAAAQAgAAAACgEAAGRycy9zaGFwZXhtbC54bWxQSwUGAAAAAAYABgBbAQAA&#10;tAMAAAAA&#10;">
                        <v:fill on="f" focussize="0,0"/>
                        <v:stroke weight="0.5pt" color="#000000" joinstyle="round" endarrow="classic" endarrowwidth="narrow" endarrowlength="short"/>
                        <v:imagedata o:title=""/>
                        <o:lock v:ext="edit" aspectratio="f"/>
                      </v:shape>
                      <v:shape id="_x0000_s1026" o:spid="_x0000_s1026" o:spt="32" type="#_x0000_t32" style="position:absolute;left:5091;top:978635;flip:y;height:183;width:308;" filled="f" stroked="t" coordsize="21600,21600" o:gfxdata="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P5jAG5AAAA2wAA&#10;AA8AAAAAAAAAAQAgAAAAIgAAAGRycy9kb3ducmV2LnhtbFBLAQIUABQAAAAIAIdO4kAzLwWeOwAA&#10;ADkAAAAQAAAAAAAAAAEAIAAAAAgBAABkcnMvc2hhcGV4bWwueG1sUEsFBgAAAAAGAAYAWwEAALID&#10;AAAAAA==&#10;">
                        <v:fill on="f" focussize="0,0"/>
                        <v:stroke weight="0.5pt" color="#000000" joinstyle="round" dashstyle="dashDot" endarrow="classic" endarrowwidth="narrow" endarrowlength="short"/>
                        <v:imagedata o:title=""/>
                        <o:lock v:ext="edit" aspectratio="f"/>
                      </v:shape>
                      <v:shape id="_x0000_s1026" o:spid="_x0000_s1026" o:spt="202" type="#_x0000_t202" style="position:absolute;left:5245;top:978348;height:379;width:1012;" filled="f" stroked="f" coordsize="21600,21600" o:gfxdata="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m770G/&#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widowControl/>
                                <w:rPr>
                                  <w:rFonts w:hint="default" w:ascii="Times New Roman" w:eastAsia="宋体"/>
                                  <w:szCs w:val="21"/>
                                  <w:lang w:val="en-US" w:eastAsia="zh-CN"/>
                                </w:rPr>
                              </w:pPr>
                              <w:r>
                                <w:rPr>
                                  <w:rFonts w:hint="eastAsia" w:ascii="Times New Roman"/>
                                  <w:szCs w:val="21"/>
                                  <w:lang w:val="en-US" w:eastAsia="zh-CN"/>
                                </w:rPr>
                                <w:t>251</w:t>
                              </w:r>
                            </w:p>
                          </w:txbxContent>
                        </v:textbox>
                      </v:shape>
                      <v:shape id="_x0000_s1026" o:spid="_x0000_s1026" o:spt="202" type="#_x0000_t202" style="position:absolute;left:5777;top:978729;height:362;width:889;" filled="f" stroked="f" coordsize="21600,21600" o:gfxdata="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lpcTa/&#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jc w:val="center"/>
                                <w:rPr>
                                  <w:rFonts w:hint="default" w:ascii="Times New Roman" w:hAnsi="Times New Roman" w:eastAsia="宋体" w:cs="Times New Roman"/>
                                  <w:sz w:val="24"/>
                                  <w:szCs w:val="24"/>
                                  <w:highlight w:val="none"/>
                                  <w:lang w:val="en-US" w:eastAsia="zh-CN"/>
                                </w:rPr>
                              </w:pPr>
                              <w:r>
                                <w:rPr>
                                  <w:rFonts w:hint="eastAsia" w:ascii="Times New Roman" w:cs="Times New Roman"/>
                                  <w:szCs w:val="21"/>
                                  <w:lang w:val="en-US" w:eastAsia="zh-CN"/>
                                </w:rPr>
                                <w:t>4774</w:t>
                              </w:r>
                            </w:p>
                          </w:txbxContent>
                        </v:textbox>
                      </v:shape>
                      <v:shape id="_x0000_s1026" o:spid="_x0000_s1026" o:spt="202" type="#_x0000_t202" style="position:absolute;left:7457;top:978686;height:366;width:981;" filled="f" stroked="f" coordsize="21600,21600" o:gfxdata="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iXUr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widowControl/>
                                <w:jc w:val="center"/>
                                <w:rPr>
                                  <w:rFonts w:hint="default" w:ascii="Times New Roman" w:hAnsi="Times New Roman" w:eastAsia="宋体" w:cs="Times New Roman"/>
                                  <w:szCs w:val="21"/>
                                  <w:lang w:val="en-US" w:eastAsia="zh-CN"/>
                                </w:rPr>
                              </w:pPr>
                              <w:r>
                                <w:rPr>
                                  <w:rFonts w:hint="eastAsia" w:ascii="Times New Roman" w:cs="Times New Roman"/>
                                  <w:szCs w:val="21"/>
                                  <w:lang w:val="en-US" w:eastAsia="zh-CN"/>
                                </w:rPr>
                                <w:t>4774</w:t>
                              </w:r>
                            </w:p>
                          </w:txbxContent>
                        </v:textbox>
                      </v:shape>
                      <v:shape id="_x0000_s1026" o:spid="_x0000_s1026" o:spt="32" type="#_x0000_t32" style="position:absolute;left:3899;top:980329;height:2;width:662;" filled="f" stroked="t" coordsize="21600,21600" o:gfxdata="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ghXjb4A&#10;AADbAAAADwAAAAAAAAABACAAAAAiAAAAZHJzL2Rvd25yZXYueG1sUEsBAhQAFAAAAAgAh07iQDMv&#10;BZ47AAAAOQAAABAAAAAAAAAAAQAgAAAADQEAAGRycy9zaGFwZXhtbC54bWxQSwUGAAAAAAYABgBb&#10;AQAAtwMAAAAA&#10;">
                        <v:fill on="f" focussize="0,0"/>
                        <v:stroke weight="0.5pt" color="#000000" joinstyle="round" endarrow="classic" endarrowwidth="narrow" endarrowlength="short"/>
                        <v:imagedata o:title=""/>
                        <o:lock v:ext="edit" aspectratio="f"/>
                      </v:shape>
                      <v:shape id="_x0000_s1026" o:spid="_x0000_s1026" o:spt="32" type="#_x0000_t32" style="position:absolute;left:5947;top:980310;height:2;width:690;" filled="f" stroked="t" coordsize="21600,21600" o:gfxdata="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ZZsYb4A&#10;AADbAAAADwAAAAAAAAABACAAAAAiAAAAZHJzL2Rvd25yZXYueG1sUEsBAhQAFAAAAAgAh07iQDMv&#10;BZ47AAAAOQAAABAAAAAAAAAAAQAgAAAADQEAAGRycy9zaGFwZXhtbC54bWxQSwUGAAAAAAYABgBb&#10;AQAAtwMAAAAA&#10;">
                        <v:fill on="f" focussize="0,0"/>
                        <v:stroke weight="0.5pt" color="#000000" joinstyle="round" endarrow="classic" endarrowwidth="narrow" endarrowlength="short"/>
                        <v:imagedata o:title=""/>
                        <o:lock v:ext="edit" aspectratio="f"/>
                      </v:shape>
                      <v:shape id="_x0000_s1026" o:spid="_x0000_s1026" o:spt="202" type="#_x0000_t202" style="position:absolute;left:6379;top:982263;height:679;width:1068;" fillcolor="#FFFFFF" filled="t" stroked="t" coordsize="21600,21600" o:gfxdata="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a11H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jc w:val="center"/>
                                <w:rPr>
                                  <w:rFonts w:hint="default" w:eastAsia="宋体"/>
                                  <w:lang w:val="en-US" w:eastAsia="zh-CN"/>
                                </w:rPr>
                              </w:pPr>
                              <w:r>
                                <w:rPr>
                                  <w:rFonts w:hint="eastAsia" w:ascii="Times New Roman" w:hAnsi="宋体" w:cs="Times New Roman"/>
                                  <w:szCs w:val="21"/>
                                  <w:lang w:val="en-US" w:eastAsia="zh-CN"/>
                                </w:rPr>
                                <w:t>污水处理站</w:t>
                              </w:r>
                            </w:p>
                          </w:txbxContent>
                        </v:textbox>
                      </v:shape>
                      <v:shape id="_x0000_s1026" o:spid="_x0000_s1026" o:spt="32" type="#_x0000_t32" style="position:absolute;left:5736;top:982653;height:6;width:639;" filled="f" stroked="t" coordsize="21600,21600" o:gfxdata="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OLM/S/&#10;AAAA3AAAAA8AAAAAAAAAAQAgAAAAIgAAAGRycy9kb3ducmV2LnhtbFBLAQIUABQAAAAIAIdO4kAz&#10;LwWeOwAAADkAAAAQAAAAAAAAAAEAIAAAAA4BAABkcnMvc2hhcGV4bWwueG1sUEsFBgAAAAAGAAYA&#10;WwEAALgDAAAAAA==&#10;">
                        <v:fill on="f" focussize="0,0"/>
                        <v:stroke weight="0.5pt" color="#000000" joinstyle="round" endarrow="classic" endarrowwidth="narrow" endarrowlength="short"/>
                        <v:imagedata o:title=""/>
                        <o:lock v:ext="edit" aspectratio="f"/>
                      </v:shape>
                      <v:shape id="_x0000_s1026" o:spid="_x0000_s1026" o:spt="202" type="#_x0000_t202" style="position:absolute;left:7465;top:982289;height:384;width:910;" filled="f" stroked="f" coordsize="21600,21600" o:gfxdata="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GqBW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widowControl/>
                                <w:jc w:val="center"/>
                                <w:rPr>
                                  <w:rFonts w:hint="default" w:ascii="Times New Roman" w:hAnsi="Times New Roman" w:eastAsia="宋体" w:cs="Times New Roman"/>
                                  <w:szCs w:val="21"/>
                                  <w:lang w:val="en-US" w:eastAsia="zh-CN"/>
                                </w:rPr>
                              </w:pPr>
                              <w:r>
                                <w:rPr>
                                  <w:rFonts w:hint="eastAsia" w:ascii="Times New Roman" w:cs="Times New Roman"/>
                                  <w:szCs w:val="21"/>
                                  <w:lang w:val="en-US" w:eastAsia="zh-CN"/>
                                </w:rPr>
                                <w:t>912</w:t>
                              </w:r>
                            </w:p>
                          </w:txbxContent>
                        </v:textbox>
                      </v:shape>
                      <v:shape id="_x0000_s1026" o:spid="_x0000_s1026" o:spt="32" type="#_x0000_t32" style="position:absolute;left:3904;top:981052;height:0;width:661;" filled="f" stroked="t" coordsize="21600,21600" o:gfxdata="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OSSuvQAA&#10;ANoAAAAPAAAAAAAAAAEAIAAAACIAAABkcnMvZG93bnJldi54bWxQSwECFAAUAAAACACHTuJAMy8F&#10;njsAAAA5AAAAEAAAAAAAAAABACAAAAAMAQAAZHJzL3NoYXBleG1sLnhtbFBLBQYAAAAABgAGAFsB&#10;AAC2AwAAAAA=&#10;">
                        <v:fill on="f" focussize="0,0"/>
                        <v:stroke weight="0.5pt" color="#000000" joinstyle="round" endarrow="classic" endarrowwidth="narrow" endarrowlength="short"/>
                        <v:imagedata o:title=""/>
                        <o:lock v:ext="edit" aspectratio="f"/>
                      </v:shape>
                      <v:rect id="_x0000_s1026" o:spid="_x0000_s1026" o:spt="1" style="position:absolute;left:4569;top:980834;height:397;width:1380;" filled="f" stroked="t" coordsize="21600,21600" o:gfxdata="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jL2RLsAAADa&#10;AAAADwAAAAAAAAABACAAAAAiAAAAZHJzL2Rvd25yZXYueG1sUEsBAhQAFAAAAAgAh07iQDMvBZ47&#10;AAAAOQAAABAAAAAAAAAAAQAgAAAACgEAAGRycy9zaGFwZXhtbC54bWxQSwUGAAAAAAYABgBbAQAA&#10;tAMAAAAA&#10;">
                        <v:fill on="f" focussize="0,0"/>
                        <v:stroke weight="0.5pt" color="#000000" joinstyle="miter"/>
                        <v:imagedata o:title=""/>
                        <o:lock v:ext="edit" aspectratio="f"/>
                        <v:textbox>
                          <w:txbxContent>
                            <w:p>
                              <w:pPr>
                                <w:widowControl/>
                                <w:spacing w:line="0" w:lineRule="atLeast"/>
                                <w:jc w:val="center"/>
                                <w:rPr>
                                  <w:rFonts w:hint="default" w:hAnsi="宋体" w:eastAsia="宋体"/>
                                  <w:kern w:val="0"/>
                                  <w:sz w:val="24"/>
                                  <w:lang w:val="en-US" w:eastAsia="zh-CN"/>
                                </w:rPr>
                              </w:pPr>
                              <w:r>
                                <w:rPr>
                                  <w:rFonts w:hint="eastAsia" w:ascii="Times New Roman" w:hAnsi="宋体"/>
                                  <w:szCs w:val="21"/>
                                  <w:lang w:val="en-US" w:eastAsia="zh-CN"/>
                                </w:rPr>
                                <w:t>生物质锅炉</w:t>
                              </w:r>
                            </w:p>
                          </w:txbxContent>
                        </v:textbox>
                      </v:rect>
                      <v:shape id="_x0000_s1026" o:spid="_x0000_s1026" o:spt="32" type="#_x0000_t32" style="position:absolute;left:5964;top:981049;height:6;width:665;" filled="f" stroked="t" coordsize="21600,21600" o:gfxdata="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qFUe5AAAA2gAA&#10;AA8AAAAAAAAAAQAgAAAAIgAAAGRycy9kb3ducmV2LnhtbFBLAQIUABQAAAAIAIdO4kAzLwWeOwAA&#10;ADkAAAAQAAAAAAAAAAEAIAAAAAgBAABkcnMvc2hhcGV4bWwueG1sUEsFBgAAAAAGAAYAWwEAALID&#10;AAAAAA==&#10;">
                        <v:fill on="f" focussize="0,0"/>
                        <v:stroke weight="0.5pt" color="#000000" joinstyle="round" endarrow="classic" endarrowwidth="narrow" endarrowlength="short"/>
                        <v:imagedata o:title=""/>
                        <o:lock v:ext="edit" aspectratio="f"/>
                      </v:shape>
                      <v:rect id="_x0000_s1026" o:spid="_x0000_s1026" o:spt="1" style="position:absolute;left:6642;top:980802;height:429;width:1248;" filled="f" stroked="t" coordsize="21600,21600" o:gfxdata="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OHHrbsAAADa&#10;AAAADwAAAAAAAAABACAAAAAiAAAAZHJzL2Rvd25yZXYueG1sUEsBAhQAFAAAAAgAh07iQDMvBZ47&#10;AAAAOQAAABAAAAAAAAAAAQAgAAAACgEAAGRycy9zaGFwZXhtbC54bWxQSwUGAAAAAAYABgBbAQAA&#10;tAMAAAAA&#10;">
                        <v:fill on="f" focussize="0,0"/>
                        <v:stroke weight="0.5pt" color="#000000" joinstyle="miter"/>
                        <v:imagedata o:title=""/>
                        <o:lock v:ext="edit" aspectratio="f"/>
                        <v:textbox>
                          <w:txbxContent>
                            <w:p>
                              <w:pPr>
                                <w:widowControl/>
                                <w:spacing w:line="0" w:lineRule="atLeast"/>
                                <w:jc w:val="center"/>
                                <w:rPr>
                                  <w:rFonts w:hint="eastAsia" w:hAnsi="宋体" w:eastAsia="宋体"/>
                                  <w:kern w:val="0"/>
                                  <w:sz w:val="24"/>
                                  <w:lang w:eastAsia="zh-CN"/>
                                </w:rPr>
                              </w:pPr>
                              <w:r>
                                <w:rPr>
                                  <w:rFonts w:hint="eastAsia" w:ascii="Times New Roman" w:hAnsi="宋体"/>
                                  <w:szCs w:val="21"/>
                                  <w:lang w:val="en-US" w:eastAsia="zh-CN"/>
                                </w:rPr>
                                <w:t>泥浆罐</w:t>
                              </w:r>
                            </w:p>
                          </w:txbxContent>
                        </v:textbox>
                      </v:rect>
                      <v:shape id="_x0000_s1026" o:spid="_x0000_s1026" o:spt="32" type="#_x0000_t32" style="position:absolute;left:7124;top:980615;flip:y;height:183;width:308;" filled="f" stroked="t" coordsize="21600,21600" o:gfxdata="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Ko9bvQAA&#10;ANsAAAAPAAAAAAAAAAEAIAAAACIAAABkcnMvZG93bnJldi54bWxQSwECFAAUAAAACACHTuJAMy8F&#10;njsAAAA5AAAAEAAAAAAAAAABACAAAAAMAQAAZHJzL3NoYXBleG1sLnhtbFBLBQYAAAAABgAGAFsB&#10;AAC2AwAAAAA=&#10;">
                        <v:fill on="f" focussize="0,0"/>
                        <v:stroke weight="0.5pt" color="#000000" joinstyle="round" dashstyle="dashDot" endarrow="classic" endarrowwidth="narrow" endarrowlength="short"/>
                        <v:imagedata o:title=""/>
                        <o:lock v:ext="edit" aspectratio="f"/>
                      </v:shape>
                      <v:shape id="_x0000_s1026" o:spid="_x0000_s1026" o:spt="202" type="#_x0000_t202" style="position:absolute;left:7336;top:980471;height:366;width:694;" filled="f" stroked="f" coordsize="21600,21600" o:gfxdata="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PELj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widowControl/>
                                <w:rPr>
                                  <w:rFonts w:hint="default" w:ascii="Times New Roman" w:eastAsia="宋体"/>
                                  <w:szCs w:val="21"/>
                                  <w:lang w:val="en-US" w:eastAsia="zh-CN"/>
                                </w:rPr>
                              </w:pPr>
                              <w:r>
                                <w:rPr>
                                  <w:rFonts w:hint="eastAsia" w:ascii="Times New Roman"/>
                                  <w:szCs w:val="21"/>
                                  <w:lang w:val="en-US" w:eastAsia="zh-CN"/>
                                </w:rPr>
                                <w:t>189</w:t>
                              </w:r>
                            </w:p>
                          </w:txbxContent>
                        </v:textbox>
                      </v:shape>
                      <v:shape id="_x0000_s1026" o:spid="_x0000_s1026" o:spt="32" type="#_x0000_t32" style="position:absolute;left:7277;top:981236;flip:x;height:344;width:0;" filled="f" stroked="t" coordsize="21600,21600" o:gfxdata="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gmkW8AAAA&#10;3AAAAA8AAAAAAAAAAQAgAAAAIgAAAGRycy9kb3ducmV2LnhtbFBLAQIUABQAAAAIAIdO4kAzLwWe&#10;OwAAADkAAAAQAAAAAAAAAAEAIAAAAAsBAABkcnMvc2hhcGV4bWwueG1sUEsFBgAAAAAGAAYAWwEA&#10;ALUDAAAAAA==&#10;">
                        <v:fill on="f" focussize="0,0"/>
                        <v:stroke weight="0.5pt" color="#000000" joinstyle="round" dashstyle="dash" endarrowwidth="narrow" endarrowlength="short"/>
                        <v:imagedata o:title=""/>
                        <o:lock v:ext="edit" aspectratio="f"/>
                      </v:shape>
                      <v:shape id="_x0000_s1026" o:spid="_x0000_s1026" o:spt="32" type="#_x0000_t32" style="position:absolute;left:5218;top:981574;height:0;width:2074;" filled="f" stroked="t" coordsize="21600,21600" o:gfxdata="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NoL9LsAAADc&#10;AAAADwAAAAAAAAABACAAAAAiAAAAZHJzL2Rvd25yZXYueG1sUEsBAhQAFAAAAAgAh07iQDMvBZ47&#10;AAAAOQAAABAAAAAAAAAAAQAgAAAACgEAAGRycy9zaGFwZXhtbC54bWxQSwUGAAAAAAYABgBbAQAA&#10;tAMAAAAA&#10;">
                        <v:fill on="f" focussize="0,0"/>
                        <v:stroke weight="0.5pt" color="#000000" joinstyle="round" dashstyle="dash" endarrowwidth="narrow" endarrowlength="short"/>
                        <v:imagedata o:title=""/>
                        <o:lock v:ext="edit" aspectratio="f"/>
                      </v:shape>
                      <v:shape id="_x0000_s1026" o:spid="_x0000_s1026" o:spt="202" type="#_x0000_t202" style="position:absolute;left:3883;top:980707;height:388;width:761;" filled="f" stroked="f" coordsize="21600,21600" o:gfxdata="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vAGI&#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widowControl/>
                                <w:rPr>
                                  <w:rFonts w:hint="default" w:ascii="Times New Roman" w:hAnsi="Times New Roman" w:eastAsia="宋体" w:cs="Times New Roman"/>
                                  <w:szCs w:val="21"/>
                                  <w:lang w:val="en-US" w:eastAsia="zh-CN"/>
                                </w:rPr>
                              </w:pPr>
                              <w:r>
                                <w:rPr>
                                  <w:rFonts w:hint="eastAsia" w:ascii="Times New Roman" w:cs="Times New Roman"/>
                                  <w:szCs w:val="21"/>
                                  <w:lang w:val="en-US" w:eastAsia="zh-CN"/>
                                </w:rPr>
                                <w:t>240</w:t>
                              </w:r>
                            </w:p>
                          </w:txbxContent>
                        </v:textbox>
                      </v:shape>
                      <v:shape id="_x0000_s1026" o:spid="_x0000_s1026" o:spt="32" type="#_x0000_t32" style="position:absolute;left:4927;top:981231;height:558;width:0;" filled="f" stroked="t" coordsize="21600,21600" o:gfxdata="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Kxmmm8AAAA&#10;3AAAAA8AAAAAAAAAAQAgAAAAIgAAAGRycy9kb3ducmV2LnhtbFBLAQIUABQAAAAIAIdO4kAzLwWe&#10;OwAAADkAAAAQAAAAAAAAAAEAIAAAAAsBAABkcnMvc2hhcGV4bWwueG1sUEsFBgAAAAAGAAYAWwEA&#10;ALUDAAAAAA==&#10;">
                        <v:fill on="f" focussize="0,0"/>
                        <v:stroke weight="0.5pt" color="#000000" joinstyle="round" endarrow="classic" endarrowwidth="narrow" endarrowlength="short"/>
                        <v:imagedata o:title=""/>
                        <o:lock v:ext="edit" aspectratio="f"/>
                      </v:shape>
                      <v:shape id="_x0000_s1026" o:spid="_x0000_s1026" o:spt="202" type="#_x0000_t202" style="position:absolute;left:3973;top:981683;height:414;width:2480;" filled="f" stroked="f" coordsize="21600,21600" o:gfxdata="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E5tT&#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keepNext w:val="0"/>
                                <w:keepLines w:val="0"/>
                                <w:pageBreakBefore w:val="0"/>
                                <w:widowControl w:val="0"/>
                                <w:kinsoku/>
                                <w:wordWrap/>
                                <w:overflowPunct/>
                                <w:topLinePunct w:val="0"/>
                                <w:bidi w:val="0"/>
                                <w:adjustRightInd/>
                                <w:snapToGrid/>
                                <w:spacing w:before="0"/>
                                <w:jc w:val="center"/>
                                <w:textAlignment w:val="auto"/>
                                <w:rPr>
                                  <w:rFonts w:hint="eastAsia"/>
                                </w:rPr>
                              </w:pPr>
                              <w:r>
                                <w:rPr>
                                  <w:rFonts w:hint="eastAsia"/>
                                  <w:lang w:val="en-US" w:eastAsia="zh-CN"/>
                                </w:rPr>
                                <w:t>井场周边洒水抑尘。</w:t>
                              </w:r>
                            </w:p>
                          </w:txbxContent>
                        </v:textbox>
                      </v:shape>
                      <v:shape id="_x0000_s1026" o:spid="_x0000_s1026" o:spt="32" type="#_x0000_t32" style="position:absolute;left:4931;top:982229;flip:y;height:183;width:308;" filled="f" stroked="t" coordsize="21600,21600" o:gfxdata="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Rb6U74A&#10;AADcAAAADwAAAAAAAAABACAAAAAiAAAAZHJzL2Rvd25yZXYueG1sUEsBAhQAFAAAAAgAh07iQDMv&#10;BZ47AAAAOQAAABAAAAAAAAAAAQAgAAAADQEAAGRycy9zaGFwZXhtbC54bWxQSwUGAAAAAAYABgBb&#10;AQAAtwMAAAAA&#10;">
                        <v:fill on="f" focussize="0,0"/>
                        <v:stroke weight="0.5pt" color="#000000" joinstyle="round" dashstyle="dashDot" endarrow="classic" endarrowwidth="narrow" endarrowlength="short"/>
                        <v:imagedata o:title=""/>
                        <o:lock v:ext="edit" aspectratio="f"/>
                      </v:shape>
                      <v:shape id="_x0000_s1026" o:spid="_x0000_s1026" o:spt="202" type="#_x0000_t202" style="position:absolute;left:4374;top:981290;height:389;width:580;" filled="f" stroked="f" coordsize="21600,21600" o:gfxdata="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ykyz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widowControl/>
                                <w:rPr>
                                  <w:rFonts w:hint="default" w:ascii="Times New Roman" w:hAnsi="Times New Roman" w:eastAsia="宋体" w:cs="Times New Roman"/>
                                  <w:szCs w:val="21"/>
                                  <w:lang w:val="en-US" w:eastAsia="zh-CN"/>
                                </w:rPr>
                              </w:pPr>
                              <w:r>
                                <w:rPr>
                                  <w:rFonts w:hint="eastAsia" w:ascii="Times New Roman" w:cs="Times New Roman"/>
                                  <w:szCs w:val="21"/>
                                  <w:lang w:val="en-US" w:eastAsia="zh-CN"/>
                                </w:rPr>
                                <w:t>51</w:t>
                              </w:r>
                            </w:p>
                          </w:txbxContent>
                        </v:textbox>
                      </v:shape>
                      <v:shape id="_x0000_s1026" o:spid="_x0000_s1026" o:spt="202" type="#_x0000_t202" style="position:absolute;left:5891;top:980681;height:405;width:833;" filled="f" stroked="f" coordsize="21600,21600" o:gfxdata="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f1Hu&#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widowControl/>
                                <w:rPr>
                                  <w:rFonts w:hint="default" w:ascii="Times New Roman" w:eastAsia="宋体"/>
                                  <w:szCs w:val="21"/>
                                  <w:highlight w:val="none"/>
                                  <w:lang w:val="en-US" w:eastAsia="zh-CN"/>
                                </w:rPr>
                              </w:pPr>
                              <w:r>
                                <w:rPr>
                                  <w:rFonts w:hint="eastAsia" w:ascii="Times New Roman"/>
                                  <w:szCs w:val="21"/>
                                  <w:highlight w:val="none"/>
                                  <w:lang w:val="en-US" w:eastAsia="zh-CN"/>
                                </w:rPr>
                                <w:t>4989</w:t>
                              </w:r>
                            </w:p>
                          </w:txbxContent>
                        </v:textbox>
                      </v:shape>
                      <v:shape id="_x0000_s1026" o:spid="_x0000_s1026" o:spt="202" type="#_x0000_t202" style="position:absolute;left:5880;top:981241;height:378;width:812;" filled="f" stroked="f" coordsize="21600,21600" o:gfxdata="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zP0db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widowControl/>
                                <w:rPr>
                                  <w:rFonts w:hint="default" w:ascii="Times New Roman" w:eastAsia="宋体"/>
                                  <w:szCs w:val="21"/>
                                  <w:lang w:val="en-US" w:eastAsia="zh-CN"/>
                                </w:rPr>
                              </w:pPr>
                              <w:r>
                                <w:rPr>
                                  <w:rFonts w:hint="eastAsia" w:ascii="Times New Roman"/>
                                  <w:szCs w:val="21"/>
                                  <w:lang w:val="en-US" w:eastAsia="zh-CN"/>
                                </w:rPr>
                                <w:t>4800</w:t>
                              </w:r>
                            </w:p>
                          </w:txbxContent>
                        </v:textbox>
                      </v:shape>
                      <v:shape id="直接箭头连接符 11" o:spid="_x0000_s1026" o:spt="32" type="#_x0000_t32" style="position:absolute;left:9301;top:979238;flip:x;height:344;width:0;" filled="f" stroked="t" coordsize="21600,21600" o:gfxdata="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etTiLugAAANsA&#10;AAAPAAAAAAAAAAEAIAAAACIAAABkcnMvZG93bnJldi54bWxQSwECFAAUAAAACACHTuJAMy8FnjsA&#10;AAA5AAAAEAAAAAAAAAABACAAAAAJAQAAZHJzL3NoYXBleG1sLnhtbFBLBQYAAAAABgAGAFsBAACz&#10;AwAAAAA=&#10;">
                        <v:fill on="f" focussize="0,0"/>
                        <v:stroke weight="0.5pt" color="#000000" joinstyle="round" endarrowwidth="narrow" endarrowlength="short"/>
                        <v:imagedata o:title=""/>
                        <o:lock v:ext="edit" aspectratio="f"/>
                      </v:shape>
                      <v:shape id="直接箭头连接符 12" o:spid="_x0000_s1026" o:spt="32" type="#_x0000_t32" style="position:absolute;left:5283;top:979575;height:0;width:4024;" filled="f" stroked="t" coordsize="21600,21600" o:gfxdata="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nqr/bsAAADb&#10;AAAADwAAAAAAAAABACAAAAAiAAAAZHJzL2Rvd25yZXYueG1sUEsBAhQAFAAAAAgAh07iQDMvBZ47&#10;AAAAOQAAABAAAAAAAAAAAQAgAAAACgEAAGRycy9zaGFwZXhtbC54bWxQSwUGAAAAAAYABgBbAQAA&#10;tAMAAAAA&#10;">
                        <v:fill on="f" focussize="0,0"/>
                        <v:stroke weight="0.5pt" color="#000000" joinstyle="round" endarrowwidth="narrow" endarrowlength="short"/>
                        <v:imagedata o:title=""/>
                        <o:lock v:ext="edit" aspectratio="f"/>
                      </v:shape>
                      <v:shape id="_x0000_s1026" o:spid="_x0000_s1026" o:spt="32" type="#_x0000_t32" style="position:absolute;left:5274;top:979245;flip:x;height:344;width:0;" filled="f" stroked="t" coordsize="21600,21600" o:gfxdata="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V4oKO5AAAA2wAA&#10;AA8AAAAAAAAAAQAgAAAAIgAAAGRycy9kb3ducmV2LnhtbFBLAQIUABQAAAAIAIdO4kAzLwWeOwAA&#10;ADkAAAAQAAAAAAAAAAEAIAAAAAgBAABkcnMvc2hhcGV4bWwueG1sUEsFBgAAAAAGAAYAWwEAALID&#10;AAAAAA==&#10;">
                        <v:fill on="f" focussize="0,0"/>
                        <v:stroke weight="0.5pt" color="#000000" joinstyle="round" startarrow="block" endarrowwidth="narrow" endarrowlength="short"/>
                        <v:imagedata o:title=""/>
                        <o:lock v:ext="edit" aspectratio="f"/>
                      </v:shape>
                      <v:shape id="_x0000_s1026" o:spid="_x0000_s1026" o:spt="202" type="#_x0000_t202" style="position:absolute;left:5780;top:979260;height:367;width:981;" filled="f" stroked="f" coordsize="21600,21600" o:gfxdata="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nOFP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widowControl/>
                                <w:jc w:val="center"/>
                                <w:rPr>
                                  <w:rFonts w:hint="default" w:ascii="Times New Roman" w:hAnsi="Times New Roman" w:eastAsia="宋体" w:cs="Times New Roman"/>
                                  <w:szCs w:val="21"/>
                                  <w:lang w:val="en-US" w:eastAsia="zh-CN"/>
                                </w:rPr>
                              </w:pPr>
                              <w:r>
                                <w:rPr>
                                  <w:rFonts w:hint="eastAsia" w:ascii="Times New Roman" w:cs="Times New Roman"/>
                                  <w:szCs w:val="21"/>
                                  <w:lang w:val="en-US" w:eastAsia="zh-CN"/>
                                </w:rPr>
                                <w:t>4774</w:t>
                              </w:r>
                            </w:p>
                          </w:txbxContent>
                        </v:textbox>
                      </v:shape>
                      <v:group id="_x0000_s1026" o:spid="_x0000_s1026" o:spt="203" style="position:absolute;left:3864;top:979646;height:954;width:6773;" coordorigin="3864,979646" coordsize="6773,954"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6547;top:979906;height:694;width:4090;" filled="f" stroked="f" coordsize="21600,21600" o:gfxdata="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IUdZq/&#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bidi w:val="0"/>
                                  <w:adjustRightInd/>
                                  <w:snapToGrid/>
                                  <w:spacing w:before="0"/>
                                  <w:textAlignment w:val="auto"/>
                                  <w:rPr>
                                    <w:rFonts w:hint="default" w:ascii="Times New Roman" w:hAnsi="Times New Roman" w:cs="Times New Roman"/>
                                  </w:rPr>
                                </w:pPr>
                                <w:r>
                                  <w:rPr>
                                    <w:rFonts w:hint="default" w:ascii="Times New Roman" w:hAnsi="Times New Roman" w:cs="Times New Roman"/>
                                    <w:lang w:val="en-US" w:eastAsia="zh-CN"/>
                                  </w:rPr>
                                  <w:t>在井场加碱中和后，采用专用废液收集罐，定期运至塔里木油田富源7环保处理站。</w:t>
                                </w:r>
                              </w:p>
                            </w:txbxContent>
                          </v:textbox>
                        </v:shape>
                        <v:rect id="_x0000_s1026" o:spid="_x0000_s1026" o:spt="1" style="position:absolute;left:4560;top:980101;height:410;width:1378;" filled="f" stroked="t" coordsize="21600,21600" o:gfxdata="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iAgC+8AAAA&#10;2wAAAA8AAAAAAAAAAQAgAAAAIgAAAGRycy9kb3ducmV2LnhtbFBLAQIUABQAAAAIAIdO4kAzLwWe&#10;OwAAADkAAAAQAAAAAAAAAAEAIAAAAAsBAABkcnMvc2hhcGV4bWwueG1sUEsFBgAAAAAGAAYAWwEA&#10;ALUDAAAAAA==&#10;">
                          <v:fill on="f" focussize="0,0"/>
                          <v:stroke weight="0.5pt" color="#000000" joinstyle="miter"/>
                          <v:imagedata o:title=""/>
                          <o:lock v:ext="edit" aspectratio="f"/>
                          <v:textbox>
                            <w:txbxContent>
                              <w:p>
                                <w:pPr>
                                  <w:spacing w:line="0" w:lineRule="atLeast"/>
                                  <w:jc w:val="center"/>
                                </w:pPr>
                                <w:r>
                                  <w:rPr>
                                    <w:rFonts w:hint="eastAsia" w:hAnsi="宋体" w:cs="宋体"/>
                                    <w:spacing w:val="-20"/>
                                    <w:szCs w:val="21"/>
                                  </w:rPr>
                                  <w:t>酸化压裂用水</w:t>
                                </w:r>
                              </w:p>
                            </w:txbxContent>
                          </v:textbox>
                        </v:rect>
                        <v:shape id="_x0000_s1026" o:spid="_x0000_s1026" o:spt="202" type="#_x0000_t202" style="position:absolute;left:3864;top:979946;height:389;width:765;" filled="f" stroked="f" coordsize="21600,21600" o:gfxdata="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gUbc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widowControl/>
                                  <w:rPr>
                                    <w:rFonts w:hint="eastAsia" w:ascii="Times New Roman" w:hAnsi="Times New Roman" w:eastAsia="宋体" w:cs="Times New Roman"/>
                                    <w:szCs w:val="21"/>
                                    <w:lang w:val="en-US" w:eastAsia="zh-CN"/>
                                  </w:rPr>
                                </w:pPr>
                                <w:r>
                                  <w:rPr>
                                    <w:rFonts w:hint="eastAsia" w:ascii="Times New Roman" w:cs="Times New Roman"/>
                                    <w:szCs w:val="21"/>
                                    <w:lang w:val="en-US" w:eastAsia="zh-CN"/>
                                  </w:rPr>
                                  <w:t>1200</w:t>
                                </w:r>
                              </w:p>
                            </w:txbxContent>
                          </v:textbox>
                        </v:shape>
                        <v:shape id="直接箭头连接符 118" o:spid="_x0000_s1026" o:spt="32" type="#_x0000_t32" style="position:absolute;left:5519;top:979929;flip:y;height:184;width:309;" filled="f" stroked="t" coordsize="21600,21600" o:gfxdata="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Fn9M7ugAAANsA&#10;AAAPAAAAAAAAAAEAIAAAACIAAABkcnMvZG93bnJldi54bWxQSwECFAAUAAAACACHTuJAMy8FnjsA&#10;AAA5AAAAEAAAAAAAAAABACAAAAAJAQAAZHJzL3NoYXBleG1sLnhtbFBLBQYAAAAABgAGAFsBAACz&#10;AwAAAAA=&#10;">
                          <v:fill on="f" focussize="0,0"/>
                          <v:stroke weight="0.5pt" color="#000000" joinstyle="round" dashstyle="dashDot" endarrow="classic" endarrowwidth="narrow" endarrowlength="short"/>
                          <v:imagedata o:title=""/>
                          <o:lock v:ext="edit" aspectratio="f"/>
                        </v:shape>
                        <v:shape id="文本框 28" o:spid="_x0000_s1026" o:spt="202" type="#_x0000_t202" style="position:absolute;left:5643;top:979646;height:420;width:671;" filled="f" stroked="f" coordsize="21600,21600" o:gfxdata="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Jdmnb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widowControl/>
                                  <w:rPr>
                                    <w:rFonts w:hint="default" w:ascii="Times New Roman" w:eastAsia="宋体"/>
                                    <w:szCs w:val="21"/>
                                    <w:lang w:val="en-US" w:eastAsia="zh-CN"/>
                                  </w:rPr>
                                </w:pPr>
                                <w:r>
                                  <w:rPr>
                                    <w:rFonts w:hint="eastAsia" w:ascii="Times New Roman"/>
                                    <w:szCs w:val="21"/>
                                    <w:lang w:val="en-US" w:eastAsia="zh-CN"/>
                                  </w:rPr>
                                  <w:t>200</w:t>
                                </w:r>
                              </w:p>
                            </w:txbxContent>
                          </v:textbox>
                        </v:shape>
                        <v:shape id="文本框 29" o:spid="_x0000_s1026" o:spt="202" type="#_x0000_t202" style="position:absolute;left:5885;top:980001;height:434;width:780;" filled="f" stroked="f" coordsize="21600,21600" o:gfxdata="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rGCe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pPr>
                                  <w:widowControl/>
                                  <w:rPr>
                                    <w:rFonts w:hint="default" w:ascii="Times New Roman" w:eastAsia="宋体"/>
                                    <w:szCs w:val="21"/>
                                    <w:lang w:val="en-US" w:eastAsia="zh-CN"/>
                                  </w:rPr>
                                </w:pPr>
                                <w:r>
                                  <w:rPr>
                                    <w:rFonts w:hint="eastAsia" w:ascii="Times New Roman"/>
                                    <w:szCs w:val="21"/>
                                    <w:lang w:val="en-US" w:eastAsia="zh-CN"/>
                                  </w:rPr>
                                  <w:t>1000</w:t>
                                </w:r>
                              </w:p>
                            </w:txbxContent>
                          </v:textbox>
                        </v:shape>
                      </v:group>
                      <w10:wrap type="topAndBottom"/>
                    </v:group>
                  </w:pict>
                </mc:Fallback>
              </mc:AlternateContent>
            </w:r>
            <w:r>
              <w:rPr>
                <w:rFonts w:hint="default" w:ascii="Times New Roman" w:hAnsi="Times New Roman" w:eastAsia="宋体" w:cs="Times New Roman"/>
                <w:b/>
                <w:bCs/>
                <w:color w:val="auto"/>
                <w:spacing w:val="0"/>
                <w:kern w:val="2"/>
                <w:sz w:val="24"/>
                <w:szCs w:val="24"/>
              </w:rPr>
              <w:t>图2-</w:t>
            </w:r>
            <w:r>
              <w:rPr>
                <w:rFonts w:hint="default" w:ascii="Times New Roman" w:hAnsi="Times New Roman" w:eastAsia="宋体" w:cs="Times New Roman"/>
                <w:b/>
                <w:bCs/>
                <w:color w:val="auto"/>
                <w:spacing w:val="0"/>
                <w:kern w:val="2"/>
                <w:sz w:val="24"/>
                <w:szCs w:val="24"/>
                <w:lang w:val="en-US" w:eastAsia="zh-CN"/>
              </w:rPr>
              <w:t>2</w:t>
            </w:r>
            <w:r>
              <w:rPr>
                <w:rFonts w:hint="default" w:ascii="Times New Roman" w:hAnsi="Times New Roman" w:eastAsia="宋体" w:cs="Times New Roman"/>
                <w:b/>
                <w:bCs/>
                <w:color w:val="auto"/>
                <w:spacing w:val="0"/>
                <w:kern w:val="2"/>
                <w:sz w:val="24"/>
                <w:szCs w:val="24"/>
              </w:rPr>
              <w:t xml:space="preserve">   项目水平衡（m</w:t>
            </w:r>
            <w:r>
              <w:rPr>
                <w:rFonts w:hint="default" w:ascii="Times New Roman" w:hAnsi="Times New Roman" w:eastAsia="宋体" w:cs="Times New Roman"/>
                <w:b/>
                <w:bCs/>
                <w:color w:val="auto"/>
                <w:spacing w:val="0"/>
                <w:kern w:val="2"/>
                <w:sz w:val="24"/>
                <w:szCs w:val="24"/>
                <w:vertAlign w:val="superscript"/>
              </w:rPr>
              <w:t>3</w:t>
            </w:r>
            <w:r>
              <w:rPr>
                <w:rFonts w:hint="default" w:ascii="Times New Roman" w:hAnsi="Times New Roman" w:eastAsia="宋体" w:cs="Times New Roman"/>
                <w:b/>
                <w:bCs/>
                <w:color w:val="auto"/>
                <w:spacing w:val="0"/>
                <w:kern w:val="2"/>
                <w:sz w:val="24"/>
                <w:szCs w:val="24"/>
              </w:rPr>
              <w:t>/钻井期）</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（2）供电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0000FF"/>
                <w:spacing w:val="0"/>
                <w:sz w:val="24"/>
                <w:szCs w:val="24"/>
                <w:highlight w:val="none"/>
                <w:lang w:val="en-US" w:eastAsia="zh-CN"/>
              </w:rPr>
            </w:pPr>
            <w:r>
              <w:rPr>
                <w:rFonts w:hint="default" w:ascii="Times New Roman" w:hAnsi="Times New Roman" w:eastAsia="宋体" w:cs="Times New Roman"/>
                <w:color w:val="auto"/>
                <w:sz w:val="24"/>
                <w:szCs w:val="24"/>
                <w:highlight w:val="none"/>
                <w:lang w:eastAsia="zh-CN"/>
              </w:rPr>
              <w:t>项目</w:t>
            </w:r>
            <w:r>
              <w:rPr>
                <w:rFonts w:hint="eastAsia" w:ascii="Times New Roman" w:cs="Times New Roman"/>
                <w:color w:val="auto"/>
                <w:sz w:val="24"/>
                <w:szCs w:val="24"/>
                <w:highlight w:val="none"/>
                <w:lang w:val="en-US" w:eastAsia="zh-CN"/>
              </w:rPr>
              <w:t>用电由</w:t>
            </w:r>
            <w:r>
              <w:rPr>
                <w:rFonts w:hint="default" w:ascii="Times New Roman" w:hAnsi="Times New Roman" w:eastAsia="宋体" w:cs="Times New Roman"/>
                <w:color w:val="auto"/>
                <w:sz w:val="24"/>
                <w:szCs w:val="24"/>
                <w:highlight w:val="none"/>
                <w:lang w:eastAsia="zh-CN"/>
              </w:rPr>
              <w:t>柴油</w:t>
            </w:r>
            <w:r>
              <w:rPr>
                <w:rFonts w:hint="eastAsia" w:ascii="Times New Roman" w:cs="Times New Roman"/>
                <w:color w:val="auto"/>
                <w:sz w:val="24"/>
                <w:szCs w:val="24"/>
                <w:highlight w:val="none"/>
                <w:lang w:val="en-US" w:eastAsia="zh-CN"/>
              </w:rPr>
              <w:t>发电机提供</w:t>
            </w:r>
            <w:r>
              <w:rPr>
                <w:rFonts w:hint="default" w:ascii="Times New Roman" w:hAnsi="Times New Roman" w:eastAsia="宋体" w:cs="Times New Roman"/>
                <w:color w:val="auto"/>
                <w:spacing w:val="0"/>
                <w:sz w:val="24"/>
                <w:szCs w:val="24"/>
                <w:highlight w:val="none"/>
                <w:lang w:val="en-US" w:eastAsia="zh-CN"/>
              </w:rPr>
              <w:t>。</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（3）供热</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项目钻井期泥浆伴热采取生物质锅炉加热，项目设置</w:t>
            </w:r>
            <w:r>
              <w:rPr>
                <w:rFonts w:hint="eastAsia" w:ascii="Times New Roman" w:cs="Times New Roman"/>
                <w:color w:val="auto"/>
                <w:spacing w:val="0"/>
                <w:position w:val="0"/>
                <w:sz w:val="24"/>
                <w:szCs w:val="24"/>
                <w:highlight w:val="none"/>
                <w:lang w:val="en-US" w:eastAsia="zh-CN"/>
              </w:rPr>
              <w:t>1台</w:t>
            </w:r>
            <w:r>
              <w:rPr>
                <w:rFonts w:hint="default" w:ascii="Times New Roman" w:hAnsi="Times New Roman" w:eastAsia="宋体" w:cs="Times New Roman"/>
                <w:color w:val="auto"/>
                <w:spacing w:val="0"/>
                <w:position w:val="0"/>
                <w:sz w:val="24"/>
                <w:szCs w:val="24"/>
                <w:highlight w:val="none"/>
                <w:lang w:val="en-US" w:eastAsia="zh-CN"/>
              </w:rPr>
              <w:t>2.5t/h的生物质锅炉</w:t>
            </w:r>
            <w:r>
              <w:rPr>
                <w:rFonts w:hint="eastAsia" w:ascii="Times New Roman" w:cs="Times New Roman"/>
                <w:color w:val="auto"/>
                <w:spacing w:val="0"/>
                <w:position w:val="0"/>
                <w:sz w:val="24"/>
                <w:szCs w:val="24"/>
                <w:highlight w:val="none"/>
                <w:lang w:val="en-US" w:eastAsia="zh-CN"/>
              </w:rPr>
              <w:t>（常用）、1</w:t>
            </w:r>
            <w:r>
              <w:rPr>
                <w:rFonts w:hint="default" w:ascii="Times New Roman" w:hAnsi="Times New Roman" w:eastAsia="宋体" w:cs="Times New Roman"/>
                <w:color w:val="auto"/>
                <w:spacing w:val="0"/>
                <w:position w:val="0"/>
                <w:sz w:val="24"/>
                <w:szCs w:val="24"/>
                <w:highlight w:val="none"/>
                <w:lang w:val="en-US" w:eastAsia="zh-CN"/>
              </w:rPr>
              <w:t>台2.5t/h的</w:t>
            </w:r>
            <w:r>
              <w:rPr>
                <w:rFonts w:hint="eastAsia" w:ascii="Times New Roman" w:cs="Times New Roman"/>
                <w:color w:val="auto"/>
                <w:spacing w:val="0"/>
                <w:position w:val="0"/>
                <w:sz w:val="24"/>
                <w:szCs w:val="24"/>
                <w:highlight w:val="none"/>
                <w:lang w:val="en-US" w:eastAsia="zh-CN"/>
              </w:rPr>
              <w:t>燃油</w:t>
            </w:r>
            <w:r>
              <w:rPr>
                <w:rFonts w:hint="default" w:ascii="Times New Roman" w:hAnsi="Times New Roman" w:eastAsia="宋体" w:cs="Times New Roman"/>
                <w:color w:val="auto"/>
                <w:spacing w:val="0"/>
                <w:position w:val="0"/>
                <w:sz w:val="24"/>
                <w:szCs w:val="24"/>
                <w:highlight w:val="none"/>
                <w:lang w:val="en-US" w:eastAsia="zh-CN"/>
              </w:rPr>
              <w:t>锅炉（</w:t>
            </w:r>
            <w:r>
              <w:rPr>
                <w:rFonts w:hint="eastAsia" w:ascii="Times New Roman" w:cs="Times New Roman"/>
                <w:color w:val="auto"/>
                <w:spacing w:val="0"/>
                <w:position w:val="0"/>
                <w:sz w:val="24"/>
                <w:szCs w:val="24"/>
                <w:highlight w:val="none"/>
                <w:lang w:val="en-US" w:eastAsia="zh-CN"/>
              </w:rPr>
              <w:t>备用</w:t>
            </w:r>
            <w:r>
              <w:rPr>
                <w:rFonts w:hint="default" w:ascii="Times New Roman" w:hAnsi="Times New Roman" w:eastAsia="宋体" w:cs="Times New Roman"/>
                <w:color w:val="auto"/>
                <w:spacing w:val="0"/>
                <w:position w:val="0"/>
                <w:sz w:val="24"/>
                <w:szCs w:val="24"/>
                <w:highlight w:val="none"/>
                <w:lang w:val="en-US" w:eastAsia="zh-CN"/>
              </w:rPr>
              <w:t>），钻井期锅炉运行时间约</w:t>
            </w:r>
            <w:r>
              <w:rPr>
                <w:rFonts w:hint="eastAsia" w:ascii="Times New Roman" w:cs="Times New Roman"/>
                <w:color w:val="auto"/>
                <w:spacing w:val="0"/>
                <w:position w:val="0"/>
                <w:sz w:val="24"/>
                <w:szCs w:val="24"/>
                <w:highlight w:val="none"/>
                <w:lang w:val="en-US" w:eastAsia="zh-CN"/>
              </w:rPr>
              <w:t>170</w:t>
            </w:r>
            <w:r>
              <w:rPr>
                <w:rFonts w:hint="default" w:ascii="Times New Roman" w:hAnsi="Times New Roman" w:eastAsia="宋体" w:cs="Times New Roman"/>
                <w:color w:val="auto"/>
                <w:spacing w:val="0"/>
                <w:position w:val="0"/>
                <w:sz w:val="24"/>
                <w:szCs w:val="24"/>
                <w:highlight w:val="none"/>
                <w:lang w:val="en-US" w:eastAsia="zh-CN"/>
              </w:rPr>
              <w:t>天（</w:t>
            </w:r>
            <w:r>
              <w:rPr>
                <w:rFonts w:hint="eastAsia" w:ascii="Times New Roman" w:cs="Times New Roman"/>
                <w:color w:val="auto"/>
                <w:spacing w:val="0"/>
                <w:position w:val="0"/>
                <w:sz w:val="24"/>
                <w:szCs w:val="24"/>
                <w:highlight w:val="none"/>
                <w:lang w:val="en-US" w:eastAsia="zh-CN"/>
              </w:rPr>
              <w:t>4080</w:t>
            </w:r>
            <w:r>
              <w:rPr>
                <w:rFonts w:hint="default" w:ascii="Times New Roman" w:hAnsi="Times New Roman" w:eastAsia="宋体" w:cs="Times New Roman"/>
                <w:color w:val="auto"/>
                <w:spacing w:val="0"/>
                <w:position w:val="0"/>
                <w:sz w:val="24"/>
                <w:szCs w:val="24"/>
                <w:highlight w:val="none"/>
                <w:lang w:val="en-US" w:eastAsia="zh-CN"/>
              </w:rPr>
              <w:t>h）。</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11、</w:t>
            </w:r>
            <w:r>
              <w:rPr>
                <w:rFonts w:hint="default" w:ascii="Times New Roman" w:hAnsi="Times New Roman" w:eastAsia="宋体" w:cs="Times New Roman"/>
                <w:b/>
                <w:bCs/>
                <w:color w:val="auto"/>
                <w:sz w:val="24"/>
                <w:highlight w:val="none"/>
              </w:rPr>
              <w:t>土</w:t>
            </w:r>
            <w:r>
              <w:rPr>
                <w:rFonts w:hint="default" w:ascii="Times New Roman" w:hAnsi="Times New Roman" w:eastAsia="宋体" w:cs="Times New Roman"/>
                <w:b/>
                <w:color w:val="auto"/>
                <w:sz w:val="24"/>
                <w:highlight w:val="none"/>
              </w:rPr>
              <w:t>石方平衡</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color w:val="auto"/>
                <w:sz w:val="24"/>
                <w:highlight w:val="none"/>
              </w:rPr>
              <w:t>项目施工期间将动用一定量的土方。项目土方工程主要由清废、挖方、弃</w:t>
            </w:r>
            <w:r>
              <w:rPr>
                <w:rFonts w:hint="default" w:ascii="Times New Roman" w:hAnsi="Times New Roman" w:eastAsia="宋体" w:cs="Times New Roman"/>
                <w:color w:val="auto"/>
                <w:sz w:val="24"/>
                <w:highlight w:val="none"/>
                <w:lang w:eastAsia="zh-CN"/>
              </w:rPr>
              <w:t>方</w:t>
            </w:r>
            <w:r>
              <w:rPr>
                <w:rFonts w:hint="default" w:ascii="Times New Roman" w:hAnsi="Times New Roman" w:eastAsia="宋体" w:cs="Times New Roman"/>
                <w:color w:val="auto"/>
                <w:sz w:val="24"/>
                <w:highlight w:val="none"/>
              </w:rPr>
              <w:t>组成。工程施工过</w:t>
            </w:r>
            <w:r>
              <w:rPr>
                <w:rFonts w:hint="default" w:ascii="Times New Roman" w:hAnsi="Times New Roman" w:eastAsia="宋体" w:cs="Times New Roman"/>
                <w:color w:val="auto"/>
                <w:sz w:val="24"/>
                <w:highlight w:val="none"/>
                <w:lang w:eastAsia="zh-CN"/>
              </w:rPr>
              <w:t>程中</w:t>
            </w:r>
            <w:r>
              <w:rPr>
                <w:rFonts w:hint="default" w:ascii="Times New Roman" w:hAnsi="Times New Roman" w:eastAsia="宋体" w:cs="Times New Roman"/>
                <w:color w:val="auto"/>
                <w:sz w:val="24"/>
                <w:highlight w:val="none"/>
              </w:rPr>
              <w:t>由清废及挖方所造成的弃方，</w:t>
            </w:r>
            <w:r>
              <w:rPr>
                <w:rFonts w:hint="default" w:ascii="Times New Roman" w:hAnsi="Times New Roman" w:eastAsia="宋体" w:cs="Times New Roman"/>
                <w:bCs/>
                <w:color w:val="auto"/>
                <w:sz w:val="24"/>
                <w:highlight w:val="none"/>
              </w:rPr>
              <w:t>用于施工场地</w:t>
            </w:r>
            <w:r>
              <w:rPr>
                <w:rFonts w:hint="default" w:ascii="Times New Roman" w:hAnsi="Times New Roman" w:eastAsia="宋体" w:cs="Times New Roman"/>
                <w:bCs/>
                <w:color w:val="auto"/>
                <w:sz w:val="24"/>
                <w:highlight w:val="none"/>
                <w:lang w:val="en-US" w:eastAsia="zh-CN"/>
              </w:rPr>
              <w:t>及道路</w:t>
            </w:r>
            <w:r>
              <w:rPr>
                <w:rFonts w:hint="default" w:ascii="Times New Roman" w:hAnsi="Times New Roman" w:eastAsia="宋体" w:cs="Times New Roman"/>
                <w:bCs/>
                <w:color w:val="auto"/>
                <w:sz w:val="24"/>
                <w:highlight w:val="none"/>
              </w:rPr>
              <w:t>平整</w:t>
            </w:r>
            <w:r>
              <w:rPr>
                <w:rFonts w:hint="default" w:ascii="Times New Roman" w:hAnsi="Times New Roman" w:eastAsia="宋体" w:cs="Times New Roman"/>
                <w:color w:val="auto"/>
                <w:sz w:val="24"/>
                <w:highlight w:val="none"/>
              </w:rPr>
              <w:t>。按照经济优化的原则，</w:t>
            </w:r>
            <w:r>
              <w:rPr>
                <w:rFonts w:hint="default" w:ascii="Times New Roman" w:hAnsi="Times New Roman" w:eastAsia="宋体" w:cs="Times New Roman"/>
                <w:color w:val="auto"/>
                <w:sz w:val="24"/>
                <w:highlight w:val="none"/>
                <w:lang w:eastAsia="zh-CN"/>
              </w:rPr>
              <w:t>项目</w:t>
            </w:r>
            <w:r>
              <w:rPr>
                <w:rFonts w:hint="default" w:ascii="Times New Roman" w:hAnsi="Times New Roman" w:eastAsia="宋体" w:cs="Times New Roman"/>
                <w:color w:val="auto"/>
                <w:sz w:val="24"/>
                <w:highlight w:val="none"/>
              </w:rPr>
              <w:t>所需土方利用</w:t>
            </w:r>
            <w:r>
              <w:rPr>
                <w:rFonts w:hint="default" w:ascii="Times New Roman" w:hAnsi="Times New Roman" w:eastAsia="宋体" w:cs="Times New Roman"/>
                <w:color w:val="auto"/>
                <w:sz w:val="24"/>
                <w:highlight w:val="none"/>
                <w:lang w:eastAsia="zh-CN"/>
              </w:rPr>
              <w:t>项目</w:t>
            </w:r>
            <w:r>
              <w:rPr>
                <w:rFonts w:hint="default" w:ascii="Times New Roman" w:hAnsi="Times New Roman" w:eastAsia="宋体" w:cs="Times New Roman"/>
                <w:color w:val="auto"/>
                <w:sz w:val="24"/>
                <w:highlight w:val="none"/>
              </w:rPr>
              <w:t>挖方</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尽量达到开挖土料利用量和建筑工程量的平衡，减少弃土方量。项目清废量</w:t>
            </w:r>
            <w:r>
              <w:rPr>
                <w:rFonts w:hint="default" w:ascii="Times New Roman" w:hAnsi="Times New Roman" w:eastAsia="宋体" w:cs="Times New Roman"/>
                <w:color w:val="auto"/>
                <w:sz w:val="24"/>
                <w:highlight w:val="none"/>
                <w:lang w:val="en-US" w:eastAsia="zh-CN"/>
              </w:rPr>
              <w:t>0</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，挖方量</w:t>
            </w:r>
            <w:r>
              <w:rPr>
                <w:rFonts w:hint="eastAsia" w:ascii="Times New Roman" w:cs="Times New Roman"/>
                <w:color w:val="auto"/>
                <w:sz w:val="24"/>
                <w:highlight w:val="none"/>
                <w:lang w:val="en-US" w:eastAsia="zh-CN"/>
              </w:rPr>
              <w:t>10165</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，填方量</w:t>
            </w:r>
            <w:r>
              <w:rPr>
                <w:rFonts w:hint="eastAsia" w:ascii="Times New Roman" w:cs="Times New Roman"/>
                <w:color w:val="auto"/>
                <w:sz w:val="24"/>
                <w:highlight w:val="none"/>
                <w:lang w:val="en-US" w:eastAsia="zh-CN"/>
              </w:rPr>
              <w:t>5613</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w:t>
            </w:r>
            <w:r>
              <w:rPr>
                <w:rFonts w:hint="eastAsia" w:ascii="Times New Roman" w:cs="Times New Roman"/>
                <w:color w:val="auto"/>
                <w:sz w:val="24"/>
                <w:highlight w:val="none"/>
                <w:lang w:val="en-US" w:eastAsia="zh-CN"/>
              </w:rPr>
              <w:t>借方量2762</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，弃方量</w:t>
            </w:r>
            <w:r>
              <w:rPr>
                <w:rFonts w:hint="default" w:ascii="Times New Roman" w:hAnsi="Times New Roman" w:eastAsia="宋体" w:cs="Times New Roman"/>
                <w:color w:val="auto"/>
                <w:sz w:val="24"/>
                <w:highlight w:val="none"/>
                <w:lang w:val="en-US" w:eastAsia="zh-CN"/>
              </w:rPr>
              <w:t>均用于施工场地及道路平整，不设置弃渣场</w:t>
            </w:r>
            <w:r>
              <w:rPr>
                <w:rFonts w:hint="default" w:ascii="Times New Roman" w:hAnsi="Times New Roman" w:eastAsia="宋体" w:cs="Times New Roman"/>
                <w:color w:val="auto"/>
                <w:sz w:val="24"/>
                <w:highlight w:val="none"/>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表</w:t>
            </w:r>
            <w:r>
              <w:rPr>
                <w:rFonts w:hint="default" w:ascii="Times New Roman" w:hAnsi="Times New Roman" w:eastAsia="宋体" w:cs="Times New Roman"/>
                <w:b/>
                <w:bCs/>
                <w:color w:val="auto"/>
                <w:sz w:val="24"/>
                <w:szCs w:val="21"/>
                <w:highlight w:val="none"/>
                <w:lang w:val="en-US" w:eastAsia="zh-CN"/>
              </w:rPr>
              <w:t xml:space="preserve">2-9 </w:t>
            </w:r>
            <w:r>
              <w:rPr>
                <w:rFonts w:hint="default" w:ascii="Times New Roman" w:hAnsi="Times New Roman" w:eastAsia="宋体" w:cs="Times New Roman"/>
                <w:b/>
                <w:color w:val="auto"/>
                <w:sz w:val="24"/>
              </w:rPr>
              <w:t xml:space="preserve">   土石方平衡表         </w:t>
            </w:r>
            <w:r>
              <w:rPr>
                <w:rFonts w:hint="default" w:ascii="Times New Roman" w:hAnsi="Times New Roman" w:eastAsia="宋体" w:cs="Times New Roman"/>
                <w:b/>
                <w:color w:val="auto"/>
                <w:sz w:val="24"/>
                <w:lang w:val="en-US" w:eastAsia="zh-CN"/>
              </w:rPr>
              <w:t xml:space="preserve">          </w:t>
            </w:r>
            <w:r>
              <w:rPr>
                <w:rFonts w:hint="default" w:ascii="Times New Roman" w:hAnsi="Times New Roman" w:eastAsia="宋体" w:cs="Times New Roman"/>
                <w:b/>
                <w:color w:val="auto"/>
                <w:sz w:val="24"/>
              </w:rPr>
              <w:t xml:space="preserve">         </w:t>
            </w:r>
            <w:r>
              <w:rPr>
                <w:rFonts w:hint="default" w:ascii="Times New Roman" w:hAnsi="Times New Roman" w:eastAsia="宋体" w:cs="Times New Roman"/>
                <w:b/>
                <w:color w:val="auto"/>
                <w:sz w:val="24"/>
                <w:lang w:val="en-US" w:eastAsia="zh-CN"/>
              </w:rPr>
              <w:t xml:space="preserve">  </w:t>
            </w:r>
            <w:r>
              <w:rPr>
                <w:rFonts w:hint="default" w:ascii="Times New Roman" w:hAnsi="Times New Roman" w:eastAsia="宋体" w:cs="Times New Roman"/>
                <w:b/>
                <w:color w:val="auto"/>
                <w:sz w:val="24"/>
              </w:rPr>
              <w:t xml:space="preserve">  单位：m</w:t>
            </w:r>
            <w:r>
              <w:rPr>
                <w:rFonts w:hint="default" w:ascii="Times New Roman" w:hAnsi="Times New Roman" w:eastAsia="宋体" w:cs="Times New Roman"/>
                <w:b/>
                <w:color w:val="auto"/>
                <w:sz w:val="24"/>
                <w:vertAlign w:val="superscript"/>
              </w:rPr>
              <w:t>3</w:t>
            </w:r>
          </w:p>
          <w:tbl>
            <w:tblPr>
              <w:tblStyle w:val="32"/>
              <w:tblW w:w="8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85"/>
              <w:gridCol w:w="1180"/>
              <w:gridCol w:w="1227"/>
              <w:gridCol w:w="1316"/>
              <w:gridCol w:w="1346"/>
              <w:gridCol w:w="2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76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工程名称</w:t>
                  </w:r>
                </w:p>
              </w:tc>
              <w:tc>
                <w:tcPr>
                  <w:tcW w:w="700"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挖方量</w:t>
                  </w:r>
                </w:p>
              </w:tc>
              <w:tc>
                <w:tcPr>
                  <w:tcW w:w="728"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填方量</w:t>
                  </w:r>
                </w:p>
              </w:tc>
              <w:tc>
                <w:tcPr>
                  <w:tcW w:w="781"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z w:val="21"/>
                      <w:szCs w:val="21"/>
                      <w:lang w:eastAsia="zh-CN"/>
                    </w:rPr>
                  </w:pPr>
                  <w:r>
                    <w:rPr>
                      <w:rFonts w:hint="eastAsia" w:ascii="Times New Roman" w:cs="Times New Roman"/>
                      <w:color w:val="auto"/>
                      <w:sz w:val="21"/>
                      <w:szCs w:val="21"/>
                      <w:highlight w:val="none"/>
                      <w:lang w:val="en-US" w:eastAsia="zh-CN"/>
                    </w:rPr>
                    <w:t>借方量</w:t>
                  </w:r>
                </w:p>
              </w:tc>
              <w:tc>
                <w:tcPr>
                  <w:tcW w:w="799"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弃方量</w:t>
                  </w:r>
                </w:p>
              </w:tc>
              <w:tc>
                <w:tcPr>
                  <w:tcW w:w="122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处理方式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76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场地平整</w:t>
                  </w:r>
                </w:p>
              </w:tc>
              <w:tc>
                <w:tcPr>
                  <w:tcW w:w="700"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8950</w:t>
                  </w:r>
                </w:p>
              </w:tc>
              <w:tc>
                <w:tcPr>
                  <w:tcW w:w="728"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5370</w:t>
                  </w:r>
                </w:p>
              </w:tc>
              <w:tc>
                <w:tcPr>
                  <w:tcW w:w="781"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1790</w:t>
                  </w:r>
                </w:p>
              </w:tc>
              <w:tc>
                <w:tcPr>
                  <w:tcW w:w="7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5370</w:t>
                  </w:r>
                </w:p>
              </w:tc>
              <w:tc>
                <w:tcPr>
                  <w:tcW w:w="1225"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用于施工场地</w:t>
                  </w:r>
                  <w:r>
                    <w:rPr>
                      <w:rFonts w:hint="default" w:ascii="Times New Roman" w:hAnsi="Times New Roman" w:eastAsia="宋体" w:cs="Times New Roman"/>
                      <w:color w:val="auto"/>
                      <w:sz w:val="21"/>
                      <w:szCs w:val="21"/>
                      <w:highlight w:val="none"/>
                      <w:lang w:val="en-US" w:eastAsia="zh-CN"/>
                    </w:rPr>
                    <w:t>及道路</w:t>
                  </w:r>
                  <w:r>
                    <w:rPr>
                      <w:rFonts w:hint="default" w:ascii="Times New Roman" w:hAnsi="Times New Roman" w:eastAsia="宋体" w:cs="Times New Roman"/>
                      <w:color w:val="auto"/>
                      <w:sz w:val="21"/>
                      <w:szCs w:val="21"/>
                      <w:highlight w:val="none"/>
                    </w:rPr>
                    <w:t>平整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76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辅助工程</w:t>
                  </w:r>
                </w:p>
              </w:tc>
              <w:tc>
                <w:tcPr>
                  <w:tcW w:w="700"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1215</w:t>
                  </w:r>
                </w:p>
              </w:tc>
              <w:tc>
                <w:tcPr>
                  <w:tcW w:w="728"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243</w:t>
                  </w:r>
                </w:p>
              </w:tc>
              <w:tc>
                <w:tcPr>
                  <w:tcW w:w="781"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972</w:t>
                  </w:r>
                </w:p>
              </w:tc>
              <w:tc>
                <w:tcPr>
                  <w:tcW w:w="7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1944</w:t>
                  </w:r>
                </w:p>
              </w:tc>
              <w:tc>
                <w:tcPr>
                  <w:tcW w:w="1225"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jc w:val="center"/>
              </w:trPr>
              <w:tc>
                <w:tcPr>
                  <w:tcW w:w="763"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合计</w:t>
                  </w:r>
                </w:p>
              </w:tc>
              <w:tc>
                <w:tcPr>
                  <w:tcW w:w="700"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10165</w:t>
                  </w:r>
                </w:p>
              </w:tc>
              <w:tc>
                <w:tcPr>
                  <w:tcW w:w="728"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5613</w:t>
                  </w:r>
                </w:p>
              </w:tc>
              <w:tc>
                <w:tcPr>
                  <w:tcW w:w="781"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2762</w:t>
                  </w:r>
                </w:p>
              </w:tc>
              <w:tc>
                <w:tcPr>
                  <w:tcW w:w="799"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7314</w:t>
                  </w:r>
                </w:p>
              </w:tc>
              <w:tc>
                <w:tcPr>
                  <w:tcW w:w="1225"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bl>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1</w:t>
            </w:r>
            <w:r>
              <w:rPr>
                <w:rFonts w:hint="default" w:ascii="Times New Roman" w:hAnsi="Times New Roman" w:eastAsia="宋体" w:cs="Times New Roman"/>
                <w:b/>
                <w:color w:val="auto"/>
                <w:sz w:val="24"/>
                <w:highlight w:val="none"/>
                <w:lang w:val="en-US" w:eastAsia="zh-CN"/>
              </w:rPr>
              <w:t>2</w:t>
            </w:r>
            <w:r>
              <w:rPr>
                <w:rFonts w:hint="default" w:ascii="Times New Roman" w:hAnsi="Times New Roman" w:eastAsia="宋体" w:cs="Times New Roman"/>
                <w:b/>
                <w:color w:val="auto"/>
                <w:sz w:val="24"/>
                <w:highlight w:val="none"/>
              </w:rPr>
              <w:t>、劳动定员及工作制度</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钻井队编制</w:t>
            </w:r>
            <w:r>
              <w:rPr>
                <w:rFonts w:hint="default" w:ascii="Times New Roman" w:hAnsi="Times New Roman" w:eastAsia="宋体" w:cs="Times New Roman"/>
                <w:color w:val="auto"/>
                <w:sz w:val="24"/>
                <w:highlight w:val="none"/>
                <w:lang w:val="en-US" w:eastAsia="zh-CN"/>
              </w:rPr>
              <w:t>60人</w:t>
            </w:r>
            <w:r>
              <w:rPr>
                <w:rFonts w:hint="default" w:ascii="Times New Roman" w:hAnsi="Times New Roman" w:eastAsia="宋体" w:cs="Times New Roman"/>
                <w:color w:val="auto"/>
                <w:sz w:val="24"/>
                <w:highlight w:val="none"/>
              </w:rPr>
              <w:t>，</w:t>
            </w:r>
            <w:r>
              <w:rPr>
                <w:rFonts w:hint="eastAsia" w:ascii="Times New Roman" w:cs="Times New Roman"/>
                <w:color w:val="auto"/>
                <w:sz w:val="24"/>
                <w:highlight w:val="none"/>
                <w:lang w:val="en-US" w:eastAsia="zh-CN"/>
              </w:rPr>
              <w:t>施工</w:t>
            </w:r>
            <w:r>
              <w:rPr>
                <w:rFonts w:hint="default" w:ascii="Times New Roman" w:hAnsi="Times New Roman" w:eastAsia="宋体" w:cs="Times New Roman"/>
                <w:color w:val="auto"/>
                <w:sz w:val="24"/>
                <w:highlight w:val="none"/>
                <w:lang w:val="en-US" w:eastAsia="zh-CN"/>
              </w:rPr>
              <w:t>天数</w:t>
            </w:r>
            <w:r>
              <w:rPr>
                <w:rFonts w:hint="eastAsia" w:ascii="Times New Roman" w:cs="Times New Roman"/>
                <w:color w:val="auto"/>
                <w:sz w:val="24"/>
                <w:highlight w:val="none"/>
                <w:lang w:val="en-US" w:eastAsia="zh-CN"/>
              </w:rPr>
              <w:t>190</w:t>
            </w:r>
            <w:r>
              <w:rPr>
                <w:rFonts w:hint="default" w:ascii="Times New Roman" w:hAnsi="Times New Roman" w:eastAsia="宋体" w:cs="Times New Roman"/>
                <w:color w:val="auto"/>
                <w:sz w:val="24"/>
                <w:highlight w:val="none"/>
                <w:lang w:val="en-US" w:eastAsia="zh-CN"/>
              </w:rPr>
              <w:t>d，</w:t>
            </w:r>
            <w:r>
              <w:rPr>
                <w:rFonts w:hint="default" w:ascii="Times New Roman" w:hAnsi="Times New Roman" w:eastAsia="宋体" w:cs="Times New Roman"/>
                <w:color w:val="auto"/>
                <w:sz w:val="24"/>
                <w:highlight w:val="none"/>
              </w:rPr>
              <w:t>实行</w:t>
            </w:r>
            <w:r>
              <w:rPr>
                <w:rFonts w:hint="eastAsia" w:ascii="Times New Roman" w:cs="Times New Roman"/>
                <w:color w:val="auto"/>
                <w:sz w:val="24"/>
                <w:highlight w:val="none"/>
                <w:lang w:val="en-US" w:eastAsia="zh-CN"/>
              </w:rPr>
              <w:t>三班两</w:t>
            </w:r>
            <w:r>
              <w:rPr>
                <w:rFonts w:hint="default" w:ascii="Times New Roman" w:hAnsi="Times New Roman" w:eastAsia="宋体" w:cs="Times New Roman"/>
                <w:color w:val="auto"/>
                <w:sz w:val="24"/>
                <w:highlight w:val="none"/>
              </w:rPr>
              <w:t>运转24小时工作制。</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13</w:t>
            </w:r>
            <w:r>
              <w:rPr>
                <w:rFonts w:hint="default" w:ascii="Times New Roman" w:hAnsi="Times New Roman" w:eastAsia="宋体" w:cs="Times New Roman"/>
                <w:b/>
                <w:bCs/>
                <w:color w:val="auto"/>
                <w:sz w:val="24"/>
                <w:highlight w:val="none"/>
              </w:rPr>
              <w:t>、经济技术指标</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项目主要经济技术指标见</w:t>
            </w:r>
            <w:r>
              <w:rPr>
                <w:rFonts w:hint="default" w:ascii="Times New Roman" w:hAnsi="Times New Roman" w:eastAsia="宋体" w:cs="Times New Roman"/>
                <w:color w:val="auto"/>
                <w:sz w:val="24"/>
                <w:highlight w:val="none"/>
                <w:lang w:val="en-US" w:eastAsia="zh-CN"/>
              </w:rPr>
              <w:t>下表</w:t>
            </w:r>
            <w:r>
              <w:rPr>
                <w:rFonts w:hint="default" w:ascii="Times New Roman" w:hAnsi="Times New Roman" w:eastAsia="宋体" w:cs="Times New Roman"/>
                <w:color w:val="auto"/>
                <w:sz w:val="24"/>
                <w:highlight w:val="none"/>
              </w:rPr>
              <w:t>。</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表2-</w:t>
            </w:r>
            <w:r>
              <w:rPr>
                <w:rFonts w:hint="default" w:ascii="Times New Roman" w:hAnsi="Times New Roman" w:eastAsia="宋体" w:cs="Times New Roman"/>
                <w:b/>
                <w:bCs/>
                <w:color w:val="auto"/>
                <w:sz w:val="24"/>
                <w:highlight w:val="none"/>
                <w:lang w:val="en-US" w:eastAsia="zh-CN"/>
              </w:rPr>
              <w:t>10</w:t>
            </w:r>
            <w:r>
              <w:rPr>
                <w:rFonts w:hint="default" w:ascii="Times New Roman" w:hAnsi="Times New Roman" w:eastAsia="宋体" w:cs="Times New Roman"/>
                <w:b/>
                <w:bCs/>
                <w:color w:val="auto"/>
                <w:sz w:val="24"/>
                <w:highlight w:val="none"/>
              </w:rPr>
              <w:t xml:space="preserve">    项目主要技术经济指标</w:t>
            </w:r>
          </w:p>
          <w:tbl>
            <w:tblPr>
              <w:tblStyle w:val="32"/>
              <w:tblW w:w="8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0"/>
              <w:gridCol w:w="2539"/>
              <w:gridCol w:w="1692"/>
              <w:gridCol w:w="2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序号</w:t>
                  </w:r>
                </w:p>
              </w:tc>
              <w:tc>
                <w:tcPr>
                  <w:tcW w:w="25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指标名称</w:t>
                  </w:r>
                </w:p>
              </w:tc>
              <w:tc>
                <w:tcPr>
                  <w:tcW w:w="1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单位</w:t>
                  </w:r>
                </w:p>
              </w:tc>
              <w:tc>
                <w:tcPr>
                  <w:tcW w:w="27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25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钻井深度</w:t>
                  </w:r>
                </w:p>
              </w:tc>
              <w:tc>
                <w:tcPr>
                  <w:tcW w:w="1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m</w:t>
                  </w:r>
                </w:p>
              </w:tc>
              <w:tc>
                <w:tcPr>
                  <w:tcW w:w="27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25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占地面积（临时）</w:t>
                  </w:r>
                </w:p>
              </w:tc>
              <w:tc>
                <w:tcPr>
                  <w:tcW w:w="1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2</w:t>
                  </w:r>
                </w:p>
              </w:tc>
              <w:tc>
                <w:tcPr>
                  <w:tcW w:w="27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20330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25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工作天数</w:t>
                  </w:r>
                </w:p>
              </w:tc>
              <w:tc>
                <w:tcPr>
                  <w:tcW w:w="1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天</w:t>
                  </w:r>
                </w:p>
              </w:tc>
              <w:tc>
                <w:tcPr>
                  <w:tcW w:w="27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25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劳动定员</w:t>
                  </w:r>
                </w:p>
              </w:tc>
              <w:tc>
                <w:tcPr>
                  <w:tcW w:w="1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人</w:t>
                  </w:r>
                </w:p>
              </w:tc>
              <w:tc>
                <w:tcPr>
                  <w:tcW w:w="27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25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总投资</w:t>
                  </w:r>
                </w:p>
              </w:tc>
              <w:tc>
                <w:tcPr>
                  <w:tcW w:w="1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万元</w:t>
                  </w:r>
                </w:p>
              </w:tc>
              <w:tc>
                <w:tcPr>
                  <w:tcW w:w="27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253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环保投资</w:t>
                  </w:r>
                </w:p>
              </w:tc>
              <w:tc>
                <w:tcPr>
                  <w:tcW w:w="1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万元</w:t>
                  </w:r>
                </w:p>
              </w:tc>
              <w:tc>
                <w:tcPr>
                  <w:tcW w:w="27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r>
          </w:tbl>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14、依托工程可行性分析</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0000FF"/>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（1）富源7井环保处理站</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cs="Times New Roman"/>
                <w:color w:val="auto"/>
                <w:sz w:val="24"/>
                <w:szCs w:val="24"/>
                <w:highlight w:val="none"/>
                <w:lang w:val="en-US" w:eastAsia="zh-CN"/>
              </w:rPr>
              <w:t>①</w:t>
            </w:r>
            <w:r>
              <w:rPr>
                <w:rFonts w:hint="default" w:ascii="Times New Roman" w:hAnsi="Times New Roman" w:eastAsia="宋体" w:cs="Times New Roman"/>
                <w:color w:val="auto"/>
                <w:sz w:val="24"/>
                <w:szCs w:val="24"/>
                <w:highlight w:val="none"/>
                <w:lang w:val="en-US" w:eastAsia="zh-CN"/>
              </w:rPr>
              <w:t>项目概况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富源7井于2022年10月27日以勘探井名义获得巴州生态环境局批复，井型为</w:t>
            </w:r>
            <w:r>
              <w:rPr>
                <w:rFonts w:hint="default" w:ascii="Times New Roman" w:hAnsi="Times New Roman" w:cs="Times New Roman"/>
                <w:color w:val="auto"/>
                <w:sz w:val="24"/>
                <w:szCs w:val="24"/>
                <w:highlight w:val="none"/>
                <w:lang w:val="en-US" w:eastAsia="zh-CN"/>
              </w:rPr>
              <w:t>水平井</w:t>
            </w:r>
            <w:r>
              <w:rPr>
                <w:rFonts w:hint="default" w:ascii="Times New Roman" w:hAnsi="Times New Roman" w:eastAsia="宋体" w:cs="Times New Roman"/>
                <w:color w:val="auto"/>
                <w:sz w:val="24"/>
                <w:szCs w:val="24"/>
                <w:highlight w:val="none"/>
                <w:lang w:val="en-US" w:eastAsia="zh-CN"/>
              </w:rPr>
              <w:t>，于2022年12月31日开钻，于2023年5月24日钻井完井，原设计井深8000m，实际完钻井深7741m，目的层为奥陶系一间房组。2023年10月，塔里木油田分公司对该井进行了自主验收。</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塔里木油田富源区块钻试修废液处理项目建设在富源7注水井西侧，与富源7注水</w:t>
            </w:r>
            <w:r>
              <w:rPr>
                <w:rFonts w:hint="eastAsia" w:ascii="Times New Roman" w:cs="Times New Roman"/>
                <w:color w:val="auto"/>
                <w:sz w:val="24"/>
                <w:szCs w:val="24"/>
                <w:highlight w:val="none"/>
                <w:lang w:val="en-US" w:eastAsia="zh-CN"/>
              </w:rPr>
              <w:t>井</w:t>
            </w:r>
            <w:r>
              <w:rPr>
                <w:rFonts w:hint="default" w:ascii="Times New Roman" w:hAnsi="Times New Roman" w:eastAsia="宋体" w:cs="Times New Roman"/>
                <w:color w:val="auto"/>
                <w:sz w:val="24"/>
                <w:szCs w:val="24"/>
                <w:highlight w:val="none"/>
                <w:lang w:val="en-US" w:eastAsia="zh-CN"/>
              </w:rPr>
              <w:t>间隔10米，通过地面管道实现废水的输送，废液处理站占地面积0.196hm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，各设备设施以撬装化为主。主要处理工艺为“氧化脱胶→混凝→气浮分离→多级过滤”。设计处理规模30m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/h。</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cs="Times New Roman"/>
                <w:color w:val="auto"/>
                <w:sz w:val="24"/>
                <w:szCs w:val="24"/>
                <w:highlight w:val="none"/>
                <w:lang w:val="en-US" w:eastAsia="zh-CN"/>
              </w:rPr>
              <w:t>②</w:t>
            </w:r>
            <w:r>
              <w:rPr>
                <w:rFonts w:hint="default" w:ascii="Times New Roman" w:hAnsi="Times New Roman" w:eastAsia="宋体" w:cs="Times New Roman"/>
                <w:color w:val="auto"/>
                <w:sz w:val="24"/>
                <w:szCs w:val="24"/>
                <w:highlight w:val="none"/>
                <w:lang w:val="en-US" w:eastAsia="zh-CN"/>
              </w:rPr>
              <w:t>主要设备设施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废液处理站主要设备设施如下表。</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表2-1</w:t>
            </w:r>
            <w:r>
              <w:rPr>
                <w:rFonts w:hint="eastAsia" w:ascii="Times New Roman" w:hAnsi="Times New Roman" w:eastAsia="宋体" w:cs="Times New Roman"/>
                <w:b/>
                <w:bCs/>
                <w:color w:val="auto"/>
                <w:sz w:val="24"/>
                <w:highlight w:val="none"/>
                <w:lang w:val="en-US" w:eastAsia="zh-CN"/>
              </w:rPr>
              <w:t>1</w:t>
            </w:r>
            <w:r>
              <w:rPr>
                <w:rFonts w:hint="default" w:ascii="Times New Roman" w:hAnsi="Times New Roman" w:eastAsia="宋体" w:cs="Times New Roman"/>
                <w:b/>
                <w:bCs/>
                <w:color w:val="auto"/>
                <w:sz w:val="24"/>
                <w:highlight w:val="none"/>
                <w:lang w:val="en-US" w:eastAsia="zh-CN"/>
              </w:rPr>
              <w:t xml:space="preserve">    主要设备设施基本情况一览表</w:t>
            </w:r>
          </w:p>
          <w:tbl>
            <w:tblPr>
              <w:tblStyle w:val="83"/>
              <w:tblW w:w="8397"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576"/>
              <w:gridCol w:w="1550"/>
              <w:gridCol w:w="3349"/>
              <w:gridCol w:w="501"/>
              <w:gridCol w:w="568"/>
              <w:gridCol w:w="1853"/>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序号</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设备名称</w:t>
                  </w:r>
                </w:p>
              </w:tc>
              <w:tc>
                <w:tcPr>
                  <w:tcW w:w="3349"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规格型号</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单位</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数量</w:t>
                  </w:r>
                </w:p>
              </w:tc>
              <w:tc>
                <w:tcPr>
                  <w:tcW w:w="1853" w:type="dxa"/>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备注</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75"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卸液泵组</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2000mm×2000mm×1500mm，自吸泵2台，Q=50m</w:t>
                  </w:r>
                  <w:r>
                    <w:rPr>
                      <w:rFonts w:hint="default" w:ascii="Times New Roman" w:hAnsi="Times New Roman" w:eastAsia="宋体" w:cs="Times New Roman"/>
                      <w:color w:val="auto"/>
                      <w:spacing w:val="0"/>
                      <w:kern w:val="2"/>
                      <w:sz w:val="21"/>
                      <w:szCs w:val="21"/>
                      <w:highlight w:val="none"/>
                      <w:vertAlign w:val="superscript"/>
                      <w:lang w:val="en-US" w:eastAsia="en-US" w:bidi="ar-SA"/>
                    </w:rPr>
                    <w:t>3</w:t>
                  </w:r>
                  <w:r>
                    <w:rPr>
                      <w:rFonts w:hint="default" w:ascii="Times New Roman" w:hAnsi="Times New Roman" w:eastAsia="宋体" w:cs="Times New Roman"/>
                      <w:color w:val="auto"/>
                      <w:spacing w:val="0"/>
                      <w:kern w:val="2"/>
                      <w:sz w:val="21"/>
                      <w:szCs w:val="21"/>
                      <w:highlight w:val="none"/>
                      <w:lang w:val="en-US" w:eastAsia="en-US" w:bidi="ar-SA"/>
                    </w:rPr>
                    <w:t>/h，H=30m，N=5.5kW</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来液装卸</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340"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2</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废液存储罐</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单座废液存储罐由上罐和下罐组成，</w:t>
                  </w:r>
                </w:p>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上罐：8300mm×2400mm×2430mm，</w:t>
                  </w:r>
                </w:p>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下罐：10600mm×2800mm×2750mm；</w:t>
                  </w:r>
                </w:p>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单座废液存储罐总容积120m</w:t>
                  </w:r>
                  <w:r>
                    <w:rPr>
                      <w:rFonts w:hint="default" w:ascii="Times New Roman" w:hAnsi="Times New Roman" w:eastAsia="宋体" w:cs="Times New Roman"/>
                      <w:color w:val="auto"/>
                      <w:spacing w:val="0"/>
                      <w:kern w:val="2"/>
                      <w:sz w:val="21"/>
                      <w:szCs w:val="21"/>
                      <w:highlight w:val="none"/>
                      <w:vertAlign w:val="superscript"/>
                      <w:lang w:val="en-US" w:eastAsia="en-US" w:bidi="ar-SA"/>
                    </w:rPr>
                    <w:t>3</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5</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来液暂存</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3</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破胶装置</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12000mm×3000mm×3200mm，撬装化</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4</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混凝装置</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10000mm×3000mm×3000mm，撬装化</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5</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气浮装置</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10000mm×3000mm×3000mm，撬装化</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6</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多介质过滤装置</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10000mm×3000mm×3500mm，撬装化</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7</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加药装置</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配置10个加药罐和加药泵等设施</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药剂配备</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017"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8</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污泥浓缩装置</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包括污泥浓缩罐等，10000mm×3000mm×3000mm，处理能力480m</w:t>
                  </w:r>
                  <w:r>
                    <w:rPr>
                      <w:rFonts w:hint="default" w:ascii="Times New Roman" w:hAnsi="Times New Roman" w:eastAsia="宋体" w:cs="Times New Roman"/>
                      <w:color w:val="auto"/>
                      <w:spacing w:val="0"/>
                      <w:kern w:val="2"/>
                      <w:sz w:val="21"/>
                      <w:szCs w:val="21"/>
                      <w:highlight w:val="none"/>
                      <w:vertAlign w:val="superscript"/>
                      <w:lang w:val="en-US" w:eastAsia="en-US" w:bidi="ar-SA"/>
                    </w:rPr>
                    <w:t>3</w:t>
                  </w:r>
                  <w:r>
                    <w:rPr>
                      <w:rFonts w:hint="default" w:ascii="Times New Roman" w:hAnsi="Times New Roman" w:eastAsia="宋体" w:cs="Times New Roman"/>
                      <w:color w:val="auto"/>
                      <w:spacing w:val="0"/>
                      <w:kern w:val="2"/>
                      <w:sz w:val="21"/>
                      <w:szCs w:val="21"/>
                      <w:highlight w:val="none"/>
                      <w:lang w:val="en-US" w:eastAsia="en-US" w:bidi="ar-SA"/>
                    </w:rPr>
                    <w:t>/d</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75"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9</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污泥减量化装置</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12000mm×3000mm×3000mm，撬装化，处理能力2m</w:t>
                  </w:r>
                  <w:r>
                    <w:rPr>
                      <w:rFonts w:hint="default" w:ascii="Times New Roman" w:hAnsi="Times New Roman" w:eastAsia="宋体" w:cs="Times New Roman"/>
                      <w:color w:val="auto"/>
                      <w:spacing w:val="0"/>
                      <w:kern w:val="2"/>
                      <w:sz w:val="21"/>
                      <w:szCs w:val="21"/>
                      <w:highlight w:val="none"/>
                      <w:vertAlign w:val="superscript"/>
                      <w:lang w:val="en-US" w:eastAsia="en-US" w:bidi="ar-SA"/>
                    </w:rPr>
                    <w:t>3</w:t>
                  </w:r>
                  <w:r>
                    <w:rPr>
                      <w:rFonts w:hint="default" w:ascii="Times New Roman" w:hAnsi="Times New Roman" w:eastAsia="宋体" w:cs="Times New Roman"/>
                      <w:color w:val="auto"/>
                      <w:spacing w:val="0"/>
                      <w:kern w:val="2"/>
                      <w:sz w:val="21"/>
                      <w:szCs w:val="21"/>
                      <w:highlight w:val="none"/>
                      <w:lang w:val="en-US" w:eastAsia="en-US" w:bidi="ar-SA"/>
                    </w:rPr>
                    <w:t>/h</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污泥脱水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1340"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10</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净化水存储罐</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单座净化水存储罐由上罐和下罐组成，上罐：8300mm×2400mm×2430mm，下罐：10600mm×2800mm×2750mm；单座净化水存储罐总容积120m</w:t>
                  </w:r>
                  <w:r>
                    <w:rPr>
                      <w:rFonts w:hint="default" w:ascii="Times New Roman" w:hAnsi="Times New Roman" w:eastAsia="宋体" w:cs="Times New Roman"/>
                      <w:color w:val="auto"/>
                      <w:spacing w:val="0"/>
                      <w:kern w:val="2"/>
                      <w:sz w:val="21"/>
                      <w:szCs w:val="21"/>
                      <w:highlight w:val="none"/>
                      <w:vertAlign w:val="superscript"/>
                      <w:lang w:val="en-US" w:eastAsia="en-US" w:bidi="ar-SA"/>
                    </w:rPr>
                    <w:t>3</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5</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暂存净化水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75"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11</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浮油收集罐</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50m</w:t>
                  </w:r>
                  <w:r>
                    <w:rPr>
                      <w:rFonts w:hint="default" w:ascii="Times New Roman" w:hAnsi="Times New Roman" w:eastAsia="宋体" w:cs="Times New Roman"/>
                      <w:color w:val="auto"/>
                      <w:spacing w:val="0"/>
                      <w:kern w:val="2"/>
                      <w:sz w:val="21"/>
                      <w:szCs w:val="21"/>
                      <w:highlight w:val="none"/>
                      <w:vertAlign w:val="superscript"/>
                      <w:lang w:val="en-US" w:eastAsia="en-US" w:bidi="ar-SA"/>
                    </w:rPr>
                    <w:t>3</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收集废液存储罐和气浮装置产生的浮油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675"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12</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清水罐撬</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8000mm×3000mm×3000mm，配泄水泵、输水泵</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生活及药剂配置用水</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61" w:hRule="atLeast"/>
                <w:jc w:val="center"/>
              </w:trPr>
              <w:tc>
                <w:tcPr>
                  <w:tcW w:w="57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13</w:t>
                  </w:r>
                </w:p>
              </w:tc>
              <w:tc>
                <w:tcPr>
                  <w:tcW w:w="15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事故应急罐</w:t>
                  </w:r>
                </w:p>
              </w:tc>
              <w:tc>
                <w:tcPr>
                  <w:tcW w:w="334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both"/>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储罐容积120m</w:t>
                  </w:r>
                  <w:r>
                    <w:rPr>
                      <w:rFonts w:hint="default" w:ascii="Times New Roman" w:hAnsi="Times New Roman" w:eastAsia="宋体" w:cs="Times New Roman"/>
                      <w:color w:val="auto"/>
                      <w:spacing w:val="0"/>
                      <w:kern w:val="2"/>
                      <w:sz w:val="21"/>
                      <w:szCs w:val="21"/>
                      <w:highlight w:val="none"/>
                      <w:vertAlign w:val="superscript"/>
                      <w:lang w:val="en-US" w:eastAsia="en-US" w:bidi="ar-SA"/>
                    </w:rPr>
                    <w:t>3</w:t>
                  </w:r>
                </w:p>
              </w:tc>
              <w:tc>
                <w:tcPr>
                  <w:tcW w:w="5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座</w:t>
                  </w:r>
                </w:p>
              </w:tc>
              <w:tc>
                <w:tcPr>
                  <w:tcW w:w="56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1</w:t>
                  </w:r>
                </w:p>
              </w:tc>
              <w:tc>
                <w:tcPr>
                  <w:tcW w:w="18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紧急情况下废液收集</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③</w:t>
            </w:r>
            <w:r>
              <w:rPr>
                <w:rFonts w:hint="default" w:ascii="Times New Roman" w:hAnsi="Times New Roman" w:eastAsia="宋体" w:cs="Times New Roman"/>
                <w:color w:val="auto"/>
                <w:sz w:val="24"/>
                <w:szCs w:val="24"/>
                <w:highlight w:val="none"/>
                <w:lang w:val="en-US" w:eastAsia="zh-CN"/>
              </w:rPr>
              <w:t>进出水水质要求</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处理钻试修废液主要来源于油田钻井、修井过程中，包括压裂返排液、酸化压裂废水、修井废水、洗井废水等，水质中既有从地层带出的粘土颗粒和岩屑，也含有油及压裂液中的有机和无机添加剂。其中有机物多以环状结构为主，包含酮、酯、羧酸、醛等多种官能团。</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根据现阶段调研的数据，平均每井井口压裂返排液量在1000m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左右，单次洗井废水产生量在70m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左右，单次修井废水产生量在25m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左右，各废水污染物浓度情况如下表所示。</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表2-1</w:t>
            </w:r>
            <w:r>
              <w:rPr>
                <w:rFonts w:hint="eastAsia"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lang w:val="en-US" w:eastAsia="zh-CN"/>
              </w:rPr>
              <w:t xml:space="preserve">    本项目不同来液废水浓度情况一览表</w:t>
            </w:r>
          </w:p>
          <w:p>
            <w:pPr>
              <w:keepNext w:val="0"/>
              <w:keepLines w:val="0"/>
              <w:suppressLineNumbers w:val="0"/>
              <w:spacing w:before="0" w:beforeAutospacing="0" w:after="0" w:afterAutospacing="0" w:line="29" w:lineRule="exact"/>
              <w:ind w:left="0" w:right="0"/>
              <w:rPr>
                <w:rFonts w:hint="default" w:ascii="Times New Roman" w:hAnsi="Times New Roman" w:eastAsia="宋体" w:cs="Times New Roman"/>
                <w:color w:val="auto"/>
                <w:highlight w:val="none"/>
              </w:rPr>
            </w:pPr>
          </w:p>
          <w:tbl>
            <w:tblPr>
              <w:tblStyle w:val="83"/>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66"/>
              <w:gridCol w:w="1890"/>
              <w:gridCol w:w="1615"/>
              <w:gridCol w:w="1339"/>
              <w:gridCol w:w="13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955"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污染因子</w:t>
                  </w:r>
                </w:p>
              </w:tc>
              <w:tc>
                <w:tcPr>
                  <w:tcW w:w="1706"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酸化压裂废水</w:t>
                  </w:r>
                </w:p>
              </w:tc>
              <w:tc>
                <w:tcPr>
                  <w:tcW w:w="1458"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压裂返排液</w:t>
                  </w:r>
                </w:p>
              </w:tc>
              <w:tc>
                <w:tcPr>
                  <w:tcW w:w="1209"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洗井废水</w:t>
                  </w:r>
                </w:p>
              </w:tc>
              <w:tc>
                <w:tcPr>
                  <w:tcW w:w="1214"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修井废水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955"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pH</w:t>
                  </w:r>
                </w:p>
              </w:tc>
              <w:tc>
                <w:tcPr>
                  <w:tcW w:w="1706"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3～7</w:t>
                  </w:r>
                </w:p>
              </w:tc>
              <w:tc>
                <w:tcPr>
                  <w:tcW w:w="1458"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6～9</w:t>
                  </w:r>
                </w:p>
              </w:tc>
              <w:tc>
                <w:tcPr>
                  <w:tcW w:w="1209"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6～9</w:t>
                  </w:r>
                </w:p>
              </w:tc>
              <w:tc>
                <w:tcPr>
                  <w:tcW w:w="1214"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6～9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955"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含油量（mg/L）</w:t>
                  </w:r>
                </w:p>
              </w:tc>
              <w:tc>
                <w:tcPr>
                  <w:tcW w:w="1706"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400～800</w:t>
                  </w:r>
                </w:p>
              </w:tc>
              <w:tc>
                <w:tcPr>
                  <w:tcW w:w="1458"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500～1000</w:t>
                  </w:r>
                </w:p>
              </w:tc>
              <w:tc>
                <w:tcPr>
                  <w:tcW w:w="1209"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50～400</w:t>
                  </w:r>
                </w:p>
              </w:tc>
              <w:tc>
                <w:tcPr>
                  <w:tcW w:w="1214"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30～300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955"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悬浮物（mg/L）</w:t>
                  </w:r>
                </w:p>
              </w:tc>
              <w:tc>
                <w:tcPr>
                  <w:tcW w:w="1706"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200～1000</w:t>
                  </w:r>
                </w:p>
              </w:tc>
              <w:tc>
                <w:tcPr>
                  <w:tcW w:w="1458"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200～1000</w:t>
                  </w:r>
                </w:p>
              </w:tc>
              <w:tc>
                <w:tcPr>
                  <w:tcW w:w="1209"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300-1200</w:t>
                  </w:r>
                </w:p>
              </w:tc>
              <w:tc>
                <w:tcPr>
                  <w:tcW w:w="1214"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50-1000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955"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COD（mg/L）</w:t>
                  </w:r>
                </w:p>
              </w:tc>
              <w:tc>
                <w:tcPr>
                  <w:tcW w:w="1706"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2000～3000</w:t>
                  </w:r>
                </w:p>
              </w:tc>
              <w:tc>
                <w:tcPr>
                  <w:tcW w:w="1458"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300～800</w:t>
                  </w:r>
                </w:p>
              </w:tc>
              <w:tc>
                <w:tcPr>
                  <w:tcW w:w="1209"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200～500</w:t>
                  </w:r>
                </w:p>
              </w:tc>
              <w:tc>
                <w:tcPr>
                  <w:tcW w:w="1214"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200～500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1955"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总铁量（mg/L）</w:t>
                  </w:r>
                </w:p>
              </w:tc>
              <w:tc>
                <w:tcPr>
                  <w:tcW w:w="1706"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50～200</w:t>
                  </w:r>
                </w:p>
              </w:tc>
              <w:tc>
                <w:tcPr>
                  <w:tcW w:w="1458"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10～20</w:t>
                  </w:r>
                </w:p>
              </w:tc>
              <w:tc>
                <w:tcPr>
                  <w:tcW w:w="1209"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1～12</w:t>
                  </w:r>
                </w:p>
              </w:tc>
              <w:tc>
                <w:tcPr>
                  <w:tcW w:w="1214" w:type="dxa"/>
                  <w:vAlign w:val="top"/>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kern w:val="2"/>
                      <w:sz w:val="21"/>
                      <w:szCs w:val="21"/>
                      <w:highlight w:val="none"/>
                      <w:lang w:val="en-US" w:eastAsia="en-US" w:bidi="ar-SA"/>
                    </w:rPr>
                  </w:pPr>
                  <w:r>
                    <w:rPr>
                      <w:rFonts w:hint="default" w:ascii="Times New Roman" w:hAnsi="Times New Roman" w:eastAsia="宋体" w:cs="Times New Roman"/>
                      <w:color w:val="auto"/>
                      <w:spacing w:val="0"/>
                      <w:kern w:val="2"/>
                      <w:sz w:val="21"/>
                      <w:szCs w:val="21"/>
                      <w:highlight w:val="none"/>
                      <w:lang w:val="en-US" w:eastAsia="en-US" w:bidi="ar-SA"/>
                    </w:rPr>
                    <w:t>1～15</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为避免装置出现故障，废液处理站对处理来液中的石油类和SS浓度进行了限制，要求浓度尽量不超过1000mg/L。由于各来液的差异性，可以在进站后先进入废液存储罐中先暂存，在进入装置处理之前，可根据来水的差异性进行调配水质。经过废液处理站处理后，出水水质满足《碎屑岩油藏注水水质指标技术要求及分析方法》（SY/T5329-2022）标准，即石油类、SS浓度分别不超过100mg/L和35mg/L，满足富源7注水井注水水质要求；相关进水水质指标如下表所示。</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表2-1</w:t>
            </w:r>
            <w:r>
              <w:rPr>
                <w:rFonts w:hint="eastAsia" w:ascii="Times New Roman" w:hAnsi="Times New Roman" w:eastAsia="宋体"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lang w:val="en-US" w:eastAsia="zh-CN"/>
              </w:rPr>
              <w:t xml:space="preserve">    本项目废液处理站进出水水质指标情况一览表</w:t>
            </w:r>
          </w:p>
          <w:p>
            <w:pPr>
              <w:keepNext w:val="0"/>
              <w:keepLines w:val="0"/>
              <w:suppressLineNumbers w:val="0"/>
              <w:spacing w:before="0" w:beforeAutospacing="0" w:after="0" w:afterAutospacing="0" w:line="28" w:lineRule="exact"/>
              <w:ind w:left="0" w:right="0"/>
              <w:rPr>
                <w:rFonts w:hint="default" w:ascii="Times New Roman" w:hAnsi="Times New Roman" w:eastAsia="宋体" w:cs="Times New Roman"/>
                <w:color w:val="auto"/>
                <w:highlight w:val="none"/>
              </w:rPr>
            </w:pPr>
          </w:p>
          <w:tbl>
            <w:tblPr>
              <w:tblStyle w:val="83"/>
              <w:tblW w:w="498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86"/>
              <w:gridCol w:w="1662"/>
              <w:gridCol w:w="1179"/>
              <w:gridCol w:w="1570"/>
              <w:gridCol w:w="123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646" w:type="dxa"/>
                  <w:vMerge w:val="restart"/>
                  <w:tcBorders>
                    <w:bottom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污水来源</w:t>
                  </w:r>
                </w:p>
              </w:tc>
              <w:tc>
                <w:tcPr>
                  <w:tcW w:w="2798"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进水指标</w:t>
                  </w:r>
                </w:p>
              </w:tc>
              <w:tc>
                <w:tcPr>
                  <w:tcW w:w="2767"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出水指标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646" w:type="dxa"/>
                  <w:vMerge w:val="continue"/>
                  <w:tcBorders>
                    <w:top w:val="nil"/>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p>
              </w:tc>
              <w:tc>
                <w:tcPr>
                  <w:tcW w:w="163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石油类（mg/L）</w:t>
                  </w:r>
                </w:p>
              </w:tc>
              <w:tc>
                <w:tcPr>
                  <w:tcW w:w="1161"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SS（mg/L）</w:t>
                  </w:r>
                </w:p>
              </w:tc>
              <w:tc>
                <w:tcPr>
                  <w:tcW w:w="154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石油类（mg/L）</w:t>
                  </w:r>
                </w:p>
              </w:tc>
              <w:tc>
                <w:tcPr>
                  <w:tcW w:w="122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SS（mg/L）</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2646"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压裂返排液、酸化压裂废水、修井废水、洗井废水</w:t>
                  </w:r>
                </w:p>
              </w:tc>
              <w:tc>
                <w:tcPr>
                  <w:tcW w:w="163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&lt;1000</w:t>
                  </w:r>
                </w:p>
              </w:tc>
              <w:tc>
                <w:tcPr>
                  <w:tcW w:w="1161"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&lt;1000</w:t>
                  </w:r>
                </w:p>
              </w:tc>
              <w:tc>
                <w:tcPr>
                  <w:tcW w:w="154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&lt;100</w:t>
                  </w:r>
                </w:p>
              </w:tc>
              <w:tc>
                <w:tcPr>
                  <w:tcW w:w="122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5"/>
                      <w:kern w:val="2"/>
                      <w:sz w:val="21"/>
                      <w:szCs w:val="21"/>
                      <w:highlight w:val="none"/>
                      <w:lang w:val="en-US" w:eastAsia="en-US" w:bidi="ar-SA"/>
                    </w:rPr>
                  </w:pPr>
                  <w:r>
                    <w:rPr>
                      <w:rFonts w:hint="default" w:ascii="Times New Roman" w:hAnsi="Times New Roman" w:eastAsia="宋体" w:cs="Times New Roman"/>
                      <w:color w:val="auto"/>
                      <w:spacing w:val="-5"/>
                      <w:kern w:val="2"/>
                      <w:sz w:val="21"/>
                      <w:szCs w:val="21"/>
                      <w:highlight w:val="none"/>
                      <w:lang w:val="en-US" w:eastAsia="en-US" w:bidi="ar-SA"/>
                    </w:rPr>
                    <w:t>&lt;35</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2025年3月塔里木油田分公司委托河北省众联能源环保科技有限公司编制完成《塔里木油田富源区块钻试修废液处理项目环境影响报告书》，并于2025年4月取得了巴州生态环境局的批复（巴环评价函〔2025〕82号）。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③</w:t>
            </w:r>
            <w:r>
              <w:rPr>
                <w:rFonts w:hint="default" w:ascii="Times New Roman" w:hAnsi="Times New Roman" w:eastAsia="宋体" w:cs="Times New Roman"/>
                <w:color w:val="auto"/>
                <w:sz w:val="24"/>
                <w:szCs w:val="24"/>
                <w:highlight w:val="none"/>
                <w:lang w:val="en-US" w:eastAsia="zh-CN"/>
              </w:rPr>
              <w:t>依托可行性</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32"/>
                <w:highlight w:val="none"/>
                <w:lang w:val="en-US" w:eastAsia="zh-CN"/>
              </w:rPr>
              <w:t>富源区块钻试修废液处理站钻试修废水处理规模720m</w:t>
            </w:r>
            <w:r>
              <w:rPr>
                <w:rFonts w:hint="default" w:ascii="Times New Roman" w:hAnsi="Times New Roman" w:eastAsia="宋体" w:cs="Times New Roman"/>
                <w:color w:val="auto"/>
                <w:sz w:val="24"/>
                <w:szCs w:val="32"/>
                <w:highlight w:val="none"/>
                <w:vertAlign w:val="superscript"/>
                <w:lang w:val="en-US" w:eastAsia="zh-CN"/>
              </w:rPr>
              <w:t>3</w:t>
            </w:r>
            <w:r>
              <w:rPr>
                <w:rFonts w:hint="default" w:ascii="Times New Roman" w:hAnsi="Times New Roman" w:eastAsia="宋体" w:cs="Times New Roman"/>
                <w:color w:val="auto"/>
                <w:sz w:val="24"/>
                <w:szCs w:val="32"/>
                <w:highlight w:val="none"/>
                <w:lang w:val="en-US" w:eastAsia="zh-CN"/>
              </w:rPr>
              <w:t>/d，本项目酸化压裂返排液产生量为日最大产生量为300m</w:t>
            </w:r>
            <w:r>
              <w:rPr>
                <w:rFonts w:hint="default" w:ascii="Times New Roman" w:hAnsi="Times New Roman" w:eastAsia="宋体" w:cs="Times New Roman"/>
                <w:color w:val="auto"/>
                <w:sz w:val="24"/>
                <w:szCs w:val="32"/>
                <w:highlight w:val="none"/>
                <w:vertAlign w:val="superscript"/>
                <w:lang w:val="en-US" w:eastAsia="zh-CN"/>
              </w:rPr>
              <w:t>3</w:t>
            </w:r>
            <w:r>
              <w:rPr>
                <w:rFonts w:hint="default" w:ascii="Times New Roman" w:hAnsi="Times New Roman" w:eastAsia="宋体" w:cs="Times New Roman"/>
                <w:color w:val="auto"/>
                <w:sz w:val="24"/>
                <w:szCs w:val="32"/>
                <w:highlight w:val="none"/>
                <w:lang w:val="en-US" w:eastAsia="zh-CN"/>
              </w:rPr>
              <w:t>/d（1000m</w:t>
            </w:r>
            <w:r>
              <w:rPr>
                <w:rFonts w:hint="default" w:ascii="Times New Roman" w:hAnsi="Times New Roman" w:eastAsia="宋体" w:cs="Times New Roman"/>
                <w:color w:val="auto"/>
                <w:sz w:val="24"/>
                <w:szCs w:val="32"/>
                <w:highlight w:val="none"/>
                <w:vertAlign w:val="superscript"/>
                <w:lang w:val="en-US" w:eastAsia="zh-CN"/>
              </w:rPr>
              <w:t>3</w:t>
            </w:r>
            <w:r>
              <w:rPr>
                <w:rFonts w:hint="default" w:ascii="Times New Roman" w:hAnsi="Times New Roman" w:eastAsia="宋体" w:cs="Times New Roman"/>
                <w:color w:val="auto"/>
                <w:sz w:val="24"/>
                <w:szCs w:val="32"/>
                <w:highlight w:val="none"/>
                <w:lang w:val="en-US" w:eastAsia="zh-CN"/>
              </w:rPr>
              <w:t>/钻井期），</w:t>
            </w:r>
            <w:r>
              <w:rPr>
                <w:rFonts w:hint="eastAsia" w:ascii="Times New Roman" w:hAnsi="Times New Roman" w:eastAsia="宋体" w:cs="Times New Roman"/>
                <w:color w:val="auto"/>
                <w:sz w:val="24"/>
                <w:szCs w:val="32"/>
                <w:highlight w:val="none"/>
                <w:lang w:val="en-US" w:eastAsia="zh-CN"/>
              </w:rPr>
              <w:t>且项目出水水质满足富源7注水井注水水质要求，</w:t>
            </w:r>
            <w:r>
              <w:rPr>
                <w:rFonts w:hint="default" w:ascii="Times New Roman" w:hAnsi="Times New Roman" w:eastAsia="宋体" w:cs="Times New Roman"/>
                <w:color w:val="auto"/>
                <w:sz w:val="24"/>
                <w:szCs w:val="32"/>
                <w:highlight w:val="none"/>
                <w:lang w:val="en-US" w:eastAsia="zh-CN"/>
              </w:rPr>
              <w:t>可依托富源区块钻试修环保站处理</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440" w:lineRule="exact"/>
              <w:ind w:left="0" w:leftChars="0" w:right="0" w:rightChars="0" w:firstLine="482" w:firstLineChars="200"/>
              <w:textAlignment w:val="auto"/>
              <w:rPr>
                <w:rFonts w:hint="default" w:ascii="Times New Roman" w:hAnsi="Times New Roman" w:cs="Times New Roman"/>
                <w:b/>
                <w:bCs/>
                <w:color w:val="auto"/>
                <w:sz w:val="24"/>
                <w:szCs w:val="21"/>
                <w:highlight w:val="none"/>
                <w:lang w:val="en-US" w:eastAsia="zh-CN"/>
              </w:rPr>
            </w:pPr>
            <w:r>
              <w:rPr>
                <w:rFonts w:hint="default" w:ascii="Times New Roman" w:hAnsi="Times New Roman" w:eastAsia="宋体" w:cs="Times New Roman"/>
                <w:b/>
                <w:bCs/>
                <w:color w:val="auto"/>
                <w:kern w:val="2"/>
                <w:sz w:val="24"/>
                <w:szCs w:val="21"/>
                <w:lang w:val="en-US" w:eastAsia="zh-CN" w:bidi="ar-SA"/>
              </w:rPr>
              <w:t>（2）</w:t>
            </w:r>
            <w:r>
              <w:rPr>
                <w:rFonts w:hint="default" w:ascii="Times New Roman" w:hAnsi="Times New Roman" w:cs="Times New Roman"/>
                <w:b/>
                <w:bCs/>
                <w:color w:val="auto"/>
                <w:sz w:val="24"/>
                <w:szCs w:val="21"/>
                <w:highlight w:val="none"/>
                <w:lang w:val="en-US" w:eastAsia="zh-CN"/>
              </w:rPr>
              <w:t>塔中油田钻试修废弃物环保处理站</w:t>
            </w:r>
          </w:p>
          <w:p>
            <w:pPr>
              <w:keepNext w:val="0"/>
              <w:keepLines w:val="0"/>
              <w:widowControl w:val="0"/>
              <w:suppressLineNumbers w:val="0"/>
              <w:tabs>
                <w:tab w:val="left" w:pos="990"/>
              </w:tabs>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kern w:val="2"/>
                <w:sz w:val="24"/>
                <w:szCs w:val="24"/>
                <w:lang w:val="en-US" w:eastAsia="zh-CN" w:bidi="ar"/>
              </w:rPr>
            </w:pPr>
            <w:r>
              <w:rPr>
                <w:rFonts w:hint="default" w:ascii="Times New Roman" w:hAnsi="Times New Roman" w:cs="Times New Roman"/>
                <w:color w:val="auto"/>
                <w:spacing w:val="0"/>
                <w:kern w:val="2"/>
                <w:sz w:val="24"/>
                <w:szCs w:val="24"/>
                <w:lang w:val="en-US" w:eastAsia="zh-CN" w:bidi="ar"/>
              </w:rPr>
              <w:t>①</w:t>
            </w:r>
            <w:r>
              <w:rPr>
                <w:rFonts w:hint="default" w:ascii="Times New Roman" w:hAnsi="Times New Roman" w:eastAsia="宋体" w:cs="Times New Roman"/>
                <w:color w:val="auto"/>
                <w:spacing w:val="0"/>
                <w:kern w:val="2"/>
                <w:sz w:val="24"/>
                <w:szCs w:val="24"/>
                <w:lang w:val="en-US" w:eastAsia="zh-CN" w:bidi="ar"/>
              </w:rPr>
              <w:t>基本情况</w:t>
            </w:r>
          </w:p>
          <w:p>
            <w:pPr>
              <w:keepNext w:val="0"/>
              <w:keepLines w:val="0"/>
              <w:widowControl w:val="0"/>
              <w:suppressLineNumbers w:val="0"/>
              <w:tabs>
                <w:tab w:val="left" w:pos="990"/>
              </w:tabs>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kern w:val="2"/>
                <w:sz w:val="24"/>
                <w:szCs w:val="24"/>
                <w:lang w:val="en-US" w:eastAsia="zh-CN" w:bidi="ar"/>
              </w:rPr>
            </w:pPr>
            <w:r>
              <w:rPr>
                <w:rFonts w:hint="default" w:ascii="Times New Roman" w:hAnsi="Times New Roman" w:eastAsia="宋体" w:cs="Times New Roman"/>
                <w:color w:val="auto"/>
                <w:spacing w:val="0"/>
                <w:kern w:val="2"/>
                <w:sz w:val="24"/>
                <w:szCs w:val="24"/>
                <w:lang w:val="en-US" w:eastAsia="zh-CN" w:bidi="ar"/>
              </w:rPr>
              <w:t>塔中钻试修废弃物环保处理站位于民丰县北部，塔里木盆地内，是为周边区域油田钻试修过程中产生的固废及废液而建设的，设施的中心坐标为北纬39°21′53.44"，东经82°57′33.17"，本项目位于处理站东南方向约63km</w:t>
            </w:r>
            <w:r>
              <w:rPr>
                <w:rFonts w:hint="default" w:ascii="Times New Roman" w:hAnsi="Times New Roman" w:cs="Times New Roman"/>
                <w:color w:val="auto"/>
                <w:spacing w:val="0"/>
                <w:kern w:val="2"/>
                <w:sz w:val="24"/>
                <w:szCs w:val="24"/>
                <w:lang w:val="en-US" w:eastAsia="zh-CN" w:bidi="ar"/>
              </w:rPr>
              <w:t>，</w:t>
            </w:r>
            <w:r>
              <w:rPr>
                <w:rFonts w:hint="default" w:ascii="Times New Roman" w:hAnsi="Times New Roman" w:eastAsia="宋体" w:cs="Times New Roman"/>
                <w:color w:val="auto"/>
                <w:spacing w:val="0"/>
                <w:kern w:val="2"/>
                <w:sz w:val="24"/>
                <w:szCs w:val="24"/>
                <w:lang w:val="en-US" w:eastAsia="zh-CN" w:bidi="ar"/>
              </w:rPr>
              <w:t>于2016年11月7日取得新疆维吾尔自治区环境保护厅批复（新环函〔2016〕1626号），于2017年6月建成，并于2019年4月通过了企业自主竣工环境保护验收。塔中钻试修废弃物环保处理站（简称“环保站”）钻试修废水处理规模300m3/d，本项目产生的磺化</w:t>
            </w:r>
            <w:r>
              <w:rPr>
                <w:rFonts w:hint="eastAsia" w:ascii="Times New Roman" w:cs="Times New Roman"/>
                <w:color w:val="auto"/>
                <w:spacing w:val="0"/>
                <w:kern w:val="2"/>
                <w:sz w:val="24"/>
                <w:szCs w:val="24"/>
                <w:lang w:val="en-US" w:eastAsia="zh-CN" w:bidi="ar"/>
              </w:rPr>
              <w:t>岩屑</w:t>
            </w:r>
            <w:r>
              <w:rPr>
                <w:rFonts w:hint="default" w:ascii="Times New Roman" w:hAnsi="Times New Roman" w:eastAsia="宋体" w:cs="Times New Roman"/>
                <w:color w:val="auto"/>
                <w:spacing w:val="0"/>
                <w:kern w:val="2"/>
                <w:sz w:val="24"/>
                <w:szCs w:val="24"/>
                <w:lang w:val="en-US" w:eastAsia="zh-CN" w:bidi="ar"/>
              </w:rPr>
              <w:t>依托塔中钻试修废弃物环保处理站处理。排污许可证编号：916528013331280536003V。</w:t>
            </w:r>
          </w:p>
          <w:p>
            <w:pPr>
              <w:keepNext w:val="0"/>
              <w:keepLines w:val="0"/>
              <w:widowControl w:val="0"/>
              <w:suppressLineNumbers w:val="0"/>
              <w:tabs>
                <w:tab w:val="left" w:pos="990"/>
              </w:tabs>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kern w:val="2"/>
                <w:sz w:val="24"/>
                <w:szCs w:val="24"/>
                <w:lang w:val="en-US" w:eastAsia="zh-CN" w:bidi="ar"/>
              </w:rPr>
            </w:pPr>
            <w:r>
              <w:rPr>
                <w:rFonts w:hint="default" w:ascii="Times New Roman" w:hAnsi="Times New Roman" w:cs="Times New Roman"/>
                <w:color w:val="auto"/>
                <w:spacing w:val="0"/>
                <w:kern w:val="2"/>
                <w:sz w:val="24"/>
                <w:szCs w:val="24"/>
                <w:lang w:val="en-US" w:eastAsia="zh-CN" w:bidi="ar"/>
              </w:rPr>
              <w:t>②</w:t>
            </w:r>
            <w:r>
              <w:rPr>
                <w:rFonts w:hint="default" w:ascii="Times New Roman" w:hAnsi="Times New Roman" w:eastAsia="宋体" w:cs="Times New Roman"/>
                <w:color w:val="auto"/>
                <w:spacing w:val="0"/>
                <w:kern w:val="2"/>
                <w:sz w:val="24"/>
                <w:szCs w:val="24"/>
                <w:lang w:val="en-US" w:eastAsia="zh-CN" w:bidi="ar"/>
              </w:rPr>
              <w:t>处理</w:t>
            </w:r>
            <w:r>
              <w:rPr>
                <w:rFonts w:hint="default" w:ascii="Times New Roman" w:hAnsi="Times New Roman" w:cs="Times New Roman"/>
                <w:color w:val="auto"/>
                <w:spacing w:val="0"/>
                <w:kern w:val="2"/>
                <w:sz w:val="24"/>
                <w:szCs w:val="24"/>
                <w:lang w:val="en-US" w:eastAsia="zh-CN" w:bidi="ar"/>
              </w:rPr>
              <w:t>工艺</w:t>
            </w:r>
          </w:p>
          <w:p>
            <w:pPr>
              <w:keepNext w:val="0"/>
              <w:keepLines w:val="0"/>
              <w:widowControl w:val="0"/>
              <w:suppressLineNumbers w:val="0"/>
              <w:tabs>
                <w:tab w:val="left" w:pos="990"/>
              </w:tabs>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kern w:val="2"/>
                <w:sz w:val="24"/>
                <w:szCs w:val="24"/>
                <w:lang w:val="en-US" w:eastAsia="zh-CN" w:bidi="ar"/>
              </w:rPr>
            </w:pPr>
            <w:r>
              <w:rPr>
                <w:rFonts w:hint="default" w:ascii="Times New Roman" w:hAnsi="Times New Roman" w:eastAsia="宋体" w:cs="Times New Roman"/>
                <w:color w:val="auto"/>
                <w:spacing w:val="0"/>
                <w:kern w:val="2"/>
                <w:sz w:val="24"/>
                <w:szCs w:val="24"/>
                <w:lang w:val="en-US" w:eastAsia="zh-CN" w:bidi="ar"/>
              </w:rPr>
              <w:t>环保站设计固废处理能力120m</w:t>
            </w:r>
            <w:r>
              <w:rPr>
                <w:rFonts w:hint="default" w:ascii="Times New Roman" w:hAnsi="Times New Roman" w:eastAsia="宋体" w:cs="Times New Roman"/>
                <w:color w:val="auto"/>
                <w:spacing w:val="0"/>
                <w:kern w:val="2"/>
                <w:sz w:val="24"/>
                <w:szCs w:val="24"/>
                <w:vertAlign w:val="superscript"/>
                <w:lang w:val="en-US" w:eastAsia="zh-CN" w:bidi="ar"/>
              </w:rPr>
              <w:t>3</w:t>
            </w:r>
            <w:r>
              <w:rPr>
                <w:rFonts w:hint="default" w:ascii="Times New Roman" w:hAnsi="Times New Roman" w:eastAsia="宋体" w:cs="Times New Roman"/>
                <w:color w:val="auto"/>
                <w:spacing w:val="0"/>
                <w:kern w:val="2"/>
                <w:sz w:val="24"/>
                <w:szCs w:val="24"/>
                <w:lang w:val="en-US" w:eastAsia="zh-CN" w:bidi="ar"/>
              </w:rPr>
              <w:t>/d，采用高温氧化处理技术对钻井</w:t>
            </w:r>
            <w:r>
              <w:rPr>
                <w:rFonts w:hint="eastAsia" w:ascii="Times New Roman" w:cs="Times New Roman"/>
                <w:color w:val="auto"/>
                <w:spacing w:val="0"/>
                <w:kern w:val="2"/>
                <w:sz w:val="24"/>
                <w:szCs w:val="24"/>
                <w:lang w:val="en-US" w:eastAsia="zh-CN" w:bidi="ar"/>
              </w:rPr>
              <w:t>磺化岩屑</w:t>
            </w:r>
            <w:r>
              <w:rPr>
                <w:rFonts w:hint="default" w:ascii="Times New Roman" w:hAnsi="Times New Roman" w:eastAsia="宋体" w:cs="Times New Roman"/>
                <w:color w:val="auto"/>
                <w:spacing w:val="0"/>
                <w:kern w:val="2"/>
                <w:sz w:val="24"/>
                <w:szCs w:val="24"/>
                <w:lang w:val="en-US" w:eastAsia="zh-CN" w:bidi="ar"/>
              </w:rPr>
              <w:t>进行无害化处置，即通过高温氧化窑内的高温环境</w:t>
            </w:r>
            <w:r>
              <w:rPr>
                <w:rFonts w:hint="eastAsia" w:ascii="Times New Roman" w:cs="Times New Roman"/>
                <w:color w:val="auto"/>
                <w:spacing w:val="0"/>
                <w:kern w:val="2"/>
                <w:sz w:val="24"/>
                <w:szCs w:val="24"/>
                <w:lang w:val="en-US" w:eastAsia="zh-CN" w:bidi="ar"/>
              </w:rPr>
              <w:t>（</w:t>
            </w:r>
            <w:r>
              <w:rPr>
                <w:rFonts w:hint="default" w:ascii="Times New Roman" w:hAnsi="Times New Roman" w:eastAsia="宋体" w:cs="Times New Roman"/>
                <w:color w:val="auto"/>
                <w:spacing w:val="0"/>
                <w:kern w:val="2"/>
                <w:sz w:val="24"/>
                <w:szCs w:val="24"/>
                <w:lang w:val="en-US" w:eastAsia="zh-CN" w:bidi="ar"/>
              </w:rPr>
              <w:t>850℃以上</w:t>
            </w:r>
            <w:r>
              <w:rPr>
                <w:rFonts w:hint="eastAsia" w:ascii="Times New Roman" w:cs="Times New Roman"/>
                <w:color w:val="auto"/>
                <w:spacing w:val="0"/>
                <w:kern w:val="2"/>
                <w:sz w:val="24"/>
                <w:szCs w:val="24"/>
                <w:lang w:val="en-US" w:eastAsia="zh-CN" w:bidi="ar"/>
              </w:rPr>
              <w:t>）</w:t>
            </w:r>
            <w:r>
              <w:rPr>
                <w:rFonts w:hint="default" w:ascii="Times New Roman" w:hAnsi="Times New Roman" w:eastAsia="宋体" w:cs="Times New Roman"/>
                <w:color w:val="auto"/>
                <w:spacing w:val="0"/>
                <w:kern w:val="2"/>
                <w:sz w:val="24"/>
                <w:szCs w:val="24"/>
                <w:lang w:val="en-US" w:eastAsia="zh-CN" w:bidi="ar"/>
              </w:rPr>
              <w:t>使钻井固废中的有机质等有毒有害物质氧化、分解，彻底破坏其毒害性，从而达到无害化处理的目的，处理后的固体废物可满足新疆维吾尔自治区地方标准：《油气田钻井固体废弃物综合利用污染控制要求》</w:t>
            </w:r>
            <w:r>
              <w:rPr>
                <w:rFonts w:hint="eastAsia" w:ascii="Times New Roman" w:cs="Times New Roman"/>
                <w:color w:val="auto"/>
                <w:spacing w:val="0"/>
                <w:kern w:val="2"/>
                <w:sz w:val="24"/>
                <w:szCs w:val="24"/>
                <w:lang w:val="en-US" w:eastAsia="zh-CN" w:bidi="ar"/>
              </w:rPr>
              <w:t>（</w:t>
            </w:r>
            <w:r>
              <w:rPr>
                <w:rFonts w:hint="default" w:ascii="Times New Roman" w:hAnsi="Times New Roman" w:eastAsia="宋体" w:cs="Times New Roman"/>
                <w:color w:val="auto"/>
                <w:spacing w:val="0"/>
                <w:kern w:val="2"/>
                <w:sz w:val="24"/>
                <w:szCs w:val="24"/>
                <w:lang w:val="en-US" w:eastAsia="zh-CN" w:bidi="ar"/>
              </w:rPr>
              <w:t>DB65/T3997-2017</w:t>
            </w:r>
            <w:r>
              <w:rPr>
                <w:rFonts w:hint="eastAsia" w:ascii="Times New Roman" w:cs="Times New Roman"/>
                <w:color w:val="auto"/>
                <w:spacing w:val="0"/>
                <w:kern w:val="2"/>
                <w:sz w:val="24"/>
                <w:szCs w:val="24"/>
                <w:lang w:val="en-US" w:eastAsia="zh-CN" w:bidi="ar"/>
              </w:rPr>
              <w:t>）</w:t>
            </w:r>
            <w:r>
              <w:rPr>
                <w:rFonts w:hint="default" w:ascii="Times New Roman" w:hAnsi="Times New Roman" w:eastAsia="宋体" w:cs="Times New Roman"/>
                <w:color w:val="auto"/>
                <w:spacing w:val="0"/>
                <w:kern w:val="2"/>
                <w:sz w:val="24"/>
                <w:szCs w:val="24"/>
                <w:lang w:val="en-US" w:eastAsia="zh-CN" w:bidi="ar"/>
              </w:rPr>
              <w:t>表1综合利用污染限值，用于铺设服务油田生产的各种内部道路、铺垫井场、固废封场覆土及自然坑洼填充材料等。主要工艺流程包括备料、物料预烘、高温氧化、烟气净化及飞灰固化等工序。具体流程见图2-4。</w:t>
            </w: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2"/>
                <w:sz w:val="24"/>
                <w:szCs w:val="24"/>
                <w:lang w:val="en-US" w:eastAsia="zh-CN" w:bidi="ar"/>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2"/>
                <w:sz w:val="24"/>
                <w:szCs w:val="24"/>
                <w:lang w:val="en-US" w:eastAsia="zh-CN" w:bidi="ar"/>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2"/>
                <w:sz w:val="24"/>
                <w:szCs w:val="24"/>
                <w:lang w:val="en-US" w:eastAsia="zh-CN" w:bidi="ar"/>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2"/>
                <w:sz w:val="24"/>
                <w:szCs w:val="24"/>
                <w:lang w:val="en-US" w:eastAsia="zh-CN" w:bidi="ar"/>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2"/>
                <w:sz w:val="24"/>
                <w:szCs w:val="24"/>
                <w:lang w:val="en-US" w:eastAsia="zh-CN" w:bidi="ar"/>
              </w:rPr>
            </w:pPr>
          </w:p>
          <w:p>
            <w:pPr>
              <w:keepNext w:val="0"/>
              <w:keepLines w:val="0"/>
              <w:pageBreakBefore w:val="0"/>
              <w:widowControl w:val="0"/>
              <w:suppressLineNumbers w:val="0"/>
              <w:tabs>
                <w:tab w:val="left" w:pos="990"/>
              </w:tabs>
              <w:kinsoku/>
              <w:wordWrap/>
              <w:overflowPunct/>
              <w:topLinePunct w:val="0"/>
              <w:autoSpaceDE w:val="0"/>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kern w:val="2"/>
                <w:sz w:val="24"/>
                <w:szCs w:val="24"/>
                <w:lang w:val="en-US" w:eastAsia="zh-CN" w:bidi="ar"/>
              </w:rPr>
            </w:pPr>
            <w:r>
              <w:rPr>
                <w:rFonts w:hint="default" w:ascii="Times New Roman" w:hAnsi="Times New Roman" w:cs="Times New Roman"/>
                <w:color w:val="auto"/>
                <w:highlight w:val="none"/>
              </w:rPr>
              <w:drawing>
                <wp:inline distT="0" distB="0" distL="114300" distR="114300">
                  <wp:extent cx="4614545" cy="1911985"/>
                  <wp:effectExtent l="0" t="0" r="14605" b="1206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6"/>
                          <a:stretch>
                            <a:fillRect/>
                          </a:stretch>
                        </pic:blipFill>
                        <pic:spPr>
                          <a:xfrm>
                            <a:off x="0" y="0"/>
                            <a:ext cx="4614545" cy="1911985"/>
                          </a:xfrm>
                          <a:prstGeom prst="rect">
                            <a:avLst/>
                          </a:prstGeom>
                          <a:noFill/>
                          <a:ln>
                            <a:noFill/>
                          </a:ln>
                        </pic:spPr>
                      </pic:pic>
                    </a:graphicData>
                  </a:graphic>
                </wp:inline>
              </w:drawing>
            </w:r>
          </w:p>
          <w:p>
            <w:pPr>
              <w:keepNext w:val="0"/>
              <w:keepLines w:val="0"/>
              <w:pageBreakBefore w:val="0"/>
              <w:widowControl w:val="0"/>
              <w:suppressLineNumbers w:val="0"/>
              <w:tabs>
                <w:tab w:val="left" w:pos="990"/>
              </w:tabs>
              <w:kinsoku/>
              <w:wordWrap/>
              <w:overflowPunct/>
              <w:topLinePunct w:val="0"/>
              <w:autoSpaceDE w:val="0"/>
              <w:autoSpaceDN/>
              <w:bidi w:val="0"/>
              <w:adjustRightInd/>
              <w:snapToGrid/>
              <w:spacing w:before="0" w:beforeAutospacing="0" w:after="0" w:afterAutospacing="0" w:line="440" w:lineRule="exact"/>
              <w:ind w:left="0" w:right="0" w:firstLine="0" w:firstLineChars="0"/>
              <w:jc w:val="center"/>
              <w:textAlignment w:val="auto"/>
              <w:rPr>
                <w:rFonts w:hint="default" w:ascii="Times New Roman" w:hAnsi="Times New Roman" w:eastAsia="宋体" w:cs="Times New Roman"/>
                <w:color w:val="auto"/>
                <w:spacing w:val="0"/>
                <w:kern w:val="2"/>
                <w:sz w:val="24"/>
                <w:szCs w:val="24"/>
                <w:lang w:val="en-US" w:eastAsia="zh-CN" w:bidi="ar"/>
              </w:rPr>
            </w:pPr>
            <w:r>
              <w:rPr>
                <w:rFonts w:hint="eastAsia" w:ascii="Times New Roman" w:hAnsi="Times New Roman" w:eastAsia="宋体" w:cs="Times New Roman"/>
                <w:b/>
                <w:bCs/>
                <w:color w:val="auto"/>
                <w:spacing w:val="0"/>
                <w:kern w:val="2"/>
                <w:sz w:val="24"/>
                <w:szCs w:val="24"/>
                <w:lang w:val="en-US" w:eastAsia="zh-CN" w:bidi="ar"/>
              </w:rPr>
              <w:t>图2-4    塔中钻试修废弃物环保站钻试修</w:t>
            </w:r>
            <w:r>
              <w:rPr>
                <w:rFonts w:hint="eastAsia" w:ascii="Times New Roman" w:cs="Times New Roman"/>
                <w:b/>
                <w:bCs/>
                <w:color w:val="auto"/>
                <w:spacing w:val="0"/>
                <w:kern w:val="2"/>
                <w:sz w:val="24"/>
                <w:szCs w:val="24"/>
                <w:lang w:val="en-US" w:eastAsia="zh-CN" w:bidi="ar"/>
              </w:rPr>
              <w:t>磺化岩屑</w:t>
            </w:r>
            <w:r>
              <w:rPr>
                <w:rFonts w:hint="eastAsia" w:ascii="Times New Roman" w:hAnsi="Times New Roman" w:eastAsia="宋体" w:cs="Times New Roman"/>
                <w:b/>
                <w:bCs/>
                <w:color w:val="auto"/>
                <w:spacing w:val="0"/>
                <w:kern w:val="2"/>
                <w:sz w:val="24"/>
                <w:szCs w:val="24"/>
                <w:lang w:val="en-US" w:eastAsia="zh-CN" w:bidi="ar"/>
              </w:rPr>
              <w:t>处理工艺流程图</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eastAsia" w:ascii="Times New Roman" w:cs="Times New Roman"/>
                <w:b w:val="0"/>
                <w:bCs w:val="0"/>
                <w:color w:val="auto"/>
                <w:sz w:val="24"/>
                <w:szCs w:val="21"/>
                <w:highlight w:val="none"/>
                <w:lang w:val="en-US" w:eastAsia="zh-CN"/>
              </w:rPr>
            </w:pPr>
            <w:r>
              <w:rPr>
                <w:rFonts w:hint="eastAsia" w:ascii="Times New Roman" w:cs="Times New Roman"/>
                <w:b w:val="0"/>
                <w:bCs w:val="0"/>
                <w:color w:val="auto"/>
                <w:sz w:val="24"/>
                <w:szCs w:val="21"/>
                <w:highlight w:val="none"/>
                <w:lang w:val="en-US" w:eastAsia="zh-CN"/>
              </w:rPr>
              <w:t>（3）依托可行性</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0" w:firstLineChars="200"/>
              <w:textAlignment w:val="auto"/>
              <w:rPr>
                <w:rFonts w:hint="eastAsia" w:ascii="Times New Roman" w:cs="Times New Roman"/>
                <w:b w:val="0"/>
                <w:bCs w:val="0"/>
                <w:color w:val="auto"/>
                <w:sz w:val="24"/>
                <w:szCs w:val="21"/>
                <w:highlight w:val="none"/>
                <w:lang w:val="en-US" w:eastAsia="zh-CN"/>
              </w:rPr>
            </w:pPr>
            <w:r>
              <w:rPr>
                <w:rFonts w:hint="eastAsia" w:ascii="Times New Roman" w:cs="Times New Roman"/>
                <w:b w:val="0"/>
                <w:bCs w:val="0"/>
                <w:color w:val="auto"/>
                <w:sz w:val="24"/>
                <w:szCs w:val="21"/>
                <w:highlight w:val="none"/>
                <w:lang w:val="en-US" w:eastAsia="zh-CN"/>
              </w:rPr>
              <w:t>环保站设计钻井聚磺泥浆体系固废处理规模400m</w:t>
            </w:r>
            <w:r>
              <w:rPr>
                <w:rFonts w:hint="eastAsia" w:ascii="Times New Roman" w:cs="Times New Roman"/>
                <w:b w:val="0"/>
                <w:bCs w:val="0"/>
                <w:color w:val="auto"/>
                <w:sz w:val="24"/>
                <w:szCs w:val="21"/>
                <w:highlight w:val="none"/>
                <w:vertAlign w:val="superscript"/>
                <w:lang w:val="en-US" w:eastAsia="zh-CN"/>
              </w:rPr>
              <w:t>3</w:t>
            </w:r>
            <w:r>
              <w:rPr>
                <w:rFonts w:hint="eastAsia" w:ascii="Times New Roman" w:cs="Times New Roman"/>
                <w:b w:val="0"/>
                <w:bCs w:val="0"/>
                <w:color w:val="auto"/>
                <w:sz w:val="24"/>
                <w:szCs w:val="21"/>
                <w:highlight w:val="none"/>
                <w:lang w:val="en-US" w:eastAsia="zh-CN"/>
              </w:rPr>
              <w:t>/d，目前处理量180m</w:t>
            </w:r>
            <w:r>
              <w:rPr>
                <w:rFonts w:hint="eastAsia" w:ascii="Times New Roman" w:cs="Times New Roman"/>
                <w:b w:val="0"/>
                <w:bCs w:val="0"/>
                <w:color w:val="auto"/>
                <w:sz w:val="24"/>
                <w:szCs w:val="21"/>
                <w:highlight w:val="none"/>
                <w:vertAlign w:val="superscript"/>
                <w:lang w:val="en-US" w:eastAsia="zh-CN"/>
              </w:rPr>
              <w:t>3</w:t>
            </w:r>
            <w:r>
              <w:rPr>
                <w:rFonts w:hint="eastAsia" w:ascii="Times New Roman" w:cs="Times New Roman"/>
                <w:b w:val="0"/>
                <w:bCs w:val="0"/>
                <w:color w:val="auto"/>
                <w:sz w:val="24"/>
                <w:szCs w:val="21"/>
                <w:highlight w:val="none"/>
                <w:lang w:val="en-US" w:eastAsia="zh-CN"/>
              </w:rPr>
              <w:t>/d，剩余处理量220m</w:t>
            </w:r>
            <w:r>
              <w:rPr>
                <w:rFonts w:hint="eastAsia" w:ascii="Times New Roman" w:cs="Times New Roman"/>
                <w:b w:val="0"/>
                <w:bCs w:val="0"/>
                <w:color w:val="auto"/>
                <w:sz w:val="24"/>
                <w:szCs w:val="21"/>
                <w:highlight w:val="none"/>
                <w:vertAlign w:val="superscript"/>
                <w:lang w:val="en-US" w:eastAsia="zh-CN"/>
              </w:rPr>
              <w:t>3</w:t>
            </w:r>
            <w:r>
              <w:rPr>
                <w:rFonts w:hint="eastAsia" w:ascii="Times New Roman" w:cs="Times New Roman"/>
                <w:b w:val="0"/>
                <w:bCs w:val="0"/>
                <w:color w:val="auto"/>
                <w:sz w:val="24"/>
                <w:szCs w:val="21"/>
                <w:highlight w:val="none"/>
                <w:lang w:val="en-US" w:eastAsia="zh-CN"/>
              </w:rPr>
              <w:t>/d，本项目聚磺泥浆体系固废可依托塔中钻试修废弃物环保处理站。塔中钻试修废弃物环保处理站运行负荷见下表。</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2" w:firstLineChars="200"/>
              <w:textAlignment w:val="auto"/>
              <w:rPr>
                <w:rFonts w:hint="eastAsia" w:ascii="Times New Roman" w:cs="Times New Roman"/>
                <w:b w:val="0"/>
                <w:bCs w:val="0"/>
                <w:color w:val="auto"/>
                <w:sz w:val="24"/>
                <w:szCs w:val="21"/>
                <w:highlight w:val="none"/>
                <w:lang w:val="en-US" w:eastAsia="zh-CN"/>
              </w:rPr>
            </w:pPr>
            <w:r>
              <w:rPr>
                <w:rFonts w:hint="eastAsia" w:ascii="Times New Roman" w:cs="Times New Roman"/>
                <w:b/>
                <w:bCs/>
                <w:color w:val="auto"/>
                <w:sz w:val="24"/>
                <w:szCs w:val="21"/>
                <w:highlight w:val="none"/>
                <w:lang w:val="en-US" w:eastAsia="zh-CN"/>
              </w:rPr>
              <w:t>表2-14    塔中钻试修废弃物环保处理站依托可行性分析表</w:t>
            </w:r>
          </w:p>
          <w:tbl>
            <w:tblPr>
              <w:tblStyle w:val="32"/>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57"/>
              <w:gridCol w:w="1608"/>
              <w:gridCol w:w="1078"/>
              <w:gridCol w:w="1058"/>
              <w:gridCol w:w="1179"/>
              <w:gridCol w:w="1426"/>
              <w:gridCol w:w="143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3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序号</w:t>
                  </w:r>
                </w:p>
              </w:tc>
              <w:tc>
                <w:tcPr>
                  <w:tcW w:w="96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项目内容</w:t>
                  </w:r>
                </w:p>
              </w:tc>
              <w:tc>
                <w:tcPr>
                  <w:tcW w:w="646"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设计能力（m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3</w:t>
                  </w:r>
                  <w:r>
                    <w:rPr>
                      <w:rFonts w:hint="eastAsia" w:ascii="Times New Roman" w:hAnsi="Times New Roman" w:eastAsia="宋体" w:cs="Times New Roman"/>
                      <w:i w:val="0"/>
                      <w:iCs w:val="0"/>
                      <w:color w:val="auto"/>
                      <w:kern w:val="0"/>
                      <w:sz w:val="21"/>
                      <w:szCs w:val="21"/>
                      <w:highlight w:val="none"/>
                      <w:u w:val="none"/>
                      <w:lang w:val="en-US" w:eastAsia="zh-CN" w:bidi="ar"/>
                    </w:rPr>
                    <w:t>/d）</w:t>
                  </w:r>
                </w:p>
              </w:tc>
              <w:tc>
                <w:tcPr>
                  <w:tcW w:w="63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现状处理量（m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3</w:t>
                  </w:r>
                  <w:r>
                    <w:rPr>
                      <w:rFonts w:hint="eastAsia" w:ascii="Times New Roman" w:hAnsi="Times New Roman" w:eastAsia="宋体" w:cs="Times New Roman"/>
                      <w:i w:val="0"/>
                      <w:iCs w:val="0"/>
                      <w:color w:val="auto"/>
                      <w:kern w:val="0"/>
                      <w:sz w:val="21"/>
                      <w:szCs w:val="21"/>
                      <w:highlight w:val="none"/>
                      <w:u w:val="none"/>
                      <w:lang w:val="en-US" w:eastAsia="zh-CN" w:bidi="ar"/>
                    </w:rPr>
                    <w:t>/d）</w:t>
                  </w:r>
                </w:p>
              </w:tc>
              <w:tc>
                <w:tcPr>
                  <w:tcW w:w="707"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富裕能力（m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3</w:t>
                  </w:r>
                  <w:r>
                    <w:rPr>
                      <w:rFonts w:hint="eastAsia" w:ascii="Times New Roman" w:hAnsi="Times New Roman" w:eastAsia="宋体" w:cs="Times New Roman"/>
                      <w:i w:val="0"/>
                      <w:iCs w:val="0"/>
                      <w:color w:val="auto"/>
                      <w:kern w:val="0"/>
                      <w:sz w:val="21"/>
                      <w:szCs w:val="21"/>
                      <w:highlight w:val="none"/>
                      <w:u w:val="none"/>
                      <w:lang w:val="en-US" w:eastAsia="zh-CN" w:bidi="ar"/>
                    </w:rPr>
                    <w:t>/d）</w:t>
                  </w:r>
                </w:p>
              </w:tc>
              <w:tc>
                <w:tcPr>
                  <w:tcW w:w="855"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本项目需处理量（m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3</w:t>
                  </w:r>
                  <w:r>
                    <w:rPr>
                      <w:rFonts w:hint="eastAsia" w:ascii="Times New Roman" w:hAnsi="Times New Roman" w:eastAsia="宋体" w:cs="Times New Roman"/>
                      <w:i w:val="0"/>
                      <w:iCs w:val="0"/>
                      <w:color w:val="auto"/>
                      <w:kern w:val="0"/>
                      <w:sz w:val="21"/>
                      <w:szCs w:val="21"/>
                      <w:highlight w:val="none"/>
                      <w:u w:val="none"/>
                      <w:lang w:val="en-US" w:eastAsia="zh-CN" w:bidi="ar"/>
                    </w:rPr>
                    <w:t>/d）</w:t>
                  </w:r>
                </w:p>
              </w:tc>
              <w:tc>
                <w:tcPr>
                  <w:tcW w:w="85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依托可行性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334"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964"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钻井聚磺泥浆体系固废</w:t>
                  </w:r>
                </w:p>
              </w:tc>
              <w:tc>
                <w:tcPr>
                  <w:tcW w:w="646"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400</w:t>
                  </w:r>
                </w:p>
              </w:tc>
              <w:tc>
                <w:tcPr>
                  <w:tcW w:w="634"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180</w:t>
                  </w:r>
                </w:p>
              </w:tc>
              <w:tc>
                <w:tcPr>
                  <w:tcW w:w="707"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220</w:t>
                  </w:r>
                </w:p>
              </w:tc>
              <w:tc>
                <w:tcPr>
                  <w:tcW w:w="855" w:type="pct"/>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6.02</w:t>
                  </w:r>
                </w:p>
              </w:tc>
              <w:tc>
                <w:tcPr>
                  <w:tcW w:w="858"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可行</w:t>
                  </w:r>
                </w:p>
              </w:tc>
            </w:tr>
          </w:tbl>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482" w:firstLineChars="200"/>
              <w:textAlignment w:val="auto"/>
              <w:rPr>
                <w:rFonts w:hint="default" w:ascii="Times New Roman" w:hAnsi="Times New Roman" w:eastAsia="宋体" w:cs="Times New Roman"/>
                <w:b w:val="0"/>
                <w:color w:val="auto"/>
                <w:sz w:val="24"/>
                <w:szCs w:val="21"/>
                <w:highlight w:val="none"/>
              </w:rPr>
            </w:pPr>
            <w:r>
              <w:rPr>
                <w:rFonts w:hint="default" w:ascii="Times New Roman" w:hAnsi="Times New Roman" w:eastAsia="宋体" w:cs="Times New Roman"/>
                <w:b/>
                <w:bCs/>
                <w:color w:val="auto"/>
                <w:sz w:val="24"/>
                <w:szCs w:val="21"/>
                <w:highlight w:val="none"/>
                <w:lang w:val="en-US" w:eastAsia="zh-CN"/>
              </w:rPr>
              <w:t>15、施工周期及时序</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lang w:val="en-US" w:eastAsia="zh-CN"/>
              </w:rPr>
            </w:pPr>
            <w:r>
              <w:rPr>
                <w:rFonts w:hint="default" w:ascii="Times New Roman" w:hAnsi="Times New Roman" w:eastAsia="宋体" w:cs="Times New Roman"/>
                <w:b w:val="0"/>
                <w:color w:val="auto"/>
                <w:sz w:val="24"/>
                <w:szCs w:val="21"/>
                <w:highlight w:val="none"/>
                <w:lang w:val="en-US" w:eastAsia="zh-CN"/>
              </w:rPr>
              <w:t>施工天数约</w:t>
            </w:r>
            <w:r>
              <w:rPr>
                <w:rFonts w:hint="eastAsia" w:ascii="Times New Roman" w:cs="Times New Roman"/>
                <w:b w:val="0"/>
                <w:color w:val="auto"/>
                <w:sz w:val="24"/>
                <w:szCs w:val="21"/>
                <w:highlight w:val="none"/>
                <w:lang w:val="en-US" w:eastAsia="zh-CN"/>
              </w:rPr>
              <w:t>190</w:t>
            </w:r>
            <w:r>
              <w:rPr>
                <w:rFonts w:hint="default" w:ascii="Times New Roman" w:hAnsi="Times New Roman" w:eastAsia="宋体" w:cs="Times New Roman"/>
                <w:b w:val="0"/>
                <w:color w:val="auto"/>
                <w:sz w:val="24"/>
                <w:szCs w:val="21"/>
                <w:highlight w:val="none"/>
                <w:lang w:val="en-US" w:eastAsia="zh-CN"/>
              </w:rPr>
              <w:t>d，其中钻前工程约10d，钻井期预计</w:t>
            </w:r>
            <w:r>
              <w:rPr>
                <w:rFonts w:hint="eastAsia" w:ascii="Times New Roman" w:cs="Times New Roman"/>
                <w:b w:val="0"/>
                <w:color w:val="auto"/>
                <w:sz w:val="24"/>
                <w:szCs w:val="21"/>
                <w:highlight w:val="none"/>
                <w:lang w:val="en-US" w:eastAsia="zh-CN"/>
              </w:rPr>
              <w:t>170</w:t>
            </w:r>
            <w:r>
              <w:rPr>
                <w:rFonts w:hint="default" w:ascii="Times New Roman" w:hAnsi="Times New Roman" w:eastAsia="宋体" w:cs="Times New Roman"/>
                <w:b w:val="0"/>
                <w:color w:val="auto"/>
                <w:sz w:val="24"/>
                <w:szCs w:val="21"/>
                <w:highlight w:val="none"/>
                <w:lang w:val="en-US" w:eastAsia="zh-CN"/>
              </w:rPr>
              <w:t>d（其中测试放喷15d～20d），钻后工程约10d，</w:t>
            </w:r>
            <w:r>
              <w:rPr>
                <w:rFonts w:hint="default" w:ascii="Times New Roman" w:hAnsi="Times New Roman" w:eastAsia="宋体" w:cs="Times New Roman"/>
                <w:b w:val="0"/>
                <w:color w:val="auto"/>
                <w:sz w:val="24"/>
                <w:szCs w:val="21"/>
                <w:highlight w:val="none"/>
              </w:rPr>
              <w:t>钻井队编制约60人</w:t>
            </w:r>
            <w:r>
              <w:rPr>
                <w:rFonts w:hint="default" w:ascii="Times New Roman" w:hAnsi="Times New Roman" w:eastAsia="宋体" w:cs="Times New Roman"/>
                <w:b w:val="0"/>
                <w:color w:val="auto"/>
                <w:sz w:val="24"/>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496"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4"/>
                <w:szCs w:val="24"/>
                <w:highlight w:val="none"/>
                <w:lang w:val="en-US" w:eastAsia="zh-CN"/>
              </w:rPr>
              <w:t>总平面及现场布置</w:t>
            </w:r>
          </w:p>
        </w:tc>
        <w:tc>
          <w:tcPr>
            <w:tcW w:w="8576" w:type="dxa"/>
            <w:noWrap w:val="0"/>
            <w:tcMar>
              <w:left w:w="108" w:type="dxa"/>
              <w:right w:w="108" w:type="dxa"/>
            </w:tcMar>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lang w:val="en-US" w:eastAsia="zh-CN"/>
              </w:rPr>
              <w:t>项目</w:t>
            </w:r>
            <w:r>
              <w:rPr>
                <w:rFonts w:hint="default" w:ascii="Times New Roman" w:hAnsi="Times New Roman" w:eastAsia="宋体" w:cs="Times New Roman"/>
                <w:color w:val="auto"/>
                <w:sz w:val="24"/>
                <w:highlight w:val="none"/>
              </w:rPr>
              <w:t>总平面布置包括</w:t>
            </w:r>
            <w:r>
              <w:rPr>
                <w:rFonts w:hint="default" w:ascii="Times New Roman" w:hAnsi="Times New Roman" w:eastAsia="宋体" w:cs="Times New Roman"/>
                <w:color w:val="auto"/>
                <w:sz w:val="24"/>
                <w:highlight w:val="none"/>
                <w:lang w:eastAsia="zh-CN"/>
              </w:rPr>
              <w:t>停车场、进场道路、生活区</w:t>
            </w:r>
            <w:r>
              <w:rPr>
                <w:rFonts w:hint="default" w:ascii="Times New Roman" w:hAnsi="Times New Roman" w:eastAsia="宋体" w:cs="Times New Roman"/>
                <w:color w:val="auto"/>
                <w:sz w:val="24"/>
                <w:highlight w:val="none"/>
              </w:rPr>
              <w:t>和井场，</w:t>
            </w:r>
            <w:r>
              <w:rPr>
                <w:rFonts w:hint="default" w:ascii="Times New Roman" w:hAnsi="Times New Roman" w:eastAsia="宋体" w:cs="Times New Roman"/>
                <w:color w:val="auto"/>
                <w:sz w:val="24"/>
                <w:highlight w:val="none"/>
                <w:lang w:eastAsia="zh-CN"/>
              </w:rPr>
              <w:t>停车场</w:t>
            </w:r>
            <w:r>
              <w:rPr>
                <w:rFonts w:hint="default" w:ascii="Times New Roman" w:hAnsi="Times New Roman" w:eastAsia="宋体" w:cs="Times New Roman"/>
                <w:color w:val="auto"/>
                <w:sz w:val="24"/>
                <w:highlight w:val="none"/>
              </w:rPr>
              <w:t>位于井场</w:t>
            </w:r>
            <w:r>
              <w:rPr>
                <w:rFonts w:hint="default" w:ascii="Times New Roman" w:hAnsi="Times New Roman" w:eastAsia="宋体" w:cs="Times New Roman"/>
                <w:color w:val="auto"/>
                <w:sz w:val="24"/>
                <w:highlight w:val="none"/>
                <w:lang w:val="en-US" w:eastAsia="zh-CN"/>
              </w:rPr>
              <w:t>外南侧</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临近</w:t>
            </w:r>
            <w:r>
              <w:rPr>
                <w:rFonts w:hint="default" w:ascii="Times New Roman" w:hAnsi="Times New Roman" w:eastAsia="宋体" w:cs="Times New Roman"/>
                <w:color w:val="auto"/>
                <w:sz w:val="24"/>
                <w:highlight w:val="none"/>
                <w:lang w:val="zh-CN"/>
              </w:rPr>
              <w:t>井场道路</w:t>
            </w:r>
            <w:r>
              <w:rPr>
                <w:rFonts w:hint="default" w:ascii="Times New Roman" w:hAnsi="Times New Roman" w:eastAsia="宋体" w:cs="Times New Roman"/>
                <w:color w:val="auto"/>
                <w:sz w:val="24"/>
                <w:highlight w:val="none"/>
              </w:rPr>
              <w:t>位置。井场根据《钻前工程及井场布置技术要求》（SY/T5466-2013）标准进行场区布置。出入口位于场区</w:t>
            </w:r>
            <w:r>
              <w:rPr>
                <w:rFonts w:hint="default" w:ascii="Times New Roman" w:hAnsi="Times New Roman" w:eastAsia="宋体" w:cs="Times New Roman"/>
                <w:color w:val="auto"/>
                <w:sz w:val="24"/>
                <w:highlight w:val="none"/>
                <w:lang w:val="en-US" w:eastAsia="zh-CN"/>
              </w:rPr>
              <w:t>南部</w:t>
            </w:r>
            <w:r>
              <w:rPr>
                <w:rFonts w:hint="default" w:ascii="Times New Roman" w:hAnsi="Times New Roman" w:eastAsia="宋体" w:cs="Times New Roman"/>
                <w:color w:val="auto"/>
                <w:sz w:val="24"/>
                <w:highlight w:val="none"/>
              </w:rPr>
              <w:t>，钻井平台位于场区中部。井场布置以井口中心且平行或垂直于井架底座边线的两条垂线为准线，划分井场的前、后、左、右四部分（以大门口处为前部），</w:t>
            </w:r>
            <w:r>
              <w:rPr>
                <w:rFonts w:hint="default" w:ascii="Times New Roman" w:hAnsi="Times New Roman" w:eastAsia="宋体" w:cs="Times New Roman"/>
                <w:color w:val="auto"/>
                <w:sz w:val="24"/>
                <w:highlight w:val="none"/>
                <w:lang w:val="en-US" w:eastAsia="zh-CN"/>
              </w:rPr>
              <w:t>泥浆罐</w:t>
            </w:r>
            <w:r>
              <w:rPr>
                <w:rFonts w:hint="default" w:ascii="Times New Roman" w:hAnsi="Times New Roman" w:eastAsia="宋体" w:cs="Times New Roman"/>
                <w:color w:val="auto"/>
                <w:sz w:val="24"/>
                <w:highlight w:val="none"/>
              </w:rPr>
              <w:t>收集装置</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泥浆</w:t>
            </w:r>
            <w:r>
              <w:rPr>
                <w:rFonts w:hint="default" w:ascii="Times New Roman" w:hAnsi="Times New Roman" w:eastAsia="宋体" w:cs="Times New Roman"/>
                <w:color w:val="auto"/>
                <w:sz w:val="24"/>
                <w:highlight w:val="none"/>
                <w:lang w:val="en-US" w:eastAsia="zh-CN"/>
              </w:rPr>
              <w:t>泵</w:t>
            </w:r>
            <w:r>
              <w:rPr>
                <w:rFonts w:hint="default" w:ascii="Times New Roman" w:hAnsi="Times New Roman" w:eastAsia="宋体" w:cs="Times New Roman"/>
                <w:color w:val="auto"/>
                <w:sz w:val="24"/>
                <w:highlight w:val="none"/>
              </w:rPr>
              <w:t>位于后场</w:t>
            </w:r>
            <w:r>
              <w:rPr>
                <w:rFonts w:hint="default" w:ascii="Times New Roman" w:hAnsi="Times New Roman" w:eastAsia="宋体" w:cs="Times New Roman"/>
                <w:color w:val="auto"/>
                <w:sz w:val="24"/>
                <w:highlight w:val="none"/>
                <w:lang w:val="en-US" w:eastAsia="zh-CN"/>
              </w:rPr>
              <w:t>右</w:t>
            </w:r>
            <w:r>
              <w:rPr>
                <w:rFonts w:hint="default" w:ascii="Times New Roman" w:hAnsi="Times New Roman" w:eastAsia="宋体" w:cs="Times New Roman"/>
                <w:color w:val="auto"/>
                <w:sz w:val="24"/>
                <w:highlight w:val="none"/>
              </w:rPr>
              <w:t>侧，柴油发电机组</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VFD房、远控房位于后场中部；柴油罐区、爬犁、固井水泥罐区、消防水罐位于后场右侧；膨润土岩屑池、录井房位于前场右侧；危废暂存间等</w:t>
            </w:r>
            <w:r>
              <w:rPr>
                <w:rFonts w:hint="default" w:ascii="Times New Roman" w:hAnsi="Times New Roman" w:eastAsia="宋体" w:cs="Times New Roman"/>
                <w:color w:val="auto"/>
                <w:sz w:val="24"/>
                <w:highlight w:val="none"/>
              </w:rPr>
              <w:t>位于后场</w:t>
            </w:r>
            <w:r>
              <w:rPr>
                <w:rFonts w:hint="default" w:ascii="Times New Roman" w:hAnsi="Times New Roman" w:eastAsia="宋体" w:cs="Times New Roman"/>
                <w:color w:val="auto"/>
                <w:sz w:val="24"/>
                <w:highlight w:val="none"/>
                <w:lang w:val="en-US" w:eastAsia="zh-CN"/>
              </w:rPr>
              <w:t>左</w:t>
            </w:r>
            <w:r>
              <w:rPr>
                <w:rFonts w:hint="default" w:ascii="Times New Roman" w:hAnsi="Times New Roman" w:eastAsia="宋体" w:cs="Times New Roman"/>
                <w:color w:val="auto"/>
                <w:sz w:val="24"/>
                <w:highlight w:val="none"/>
              </w:rPr>
              <w:t>侧</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场区北侧</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消防房、修理房、材料库等位于前场左侧；</w:t>
            </w:r>
            <w:r>
              <w:rPr>
                <w:rFonts w:hint="default" w:ascii="Times New Roman" w:hAnsi="Times New Roman" w:eastAsia="宋体" w:cs="Times New Roman"/>
                <w:color w:val="auto"/>
                <w:sz w:val="24"/>
                <w:highlight w:val="none"/>
              </w:rPr>
              <w:t>值班房、工程</w:t>
            </w:r>
            <w:r>
              <w:rPr>
                <w:rFonts w:hint="default" w:ascii="Times New Roman" w:hAnsi="Times New Roman" w:eastAsia="宋体" w:cs="Times New Roman"/>
                <w:color w:val="auto"/>
                <w:sz w:val="24"/>
                <w:highlight w:val="none"/>
                <w:lang w:val="en-US" w:eastAsia="zh-CN"/>
              </w:rPr>
              <w:t>师房</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钻井监察房、泥浆工程师房等</w:t>
            </w:r>
            <w:r>
              <w:rPr>
                <w:rFonts w:hint="default" w:ascii="Times New Roman" w:hAnsi="Times New Roman" w:eastAsia="宋体" w:cs="Times New Roman"/>
                <w:color w:val="auto"/>
                <w:sz w:val="24"/>
                <w:highlight w:val="none"/>
              </w:rPr>
              <w:t>位于前场</w:t>
            </w:r>
            <w:r>
              <w:rPr>
                <w:rFonts w:hint="default" w:ascii="Times New Roman" w:hAnsi="Times New Roman" w:eastAsia="宋体" w:cs="Times New Roman"/>
                <w:color w:val="auto"/>
                <w:sz w:val="24"/>
                <w:highlight w:val="none"/>
                <w:lang w:val="en-US" w:eastAsia="zh-CN"/>
              </w:rPr>
              <w:t>南侧，分布于大门两侧</w:t>
            </w:r>
            <w:r>
              <w:rPr>
                <w:rFonts w:hint="default" w:ascii="Times New Roman" w:hAnsi="Times New Roman" w:eastAsia="宋体" w:cs="Times New Roman"/>
                <w:color w:val="auto"/>
                <w:sz w:val="24"/>
                <w:highlight w:val="none"/>
              </w:rPr>
              <w:t>；井场道路围绕钻井平台及辅助设备设置。实际施工过程中根据工程需要和地形特征进行适当优化调整。</w:t>
            </w:r>
          </w:p>
          <w:p>
            <w:pPr>
              <w:pStyle w:val="18"/>
              <w:keepNext w:val="0"/>
              <w:keepLines w:val="0"/>
              <w:suppressLineNumbers w:val="0"/>
              <w:spacing w:before="0" w:beforeAutospacing="0" w:after="0" w:afterAutospacing="0"/>
              <w:ind w:left="0" w:right="0"/>
              <w:rPr>
                <w:rFonts w:hint="default"/>
              </w:rPr>
            </w:pPr>
          </w:p>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0000FF"/>
                <w:szCs w:val="21"/>
                <w:highlight w:val="none"/>
              </w:rPr>
            </w:pPr>
            <w:r>
              <w:rPr>
                <w:rFonts w:hint="default" w:ascii="Times New Roman" w:hAnsi="Times New Roman" w:eastAsia="宋体" w:cs="Times New Roman"/>
                <w:color w:val="0000FF"/>
                <w:sz w:val="21"/>
              </w:rPr>
              <mc:AlternateContent>
                <mc:Choice Requires="wps">
                  <w:drawing>
                    <wp:anchor distT="0" distB="0" distL="114300" distR="114300" simplePos="0" relativeHeight="251661312" behindDoc="0" locked="0" layoutInCell="1" allowOverlap="1">
                      <wp:simplePos x="0" y="0"/>
                      <wp:positionH relativeFrom="column">
                        <wp:posOffset>913130</wp:posOffset>
                      </wp:positionH>
                      <wp:positionV relativeFrom="paragraph">
                        <wp:posOffset>5615940</wp:posOffset>
                      </wp:positionV>
                      <wp:extent cx="1626870" cy="666750"/>
                      <wp:effectExtent l="4445" t="5080" r="6985" b="13970"/>
                      <wp:wrapNone/>
                      <wp:docPr id="2" name="文本框 2"/>
                      <wp:cNvGraphicFramePr/>
                      <a:graphic xmlns:a="http://schemas.openxmlformats.org/drawingml/2006/main">
                        <a:graphicData uri="http://schemas.microsoft.com/office/word/2010/wordprocessingShape">
                          <wps:wsp>
                            <wps:cNvSpPr txBox="1"/>
                            <wps:spPr>
                              <a:xfrm>
                                <a:off x="2276475" y="7540625"/>
                                <a:ext cx="1626870" cy="6667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sz w:val="15"/>
                                      <w:szCs w:val="18"/>
                                      <w:lang w:val="en-US" w:eastAsia="zh-CN"/>
                                    </w:rPr>
                                  </w:pPr>
                                </w:p>
                                <w:p>
                                  <w:pPr>
                                    <w:jc w:val="center"/>
                                    <w:rPr>
                                      <w:rFonts w:hint="eastAsia"/>
                                      <w:lang w:val="en-US" w:eastAsia="zh-CN"/>
                                    </w:rPr>
                                  </w:pPr>
                                  <w:r>
                                    <w:rPr>
                                      <w:rFonts w:hint="eastAsia"/>
                                      <w:lang w:val="en-US" w:eastAsia="zh-CN"/>
                                    </w:rPr>
                                    <w:t>生活区</w:t>
                                  </w:r>
                                </w:p>
                                <w:p>
                                  <w:pPr>
                                    <w:jc w:val="center"/>
                                    <w:rPr>
                                      <w:rFonts w:hint="eastAsia" w:eastAsia="宋体"/>
                                      <w:lang w:val="en-US" w:eastAsia="zh-CN"/>
                                    </w:rPr>
                                  </w:pPr>
                                  <w:r>
                                    <w:rPr>
                                      <w:rFonts w:hint="eastAsia"/>
                                      <w:lang w:val="en-US" w:eastAsia="zh-CN"/>
                                    </w:rPr>
                                    <w:t>（根据实际情况调整）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1.9pt;margin-top:442.2pt;height:52.5pt;width:128.1pt;z-index:251661312;mso-width-relative:page;mso-height-relative:page;" fillcolor="#FFFFFF [3201]" filled="t" stroked="t" coordsize="21600,21600" o:gfxdata="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Bk1sN1wAAAAsBAAAPAAAAAAAAAAEAIAAAACIAAABkcnMvZG93bnJldi54bWxQSwECFAAU&#10;AAAACACHTuJAEKwd4mQCAADDBAAADgAAAAAAAAABACAAAAAmAQAAZHJzL2Uyb0RvYy54bWxQSwUG&#10;AAAAAAYABgBZAQAA/AUAAAAA&#10;">
                      <v:fill on="t" focussize="0,0"/>
                      <v:stroke weight="0.5pt" color="#000000 [3204]" joinstyle="round"/>
                      <v:imagedata o:title=""/>
                      <o:lock v:ext="edit" aspectratio="f"/>
                      <v:textbox>
                        <w:txbxContent>
                          <w:p>
                            <w:pPr>
                              <w:jc w:val="center"/>
                              <w:rPr>
                                <w:rFonts w:hint="eastAsia"/>
                                <w:sz w:val="15"/>
                                <w:szCs w:val="18"/>
                                <w:lang w:val="en-US" w:eastAsia="zh-CN"/>
                              </w:rPr>
                            </w:pPr>
                          </w:p>
                          <w:p>
                            <w:pPr>
                              <w:jc w:val="center"/>
                              <w:rPr>
                                <w:rFonts w:hint="eastAsia"/>
                                <w:lang w:val="en-US" w:eastAsia="zh-CN"/>
                              </w:rPr>
                            </w:pPr>
                            <w:r>
                              <w:rPr>
                                <w:rFonts w:hint="eastAsia"/>
                                <w:lang w:val="en-US" w:eastAsia="zh-CN"/>
                              </w:rPr>
                              <w:t>生活区</w:t>
                            </w:r>
                          </w:p>
                          <w:p>
                            <w:pPr>
                              <w:jc w:val="center"/>
                              <w:rPr>
                                <w:rFonts w:hint="eastAsia" w:eastAsia="宋体"/>
                                <w:lang w:val="en-US" w:eastAsia="zh-CN"/>
                              </w:rPr>
                            </w:pPr>
                            <w:r>
                              <w:rPr>
                                <w:rFonts w:hint="eastAsia"/>
                                <w:lang w:val="en-US" w:eastAsia="zh-CN"/>
                              </w:rPr>
                              <w:t>（根据实际情况调整）</w:t>
                            </w:r>
                          </w:p>
                        </w:txbxContent>
                      </v:textbox>
                    </v:shape>
                  </w:pict>
                </mc:Fallback>
              </mc:AlternateContent>
            </w:r>
            <w:r>
              <w:rPr>
                <w:rFonts w:hint="default" w:ascii="Times New Roman" w:hAnsi="Times New Roman" w:eastAsia="宋体" w:cs="Times New Roman"/>
                <w:color w:val="0000FF"/>
                <w:highlight w:val="none"/>
              </w:rPr>
              <w:pict>
                <v:group id="组合 147" o:spid="_x0000_s2236" o:spt="203" style="height:497.8pt;width:407.25pt;" coordorigin="6673,893660" coordsize="8352,9144">
                  <o:lock v:ext="edit" aspectratio="f"/>
                  <v:group id="组合 148" o:spid="_x0000_s2237" o:spt="203" style="position:absolute;left:6673;top:893660;height:9144;width:8353;" coordorigin="5343,431393" coordsize="8353,9144">
                    <o:lock v:ext="edit" aspectratio="f"/>
                    <v:shape id="Object 101" o:spid="_x0000_s2238" o:spt="75" type="#_x0000_t75" style="position:absolute;left:5596;top:431393;height:9144;width:8100;" o:ole="t" filled="f" o:preferrelative="t" stroked="f" coordsize="21600,21600">
                      <v:path/>
                      <v:fill on="f" focussize="0,0"/>
                      <v:stroke on="f"/>
                      <v:imagedata r:id="rId18" o:title=""/>
                      <o:lock v:ext="edit" aspectratio="f"/>
                    </v:shape>
                    <v:shape id="图片 28" o:spid="_x0000_s2239" o:spt="75" type="#_x0000_t75" style="position:absolute;left:5343;top:431405;height:1406;width:1417;" filled="f" o:preferrelative="t" stroked="t" coordsize="21600,21600">
                      <v:path/>
                      <v:fill on="f" focussize="0,0"/>
                      <v:stroke weight="0.5pt" color="#000000" joinstyle="round"/>
                      <v:imagedata r:id="rId19" cropbottom="1190f" o:title=""/>
                      <o:lock v:ext="edit" aspectratio="t"/>
                    </v:shape>
                  </v:group>
                  <v:rect id="矩形 151" o:spid="_x0000_s2240" o:spt="1" style="position:absolute;left:13050;top:896747;height:915;width:585;" fillcolor="#FFFFFF" filled="t" stroked="f" coordsize="21600,21600">
                    <v:path/>
                    <v:fill on="t" color2="#FFFFFF" focussize="0,0"/>
                    <v:stroke on="f"/>
                    <v:imagedata o:title=""/>
                    <o:lock v:ext="edit" aspectratio="f"/>
                  </v:rect>
                  <w10:wrap type="none"/>
                  <w10:anchorlock/>
                </v:group>
                <o:OLEObject Type="Embed" ProgID="" ShapeID="Object 101" DrawAspect="Content" ObjectID="_1468075725" r:id="rId17">
                  <o:LockedField>false</o:LockedField>
                </o:OLEObject>
              </w:pic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0000FF"/>
                <w:highlight w:val="none"/>
              </w:rPr>
            </w:pPr>
            <w:r>
              <w:rPr>
                <w:rFonts w:hint="default" w:ascii="Times New Roman" w:hAnsi="Times New Roman" w:eastAsia="宋体" w:cs="Times New Roman"/>
                <w:b/>
                <w:bCs/>
                <w:color w:val="auto"/>
                <w:sz w:val="24"/>
                <w:szCs w:val="24"/>
                <w:highlight w:val="none"/>
                <w:lang w:val="en-US" w:eastAsia="zh-CN"/>
              </w:rPr>
              <w:t>图2-</w:t>
            </w:r>
            <w:r>
              <w:rPr>
                <w:rFonts w:hint="eastAsia" w:ascii="Times New Roman"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lang w:val="en-US" w:eastAsia="zh-CN"/>
              </w:rPr>
              <w:t xml:space="preserve">    井场平面及现场布置示意图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b/>
                <w:bCs/>
                <w:color w:val="0000FF"/>
                <w:sz w:val="24"/>
                <w:szCs w:val="24"/>
                <w:highlight w:val="none"/>
                <w:lang w:val="en-US" w:eastAsia="zh-CN"/>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b/>
                <w:bCs/>
                <w:color w:val="0000FF"/>
                <w:sz w:val="24"/>
                <w:szCs w:val="24"/>
                <w:highlight w:val="none"/>
                <w:lang w:val="en-US" w:eastAsia="zh-CN"/>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b/>
                <w:bCs/>
                <w:color w:val="0000FF"/>
                <w:sz w:val="24"/>
                <w:szCs w:val="24"/>
                <w:highlight w:val="none"/>
                <w:lang w:val="en-US" w:eastAsia="zh-CN"/>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b/>
                <w:bCs/>
                <w:color w:val="0000FF"/>
                <w:sz w:val="24"/>
                <w:szCs w:val="24"/>
                <w:highlight w:val="none"/>
                <w:lang w:val="en-US" w:eastAsia="zh-CN"/>
              </w:rPr>
            </w:pPr>
          </w:p>
          <w:p>
            <w:pPr>
              <w:pStyle w:val="18"/>
              <w:keepNext w:val="0"/>
              <w:keepLines w:val="0"/>
              <w:suppressLineNumbers w:val="0"/>
              <w:spacing w:before="0" w:beforeAutospacing="0" w:after="0" w:afterAutospacing="0"/>
              <w:ind w:left="0" w:right="0"/>
              <w:rPr>
                <w:rFonts w:hint="default" w:ascii="Times New Roman" w:hAnsi="Times New Roman" w:eastAsia="宋体" w:cs="Times New Roman"/>
                <w:b/>
                <w:bCs/>
                <w:color w:val="0000FF"/>
                <w:sz w:val="24"/>
                <w:szCs w:val="24"/>
                <w:highlight w:val="none"/>
                <w:lang w:val="en-US" w:eastAsia="zh-CN"/>
              </w:rPr>
            </w:pPr>
          </w:p>
          <w:p>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0000FF"/>
                <w:szCs w:val="21"/>
                <w:highlight w:val="none"/>
              </w:rPr>
            </w:pPr>
            <w:r>
              <w:rPr>
                <w:rFonts w:hint="default" w:ascii="Times New Roman" w:hAnsi="Times New Roman" w:eastAsia="宋体" w:cs="Times New Roman"/>
                <w:color w:val="0000FF"/>
                <w:sz w:val="25"/>
                <w:highlight w:val="none"/>
              </w:rPr>
              <mc:AlternateContent>
                <mc:Choice Requires="wpg">
                  <w:drawing>
                    <wp:inline distT="0" distB="0" distL="114300" distR="114300">
                      <wp:extent cx="5295265" cy="6346825"/>
                      <wp:effectExtent l="0" t="0" r="635" b="15875"/>
                      <wp:docPr id="35" name="组合 171"/>
                      <wp:cNvGraphicFramePr/>
                      <a:graphic xmlns:a="http://schemas.openxmlformats.org/drawingml/2006/main">
                        <a:graphicData uri="http://schemas.microsoft.com/office/word/2010/wordprocessingGroup">
                          <wpg:wgp>
                            <wpg:cNvGrpSpPr/>
                            <wpg:grpSpPr>
                              <a:xfrm>
                                <a:off x="0" y="0"/>
                                <a:ext cx="5295291" cy="6346825"/>
                                <a:chOff x="6858" y="910421"/>
                                <a:chExt cx="8005" cy="9638"/>
                              </a:xfrm>
                            </wpg:grpSpPr>
                            <pic:pic xmlns:pic="http://schemas.openxmlformats.org/drawingml/2006/picture">
                              <pic:nvPicPr>
                                <pic:cNvPr id="31" name="图片 3" descr="试油平面1"/>
                                <pic:cNvPicPr>
                                  <a:picLocks noChangeAspect="1"/>
                                </pic:cNvPicPr>
                              </pic:nvPicPr>
                              <pic:blipFill>
                                <a:blip r:embed="rId20"/>
                                <a:stretch>
                                  <a:fillRect/>
                                </a:stretch>
                              </pic:blipFill>
                              <pic:spPr>
                                <a:xfrm>
                                  <a:off x="6858" y="910421"/>
                                  <a:ext cx="8005" cy="9638"/>
                                </a:xfrm>
                                <a:prstGeom prst="rect">
                                  <a:avLst/>
                                </a:prstGeom>
                                <a:noFill/>
                                <a:ln>
                                  <a:noFill/>
                                </a:ln>
                              </pic:spPr>
                            </pic:pic>
                            <wps:wsp>
                              <wps:cNvPr id="32" name="文本框 2"/>
                              <wps:cNvSpPr txBox="1"/>
                              <wps:spPr>
                                <a:xfrm>
                                  <a:off x="7845" y="918640"/>
                                  <a:ext cx="2207" cy="79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jc w:val="center"/>
                                    </w:pPr>
                                    <w:r>
                                      <w:rPr>
                                        <w:rFonts w:hint="eastAsia"/>
                                      </w:rPr>
                                      <w:t>膨润土岩屑池</w:t>
                                    </w:r>
                                  </w:p>
                                </w:txbxContent>
                              </wps:txbx>
                              <wps:bodyPr vert="horz" wrap="square" lIns="91440" tIns="154800" rIns="91440" bIns="82800" anchor="t" anchorCtr="0" upright="1"/>
                            </wps:wsp>
                            <wps:wsp>
                              <wps:cNvPr id="33" name="文本框 1086"/>
                              <wps:cNvSpPr txBox="1"/>
                              <wps:spPr>
                                <a:xfrm>
                                  <a:off x="7361" y="913821"/>
                                  <a:ext cx="1019" cy="434"/>
                                </a:xfrm>
                                <a:prstGeom prst="rect">
                                  <a:avLst/>
                                </a:prstGeom>
                                <a:solidFill>
                                  <a:srgbClr val="FFFFFF"/>
                                </a:solidFill>
                                <a:ln>
                                  <a:noFill/>
                                </a:ln>
                              </wps:spPr>
                              <wps:txbx>
                                <w:txbxContent>
                                  <w:p>
                                    <w:pPr>
                                      <w:rPr>
                                        <w:rFonts w:hint="eastAsia"/>
                                        <w:sz w:val="16"/>
                                        <w:szCs w:val="16"/>
                                      </w:rPr>
                                    </w:pPr>
                                    <w:r>
                                      <w:rPr>
                                        <w:rFonts w:hint="eastAsia" w:hAnsi="宋体"/>
                                        <w:spacing w:val="-10"/>
                                        <w:sz w:val="16"/>
                                        <w:szCs w:val="16"/>
                                      </w:rPr>
                                      <w:t>油水储罐</w:t>
                                    </w:r>
                                  </w:p>
                                </w:txbxContent>
                              </wps:txbx>
                              <wps:bodyPr vert="horz" wrap="square" anchor="t" anchorCtr="0" upright="1"/>
                            </wps:wsp>
                          </wpg:wgp>
                        </a:graphicData>
                      </a:graphic>
                    </wp:inline>
                  </w:drawing>
                </mc:Choice>
                <mc:Fallback>
                  <w:pict>
                    <v:group id="组合 171" o:spid="_x0000_s1026" o:spt="203" style="height:499.75pt;width:416.95pt;" coordorigin="6858,910421" coordsize="8005,9638" o:gfxdata="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">
                      <o:lock v:ext="edit" aspectratio="f"/>
                      <v:shape id="图片 3" o:spid="_x0000_s1026" o:spt="75" alt="试油平面1" type="#_x0000_t75" style="position:absolute;left:6858;top:910421;height:9638;width:8005;" filled="f" o:preferrelative="t" stroked="f" coordsize="21600,21600" o:gfxdata="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f7luq8AAAA&#10;2wAAAA8AAAAAAAAAAQAgAAAAIgAAAGRycy9kb3ducmV2LnhtbFBLAQIUABQAAAAIAIdO4kAzLwWe&#10;OwAAADkAAAAQAAAAAAAAAAEAIAAAAAsBAABkcnMvc2hhcGV4bWwueG1sUEsFBgAAAAAGAAYAWwEA&#10;ALUDAAAAAA==&#10;">
                        <v:fill on="f" focussize="0,0"/>
                        <v:stroke on="f"/>
                        <v:imagedata r:id="rId20" o:title=""/>
                        <o:lock v:ext="edit" aspectratio="t"/>
                      </v:shape>
                      <v:shape id="文本框 2" o:spid="_x0000_s1026" o:spt="202" type="#_x0000_t202" style="position:absolute;left:7845;top:918640;height:799;width:2207;" fillcolor="#FFFFFF" filled="t" stroked="t" coordsize="21600,21600" o:gfxdata="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ewbNe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inset="2.54mm,4.3mm,2.54mm,2.3mm">
                          <w:txbxContent>
                            <w:p>
                              <w:pPr>
                                <w:adjustRightInd w:val="0"/>
                                <w:snapToGrid w:val="0"/>
                                <w:jc w:val="center"/>
                              </w:pPr>
                              <w:r>
                                <w:rPr>
                                  <w:rFonts w:hint="eastAsia"/>
                                </w:rPr>
                                <w:t>膨润土岩屑池</w:t>
                              </w:r>
                            </w:p>
                          </w:txbxContent>
                        </v:textbox>
                      </v:shape>
                      <v:shape id="文本框 1086" o:spid="_x0000_s1026" o:spt="202" type="#_x0000_t202" style="position:absolute;left:7361;top:913821;height:434;width:1019;" fillcolor="#FFFFFF" filled="t" stroked="f" coordsize="21600,21600" o:gfxdata="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TVqZb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pPr>
                                <w:rPr>
                                  <w:rFonts w:hint="eastAsia"/>
                                  <w:sz w:val="16"/>
                                  <w:szCs w:val="16"/>
                                </w:rPr>
                              </w:pPr>
                              <w:r>
                                <w:rPr>
                                  <w:rFonts w:hint="eastAsia" w:hAnsi="宋体"/>
                                  <w:spacing w:val="-10"/>
                                  <w:sz w:val="16"/>
                                  <w:szCs w:val="16"/>
                                </w:rPr>
                                <w:t>油水储罐</w:t>
                              </w:r>
                            </w:p>
                          </w:txbxContent>
                        </v:textbox>
                      </v:shape>
                      <w10:wrap type="none"/>
                      <w10:anchorlock/>
                    </v:group>
                  </w:pict>
                </mc:Fallback>
              </mc:AlternateConten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图2-</w:t>
            </w:r>
            <w:r>
              <w:rPr>
                <w:rFonts w:hint="eastAsia" w:ascii="Times New Roman"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lang w:val="zh-CN" w:eastAsia="zh-CN"/>
              </w:rPr>
              <w:t xml:space="preserve"> </w:t>
            </w:r>
            <w:r>
              <w:rPr>
                <w:rFonts w:hint="default" w:ascii="Times New Roman" w:hAnsi="Times New Roman" w:eastAsia="宋体" w:cs="Times New Roman"/>
                <w:b/>
                <w:bCs/>
                <w:color w:val="auto"/>
                <w:sz w:val="24"/>
                <w:szCs w:val="24"/>
                <w:highlight w:val="none"/>
                <w:lang w:val="en-US" w:eastAsia="zh-CN"/>
              </w:rPr>
              <w:t>测试放喷井场平面布置示意图</w:t>
            </w: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0000FF"/>
                <w:sz w:val="24"/>
                <w:szCs w:val="24"/>
                <w:highlight w:val="none"/>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0000FF"/>
                <w:sz w:val="24"/>
                <w:szCs w:val="24"/>
                <w:highlight w:val="none"/>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b/>
                <w:bCs/>
                <w:color w:val="0000FF"/>
                <w:sz w:val="24"/>
                <w:szCs w:val="24"/>
                <w:highlight w:val="none"/>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0000FF"/>
                <w:sz w:val="24"/>
                <w:szCs w:val="24"/>
                <w:highlight w:val="none"/>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0000FF"/>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b/>
                <w:bCs/>
                <w:color w:val="0000FF"/>
                <w:sz w:val="24"/>
                <w:szCs w:val="24"/>
                <w:highlight w:val="none"/>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b/>
                <w:bCs/>
                <w:color w:val="0000FF"/>
                <w:sz w:val="24"/>
                <w:szCs w:val="24"/>
                <w:highlight w:val="none"/>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0000FF"/>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3" w:hRule="atLeast"/>
          <w:jc w:val="center"/>
        </w:trPr>
        <w:tc>
          <w:tcPr>
            <w:tcW w:w="496"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24"/>
                <w:szCs w:val="24"/>
                <w:highlight w:val="none"/>
                <w:lang w:val="en-US" w:eastAsia="zh-CN"/>
              </w:rPr>
              <w:t>施工方案</w:t>
            </w:r>
          </w:p>
        </w:tc>
        <w:tc>
          <w:tcPr>
            <w:tcW w:w="8576" w:type="dxa"/>
            <w:noWrap w:val="0"/>
            <w:tcMar>
              <w:left w:w="108" w:type="dxa"/>
              <w:right w:w="108" w:type="dxa"/>
            </w:tcMar>
            <w:vAlign w:val="top"/>
          </w:tcPr>
          <w:p>
            <w:pPr>
              <w:keepNext w:val="0"/>
              <w:keepLines w:val="0"/>
              <w:pageBreakBefore w:val="0"/>
              <w:suppressLineNumbers w:val="0"/>
              <w:tabs>
                <w:tab w:val="left" w:pos="2310"/>
              </w:tabs>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一、施工工艺流程</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钻井过程主要包括钻前工程（井场平整、进场道路建设、放喷池、钻井平台等建设）、设备搬运及安装、钻井（固井、录井）、完井、测井、试井、封井等，本项目设计完钻深度为</w:t>
            </w:r>
            <w:r>
              <w:rPr>
                <w:rFonts w:hint="eastAsia" w:ascii="Times New Roman" w:cs="Times New Roman"/>
                <w:bCs/>
                <w:color w:val="auto"/>
                <w:sz w:val="24"/>
                <w:szCs w:val="24"/>
                <w:highlight w:val="none"/>
                <w:lang w:val="en-US" w:eastAsia="zh-CN"/>
              </w:rPr>
              <w:t>9070</w:t>
            </w:r>
            <w:r>
              <w:rPr>
                <w:rFonts w:hint="default" w:ascii="Times New Roman" w:hAnsi="Times New Roman" w:eastAsia="宋体" w:cs="Times New Roman"/>
                <w:bCs/>
                <w:color w:val="auto"/>
                <w:sz w:val="24"/>
                <w:szCs w:val="24"/>
                <w:highlight w:val="none"/>
                <w:lang w:val="en-US" w:eastAsia="zh-CN"/>
              </w:rPr>
              <w:t>m。</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本项目施工工艺主要包括钻前工程（井场建设、设备搬运及安装）、钻井工程（含储层改造及测试放喷）、钻后工程等。施工工艺流程示意图见下图。</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color w:val="0000FF"/>
                <w:sz w:val="24"/>
                <w:szCs w:val="24"/>
                <w:highlight w:val="none"/>
              </w:rPr>
              <w:pict>
                <v:group id="组合 167" o:spid="_x0000_s2244" o:spt="203" style="position:absolute;left:0pt;margin-left:28.45pt;margin-top:0pt;height:195.3pt;width:361.1pt;mso-wrap-distance-bottom:0pt;mso-wrap-distance-top:0pt;z-index:251660288;mso-width-relative:page;mso-height-relative:page;" coordorigin="5388,978207" coordsize="7222,3906">
                  <o:lock v:ext="edit" aspectratio="f"/>
                  <v:shape id="对象 444" o:spid="_x0000_s2245" o:spt="75" type="#_x0000_t75" style="position:absolute;left:5388;top:978207;height:3906;width:7222;" o:ole="t" filled="f" o:preferrelative="t" stroked="f" coordsize="21600,21600">
                    <v:path/>
                    <v:fill on="f" focussize="0,0"/>
                    <v:stroke on="f"/>
                    <v:imagedata r:id="rId22" o:title=""/>
                    <o:lock v:ext="edit" aspectratio="t"/>
                  </v:shape>
                  <v:shape id="文本框 354" o:spid="_x0000_s2246" o:spt="202" type="#_x0000_t202" style="position:absolute;left:6298;top:980621;height:472;width:6037;" fillcolor="#FFFFFF" filled="t" stroked="t" coordsize="21600,21600">
                    <v:path/>
                    <v:fill on="t" color2="#FFFFFF" focussize="0,0"/>
                    <v:stroke joinstyle="miter"/>
                    <v:imagedata o:title=""/>
                    <o:lock v:ext="edit" aspectratio="f"/>
                    <v:textbox>
                      <w:txbxContent>
                        <w:p>
                          <w:pPr>
                            <w:rPr>
                              <w:rFonts w:hint="eastAsia"/>
                              <w:sz w:val="18"/>
                              <w:szCs w:val="20"/>
                            </w:rPr>
                          </w:pPr>
                          <w:r>
                            <w:rPr>
                              <w:rFonts w:hint="eastAsia"/>
                              <w:sz w:val="18"/>
                              <w:szCs w:val="20"/>
                            </w:rPr>
                            <w:t>储层改造、测试放喷、设备拆迁（若无油气或无工业开采价值直接封井）</w:t>
                          </w:r>
                        </w:p>
                      </w:txbxContent>
                    </v:textbox>
                  </v:shape>
                  <w10:wrap type="topAndBottom"/>
                </v:group>
                <o:OLEObject Type="Embed" ProgID="" ShapeID="对象 444" DrawAspect="Content" ObjectID="_1468075726" r:id="rId21">
                  <o:LockedField>false</o:LockedField>
                </o:OLEObject>
              </w:pict>
            </w:r>
            <w:r>
              <w:rPr>
                <w:rFonts w:hint="default" w:ascii="Times New Roman" w:hAnsi="Times New Roman" w:eastAsia="宋体" w:cs="Times New Roman"/>
                <w:b/>
                <w:bCs/>
                <w:color w:val="auto"/>
                <w:sz w:val="24"/>
                <w:szCs w:val="24"/>
                <w:highlight w:val="none"/>
                <w:lang w:val="en-US" w:eastAsia="zh-CN"/>
              </w:rPr>
              <w:t>图2-</w:t>
            </w:r>
            <w:r>
              <w:rPr>
                <w:rFonts w:hint="eastAsia" w:ascii="Times New Roman"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lang w:val="en-US" w:eastAsia="zh-CN"/>
              </w:rPr>
              <w:t xml:space="preserve">    工程施工工艺过程示意图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1、钻前工程概况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项目钻前工程主要为临时井场道路、井场建设。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（1）道路建设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本项目运输尽量依托现有道路，结合地形等条件估算，本项目需修建临时井场道路</w:t>
            </w:r>
            <w:r>
              <w:rPr>
                <w:rFonts w:hint="eastAsia" w:ascii="Times New Roman" w:cs="Times New Roman"/>
                <w:color w:val="auto"/>
                <w:sz w:val="24"/>
                <w:szCs w:val="24"/>
                <w:highlight w:val="none"/>
                <w:lang w:val="en-US" w:eastAsia="zh-CN"/>
              </w:rPr>
              <w:t>405</w:t>
            </w:r>
            <w:r>
              <w:rPr>
                <w:rFonts w:hint="default" w:ascii="Times New Roman" w:hAnsi="Times New Roman" w:eastAsia="宋体" w:cs="Times New Roman"/>
                <w:color w:val="auto"/>
                <w:sz w:val="24"/>
                <w:szCs w:val="24"/>
                <w:highlight w:val="none"/>
                <w:lang w:val="en-US" w:eastAsia="zh-CN"/>
              </w:rPr>
              <w:t>m，井场道路路面结构层为：20cm厚级配砾石路面+20cm厚天然砂砾垫层，为砂石路面。根据选定路线由推土机推平、压实。</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（2）井场建设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井场平面布置图，首先对井场进行初步平整，然后采用挖掘机进行岩屑池、放喷池等池体开挖作业，并利用岩屑池、放喷池的挖方进行填方作业，对场地进行平整。场地平整作业结束后，进行设备基础及池体防渗工程的建设。本工程井场</w:t>
            </w:r>
            <w:r>
              <w:rPr>
                <w:rFonts w:hint="eastAsia" w:asci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池体共开挖土方为8950m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，开挖土方全部回填。</w:t>
            </w:r>
            <w:bookmarkStart w:id="19" w:name="_Toc4259"/>
            <w:bookmarkStart w:id="20" w:name="_Toc197412921"/>
            <w:bookmarkStart w:id="21" w:name="_Toc32191"/>
            <w:bookmarkStart w:id="22" w:name="_Toc197413055"/>
            <w:bookmarkStart w:id="23" w:name="_Toc14713"/>
            <w:bookmarkStart w:id="24" w:name="_Toc534"/>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2、钻井工程（含测试放喷）施工工艺简述</w:t>
            </w:r>
            <w:bookmarkEnd w:id="19"/>
            <w:bookmarkEnd w:id="20"/>
            <w:bookmarkEnd w:id="21"/>
            <w:bookmarkEnd w:id="22"/>
            <w:bookmarkEnd w:id="23"/>
            <w:bookmarkEnd w:id="24"/>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工程设计井深</w:t>
            </w:r>
            <w:r>
              <w:rPr>
                <w:rFonts w:hint="eastAsia" w:ascii="Times New Roman" w:cs="Times New Roman"/>
                <w:color w:val="auto"/>
                <w:sz w:val="24"/>
                <w:szCs w:val="24"/>
                <w:highlight w:val="none"/>
                <w:lang w:val="en-US" w:eastAsia="zh-CN"/>
              </w:rPr>
              <w:t>9070</w:t>
            </w:r>
            <w:r>
              <w:rPr>
                <w:rFonts w:hint="default" w:ascii="Times New Roman" w:hAnsi="Times New Roman" w:eastAsia="宋体" w:cs="Times New Roman"/>
                <w:color w:val="auto"/>
                <w:sz w:val="24"/>
                <w:szCs w:val="24"/>
                <w:highlight w:val="none"/>
                <w:lang w:val="en-US" w:eastAsia="zh-CN"/>
              </w:rPr>
              <w:t>m，采用</w:t>
            </w:r>
            <w:r>
              <w:rPr>
                <w:rFonts w:hint="eastAsia" w:ascii="Times New Roman" w:cs="Times New Roman"/>
                <w:color w:val="auto"/>
                <w:sz w:val="24"/>
                <w:szCs w:val="24"/>
                <w:highlight w:val="none"/>
                <w:lang w:val="en-US" w:eastAsia="zh-CN"/>
              </w:rPr>
              <w:t>90D</w:t>
            </w:r>
            <w:r>
              <w:rPr>
                <w:rFonts w:hint="default" w:ascii="Times New Roman" w:hAnsi="Times New Roman" w:eastAsia="宋体" w:cs="Times New Roman"/>
                <w:color w:val="auto"/>
                <w:sz w:val="24"/>
                <w:szCs w:val="24"/>
                <w:highlight w:val="none"/>
                <w:lang w:val="en-US" w:eastAsia="zh-CN"/>
              </w:rPr>
              <w:t>及以上钻机，目的层为</w:t>
            </w:r>
            <w:r>
              <w:rPr>
                <w:rFonts w:hint="eastAsia" w:ascii="Times New Roman" w:cs="Times New Roman"/>
                <w:color w:val="auto"/>
                <w:sz w:val="24"/>
                <w:szCs w:val="24"/>
                <w:highlight w:val="none"/>
                <w:lang w:val="en-US" w:eastAsia="zh-CN"/>
              </w:rPr>
              <w:t>寒武系吾松格尔、肖尔布拉克组</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（1）钻井作业</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工程预计钻井施工天数约</w:t>
            </w:r>
            <w:r>
              <w:rPr>
                <w:rFonts w:hint="eastAsia" w:ascii="Times New Roman" w:cs="Times New Roman"/>
                <w:color w:val="auto"/>
                <w:sz w:val="24"/>
                <w:szCs w:val="24"/>
                <w:highlight w:val="none"/>
                <w:lang w:val="en-US" w:eastAsia="zh-CN"/>
              </w:rPr>
              <w:t>190</w:t>
            </w:r>
            <w:r>
              <w:rPr>
                <w:rFonts w:hint="default" w:ascii="Times New Roman" w:hAnsi="Times New Roman" w:eastAsia="宋体" w:cs="Times New Roman"/>
                <w:color w:val="auto"/>
                <w:sz w:val="24"/>
                <w:szCs w:val="24"/>
                <w:highlight w:val="none"/>
                <w:lang w:val="en-US" w:eastAsia="zh-CN"/>
              </w:rPr>
              <w:t>d，其中钻前工程约10d，钻井期预计</w:t>
            </w:r>
            <w:r>
              <w:rPr>
                <w:rFonts w:hint="eastAsia" w:ascii="Times New Roman" w:cs="Times New Roman"/>
                <w:color w:val="auto"/>
                <w:sz w:val="24"/>
                <w:szCs w:val="24"/>
                <w:highlight w:val="none"/>
                <w:lang w:val="en-US" w:eastAsia="zh-CN"/>
              </w:rPr>
              <w:t>170</w:t>
            </w:r>
            <w:r>
              <w:rPr>
                <w:rFonts w:hint="default" w:ascii="Times New Roman" w:hAnsi="Times New Roman" w:eastAsia="宋体" w:cs="Times New Roman"/>
                <w:color w:val="auto"/>
                <w:sz w:val="24"/>
                <w:szCs w:val="24"/>
                <w:highlight w:val="none"/>
                <w:lang w:val="en-US" w:eastAsia="zh-CN"/>
              </w:rPr>
              <w:t>d（其中测试放喷15d～20d），钻后工程约10d。钻前工程和井队转场每天工作12h，钻井期每天工作24h，三班两运转。</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钻井使用的钻机为电钻机，主要由柴油发电机供电，通过钻机、转盘、钻杆、带动钻头切削地层，同时泥浆由泥浆泵经钻杆向井内注入井筒冲刷井底，利用其粘性将切削下的岩屑不断地带至地面，整个过程循环进行，使井不断加深至目的层。泥浆采用“泥浆不落地”工艺收集，泥浆排入泥浆罐循环使用，完井后拉运至下一口井再利用，膨润土体系废弃钻井岩屑排入防渗岩屑池干化，干化达到《油气田钻井固体废物综合利用污染控制要求》（DB65/T 3997-2017）</w:t>
            </w:r>
            <w:r>
              <w:rPr>
                <w:rFonts w:hint="default" w:ascii="Times New Roman" w:hAnsi="Times New Roman" w:eastAsia="宋体" w:cs="Times New Roman"/>
                <w:color w:val="auto"/>
                <w:spacing w:val="0"/>
                <w:sz w:val="24"/>
                <w:szCs w:val="24"/>
                <w:highlight w:val="none"/>
                <w:lang w:val="en-US" w:eastAsia="zh-CN"/>
              </w:rPr>
              <w:t>及《石油天然气开采业固体废物污染控制技术规范（试行）》（HJ1461-2026）标准</w:t>
            </w:r>
            <w:r>
              <w:rPr>
                <w:rFonts w:hint="default" w:ascii="Times New Roman" w:hAnsi="Times New Roman" w:eastAsia="宋体" w:cs="Times New Roman"/>
                <w:color w:val="auto"/>
                <w:sz w:val="24"/>
                <w:szCs w:val="24"/>
                <w:highlight w:val="none"/>
                <w:lang w:val="en-US" w:eastAsia="zh-CN"/>
              </w:rPr>
              <w:t>后，用于井场平整，严格执行钻井作业规程和安全规程。加强随钻监测，配备安全有效的防喷设备、</w:t>
            </w:r>
            <w:r>
              <w:rPr>
                <w:rFonts w:hint="default" w:ascii="Times New Roman" w:hAnsi="Times New Roman" w:eastAsia="宋体" w:cs="Times New Roman"/>
                <w:color w:val="auto"/>
                <w:sz w:val="24"/>
                <w:szCs w:val="24"/>
                <w:highlight w:val="none"/>
                <w:shd w:val="clear"/>
                <w:lang w:val="en-US" w:eastAsia="zh-CN"/>
              </w:rPr>
              <w:t>压井材料及井控设备，建立健全井控管理系统；</w:t>
            </w:r>
            <w:r>
              <w:rPr>
                <w:rFonts w:hint="eastAsia" w:ascii="Times New Roman" w:cs="Times New Roman"/>
                <w:color w:val="auto"/>
                <w:sz w:val="24"/>
                <w:szCs w:val="24"/>
                <w:highlight w:val="none"/>
                <w:shd w:val="clear"/>
                <w:lang w:val="en-US" w:eastAsia="zh-CN"/>
              </w:rPr>
              <w:t>聚磺体系废弃钻井岩屑收集后拉运至塔中油田钻试修废弃物环保处理站处理</w:t>
            </w:r>
            <w:r>
              <w:rPr>
                <w:rFonts w:hint="default" w:ascii="Times New Roman" w:hAnsi="Times New Roman" w:eastAsia="宋体" w:cs="Times New Roman"/>
                <w:color w:val="auto"/>
                <w:sz w:val="24"/>
                <w:szCs w:val="24"/>
                <w:highlight w:val="none"/>
                <w:shd w:val="clear"/>
                <w:lang w:val="en-US" w:eastAsia="zh-CN"/>
              </w:rPr>
              <w:t>，处理达标后还原土用于铺垫油区内的井场、道路；钻井中途需要停钻，以便起下钻具更换钻头、下套管、固井、替换钻井液和检修</w:t>
            </w:r>
            <w:r>
              <w:rPr>
                <w:rFonts w:hint="default" w:ascii="Times New Roman" w:hAnsi="Times New Roman" w:eastAsia="宋体" w:cs="Times New Roman"/>
                <w:color w:val="auto"/>
                <w:sz w:val="24"/>
                <w:szCs w:val="24"/>
                <w:highlight w:val="none"/>
                <w:lang w:val="en-US" w:eastAsia="zh-CN"/>
              </w:rPr>
              <w:t>设备。钻井用泥浆在泥浆罐内配制，在钻井过程中根据地层对泥浆性能的要求不同在循环泥浆中添加不同量原料，配制泥浆用原料暂存于井场泥浆罐区旁材料区内，配制时由人工破袋加入泥浆罐中。生物质锅炉主要用作泥浆保温。</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钻井泥浆不落地工艺：采用“泥浆不落地”工艺收集，项目在钻井期间产生的废弃钻井液、岩屑及钻井废水经振动筛、除砂器、除泥器、离心机四级分离后，实现初步分离，分离出的液相进入废水收集罐，再到废水处理罐，在罐内处理后重复利用。岩屑随钻井泥浆带出，泥浆排入泥浆罐循环使用，完井后拉运至下一口井再利用</w:t>
            </w:r>
            <w:r>
              <w:rPr>
                <w:rFonts w:hint="default" w:ascii="Times New Roman" w:hAnsi="Times New Roman" w:eastAsia="宋体" w:cs="Times New Roman"/>
                <w:color w:val="auto"/>
                <w:spacing w:val="0"/>
                <w:sz w:val="21"/>
                <w:szCs w:val="21"/>
                <w:highlight w:val="none"/>
                <w:lang w:val="en-US" w:eastAsia="zh-CN"/>
              </w:rPr>
              <w:t>，</w:t>
            </w:r>
            <w:r>
              <w:rPr>
                <w:rFonts w:hint="default" w:ascii="Times New Roman" w:hAnsi="Times New Roman" w:eastAsia="宋体" w:cs="Times New Roman"/>
                <w:color w:val="auto"/>
                <w:spacing w:val="0"/>
                <w:sz w:val="24"/>
                <w:szCs w:val="24"/>
                <w:highlight w:val="none"/>
                <w:lang w:val="en-US" w:eastAsia="zh-CN"/>
              </w:rPr>
              <w:t>膨润土体系废弃钻井岩屑排入防渗岩屑池干化，达到《油气田钻井固体废物综合利用污染控制要求》（DB65/T3997-2017）及《石油天然气开采业固体废物污染控制技术规范（试行）》（HJ1461-2026）标准后，用于井场平整；</w:t>
            </w:r>
            <w:r>
              <w:rPr>
                <w:rFonts w:hint="eastAsia" w:ascii="Times New Roman" w:cs="Times New Roman"/>
                <w:color w:val="auto"/>
                <w:spacing w:val="0"/>
                <w:sz w:val="24"/>
                <w:szCs w:val="24"/>
                <w:highlight w:val="none"/>
                <w:lang w:val="en-US" w:eastAsia="zh-CN"/>
              </w:rPr>
              <w:t>聚磺体系废弃钻井岩屑收集后拉运至塔中油田钻试修废弃物环保处理站处理</w:t>
            </w:r>
            <w:r>
              <w:rPr>
                <w:rFonts w:hint="default" w:ascii="Times New Roman" w:hAnsi="Times New Roman" w:eastAsia="宋体" w:cs="Times New Roman"/>
                <w:color w:val="auto"/>
                <w:spacing w:val="0"/>
                <w:sz w:val="24"/>
                <w:szCs w:val="24"/>
                <w:highlight w:val="none"/>
                <w:lang w:val="en-US" w:eastAsia="zh-CN"/>
              </w:rPr>
              <w:t>，处理达标后还原土用于铺垫油区内的井场、道路。</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至设计井深中段开始进行录井（主要工作是记录钻井过程中的所有地质参数），主要包括钻时录井、气测录井、钻井液录井、岩屑录井、岩心录井和压力录井，其中岩屑录井是获取井下地层岩石样品的重要手段。录井时，要随钻井进尺每隔1米左右从返出的钻井液中捞一包砂样，洗净晒干，进行岩性观察描述，并挑选出相对应地层的岩样。由于砂样中混有上部地层的岩屑，工作人员通常会根据砂样中不同岩样的百分含量和最新出现的岩屑成分来确定岩性，并用钻时快慢区分砂岩、泥岩等。若是发现钻时快，砂岩岩屑多而且呈棕褐色，有油味，可能显示钻遇油气层，而钻遇非含油气砂岩层时则多是白色、灰白色砂岩岩屑。</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测井是利用专用仪器设备测量岩层的电化学特性、导电特性、声学特性、放射性等地球物理特性，以获取岩层的孔隙度、渗透率以及含油气情况等地层信息。根据地质需要，选用适合的测井项目对钻开地层进行电测，最终根据电测曲线了解地层的特征及地层含气情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本项目如若使用放射源测井，提供服务的主要为塔里木油田服务的乙方单位，均已编制了测井用密封型放射源项目环境影响报告表，取得环评批复及新疆维吾尔自治区生态环境厅《辐射安全许可证》的单位。</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0000FF"/>
                <w:spacing w:val="0"/>
                <w:kern w:val="2"/>
                <w:sz w:val="24"/>
                <w:szCs w:val="24"/>
              </w:rPr>
            </w:pPr>
            <w:bookmarkStart w:id="25" w:name="_Toc197413057"/>
            <w:bookmarkStart w:id="26" w:name="_Toc197412923"/>
            <w:r>
              <w:rPr>
                <w:rFonts w:hint="default" w:ascii="Times New Roman" w:hAnsi="Times New Roman" w:eastAsia="宋体" w:cs="Times New Roman"/>
                <w:color w:val="auto"/>
                <w:spacing w:val="0"/>
                <w:kern w:val="2"/>
                <w:sz w:val="24"/>
                <w:szCs w:val="24"/>
                <w:lang w:val="en-US" w:eastAsia="zh-CN" w:bidi="ar"/>
              </w:rPr>
              <w:t>固井是在已钻成的井筒内下入套管，然后在套管与井壁之间</w:t>
            </w:r>
            <w:r>
              <w:rPr>
                <w:rFonts w:hint="eastAsia" w:ascii="Times New Roman" w:cs="Times New Roman"/>
                <w:color w:val="auto"/>
                <w:spacing w:val="0"/>
                <w:kern w:val="2"/>
                <w:sz w:val="24"/>
                <w:szCs w:val="24"/>
                <w:lang w:val="en-US" w:eastAsia="zh-CN" w:bidi="ar"/>
              </w:rPr>
              <w:t>环孔</w:t>
            </w:r>
            <w:r>
              <w:rPr>
                <w:rFonts w:hint="default" w:ascii="Times New Roman" w:hAnsi="Times New Roman" w:eastAsia="宋体" w:cs="Times New Roman"/>
                <w:color w:val="auto"/>
                <w:spacing w:val="0"/>
                <w:kern w:val="2"/>
                <w:sz w:val="24"/>
                <w:szCs w:val="24"/>
                <w:lang w:val="en-US" w:eastAsia="zh-CN" w:bidi="ar"/>
              </w:rPr>
              <w:t>内注入</w:t>
            </w:r>
            <w:r>
              <w:rPr>
                <w:rFonts w:hint="eastAsia" w:ascii="Times New Roman" w:cs="Times New Roman"/>
                <w:color w:val="auto"/>
                <w:spacing w:val="0"/>
                <w:kern w:val="2"/>
                <w:sz w:val="24"/>
                <w:szCs w:val="24"/>
                <w:lang w:val="en-US" w:eastAsia="zh-CN" w:bidi="ar"/>
              </w:rPr>
              <w:t>水</w:t>
            </w:r>
            <w:r>
              <w:rPr>
                <w:rFonts w:hint="default" w:ascii="Times New Roman" w:hAnsi="Times New Roman" w:eastAsia="宋体" w:cs="Times New Roman"/>
                <w:color w:val="auto"/>
                <w:spacing w:val="0"/>
                <w:kern w:val="2"/>
                <w:sz w:val="24"/>
                <w:szCs w:val="24"/>
                <w:lang w:val="en-US" w:eastAsia="zh-CN" w:bidi="ar"/>
              </w:rPr>
              <w:t>泥浆，将套管和地层固结在一起的工艺过程，以保证安全继续钻进下一段井筒或保证顺利开采生产层中的油气资源。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pacing w:val="0"/>
                <w:kern w:val="2"/>
                <w:sz w:val="24"/>
                <w:szCs w:val="24"/>
                <w:lang w:val="en-US" w:eastAsia="zh-CN" w:bidi="ar"/>
              </w:rPr>
              <w:t>（2）</w:t>
            </w:r>
            <w:r>
              <w:rPr>
                <w:rFonts w:hint="default" w:ascii="Times New Roman" w:hAnsi="Times New Roman" w:eastAsia="宋体" w:cs="Times New Roman"/>
                <w:b/>
                <w:bCs/>
                <w:color w:val="auto"/>
                <w:sz w:val="24"/>
                <w:lang w:val="en-US" w:eastAsia="zh-CN"/>
              </w:rPr>
              <w:t>储层改造</w:t>
            </w:r>
          </w:p>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b w:val="0"/>
                <w:bCs w:val="0"/>
                <w:color w:val="auto"/>
                <w:sz w:val="24"/>
                <w:lang w:val="en-US" w:eastAsia="zh-CN"/>
              </w:rPr>
              <w:t>当钻至目的层后，对油气进行测试，需进行射孔，用射孔枪打开产层，用酸化压裂液清洗裂隙，改善地层近井地带渗透率，使含油层的油气资源通过裂隙采出</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bookmarkStart w:id="27" w:name="_Toc197413056"/>
            <w:bookmarkStart w:id="28" w:name="_Toc197412922"/>
            <w:r>
              <w:rPr>
                <w:rFonts w:hint="default" w:ascii="Times New Roman" w:hAnsi="Times New Roman" w:eastAsia="宋体" w:cs="Times New Roman"/>
                <w:b/>
                <w:bCs/>
                <w:color w:val="auto"/>
                <w:sz w:val="24"/>
                <w:lang w:val="en-US" w:eastAsia="zh-CN"/>
              </w:rPr>
              <w:t>（</w:t>
            </w:r>
            <w:r>
              <w:rPr>
                <w:rFonts w:hint="eastAsia" w:ascii="Times New Roman" w:cs="Times New Roman"/>
                <w:b/>
                <w:bCs/>
                <w:color w:val="auto"/>
                <w:sz w:val="24"/>
                <w:lang w:val="en-US" w:eastAsia="zh-CN"/>
              </w:rPr>
              <w:t>3</w:t>
            </w:r>
            <w:r>
              <w:rPr>
                <w:rFonts w:hint="default" w:ascii="Times New Roman" w:hAnsi="Times New Roman" w:eastAsia="宋体" w:cs="Times New Roman"/>
                <w:b/>
                <w:bCs/>
                <w:color w:val="auto"/>
                <w:sz w:val="24"/>
                <w:lang w:val="en-US" w:eastAsia="zh-CN"/>
              </w:rPr>
              <w:t>）</w:t>
            </w:r>
            <w:bookmarkEnd w:id="27"/>
            <w:bookmarkEnd w:id="28"/>
            <w:r>
              <w:rPr>
                <w:rFonts w:hint="default" w:ascii="Times New Roman" w:hAnsi="Times New Roman" w:eastAsia="宋体" w:cs="Times New Roman"/>
                <w:b/>
                <w:color w:val="auto"/>
                <w:sz w:val="24"/>
                <w:szCs w:val="20"/>
                <w:highlight w:val="none"/>
                <w:lang w:val="en-US" w:eastAsia="zh-CN"/>
              </w:rPr>
              <w:t>测试放喷</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测试放喷前安装井口放喷专用管线、各种计量设备、油气两相分离设备</w:t>
            </w:r>
            <w:r>
              <w:rPr>
                <w:rFonts w:hint="eastAsia" w:asci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凝析油罐等。如有油气资源，则采出液经油气分离器分离后，原油进入</w:t>
            </w:r>
            <w:r>
              <w:rPr>
                <w:rFonts w:hint="eastAsia" w:ascii="Times New Roman" w:cs="Times New Roman"/>
                <w:color w:val="auto"/>
                <w:sz w:val="24"/>
                <w:szCs w:val="24"/>
                <w:highlight w:val="none"/>
                <w:lang w:val="en-US" w:eastAsia="zh-CN"/>
              </w:rPr>
              <w:t>凝析油罐</w:t>
            </w:r>
            <w:r>
              <w:rPr>
                <w:rFonts w:hint="default" w:ascii="Times New Roman" w:hAnsi="Times New Roman" w:eastAsia="宋体" w:cs="Times New Roman"/>
                <w:color w:val="auto"/>
                <w:sz w:val="24"/>
                <w:szCs w:val="24"/>
                <w:highlight w:val="none"/>
                <w:lang w:val="en-US" w:eastAsia="zh-CN"/>
              </w:rPr>
              <w:t>，天然气经管线引至放喷池点燃，依据具体情况设定放喷时间，一般为1</w:t>
            </w:r>
            <w:r>
              <w:rPr>
                <w:rFonts w:hint="eastAsia" w:asci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w:t>
            </w:r>
            <w:r>
              <w:rPr>
                <w:rFonts w:hint="eastAsia" w:ascii="Times New Roman" w:cs="Times New Roman"/>
                <w:color w:val="auto"/>
                <w:sz w:val="24"/>
                <w:szCs w:val="24"/>
                <w:highlight w:val="none"/>
                <w:lang w:val="en-US" w:eastAsia="zh-CN"/>
              </w:rPr>
              <w:t>20</w:t>
            </w:r>
            <w:r>
              <w:rPr>
                <w:rFonts w:hint="default" w:ascii="Times New Roman" w:hAnsi="Times New Roman" w:eastAsia="宋体" w:cs="Times New Roman"/>
                <w:color w:val="auto"/>
                <w:sz w:val="24"/>
                <w:szCs w:val="24"/>
                <w:highlight w:val="none"/>
                <w:lang w:val="en-US" w:eastAsia="zh-CN"/>
              </w:rPr>
              <w:t>天时间。油气经井口装置节流、降压，进入油气计量分离器，分离后的液相（包括油和水）通过管线输送至</w:t>
            </w:r>
            <w:r>
              <w:rPr>
                <w:rFonts w:hint="eastAsia" w:ascii="Times New Roman" w:cs="Times New Roman"/>
                <w:color w:val="auto"/>
                <w:sz w:val="24"/>
                <w:szCs w:val="24"/>
                <w:highlight w:val="none"/>
                <w:lang w:val="en-US" w:eastAsia="zh-CN"/>
              </w:rPr>
              <w:t>凝析油罐</w:t>
            </w:r>
            <w:r>
              <w:rPr>
                <w:rFonts w:hint="default" w:ascii="Times New Roman" w:hAnsi="Times New Roman" w:eastAsia="宋体" w:cs="Times New Roman"/>
                <w:color w:val="auto"/>
                <w:sz w:val="24"/>
                <w:szCs w:val="24"/>
                <w:highlight w:val="none"/>
                <w:lang w:val="en-US" w:eastAsia="zh-CN"/>
              </w:rPr>
              <w:t>，再由油罐车拉走，天然气通过管线输送至放空管。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测试放喷期间若油气产量较大且产量稳定，则测试放喷结束后立即关井，按照环保法律法规等相关要求再对区块开发、地面工程建设开展相应环境影响评价工作后，结合区块开发规划，再适时进行滚动开发；若测试放喷期间油气产量较小或产量衰减较快，则由勘察单位分析相关数据，判断是否需侧钻或对其进行关井。</w:t>
            </w:r>
          </w:p>
          <w:bookmarkEnd w:id="25"/>
          <w:bookmarkEnd w:id="26"/>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钻井工程施工过程中①废气污染源主要为柴油发电机废气、测试放喷废气、井场储罐产生的无组织废气、施工扬尘、生物质锅炉烟气、机械设备和车辆尾气；钻井作业时科学设置钻井流程；有效使用柴油发电机；测试放喷科学测算放喷时间；井场储罐均密闭；生物质蒸汽锅炉采用生物质成型燃料，废气经低氮燃烧技术+布袋除尘器处理后经</w:t>
            </w:r>
            <w:r>
              <w:rPr>
                <w:rFonts w:hint="eastAsia" w:ascii="Times New Roman" w:cs="Times New Roman"/>
                <w:b/>
                <w:bCs/>
                <w:color w:val="auto"/>
                <w:sz w:val="24"/>
                <w:szCs w:val="24"/>
                <w:highlight w:val="none"/>
                <w:lang w:val="en-US" w:eastAsia="zh-CN"/>
              </w:rPr>
              <w:t>30</w:t>
            </w:r>
            <w:r>
              <w:rPr>
                <w:rFonts w:hint="default" w:ascii="Times New Roman" w:hAnsi="Times New Roman" w:eastAsia="宋体" w:cs="Times New Roman"/>
                <w:b/>
                <w:bCs/>
                <w:color w:val="auto"/>
                <w:sz w:val="24"/>
                <w:szCs w:val="24"/>
                <w:highlight w:val="none"/>
                <w:lang w:val="en-US" w:eastAsia="zh-CN"/>
              </w:rPr>
              <w:t>m排气筒（可拆卸）排放；设备和车辆燃用合格的燃料，设备和车辆不超负荷运行；②废水污染源主要为钻井废水、酸化压裂返排液、锅炉排污水和生活污水；钻井废水与钻井泥浆、岩屑一同进入不落地系统处理，处理后的液相全部回用于钻井液配制，不外排；酸化压裂返排液在井场加碱中和后，暂存于废液收集罐，运至富源7环保处理站处置；锅炉排污水用作周边洒水抑尘；生活污水经井场撬装式污水处理装置处理后，水质达到《农村生活污水处理排放标准》（DB65 4275-2019）表2的B级标准，用于荒漠生态恢复；③噪声污染源主要为柴油发电机、泥浆泵、钻机、压裂车、锅炉风机等噪声，采取为柴油发电机、泥浆泵、钻机、压裂车、锅炉安装减振基础；④固体废物主要为泥浆、岩屑、</w:t>
            </w:r>
            <w:bookmarkStart w:id="29" w:name="_Toc18363"/>
            <w:bookmarkStart w:id="30" w:name="_Toc10701"/>
            <w:bookmarkStart w:id="31" w:name="_Toc10250"/>
            <w:r>
              <w:rPr>
                <w:rFonts w:hint="default" w:ascii="Times New Roman" w:hAnsi="Times New Roman" w:eastAsia="宋体" w:cs="Times New Roman"/>
                <w:b/>
                <w:bCs/>
                <w:color w:val="auto"/>
                <w:sz w:val="24"/>
                <w:szCs w:val="24"/>
                <w:highlight w:val="none"/>
                <w:lang w:val="en-US" w:eastAsia="zh-CN"/>
              </w:rPr>
              <w:t>沾油废物（危险废物，HW08 900-249-08）、废烧碱包装袋（危险废物，HW49 900-041-49）、废矿物油及其包装物（危险废物，HW08 900-249-08）、锅炉灰渣、除尘灰、废布袋、撬装化污水处理装置污泥及生活垃圾；钻井泥浆排入泥浆罐循环使用，完井后拉运至下一口井再利用；膨润土体系废弃钻井岩屑排入防渗岩屑池干化干化达到《油气田钻井固体废物综合利用污染控制要求》（DB65/T 3997-2017）及《石油天然气开采业固体废物污染控制技术规范（试行）》（HJ1461-2026）标准</w:t>
            </w:r>
            <w:r>
              <w:rPr>
                <w:rFonts w:hint="eastAsia" w:ascii="Times New Roman" w:cs="Times New Roman"/>
                <w:b/>
                <w:bCs/>
                <w:color w:val="auto"/>
                <w:sz w:val="24"/>
                <w:szCs w:val="24"/>
                <w:highlight w:val="none"/>
                <w:lang w:val="en-US" w:eastAsia="zh-CN"/>
              </w:rPr>
              <w:t>后</w:t>
            </w:r>
            <w:r>
              <w:rPr>
                <w:rFonts w:hint="default" w:ascii="Times New Roman" w:hAnsi="Times New Roman" w:eastAsia="宋体" w:cs="Times New Roman"/>
                <w:b/>
                <w:bCs/>
                <w:color w:val="auto"/>
                <w:sz w:val="24"/>
                <w:szCs w:val="24"/>
                <w:highlight w:val="none"/>
                <w:lang w:val="en-US" w:eastAsia="zh-CN"/>
              </w:rPr>
              <w:t>，用于井场平整；</w:t>
            </w:r>
            <w:r>
              <w:rPr>
                <w:rFonts w:hint="eastAsia" w:ascii="Times New Roman" w:cs="Times New Roman"/>
                <w:b/>
                <w:bCs/>
                <w:color w:val="auto"/>
                <w:sz w:val="24"/>
                <w:szCs w:val="24"/>
                <w:highlight w:val="none"/>
                <w:lang w:val="en-US" w:eastAsia="zh-CN"/>
              </w:rPr>
              <w:t>聚磺体系废弃钻井岩屑收集后拉运至塔中油田钻试修废弃物环保处理站处理</w:t>
            </w:r>
            <w:r>
              <w:rPr>
                <w:rFonts w:hint="default" w:ascii="Times New Roman" w:hAnsi="Times New Roman" w:eastAsia="宋体" w:cs="Times New Roman"/>
                <w:b/>
                <w:bCs/>
                <w:color w:val="auto"/>
                <w:sz w:val="24"/>
                <w:szCs w:val="24"/>
                <w:highlight w:val="none"/>
                <w:lang w:val="en-US" w:eastAsia="zh-CN"/>
              </w:rPr>
              <w:t>，处理达标后还原土用于铺垫油区内的井场、道路；沾油废物（危险废物，HW08 900-249-08）、废烧碱包装袋（危险废物，HW49 900-041-49）、废矿物油及其包装物（危险废物，HW08 900-249-08）在危废贮存点（8m</w:t>
            </w:r>
            <w:r>
              <w:rPr>
                <w:rFonts w:hint="default" w:ascii="Times New Roman" w:hAnsi="Times New Roman" w:eastAsia="宋体" w:cs="Times New Roman"/>
                <w:b/>
                <w:bCs/>
                <w:color w:val="auto"/>
                <w:sz w:val="24"/>
                <w:szCs w:val="24"/>
                <w:highlight w:val="none"/>
                <w:vertAlign w:val="superscript"/>
                <w:lang w:val="en-US" w:eastAsia="zh-CN"/>
              </w:rPr>
              <w:t>2</w:t>
            </w:r>
            <w:r>
              <w:rPr>
                <w:rFonts w:hint="default" w:ascii="Times New Roman" w:hAnsi="Times New Roman" w:eastAsia="宋体" w:cs="Times New Roman"/>
                <w:b/>
                <w:bCs/>
                <w:color w:val="auto"/>
                <w:sz w:val="24"/>
                <w:szCs w:val="24"/>
                <w:highlight w:val="none"/>
                <w:lang w:val="en-US" w:eastAsia="zh-CN"/>
              </w:rPr>
              <w:t>）暂存，定期由有处理资质的单位接收妥善处置；锅炉灰渣、除尘灰送至周边固废填埋场填埋；废布袋由厂家回收处理；生活垃圾及污水处理站污泥规范收集后统一清运至</w:t>
            </w:r>
            <w:r>
              <w:rPr>
                <w:rFonts w:hint="eastAsia" w:ascii="Times New Roman" w:cs="Times New Roman"/>
                <w:b/>
                <w:bCs/>
                <w:color w:val="auto"/>
                <w:sz w:val="24"/>
                <w:szCs w:val="24"/>
                <w:highlight w:val="none"/>
                <w:lang w:val="en-US" w:eastAsia="zh-CN"/>
              </w:rPr>
              <w:t>塔中镇生活垃圾填埋场处理</w:t>
            </w:r>
            <w:r>
              <w:rPr>
                <w:rFonts w:hint="default" w:ascii="Times New Roman" w:hAnsi="Times New Roman" w:eastAsia="宋体" w:cs="Times New Roman"/>
                <w:b/>
                <w:bCs/>
                <w:color w:val="auto"/>
                <w:sz w:val="24"/>
                <w:szCs w:val="24"/>
                <w:highlight w:val="none"/>
                <w:lang w:val="en-US"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3、钻后工程施工工艺简述</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0000FF"/>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（1）完井后换装井口装置及设备搬迁</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测试完井后，当有油气开采价值时，需要换装井口装置，井口换装采油树生产井另行履行环评手续，不在评价范围内。没有开采价值时，用水泥固封，同时用铁质保护罩保护井口装置，其余设施将拆除、搬迁。钻井液材料将全部进行回收，不得遗弃在井场；钻井过程中产生的废弃物进行清理。施工单位负责做到工完、料净、场地清，</w:t>
            </w:r>
            <w:bookmarkEnd w:id="29"/>
            <w:bookmarkEnd w:id="30"/>
            <w:r>
              <w:rPr>
                <w:rFonts w:hint="default" w:ascii="Times New Roman" w:hAnsi="Times New Roman" w:eastAsia="宋体" w:cs="Times New Roman"/>
                <w:color w:val="auto"/>
                <w:sz w:val="24"/>
                <w:szCs w:val="24"/>
                <w:highlight w:val="none"/>
                <w:lang w:val="en-US" w:eastAsia="zh-CN"/>
              </w:rPr>
              <w:t>施工结束后及时恢复原状，不降低土壤环境质量。</w:t>
            </w:r>
            <w:bookmarkEnd w:id="31"/>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bookmarkStart w:id="32" w:name="_Toc31382"/>
            <w:bookmarkStart w:id="33" w:name="_Toc5012"/>
            <w:bookmarkStart w:id="34" w:name="_Toc31452"/>
            <w:bookmarkStart w:id="35" w:name="_Toc20699"/>
            <w:r>
              <w:rPr>
                <w:rFonts w:hint="default" w:ascii="Times New Roman" w:hAnsi="Times New Roman" w:eastAsia="宋体" w:cs="Times New Roman"/>
                <w:b/>
                <w:color w:val="auto"/>
                <w:sz w:val="24"/>
                <w:szCs w:val="20"/>
                <w:highlight w:val="none"/>
                <w:lang w:val="en-US" w:eastAsia="zh-CN"/>
              </w:rPr>
              <w:t>（2）完井后钻井废物处理</w:t>
            </w:r>
            <w:bookmarkEnd w:id="32"/>
            <w:bookmarkEnd w:id="33"/>
            <w:bookmarkEnd w:id="34"/>
            <w:bookmarkEnd w:id="35"/>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严格执行《油气田钻井固体废物综合利用污染控制要求》（DB65/T3997-2017）规定并结合工程特点，本项目完井后污染物无害化处理方式：</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①酸化压裂返排液</w:t>
            </w:r>
            <w:r>
              <w:rPr>
                <w:rFonts w:hint="eastAsia" w:ascii="Times New Roman" w:cs="Times New Roman"/>
                <w:color w:val="auto"/>
                <w:sz w:val="24"/>
                <w:szCs w:val="24"/>
                <w:highlight w:val="none"/>
                <w:lang w:val="en-US" w:eastAsia="zh-CN"/>
              </w:rPr>
              <w:t>在井场加碱中和后，</w:t>
            </w:r>
            <w:r>
              <w:rPr>
                <w:rFonts w:hint="default" w:ascii="Times New Roman" w:hAnsi="Times New Roman" w:eastAsia="宋体" w:cs="Times New Roman"/>
                <w:color w:val="auto"/>
                <w:sz w:val="24"/>
                <w:szCs w:val="24"/>
                <w:highlight w:val="none"/>
                <w:lang w:val="en-US" w:eastAsia="zh-CN"/>
              </w:rPr>
              <w:t>采用专用废液收集罐，运至塔里木油田富源7环保处理站处理；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②钻井岩屑随钻井泥浆带出，泥浆排入泥浆罐循环使用，完井后拉运至下一口井再利用；</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bookmarkStart w:id="36" w:name="_Toc20614"/>
            <w:bookmarkStart w:id="37" w:name="_Toc10281"/>
            <w:bookmarkStart w:id="38" w:name="_Toc24690"/>
            <w:bookmarkStart w:id="39" w:name="_Toc15394"/>
            <w:r>
              <w:rPr>
                <w:rFonts w:hint="default" w:ascii="Times New Roman" w:hAnsi="Times New Roman" w:eastAsia="宋体" w:cs="Times New Roman"/>
                <w:color w:val="auto"/>
                <w:sz w:val="24"/>
                <w:szCs w:val="24"/>
                <w:highlight w:val="none"/>
                <w:lang w:val="en-US" w:eastAsia="zh-CN"/>
              </w:rPr>
              <w:t>③膨润土体系废弃钻井岩屑排入防渗岩屑池干化，经检测干化达到《油气田钻井固体废物综合利用污染控制要求》（DB65/T 3997-2017）及《石油天然气开采业固体废物污染控制技术规范（试行）》（HJ1461-2026）标准后，用于铺垫井场和道路；</w:t>
            </w:r>
            <w:bookmarkEnd w:id="36"/>
            <w:bookmarkEnd w:id="37"/>
            <w:bookmarkEnd w:id="38"/>
            <w:bookmarkEnd w:id="39"/>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w:t>
            </w:r>
            <w:r>
              <w:rPr>
                <w:rFonts w:hint="eastAsia" w:ascii="Times New Roman" w:cs="Times New Roman"/>
                <w:color w:val="auto"/>
                <w:sz w:val="24"/>
                <w:szCs w:val="24"/>
                <w:highlight w:val="none"/>
                <w:lang w:val="en-US" w:eastAsia="zh-CN"/>
              </w:rPr>
              <w:t>聚磺体系废弃钻井岩屑收集后拉运至塔中油田钻试修废弃物环保处理站处理</w:t>
            </w:r>
            <w:r>
              <w:rPr>
                <w:rFonts w:hint="default" w:ascii="Times New Roman" w:hAnsi="Times New Roman" w:eastAsia="宋体" w:cs="Times New Roman"/>
                <w:color w:val="auto"/>
                <w:sz w:val="24"/>
                <w:szCs w:val="24"/>
                <w:highlight w:val="none"/>
                <w:lang w:val="en-US" w:eastAsia="zh-CN"/>
              </w:rPr>
              <w:t>，处理达标后还原土用于铺垫油区内的井场、道路；</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⑤生活污水经井场撬装式污水处理装置处理后，水质达到《农村生活污水处理排放标准》（DB654275-2019）表2的B级标准，用于荒漠生态恢复；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⑥废布袋厂家回收处理；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⑦锅炉灰渣与除尘灰集中收集后送至周边固废填埋场填埋。</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⑧生活垃圾及污水处理站污泥规范收集后统一清运至</w:t>
            </w:r>
            <w:r>
              <w:rPr>
                <w:rFonts w:hint="eastAsia" w:ascii="Times New Roman" w:cs="Times New Roman"/>
                <w:color w:val="auto"/>
                <w:sz w:val="24"/>
                <w:szCs w:val="24"/>
                <w:highlight w:val="none"/>
                <w:lang w:val="en-US" w:eastAsia="zh-CN"/>
              </w:rPr>
              <w:t>塔中镇生活垃圾填埋场处理</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上述废物清理完毕后，对池体等临时占地设施进行清理，并覆土恢复。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0000FF"/>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4、污染物产生情况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工程主要产污节点见图2-9，主要污染物种类见表2-15。</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表2-15    工程污染物产生位置及种类汇总一览表</w:t>
            </w:r>
          </w:p>
          <w:tbl>
            <w:tblPr>
              <w:tblStyle w:val="32"/>
              <w:tblW w:w="4995"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79"/>
              <w:gridCol w:w="1247"/>
              <w:gridCol w:w="650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4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项目组成</w:t>
                  </w:r>
                </w:p>
              </w:tc>
              <w:tc>
                <w:tcPr>
                  <w:tcW w:w="748"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产污位置</w:t>
                  </w:r>
                </w:p>
              </w:tc>
              <w:tc>
                <w:tcPr>
                  <w:tcW w:w="3904"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污染物种类及对生态环境影响因素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4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钻前工程</w:t>
                  </w:r>
                </w:p>
              </w:tc>
              <w:tc>
                <w:tcPr>
                  <w:tcW w:w="748"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修整进场道路井场建设</w:t>
                  </w:r>
                </w:p>
              </w:tc>
              <w:tc>
                <w:tcPr>
                  <w:tcW w:w="3904"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施工及运输机械噪声、施工及运输机械废气、扬尘、生活污水、土地性质改变等</w:t>
                  </w:r>
                  <w:r>
                    <w:rPr>
                      <w:rFonts w:hint="default" w:ascii="Times New Roman" w:hAnsi="Times New Roman" w:eastAsia="宋体"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47"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钻井工程</w:t>
                  </w:r>
                </w:p>
              </w:tc>
              <w:tc>
                <w:tcPr>
                  <w:tcW w:w="748"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钻井过程</w:t>
                  </w:r>
                </w:p>
              </w:tc>
              <w:tc>
                <w:tcPr>
                  <w:tcW w:w="3904"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废气（</w:t>
                  </w:r>
                  <w:r>
                    <w:rPr>
                      <w:rFonts w:hint="default" w:ascii="Times New Roman" w:hAnsi="Times New Roman" w:eastAsia="宋体" w:cs="Times New Roman"/>
                      <w:color w:val="auto"/>
                      <w:spacing w:val="-10"/>
                      <w:szCs w:val="21"/>
                    </w:rPr>
                    <w:t>废气污染源主要为柴油发电机废气、测试放喷废气、井场储罐产生的无组织废气、施工扬尘、机械设备和车辆尾气、锅炉烟气</w:t>
                  </w:r>
                  <w:r>
                    <w:rPr>
                      <w:rFonts w:hint="default" w:ascii="Times New Roman" w:hAnsi="Times New Roman" w:eastAsia="宋体" w:cs="Times New Roman"/>
                      <w:color w:val="auto"/>
                      <w:spacing w:val="-10"/>
                      <w:sz w:val="21"/>
                      <w:szCs w:val="21"/>
                      <w:highlight w:val="none"/>
                    </w:rPr>
                    <w:t>）、废水（钻井废水、压裂酸化返排液</w:t>
                  </w:r>
                  <w:r>
                    <w:rPr>
                      <w:rFonts w:hint="default" w:ascii="Times New Roman" w:hAnsi="Times New Roman" w:eastAsia="宋体" w:cs="Times New Roman"/>
                      <w:color w:val="auto"/>
                      <w:spacing w:val="-10"/>
                      <w:sz w:val="21"/>
                      <w:szCs w:val="21"/>
                      <w:highlight w:val="none"/>
                      <w:lang w:val="en-US" w:eastAsia="zh-CN"/>
                    </w:rPr>
                    <w:t>、锅炉排污水</w:t>
                  </w:r>
                  <w:r>
                    <w:rPr>
                      <w:rFonts w:hint="default" w:ascii="Times New Roman" w:hAnsi="Times New Roman" w:eastAsia="宋体" w:cs="Times New Roman"/>
                      <w:color w:val="auto"/>
                      <w:spacing w:val="-10"/>
                      <w:sz w:val="21"/>
                      <w:szCs w:val="21"/>
                      <w:highlight w:val="none"/>
                    </w:rPr>
                    <w:t>和施工人员生活污水）、设备噪声（柴油发电机噪声、钻机噪声、泥浆泵噪声、压裂车噪声</w:t>
                  </w:r>
                  <w:r>
                    <w:rPr>
                      <w:rFonts w:hint="default" w:ascii="Times New Roman" w:hAnsi="Times New Roman" w:eastAsia="宋体" w:cs="Times New Roman"/>
                      <w:color w:val="auto"/>
                      <w:spacing w:val="-10"/>
                      <w:sz w:val="21"/>
                      <w:szCs w:val="21"/>
                      <w:highlight w:val="none"/>
                      <w:lang w:val="en-US" w:eastAsia="zh-CN"/>
                    </w:rPr>
                    <w:t>、锅炉风机</w:t>
                  </w:r>
                  <w:r>
                    <w:rPr>
                      <w:rFonts w:hint="default" w:ascii="Times New Roman" w:hAnsi="Times New Roman" w:eastAsia="宋体" w:cs="Times New Roman"/>
                      <w:color w:val="auto"/>
                      <w:spacing w:val="-10"/>
                      <w:sz w:val="21"/>
                      <w:szCs w:val="21"/>
                      <w:highlight w:val="none"/>
                    </w:rPr>
                    <w:t>等）、固体废物（岩屑、废泥浆</w:t>
                  </w:r>
                  <w:r>
                    <w:rPr>
                      <w:rFonts w:hint="default" w:ascii="Times New Roman" w:hAnsi="Times New Roman" w:eastAsia="宋体" w:cs="Times New Roman"/>
                      <w:color w:val="auto"/>
                      <w:spacing w:val="-10"/>
                      <w:szCs w:val="21"/>
                    </w:rPr>
                    <w:t>、锅炉灰渣、除尘灰、废布袋</w:t>
                  </w:r>
                  <w:r>
                    <w:rPr>
                      <w:rFonts w:hint="default" w:ascii="Times New Roman" w:hAnsi="Times New Roman" w:eastAsia="宋体" w:cs="Times New Roman"/>
                      <w:color w:val="auto"/>
                      <w:spacing w:val="-10"/>
                      <w:sz w:val="21"/>
                      <w:szCs w:val="21"/>
                      <w:highlight w:val="none"/>
                    </w:rPr>
                    <w:t>、施工人员生活垃圾</w:t>
                  </w:r>
                  <w:r>
                    <w:rPr>
                      <w:rFonts w:hint="default" w:ascii="Times New Roman" w:hAnsi="Times New Roman" w:eastAsia="宋体" w:cs="Times New Roman"/>
                      <w:color w:val="auto"/>
                      <w:spacing w:val="-10"/>
                      <w:sz w:val="21"/>
                      <w:szCs w:val="21"/>
                      <w:highlight w:val="none"/>
                      <w:lang w:val="en-US" w:eastAsia="zh-CN"/>
                    </w:rPr>
                    <w:t>及污水处理站污泥</w:t>
                  </w: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eastAsia="zh-CN"/>
                    </w:rPr>
                    <w:t>沾油废物</w:t>
                  </w:r>
                  <w:r>
                    <w:rPr>
                      <w:rFonts w:hint="default" w:ascii="Times New Roman" w:hAnsi="Times New Roman" w:eastAsia="宋体" w:cs="Times New Roman"/>
                      <w:color w:val="auto"/>
                      <w:spacing w:val="-10"/>
                      <w:sz w:val="21"/>
                      <w:szCs w:val="21"/>
                      <w:highlight w:val="none"/>
                    </w:rPr>
                    <w:t>（危险废物，HW08 900-249-08）、废烧碱包装袋（危险废物，HW49 900-</w:t>
                  </w:r>
                  <w:r>
                    <w:rPr>
                      <w:rFonts w:hint="default" w:ascii="Times New Roman" w:hAnsi="Times New Roman" w:eastAsia="宋体" w:cs="Times New Roman"/>
                      <w:color w:val="auto"/>
                      <w:spacing w:val="-10"/>
                      <w:sz w:val="21"/>
                      <w:szCs w:val="21"/>
                      <w:highlight w:val="none"/>
                      <w:lang w:val="en-US" w:eastAsia="zh-CN"/>
                    </w:rPr>
                    <w:t>041-49</w:t>
                  </w: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eastAsia="zh-CN"/>
                    </w:rPr>
                    <w:t>废矿物油及其包装物</w:t>
                  </w:r>
                  <w:r>
                    <w:rPr>
                      <w:rFonts w:hint="default" w:ascii="Times New Roman" w:hAnsi="Times New Roman" w:eastAsia="宋体" w:cs="Times New Roman"/>
                      <w:color w:val="auto"/>
                      <w:spacing w:val="-10"/>
                      <w:sz w:val="21"/>
                      <w:szCs w:val="21"/>
                      <w:highlight w:val="none"/>
                    </w:rPr>
                    <w:t>（危险废物，HW08 900-249-08）</w:t>
                  </w:r>
                  <w:r>
                    <w:rPr>
                      <w:rFonts w:hint="default" w:ascii="Times New Roman" w:hAnsi="Times New Roman" w:eastAsia="宋体"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47"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748" w:type="pct"/>
                  <w:noWrap w:val="0"/>
                  <w:tcMar>
                    <w:left w:w="28" w:type="dxa"/>
                    <w:right w:w="28" w:type="dxa"/>
                  </w:tcMar>
                  <w:vAlign w:val="center"/>
                </w:tcPr>
                <w:p>
                  <w:pPr>
                    <w:pStyle w:val="68"/>
                    <w:keepNext w:val="0"/>
                    <w:keepLines w:val="0"/>
                    <w:pageBreakBefore w:val="0"/>
                    <w:suppressLineNumbers w:val="0"/>
                    <w:kinsoku/>
                    <w:wordWrap/>
                    <w:overflowPunct/>
                    <w:topLinePunct w:val="0"/>
                    <w:autoSpaceDE/>
                    <w:autoSpaceDN/>
                    <w:bidi w:val="0"/>
                    <w:adjustRightInd w:val="0"/>
                    <w:snapToGrid/>
                    <w:spacing w:before="0" w:beforeLines="0" w:beforeAutospacing="0" w:after="0" w:afterAutospacing="0" w:line="360" w:lineRule="exact"/>
                    <w:ind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测试放喷</w:t>
                  </w:r>
                </w:p>
              </w:tc>
              <w:tc>
                <w:tcPr>
                  <w:tcW w:w="3904"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测试放喷废气、放喷气流噪声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4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钻后工程</w:t>
                  </w:r>
                </w:p>
              </w:tc>
              <w:tc>
                <w:tcPr>
                  <w:tcW w:w="748"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设备搬运及临时占地恢复</w:t>
                  </w:r>
                </w:p>
              </w:tc>
              <w:tc>
                <w:tcPr>
                  <w:tcW w:w="3904"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油罐车运输噪声、扬尘</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固体废物（岩屑）、机械设备噪声，生活污水、生活垃圾</w:t>
                  </w:r>
                  <w:r>
                    <w:rPr>
                      <w:rFonts w:hint="default" w:ascii="Times New Roman" w:hAnsi="Times New Roman" w:eastAsia="宋体" w:cs="Times New Roman"/>
                      <w:color w:val="auto"/>
                      <w:spacing w:val="-10"/>
                      <w:sz w:val="21"/>
                      <w:szCs w:val="21"/>
                      <w:highlight w:val="none"/>
                      <w:lang w:val="en-US" w:eastAsia="zh-CN"/>
                    </w:rPr>
                    <w:t>、污水处理站污泥</w:t>
                  </w:r>
                  <w:r>
                    <w:rPr>
                      <w:rFonts w:hint="default" w:ascii="Times New Roman" w:hAnsi="Times New Roman" w:eastAsia="宋体" w:cs="Times New Roman"/>
                      <w:color w:val="auto"/>
                      <w:spacing w:val="-10"/>
                      <w:sz w:val="21"/>
                      <w:szCs w:val="21"/>
                      <w:highlight w:val="none"/>
                    </w:rPr>
                    <w:t>等</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0000FF"/>
                <w:szCs w:val="21"/>
                <w:highlight w:val="none"/>
              </w:rPr>
            </w:pPr>
            <w:r>
              <w:rPr>
                <w:rFonts w:hint="default" w:ascii="Times New Roman" w:hAnsi="Times New Roman" w:eastAsia="宋体" w:cs="Times New Roman"/>
                <w:color w:val="0000FF"/>
                <w:sz w:val="21"/>
              </w:rPr>
              <mc:AlternateContent>
                <mc:Choice Requires="wps">
                  <w:drawing>
                    <wp:anchor distT="0" distB="0" distL="114300" distR="114300" simplePos="0" relativeHeight="251666432" behindDoc="0" locked="0" layoutInCell="1" allowOverlap="1">
                      <wp:simplePos x="0" y="0"/>
                      <wp:positionH relativeFrom="column">
                        <wp:posOffset>2766060</wp:posOffset>
                      </wp:positionH>
                      <wp:positionV relativeFrom="paragraph">
                        <wp:posOffset>521970</wp:posOffset>
                      </wp:positionV>
                      <wp:extent cx="731520" cy="209550"/>
                      <wp:effectExtent l="0" t="0" r="11430" b="0"/>
                      <wp:wrapNone/>
                      <wp:docPr id="4" name="文本框 4"/>
                      <wp:cNvGraphicFramePr/>
                      <a:graphic xmlns:a="http://schemas.openxmlformats.org/drawingml/2006/main">
                        <a:graphicData uri="http://schemas.microsoft.com/office/word/2010/wordprocessingShape">
                          <wps:wsp>
                            <wps:cNvSpPr txBox="1"/>
                            <wps:spPr>
                              <a:xfrm>
                                <a:off x="4049395" y="1767840"/>
                                <a:ext cx="731520" cy="2095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textAlignment w:val="auto"/>
                                    <w:rPr>
                                      <w:rFonts w:hint="default" w:eastAsia="宋体"/>
                                      <w:b/>
                                      <w:bCs/>
                                      <w:lang w:val="en-US" w:eastAsia="zh-CN"/>
                                    </w:rPr>
                                  </w:pPr>
                                  <w:r>
                                    <w:rPr>
                                      <w:rFonts w:hint="eastAsia"/>
                                      <w:b/>
                                      <w:bCs/>
                                      <w:lang w:val="en-US" w:eastAsia="zh-CN"/>
                                    </w:rPr>
                                    <w:t>钻井工程</w:t>
                                  </w:r>
                                </w:p>
                              </w:txbxContent>
                            </wps:txbx>
                            <wps:bodyPr rot="0" spcFirstLastPara="0" vertOverflow="overflow" horzOverflow="overflow" vert="horz" wrap="square" lIns="91440" tIns="0" rIns="9144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17.8pt;margin-top:41.1pt;height:16.5pt;width:57.6pt;z-index:251666432;mso-width-relative:page;mso-height-relative:page;" fillcolor="#FFFFFF [3201]" filled="t" stroked="f" coordsize="21600,21600" o:gfxdata="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QWaGfYAAAA&#10;CgEAAA8AAAAAAAAAAQAgAAAAIgAAAGRycy9kb3ducmV2LnhtbFBLAQIUABQAAAAIAIdO4kBT0O58&#10;VgIAAJIEAAAOAAAAAAAAAAEAIAAAACcBAABkcnMvZTJvRG9jLnhtbFBLBQYAAAAABgAGAFkBAADv&#10;BQAAAAA=&#10;">
                      <v:fill on="t" focussize="0,0"/>
                      <v:stroke on="f" weight="0.5pt"/>
                      <v:imagedata o:title=""/>
                      <o:lock v:ext="edit" aspectratio="f"/>
                      <v:textbox inset="2.54mm,0mm,2.54mm,0mm">
                        <w:txbxContent>
                          <w:p>
                            <w:pPr>
                              <w:keepNext w:val="0"/>
                              <w:keepLines w:val="0"/>
                              <w:pageBreakBefore w:val="0"/>
                              <w:widowControl w:val="0"/>
                              <w:kinsoku/>
                              <w:wordWrap/>
                              <w:overflowPunct/>
                              <w:topLinePunct w:val="0"/>
                              <w:bidi w:val="0"/>
                              <w:adjustRightInd/>
                              <w:snapToGrid/>
                              <w:textAlignment w:val="auto"/>
                              <w:rPr>
                                <w:rFonts w:hint="default" w:eastAsia="宋体"/>
                                <w:b/>
                                <w:bCs/>
                                <w:lang w:val="en-US" w:eastAsia="zh-CN"/>
                              </w:rPr>
                            </w:pPr>
                            <w:r>
                              <w:rPr>
                                <w:rFonts w:hint="eastAsia"/>
                                <w:b/>
                                <w:bCs/>
                                <w:lang w:val="en-US" w:eastAsia="zh-CN"/>
                              </w:rPr>
                              <w:t>钻井工程</w:t>
                            </w:r>
                          </w:p>
                        </w:txbxContent>
                      </v:textbox>
                    </v:shape>
                  </w:pict>
                </mc:Fallback>
              </mc:AlternateContent>
            </w:r>
            <w:r>
              <w:rPr>
                <w:rFonts w:hint="default" w:ascii="Times New Roman" w:hAnsi="Times New Roman" w:eastAsia="宋体" w:cs="Times New Roman"/>
                <w:color w:val="0000FF"/>
                <w:highlight w:val="none"/>
              </w:rPr>
              <w:drawing>
                <wp:inline distT="0" distB="0" distL="114300" distR="114300">
                  <wp:extent cx="4600575" cy="4592320"/>
                  <wp:effectExtent l="0" t="0" r="9525" b="17780"/>
                  <wp:docPr id="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pic:cNvPicPr>
                            <a:picLocks noChangeAspect="1"/>
                          </pic:cNvPicPr>
                        </pic:nvPicPr>
                        <pic:blipFill>
                          <a:blip r:embed="rId23"/>
                          <a:stretch>
                            <a:fillRect/>
                          </a:stretch>
                        </pic:blipFill>
                        <pic:spPr>
                          <a:xfrm>
                            <a:off x="0" y="0"/>
                            <a:ext cx="4600575" cy="4592320"/>
                          </a:xfrm>
                          <a:prstGeom prst="rect">
                            <a:avLst/>
                          </a:prstGeom>
                          <a:noFill/>
                          <a:ln>
                            <a:noFill/>
                          </a:ln>
                        </pic:spPr>
                      </pic:pic>
                    </a:graphicData>
                  </a:graphic>
                </wp:inline>
              </w:drawing>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图2-</w:t>
            </w:r>
            <w:r>
              <w:rPr>
                <w:rFonts w:hint="eastAsia" w:ascii="Times New Roman" w:cs="Times New Roman"/>
                <w:b/>
                <w:bCs/>
                <w:color w:val="auto"/>
                <w:sz w:val="24"/>
                <w:szCs w:val="24"/>
                <w:highlight w:val="none"/>
                <w:lang w:val="en-US" w:eastAsia="zh-CN"/>
              </w:rPr>
              <w:t>8</w:t>
            </w:r>
            <w:r>
              <w:rPr>
                <w:rFonts w:hint="default" w:ascii="Times New Roman" w:hAnsi="Times New Roman" w:eastAsia="宋体" w:cs="Times New Roman"/>
                <w:b/>
                <w:bCs/>
                <w:color w:val="auto"/>
                <w:sz w:val="24"/>
                <w:szCs w:val="24"/>
                <w:highlight w:val="none"/>
                <w:lang w:val="en-US" w:eastAsia="zh-CN"/>
              </w:rPr>
              <w:t xml:space="preserve">    工程施工过程污染源及污染物产生节点图</w:t>
            </w:r>
          </w:p>
          <w:p>
            <w:pPr>
              <w:keepNext w:val="0"/>
              <w:keepLines w:val="0"/>
              <w:pageBreakBefore w:val="0"/>
              <w:suppressLineNumbers w:val="0"/>
              <w:tabs>
                <w:tab w:val="left" w:pos="2310"/>
              </w:tabs>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二、运营期工艺流程</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本项目不涉及运营期。</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完钻测试放喷后，如在测试放喷过程中发现油气资源具有开采价值，则安装采油树，结合区块开发规划，在适当时间滚动开发，按照要求再进行区块开发、地面工程建设环境影响评价。如发现该井不具开发价值或目的层不含油气，则进行封井、设备搬迁，井场恢复。</w:t>
            </w:r>
          </w:p>
          <w:p>
            <w:pPr>
              <w:pStyle w:val="12"/>
              <w:keepNext w:val="0"/>
              <w:keepLines w:val="0"/>
              <w:suppressLineNumbers w:val="0"/>
              <w:spacing w:beforeAutospacing="0" w:afterAutospacing="0"/>
              <w:ind w:left="0"/>
              <w:rPr>
                <w:rFonts w:hint="default" w:ascii="Times New Roman" w:hAnsi="Times New Roman" w:eastAsia="宋体" w:cs="Times New Roman"/>
                <w:color w:val="0000FF"/>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40" w:hRule="atLeast"/>
          <w:jc w:val="center"/>
        </w:trPr>
        <w:tc>
          <w:tcPr>
            <w:tcW w:w="496"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其他</w:t>
            </w:r>
          </w:p>
        </w:tc>
        <w:tc>
          <w:tcPr>
            <w:tcW w:w="8576"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4"/>
                <w:szCs w:val="24"/>
                <w:highlight w:val="none"/>
                <w:lang w:val="en-US" w:eastAsia="zh-CN"/>
              </w:rPr>
              <w:t>无</w:t>
            </w:r>
          </w:p>
        </w:tc>
      </w:tr>
    </w:tbl>
    <w:p>
      <w:pPr>
        <w:pStyle w:val="29"/>
        <w:jc w:val="center"/>
        <w:outlineLvl w:val="0"/>
        <w:rPr>
          <w:rFonts w:hint="default" w:ascii="Times New Roman" w:hAnsi="Times New Roman" w:eastAsia="宋体" w:cs="Times New Roman"/>
          <w:snapToGrid w:val="0"/>
          <w:color w:val="auto"/>
          <w:sz w:val="30"/>
          <w:szCs w:val="30"/>
          <w:highlight w:val="none"/>
        </w:rPr>
      </w:pPr>
      <w:r>
        <w:rPr>
          <w:rFonts w:hint="default" w:ascii="Times New Roman" w:hAnsi="Times New Roman" w:eastAsia="宋体" w:cs="Times New Roman"/>
          <w:snapToGrid w:val="0"/>
          <w:color w:val="0000FF"/>
          <w:sz w:val="30"/>
          <w:szCs w:val="30"/>
          <w:highlight w:val="none"/>
        </w:rPr>
        <w:br w:type="page"/>
      </w:r>
      <w:bookmarkStart w:id="40" w:name="_Toc11671"/>
      <w:r>
        <w:rPr>
          <w:rFonts w:hint="default" w:ascii="Times New Roman" w:hAnsi="Times New Roman" w:eastAsia="宋体" w:cs="Times New Roman"/>
          <w:b/>
          <w:bCs/>
          <w:snapToGrid w:val="0"/>
          <w:color w:val="auto"/>
          <w:sz w:val="30"/>
          <w:szCs w:val="30"/>
          <w:highlight w:val="none"/>
        </w:rPr>
        <w:t>三、生态环境现状、保护目标及评价标准</w:t>
      </w:r>
      <w:bookmarkEnd w:id="40"/>
    </w:p>
    <w:tbl>
      <w:tblPr>
        <w:tblStyle w:val="32"/>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28"/>
        <w:gridCol w:w="834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65" w:hRule="atLeast"/>
          <w:jc w:val="center"/>
        </w:trPr>
        <w:tc>
          <w:tcPr>
            <w:tcW w:w="728"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4"/>
                <w:szCs w:val="24"/>
                <w:highlight w:val="none"/>
                <w:lang w:val="en-US" w:eastAsia="zh-CN"/>
              </w:rPr>
              <w:t>生态环境现状</w:t>
            </w:r>
          </w:p>
        </w:tc>
        <w:tc>
          <w:tcPr>
            <w:tcW w:w="8344" w:type="dxa"/>
            <w:noWrap w:val="0"/>
            <w:tcMar>
              <w:left w:w="108" w:type="dxa"/>
              <w:right w:w="108" w:type="dxa"/>
            </w:tcMar>
            <w:vAlign w:val="top"/>
          </w:tcPr>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color w:val="auto"/>
                <w:sz w:val="24"/>
                <w:highlight w:val="none"/>
                <w:lang w:val="en-US" w:eastAsia="zh-CN"/>
              </w:rPr>
            </w:pPr>
            <w:bookmarkStart w:id="41" w:name="_Toc182978297"/>
            <w:bookmarkStart w:id="42" w:name="_Toc176318832"/>
            <w:bookmarkStart w:id="43" w:name="_Toc181101889"/>
            <w:r>
              <w:rPr>
                <w:rFonts w:hint="default" w:ascii="Times New Roman" w:hAnsi="Times New Roman" w:eastAsia="宋体" w:cs="Times New Roman"/>
                <w:b/>
                <w:bCs w:val="0"/>
                <w:color w:val="auto"/>
                <w:kern w:val="24"/>
                <w:sz w:val="24"/>
                <w:szCs w:val="20"/>
              </w:rPr>
              <w:t>1、</w:t>
            </w:r>
            <w:r>
              <w:rPr>
                <w:rFonts w:hint="default" w:ascii="Times New Roman" w:hAnsi="Times New Roman" w:eastAsia="宋体" w:cs="Times New Roman"/>
                <w:b/>
                <w:bCs w:val="0"/>
                <w:color w:val="auto"/>
                <w:sz w:val="24"/>
                <w:highlight w:val="none"/>
                <w:lang w:val="en-US" w:eastAsia="zh-CN"/>
              </w:rPr>
              <w:t>环境空气质量现状评价</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根据《建设项目环境影响报告表编制技术指南（生态影响类）（试行）》相关规定，本次评价收集了202</w:t>
            </w:r>
            <w:r>
              <w:rPr>
                <w:rFonts w:hint="eastAsia" w:ascii="Times New Roman" w:cs="Times New Roman"/>
                <w:color w:val="auto"/>
                <w:sz w:val="24"/>
                <w:highlight w:val="none"/>
                <w:lang w:val="en-US" w:eastAsia="zh-CN"/>
              </w:rPr>
              <w:t>4</w:t>
            </w:r>
            <w:r>
              <w:rPr>
                <w:rFonts w:hint="default" w:ascii="Times New Roman" w:hAnsi="Times New Roman" w:eastAsia="宋体" w:cs="Times New Roman"/>
                <w:color w:val="auto"/>
                <w:sz w:val="24"/>
                <w:highlight w:val="none"/>
                <w:lang w:val="en-US" w:eastAsia="zh-CN"/>
              </w:rPr>
              <w:t>年1月1日至202</w:t>
            </w:r>
            <w:r>
              <w:rPr>
                <w:rFonts w:hint="eastAsia" w:ascii="Times New Roman" w:cs="Times New Roman"/>
                <w:color w:val="auto"/>
                <w:sz w:val="24"/>
                <w:highlight w:val="none"/>
                <w:lang w:val="en-US" w:eastAsia="zh-CN"/>
              </w:rPr>
              <w:t>4</w:t>
            </w:r>
            <w:r>
              <w:rPr>
                <w:rFonts w:hint="default" w:ascii="Times New Roman" w:hAnsi="Times New Roman" w:eastAsia="宋体" w:cs="Times New Roman"/>
                <w:color w:val="auto"/>
                <w:sz w:val="24"/>
                <w:highlight w:val="none"/>
                <w:lang w:val="en-US" w:eastAsia="zh-CN"/>
              </w:rPr>
              <w:t>年12月31日期间巴音郭楞蒙古自治州例行监测点的监测数据作为基本污染物环境空气质量现状数据，并对各污染物的年评价指标进行环境质量现状评价，</w:t>
            </w:r>
            <w:r>
              <w:rPr>
                <w:rFonts w:hint="default" w:ascii="Times New Roman" w:hAnsi="Times New Roman" w:eastAsia="宋体" w:cs="Times New Roman"/>
                <w:color w:val="auto"/>
                <w:sz w:val="24"/>
                <w:highlight w:val="none"/>
              </w:rPr>
              <w:t>区域环境空气质量现状评价表详见表</w:t>
            </w:r>
            <w:r>
              <w:rPr>
                <w:rFonts w:hint="default" w:ascii="Times New Roman" w:hAnsi="Times New Roman" w:eastAsia="宋体" w:cs="Times New Roman"/>
                <w:color w:val="auto"/>
                <w:sz w:val="24"/>
                <w:highlight w:val="none"/>
                <w:lang w:val="en-US" w:eastAsia="zh-CN"/>
              </w:rPr>
              <w:t>3-1</w:t>
            </w:r>
            <w:r>
              <w:rPr>
                <w:rFonts w:hint="default" w:ascii="Times New Roman" w:hAnsi="Times New Roman" w:eastAsia="宋体" w:cs="Times New Roman"/>
                <w:color w:val="auto"/>
                <w:sz w:val="24"/>
                <w:highlight w:val="none"/>
              </w:rPr>
              <w:t>。</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color w:val="auto"/>
                <w:kern w:val="0"/>
                <w:sz w:val="24"/>
                <w:szCs w:val="20"/>
                <w:highlight w:val="none"/>
              </w:rPr>
            </w:pPr>
            <w:r>
              <w:rPr>
                <w:rFonts w:hint="default" w:ascii="Times New Roman" w:hAnsi="Times New Roman" w:eastAsia="宋体" w:cs="Times New Roman"/>
                <w:b/>
                <w:color w:val="auto"/>
                <w:sz w:val="24"/>
                <w:highlight w:val="none"/>
              </w:rPr>
              <w:t>表</w:t>
            </w:r>
            <w:r>
              <w:rPr>
                <w:rFonts w:hint="default" w:ascii="Times New Roman" w:hAnsi="Times New Roman" w:eastAsia="宋体" w:cs="Times New Roman"/>
                <w:b/>
                <w:color w:val="auto"/>
                <w:sz w:val="24"/>
                <w:highlight w:val="none"/>
                <w:lang w:val="en-US" w:eastAsia="zh-CN"/>
              </w:rPr>
              <w:t>3-1</w:t>
            </w:r>
            <w:r>
              <w:rPr>
                <w:rFonts w:hint="default" w:ascii="Times New Roman" w:hAnsi="Times New Roman" w:eastAsia="宋体" w:cs="Times New Roman"/>
                <w:b/>
                <w:color w:val="auto"/>
                <w:sz w:val="24"/>
                <w:highlight w:val="none"/>
              </w:rPr>
              <w:t xml:space="preserve">    区域环境空气质量现状评价表  </w:t>
            </w:r>
            <w:r>
              <w:rPr>
                <w:rFonts w:hint="default" w:ascii="Times New Roman" w:hAnsi="Times New Roman" w:eastAsia="宋体" w:cs="Times New Roman"/>
                <w:b/>
                <w:color w:val="auto"/>
                <w:sz w:val="24"/>
                <w:highlight w:val="none"/>
                <w:lang w:val="en-US" w:eastAsia="zh-CN"/>
              </w:rPr>
              <w:t xml:space="preserve">   </w:t>
            </w:r>
            <w:r>
              <w:rPr>
                <w:rFonts w:hint="default" w:ascii="Times New Roman" w:hAnsi="Times New Roman" w:eastAsia="宋体" w:cs="Times New Roman"/>
                <w:b/>
                <w:color w:val="auto"/>
                <w:sz w:val="24"/>
                <w:highlight w:val="none"/>
              </w:rPr>
              <w:t xml:space="preserve">   </w:t>
            </w:r>
            <w:r>
              <w:rPr>
                <w:rFonts w:hint="default" w:ascii="Times New Roman" w:hAnsi="Times New Roman" w:eastAsia="宋体" w:cs="Times New Roman"/>
                <w:b/>
                <w:color w:val="auto"/>
                <w:sz w:val="24"/>
                <w:highlight w:val="none"/>
                <w:lang w:val="en-US" w:eastAsia="zh-CN"/>
              </w:rPr>
              <w:t xml:space="preserve">   </w:t>
            </w:r>
            <w:r>
              <w:rPr>
                <w:rFonts w:hint="default" w:ascii="Times New Roman" w:hAnsi="Times New Roman" w:eastAsia="宋体" w:cs="Times New Roman"/>
                <w:b/>
                <w:color w:val="auto"/>
                <w:sz w:val="24"/>
                <w:highlight w:val="none"/>
              </w:rPr>
              <w:t xml:space="preserve">  单位：μg/</w:t>
            </w:r>
            <w:r>
              <w:rPr>
                <w:rFonts w:hint="default" w:ascii="Times New Roman" w:hAnsi="Times New Roman" w:eastAsia="宋体" w:cs="Times New Roman"/>
                <w:b/>
                <w:color w:val="auto"/>
                <w:sz w:val="24"/>
                <w:highlight w:val="none"/>
                <w:lang w:eastAsia="zh-CN"/>
              </w:rPr>
              <w:t>m³</w:t>
            </w:r>
          </w:p>
          <w:tbl>
            <w:tblPr>
              <w:tblStyle w:val="32"/>
              <w:tblW w:w="8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17"/>
              <w:gridCol w:w="2451"/>
              <w:gridCol w:w="1191"/>
              <w:gridCol w:w="1419"/>
              <w:gridCol w:w="1142"/>
              <w:gridCol w:w="10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2" w:hRule="atLeast"/>
                <w:jc w:val="center"/>
              </w:trPr>
              <w:tc>
                <w:tcPr>
                  <w:tcW w:w="917" w:type="dxa"/>
                  <w:vMerge w:val="restart"/>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w:t>
                  </w:r>
                </w:p>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物</w:t>
                  </w:r>
                </w:p>
              </w:tc>
              <w:tc>
                <w:tcPr>
                  <w:tcW w:w="2451" w:type="dxa"/>
                  <w:vMerge w:val="restart"/>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年评价指标</w:t>
                  </w:r>
                </w:p>
              </w:tc>
              <w:tc>
                <w:tcPr>
                  <w:tcW w:w="1191" w:type="dxa"/>
                  <w:vMerge w:val="restart"/>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现状</w:t>
                  </w:r>
                </w:p>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w:t>
                  </w:r>
                </w:p>
              </w:tc>
              <w:tc>
                <w:tcPr>
                  <w:tcW w:w="3599" w:type="dxa"/>
                  <w:gridSpan w:val="3"/>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《环境空气质量标准》</w:t>
                  </w:r>
                  <w:r>
                    <w:rPr>
                      <w:rFonts w:hint="eastAsia"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GB3095-20</w:t>
                  </w:r>
                  <w:r>
                    <w:rPr>
                      <w:rFonts w:hint="eastAsia" w:ascii="Times New Roman" w:hAnsi="Times New Roman" w:eastAsia="宋体" w:cs="Times New Roman"/>
                      <w:color w:val="auto"/>
                      <w:kern w:val="0"/>
                      <w:sz w:val="21"/>
                      <w:szCs w:val="21"/>
                      <w:lang w:val="en-US" w:eastAsia="zh-CN"/>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2" w:hRule="atLeast"/>
                <w:jc w:val="center"/>
              </w:trPr>
              <w:tc>
                <w:tcPr>
                  <w:tcW w:w="917" w:type="dxa"/>
                  <w:vMerge w:val="continue"/>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p>
              </w:tc>
              <w:tc>
                <w:tcPr>
                  <w:tcW w:w="2451" w:type="dxa"/>
                  <w:vMerge w:val="continue"/>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p>
              </w:tc>
              <w:tc>
                <w:tcPr>
                  <w:tcW w:w="1191" w:type="dxa"/>
                  <w:vMerge w:val="continue"/>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p>
              </w:tc>
              <w:tc>
                <w:tcPr>
                  <w:tcW w:w="1419" w:type="dxa"/>
                  <w:noWrap w:val="0"/>
                  <w:vAlign w:val="center"/>
                </w:tcPr>
                <w:p>
                  <w:pPr>
                    <w:keepNext w:val="0"/>
                    <w:keepLines w:val="0"/>
                    <w:suppressLineNumbers w:val="0"/>
                    <w:snapToGrid w:val="0"/>
                    <w:spacing w:before="0" w:beforeAutospacing="0" w:after="0" w:afterAutospacing="0" w:line="36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过渡阶段</w:t>
                  </w:r>
                </w:p>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标准值</w:t>
                  </w:r>
                </w:p>
              </w:tc>
              <w:tc>
                <w:tcPr>
                  <w:tcW w:w="1142"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占标率</w:t>
                  </w:r>
                  <w:r>
                    <w:rPr>
                      <w:rFonts w:hint="eastAsia" w:ascii="Times New Roman" w:hAnsi="Times New Roman" w:eastAsia="宋体" w:cs="Times New Roman"/>
                      <w:color w:val="auto"/>
                      <w:sz w:val="21"/>
                      <w:szCs w:val="21"/>
                      <w:lang w:val="en-US" w:eastAsia="zh-CN"/>
                    </w:rPr>
                    <w:t>%</w:t>
                  </w:r>
                </w:p>
              </w:tc>
              <w:tc>
                <w:tcPr>
                  <w:tcW w:w="1038"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5" w:hRule="atLeast"/>
                <w:jc w:val="center"/>
              </w:trPr>
              <w:tc>
                <w:tcPr>
                  <w:tcW w:w="917"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PM</w:t>
                  </w:r>
                  <w:r>
                    <w:rPr>
                      <w:rFonts w:hint="eastAsia" w:ascii="Times New Roman" w:hAnsi="Times New Roman" w:eastAsia="宋体" w:cs="Times New Roman"/>
                      <w:color w:val="auto"/>
                      <w:sz w:val="21"/>
                      <w:szCs w:val="21"/>
                      <w:vertAlign w:val="subscript"/>
                      <w:lang w:val="en-US" w:eastAsia="zh-CN"/>
                    </w:rPr>
                    <w:t>2.5</w:t>
                  </w:r>
                </w:p>
              </w:tc>
              <w:tc>
                <w:tcPr>
                  <w:tcW w:w="2451"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119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26</w:t>
                  </w:r>
                </w:p>
              </w:tc>
              <w:tc>
                <w:tcPr>
                  <w:tcW w:w="14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30</w:t>
                  </w:r>
                </w:p>
              </w:tc>
              <w:tc>
                <w:tcPr>
                  <w:tcW w:w="11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86.7</w:t>
                  </w:r>
                </w:p>
              </w:tc>
              <w:tc>
                <w:tcPr>
                  <w:tcW w:w="1038"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5" w:hRule="atLeast"/>
                <w:jc w:val="center"/>
              </w:trPr>
              <w:tc>
                <w:tcPr>
                  <w:tcW w:w="917"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PM</w:t>
                  </w:r>
                  <w:r>
                    <w:rPr>
                      <w:rFonts w:hint="eastAsia" w:ascii="Times New Roman" w:hAnsi="Times New Roman" w:eastAsia="宋体" w:cs="Times New Roman"/>
                      <w:color w:val="auto"/>
                      <w:sz w:val="21"/>
                      <w:szCs w:val="21"/>
                      <w:vertAlign w:val="subscript"/>
                      <w:lang w:val="en-US" w:eastAsia="zh-CN"/>
                    </w:rPr>
                    <w:t>10</w:t>
                  </w:r>
                </w:p>
              </w:tc>
              <w:tc>
                <w:tcPr>
                  <w:tcW w:w="2451"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119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74</w:t>
                  </w:r>
                </w:p>
              </w:tc>
              <w:tc>
                <w:tcPr>
                  <w:tcW w:w="14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60</w:t>
                  </w:r>
                </w:p>
              </w:tc>
              <w:tc>
                <w:tcPr>
                  <w:tcW w:w="1142"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123.3</w:t>
                  </w:r>
                </w:p>
              </w:tc>
              <w:tc>
                <w:tcPr>
                  <w:tcW w:w="1038"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不达标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5" w:hRule="atLeast"/>
                <w:jc w:val="center"/>
              </w:trPr>
              <w:tc>
                <w:tcPr>
                  <w:tcW w:w="917"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2451"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119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5</w:t>
                  </w:r>
                </w:p>
              </w:tc>
              <w:tc>
                <w:tcPr>
                  <w:tcW w:w="14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60</w:t>
                  </w:r>
                </w:p>
              </w:tc>
              <w:tc>
                <w:tcPr>
                  <w:tcW w:w="1142" w:type="dxa"/>
                  <w:noWrap w:val="0"/>
                  <w:vAlign w:val="center"/>
                </w:tcPr>
                <w:p>
                  <w:pPr>
                    <w:keepNext w:val="0"/>
                    <w:keepLines w:val="0"/>
                    <w:suppressLineNumbers w:val="0"/>
                    <w:topLinePunct/>
                    <w:spacing w:before="0" w:beforeAutospacing="0" w:after="0" w:afterAutospacing="0" w:line="0" w:lineRule="atLeas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pacing w:val="-10"/>
                      <w:kern w:val="21"/>
                      <w:szCs w:val="21"/>
                      <w:highlight w:val="none"/>
                    </w:rPr>
                    <w:t>8.3</w:t>
                  </w:r>
                </w:p>
              </w:tc>
              <w:tc>
                <w:tcPr>
                  <w:tcW w:w="1038" w:type="dxa"/>
                  <w:noWrap w:val="0"/>
                  <w:vAlign w:val="center"/>
                </w:tcPr>
                <w:p>
                  <w:pPr>
                    <w:keepNext w:val="0"/>
                    <w:keepLines w:val="0"/>
                    <w:suppressLineNumbers w:val="0"/>
                    <w:snapToGrid w:val="0"/>
                    <w:spacing w:before="0" w:beforeAutospacing="0" w:after="0" w:afterAutospacing="0" w:line="360" w:lineRule="exact"/>
                    <w:ind w:left="0" w:right="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5" w:hRule="atLeast"/>
                <w:jc w:val="center"/>
              </w:trPr>
              <w:tc>
                <w:tcPr>
                  <w:tcW w:w="917"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2</w:t>
                  </w:r>
                </w:p>
              </w:tc>
              <w:tc>
                <w:tcPr>
                  <w:tcW w:w="2451"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年平均</w:t>
                  </w:r>
                </w:p>
              </w:tc>
              <w:tc>
                <w:tcPr>
                  <w:tcW w:w="119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23</w:t>
                  </w:r>
                </w:p>
              </w:tc>
              <w:tc>
                <w:tcPr>
                  <w:tcW w:w="14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40</w:t>
                  </w:r>
                </w:p>
              </w:tc>
              <w:tc>
                <w:tcPr>
                  <w:tcW w:w="1142" w:type="dxa"/>
                  <w:noWrap w:val="0"/>
                  <w:vAlign w:val="center"/>
                </w:tcPr>
                <w:p>
                  <w:pPr>
                    <w:keepNext w:val="0"/>
                    <w:keepLines w:val="0"/>
                    <w:suppressLineNumbers w:val="0"/>
                    <w:topLinePunct/>
                    <w:spacing w:before="0" w:beforeAutospacing="0" w:after="0" w:afterAutospacing="0" w:line="0" w:lineRule="atLeas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pacing w:val="-10"/>
                      <w:kern w:val="21"/>
                      <w:szCs w:val="21"/>
                      <w:highlight w:val="none"/>
                    </w:rPr>
                    <w:t>57.5</w:t>
                  </w:r>
                </w:p>
              </w:tc>
              <w:tc>
                <w:tcPr>
                  <w:tcW w:w="1038"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2" w:hRule="atLeast"/>
                <w:jc w:val="center"/>
              </w:trPr>
              <w:tc>
                <w:tcPr>
                  <w:tcW w:w="917"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w:t>
                  </w:r>
                </w:p>
              </w:tc>
              <w:tc>
                <w:tcPr>
                  <w:tcW w:w="2451"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24小时平均第95百分位数</w:t>
                  </w:r>
                </w:p>
              </w:tc>
              <w:tc>
                <w:tcPr>
                  <w:tcW w:w="119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900</w:t>
                  </w:r>
                </w:p>
              </w:tc>
              <w:tc>
                <w:tcPr>
                  <w:tcW w:w="14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4000</w:t>
                  </w:r>
                </w:p>
              </w:tc>
              <w:tc>
                <w:tcPr>
                  <w:tcW w:w="1142" w:type="dxa"/>
                  <w:noWrap w:val="0"/>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pacing w:val="-10"/>
                      <w:kern w:val="21"/>
                      <w:szCs w:val="21"/>
                      <w:highlight w:val="none"/>
                    </w:rPr>
                    <w:t>22.5</w:t>
                  </w:r>
                </w:p>
              </w:tc>
              <w:tc>
                <w:tcPr>
                  <w:tcW w:w="1038"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9" w:hRule="atLeast"/>
                <w:jc w:val="center"/>
              </w:trPr>
              <w:tc>
                <w:tcPr>
                  <w:tcW w:w="917"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O</w:t>
                  </w:r>
                  <w:r>
                    <w:rPr>
                      <w:rFonts w:hint="default" w:ascii="Times New Roman" w:hAnsi="Times New Roman" w:eastAsia="宋体" w:cs="Times New Roman"/>
                      <w:color w:val="auto"/>
                      <w:sz w:val="21"/>
                      <w:szCs w:val="21"/>
                      <w:vertAlign w:val="subscript"/>
                    </w:rPr>
                    <w:t>3</w:t>
                  </w:r>
                </w:p>
              </w:tc>
              <w:tc>
                <w:tcPr>
                  <w:tcW w:w="2451"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日最大8小时平均第90百分位数</w:t>
                  </w:r>
                </w:p>
              </w:tc>
              <w:tc>
                <w:tcPr>
                  <w:tcW w:w="1191"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121</w:t>
                  </w:r>
                </w:p>
              </w:tc>
              <w:tc>
                <w:tcPr>
                  <w:tcW w:w="1419"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160</w:t>
                  </w:r>
                </w:p>
              </w:tc>
              <w:tc>
                <w:tcPr>
                  <w:tcW w:w="1142" w:type="dxa"/>
                  <w:noWrap w:val="0"/>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pacing w:val="-10"/>
                      <w:kern w:val="21"/>
                      <w:szCs w:val="21"/>
                      <w:highlight w:val="none"/>
                    </w:rPr>
                    <w:t>75.6</w:t>
                  </w:r>
                </w:p>
              </w:tc>
              <w:tc>
                <w:tcPr>
                  <w:tcW w:w="1038" w:type="dxa"/>
                  <w:noWrap w:val="0"/>
                  <w:vAlign w:val="center"/>
                </w:tcPr>
                <w:p>
                  <w:pPr>
                    <w:keepNext w:val="0"/>
                    <w:keepLines w:val="0"/>
                    <w:suppressLineNumbers w:val="0"/>
                    <w:snapToGrid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bl>
          <w:p>
            <w:pPr>
              <w:keepNext w:val="0"/>
              <w:keepLines w:val="0"/>
              <w:pageBreakBefore w:val="0"/>
              <w:widowControl w:val="0"/>
              <w:suppressLineNumbers w:val="0"/>
              <w:kinsoku/>
              <w:wordWrap/>
              <w:overflowPunct/>
              <w:topLinePunct/>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bCs/>
                <w:color w:val="auto"/>
                <w:spacing w:val="0"/>
                <w:sz w:val="24"/>
                <w:szCs w:val="21"/>
                <w:highlight w:val="none"/>
                <w:lang w:val="zh-CN" w:eastAsia="zh-CN"/>
              </w:rPr>
              <w:t>对照《环境空气质量标准》（GB3095-2012）及其修改单（环境保护部公告2018年第29号）中二级标准限值，</w:t>
            </w:r>
            <w:r>
              <w:rPr>
                <w:rFonts w:hint="eastAsia" w:ascii="Times New Roman" w:cs="Times New Roman"/>
                <w:bCs/>
                <w:color w:val="auto"/>
                <w:spacing w:val="0"/>
                <w:sz w:val="24"/>
                <w:szCs w:val="21"/>
                <w:highlight w:val="none"/>
                <w:lang w:val="en-US" w:eastAsia="zh-CN"/>
              </w:rPr>
              <w:t>巴音郭楞蒙古自治州</w:t>
            </w:r>
            <w:r>
              <w:rPr>
                <w:rFonts w:hint="default" w:ascii="Times New Roman" w:hAnsi="Times New Roman" w:eastAsia="宋体" w:cs="Times New Roman"/>
                <w:bCs/>
                <w:color w:val="auto"/>
                <w:spacing w:val="0"/>
                <w:sz w:val="24"/>
                <w:szCs w:val="21"/>
                <w:highlight w:val="none"/>
                <w:lang w:val="zh-CN" w:eastAsia="zh-CN"/>
              </w:rPr>
              <w:t>环境空气六项基本污染因子中PM</w:t>
            </w:r>
            <w:r>
              <w:rPr>
                <w:rFonts w:hint="default" w:ascii="Times New Roman" w:hAnsi="Times New Roman" w:eastAsia="宋体" w:cs="Times New Roman"/>
                <w:bCs/>
                <w:color w:val="auto"/>
                <w:spacing w:val="0"/>
                <w:sz w:val="24"/>
                <w:szCs w:val="21"/>
                <w:highlight w:val="none"/>
                <w:vertAlign w:val="subscript"/>
                <w:lang w:val="zh-CN" w:eastAsia="zh-CN"/>
              </w:rPr>
              <w:t>2.5</w:t>
            </w:r>
            <w:r>
              <w:rPr>
                <w:rFonts w:hint="default" w:ascii="Times New Roman" w:hAnsi="Times New Roman" w:eastAsia="宋体" w:cs="Times New Roman"/>
                <w:bCs/>
                <w:color w:val="auto"/>
                <w:spacing w:val="0"/>
                <w:sz w:val="24"/>
                <w:szCs w:val="21"/>
                <w:highlight w:val="none"/>
                <w:lang w:val="zh-CN" w:eastAsia="zh-CN"/>
              </w:rPr>
              <w:t>、SO</w:t>
            </w:r>
            <w:r>
              <w:rPr>
                <w:rFonts w:hint="default" w:ascii="Times New Roman" w:hAnsi="Times New Roman" w:eastAsia="宋体" w:cs="Times New Roman"/>
                <w:bCs/>
                <w:color w:val="auto"/>
                <w:spacing w:val="0"/>
                <w:sz w:val="24"/>
                <w:szCs w:val="21"/>
                <w:highlight w:val="none"/>
                <w:vertAlign w:val="subscript"/>
                <w:lang w:val="zh-CN" w:eastAsia="zh-CN"/>
              </w:rPr>
              <w:t>2</w:t>
            </w:r>
            <w:r>
              <w:rPr>
                <w:rFonts w:hint="default" w:ascii="Times New Roman" w:hAnsi="Times New Roman" w:eastAsia="宋体" w:cs="Times New Roman"/>
                <w:bCs/>
                <w:color w:val="auto"/>
                <w:spacing w:val="0"/>
                <w:sz w:val="24"/>
                <w:szCs w:val="21"/>
                <w:highlight w:val="none"/>
                <w:lang w:val="zh-CN" w:eastAsia="zh-CN"/>
              </w:rPr>
              <w:t>、NO</w:t>
            </w:r>
            <w:r>
              <w:rPr>
                <w:rFonts w:hint="default" w:ascii="Times New Roman" w:hAnsi="Times New Roman" w:eastAsia="宋体" w:cs="Times New Roman"/>
                <w:bCs/>
                <w:color w:val="auto"/>
                <w:spacing w:val="0"/>
                <w:sz w:val="24"/>
                <w:szCs w:val="21"/>
                <w:highlight w:val="none"/>
                <w:vertAlign w:val="subscript"/>
                <w:lang w:val="zh-CN" w:eastAsia="zh-CN"/>
              </w:rPr>
              <w:t>2</w:t>
            </w:r>
            <w:r>
              <w:rPr>
                <w:rFonts w:hint="default" w:ascii="Times New Roman" w:hAnsi="Times New Roman" w:eastAsia="宋体" w:cs="Times New Roman"/>
                <w:bCs/>
                <w:color w:val="auto"/>
                <w:spacing w:val="0"/>
                <w:sz w:val="24"/>
                <w:szCs w:val="21"/>
                <w:highlight w:val="none"/>
                <w:lang w:val="zh-CN" w:eastAsia="zh-CN"/>
              </w:rPr>
              <w:t>、CO及O</w:t>
            </w:r>
            <w:r>
              <w:rPr>
                <w:rFonts w:hint="default" w:ascii="Times New Roman" w:hAnsi="Times New Roman" w:eastAsia="宋体" w:cs="Times New Roman"/>
                <w:bCs/>
                <w:color w:val="auto"/>
                <w:spacing w:val="0"/>
                <w:sz w:val="24"/>
                <w:szCs w:val="21"/>
                <w:highlight w:val="none"/>
                <w:vertAlign w:val="subscript"/>
                <w:lang w:val="zh-CN" w:eastAsia="zh-CN"/>
              </w:rPr>
              <w:t>3</w:t>
            </w:r>
            <w:r>
              <w:rPr>
                <w:rFonts w:hint="default" w:ascii="Times New Roman" w:hAnsi="Times New Roman" w:eastAsia="宋体" w:cs="Times New Roman"/>
                <w:bCs/>
                <w:color w:val="auto"/>
                <w:spacing w:val="0"/>
                <w:sz w:val="24"/>
                <w:szCs w:val="21"/>
                <w:highlight w:val="none"/>
                <w:lang w:val="zh-CN" w:eastAsia="zh-CN"/>
              </w:rPr>
              <w:t>均达标，PM</w:t>
            </w:r>
            <w:r>
              <w:rPr>
                <w:rFonts w:hint="default" w:ascii="Times New Roman" w:hAnsi="Times New Roman" w:eastAsia="宋体" w:cs="Times New Roman"/>
                <w:bCs/>
                <w:color w:val="auto"/>
                <w:spacing w:val="0"/>
                <w:sz w:val="24"/>
                <w:szCs w:val="21"/>
                <w:highlight w:val="none"/>
                <w:vertAlign w:val="subscript"/>
                <w:lang w:val="zh-CN" w:eastAsia="zh-CN"/>
              </w:rPr>
              <w:t>10</w:t>
            </w:r>
            <w:r>
              <w:rPr>
                <w:rFonts w:hint="default" w:ascii="Times New Roman" w:hAnsi="Times New Roman" w:eastAsia="宋体" w:cs="Times New Roman"/>
                <w:bCs/>
                <w:color w:val="auto"/>
                <w:spacing w:val="0"/>
                <w:sz w:val="24"/>
                <w:szCs w:val="21"/>
                <w:highlight w:val="none"/>
                <w:lang w:val="zh-CN" w:eastAsia="zh-CN"/>
              </w:rPr>
              <w:t>超标；对照《环境空气质量标准》（GB3095-2026）中表1过渡阶段二级标准限值，</w:t>
            </w:r>
            <w:r>
              <w:rPr>
                <w:rFonts w:hint="eastAsia" w:ascii="Times New Roman" w:cs="Times New Roman"/>
                <w:bCs/>
                <w:color w:val="auto"/>
                <w:spacing w:val="0"/>
                <w:sz w:val="24"/>
                <w:szCs w:val="21"/>
                <w:highlight w:val="none"/>
                <w:lang w:val="en-US" w:eastAsia="zh-CN"/>
              </w:rPr>
              <w:t>巴音郭楞蒙古自治州</w:t>
            </w:r>
            <w:r>
              <w:rPr>
                <w:rFonts w:hint="default" w:ascii="Times New Roman" w:hAnsi="Times New Roman" w:eastAsia="宋体" w:cs="Times New Roman"/>
                <w:bCs/>
                <w:color w:val="auto"/>
                <w:spacing w:val="0"/>
                <w:sz w:val="24"/>
                <w:szCs w:val="21"/>
                <w:highlight w:val="none"/>
                <w:lang w:val="zh-CN" w:eastAsia="zh-CN"/>
              </w:rPr>
              <w:t>环境空气六项基本污染因子中PM</w:t>
            </w:r>
            <w:r>
              <w:rPr>
                <w:rFonts w:hint="default" w:ascii="Times New Roman" w:hAnsi="Times New Roman" w:eastAsia="宋体" w:cs="Times New Roman"/>
                <w:bCs/>
                <w:color w:val="auto"/>
                <w:spacing w:val="0"/>
                <w:sz w:val="24"/>
                <w:szCs w:val="21"/>
                <w:highlight w:val="none"/>
                <w:vertAlign w:val="subscript"/>
                <w:lang w:val="zh-CN" w:eastAsia="zh-CN"/>
              </w:rPr>
              <w:t>2.5</w:t>
            </w:r>
            <w:r>
              <w:rPr>
                <w:rFonts w:hint="default" w:ascii="Times New Roman" w:hAnsi="Times New Roman" w:eastAsia="宋体" w:cs="Times New Roman"/>
                <w:bCs/>
                <w:color w:val="auto"/>
                <w:spacing w:val="0"/>
                <w:sz w:val="24"/>
                <w:szCs w:val="21"/>
                <w:highlight w:val="none"/>
                <w:lang w:val="zh-CN" w:eastAsia="zh-CN"/>
              </w:rPr>
              <w:t>、SO</w:t>
            </w:r>
            <w:r>
              <w:rPr>
                <w:rFonts w:hint="default" w:ascii="Times New Roman" w:hAnsi="Times New Roman" w:eastAsia="宋体" w:cs="Times New Roman"/>
                <w:bCs/>
                <w:color w:val="auto"/>
                <w:spacing w:val="0"/>
                <w:sz w:val="24"/>
                <w:szCs w:val="21"/>
                <w:highlight w:val="none"/>
                <w:vertAlign w:val="subscript"/>
                <w:lang w:val="zh-CN" w:eastAsia="zh-CN"/>
              </w:rPr>
              <w:t>2</w:t>
            </w:r>
            <w:r>
              <w:rPr>
                <w:rFonts w:hint="default" w:ascii="Times New Roman" w:hAnsi="Times New Roman" w:eastAsia="宋体" w:cs="Times New Roman"/>
                <w:bCs/>
                <w:color w:val="auto"/>
                <w:spacing w:val="0"/>
                <w:sz w:val="24"/>
                <w:szCs w:val="21"/>
                <w:highlight w:val="none"/>
                <w:lang w:val="zh-CN" w:eastAsia="zh-CN"/>
              </w:rPr>
              <w:t>、NO</w:t>
            </w:r>
            <w:r>
              <w:rPr>
                <w:rFonts w:hint="default" w:ascii="Times New Roman" w:hAnsi="Times New Roman" w:eastAsia="宋体" w:cs="Times New Roman"/>
                <w:bCs/>
                <w:color w:val="auto"/>
                <w:spacing w:val="0"/>
                <w:sz w:val="24"/>
                <w:szCs w:val="21"/>
                <w:highlight w:val="none"/>
                <w:vertAlign w:val="subscript"/>
                <w:lang w:val="zh-CN" w:eastAsia="zh-CN"/>
              </w:rPr>
              <w:t>2</w:t>
            </w:r>
            <w:r>
              <w:rPr>
                <w:rFonts w:hint="default" w:ascii="Times New Roman" w:hAnsi="Times New Roman" w:eastAsia="宋体" w:cs="Times New Roman"/>
                <w:bCs/>
                <w:color w:val="auto"/>
                <w:spacing w:val="0"/>
                <w:sz w:val="24"/>
                <w:szCs w:val="21"/>
                <w:highlight w:val="none"/>
                <w:lang w:val="zh-CN" w:eastAsia="zh-CN"/>
              </w:rPr>
              <w:t>、CO及O</w:t>
            </w:r>
            <w:r>
              <w:rPr>
                <w:rFonts w:hint="default" w:ascii="Times New Roman" w:hAnsi="Times New Roman" w:eastAsia="宋体" w:cs="Times New Roman"/>
                <w:bCs/>
                <w:color w:val="auto"/>
                <w:spacing w:val="0"/>
                <w:sz w:val="24"/>
                <w:szCs w:val="21"/>
                <w:highlight w:val="none"/>
                <w:vertAlign w:val="subscript"/>
                <w:lang w:val="zh-CN" w:eastAsia="zh-CN"/>
              </w:rPr>
              <w:t>3</w:t>
            </w:r>
            <w:r>
              <w:rPr>
                <w:rFonts w:hint="default" w:ascii="Times New Roman" w:hAnsi="Times New Roman" w:eastAsia="宋体" w:cs="Times New Roman"/>
                <w:bCs/>
                <w:color w:val="auto"/>
                <w:spacing w:val="0"/>
                <w:sz w:val="24"/>
                <w:szCs w:val="21"/>
                <w:highlight w:val="none"/>
                <w:lang w:val="zh-CN" w:eastAsia="zh-CN"/>
              </w:rPr>
              <w:t>均达标，PM</w:t>
            </w:r>
            <w:r>
              <w:rPr>
                <w:rFonts w:hint="default" w:ascii="Times New Roman" w:hAnsi="Times New Roman" w:eastAsia="宋体" w:cs="Times New Roman"/>
                <w:bCs/>
                <w:color w:val="auto"/>
                <w:spacing w:val="0"/>
                <w:sz w:val="24"/>
                <w:szCs w:val="21"/>
                <w:highlight w:val="none"/>
                <w:vertAlign w:val="subscript"/>
                <w:lang w:val="zh-CN" w:eastAsia="zh-CN"/>
              </w:rPr>
              <w:t>10</w:t>
            </w:r>
            <w:r>
              <w:rPr>
                <w:rFonts w:hint="default" w:ascii="Times New Roman" w:hAnsi="Times New Roman" w:eastAsia="宋体" w:cs="Times New Roman"/>
                <w:bCs/>
                <w:color w:val="auto"/>
                <w:spacing w:val="0"/>
                <w:sz w:val="24"/>
                <w:szCs w:val="21"/>
                <w:highlight w:val="none"/>
                <w:lang w:val="zh-CN" w:eastAsia="zh-CN"/>
              </w:rPr>
              <w:t>超标。</w:t>
            </w:r>
            <w:r>
              <w:rPr>
                <w:rFonts w:hint="default" w:ascii="Times New Roman" w:hAnsi="Times New Roman" w:eastAsia="宋体" w:cs="Times New Roman"/>
                <w:color w:val="auto"/>
                <w:spacing w:val="0"/>
                <w:sz w:val="24"/>
                <w:szCs w:val="24"/>
                <w:highlight w:val="none"/>
              </w:rPr>
              <w:t>参照《环境影响评价技术导则 大气环境》（HJ2.2-2018）中6.4.1项目所在区域达标判断规定：“城市环境空气质量达标情况评价指标为SO</w:t>
            </w:r>
            <w:r>
              <w:rPr>
                <w:rFonts w:hint="default" w:ascii="Times New Roman" w:hAnsi="Times New Roman" w:eastAsia="宋体" w:cs="Times New Roman"/>
                <w:color w:val="auto"/>
                <w:spacing w:val="0"/>
                <w:sz w:val="24"/>
                <w:szCs w:val="24"/>
                <w:highlight w:val="none"/>
                <w:vertAlign w:val="subscript"/>
              </w:rPr>
              <w:t>2</w:t>
            </w:r>
            <w:r>
              <w:rPr>
                <w:rFonts w:hint="default" w:ascii="Times New Roman" w:hAnsi="Times New Roman" w:eastAsia="宋体" w:cs="Times New Roman"/>
                <w:color w:val="auto"/>
                <w:spacing w:val="0"/>
                <w:sz w:val="24"/>
                <w:szCs w:val="24"/>
                <w:highlight w:val="none"/>
              </w:rPr>
              <w:t>、NO</w:t>
            </w:r>
            <w:r>
              <w:rPr>
                <w:rFonts w:hint="default" w:ascii="Times New Roman" w:hAnsi="Times New Roman" w:eastAsia="宋体" w:cs="Times New Roman"/>
                <w:color w:val="auto"/>
                <w:spacing w:val="0"/>
                <w:sz w:val="24"/>
                <w:szCs w:val="24"/>
                <w:highlight w:val="none"/>
                <w:vertAlign w:val="subscript"/>
              </w:rPr>
              <w:t>2</w:t>
            </w:r>
            <w:r>
              <w:rPr>
                <w:rFonts w:hint="default" w:ascii="Times New Roman" w:hAnsi="Times New Roman" w:eastAsia="宋体" w:cs="Times New Roman"/>
                <w:color w:val="auto"/>
                <w:spacing w:val="0"/>
                <w:sz w:val="24"/>
                <w:szCs w:val="24"/>
                <w:highlight w:val="none"/>
              </w:rPr>
              <w:t>、PM</w:t>
            </w:r>
            <w:r>
              <w:rPr>
                <w:rFonts w:hint="default" w:ascii="Times New Roman" w:hAnsi="Times New Roman" w:eastAsia="宋体" w:cs="Times New Roman"/>
                <w:color w:val="auto"/>
                <w:spacing w:val="0"/>
                <w:sz w:val="24"/>
                <w:szCs w:val="24"/>
                <w:highlight w:val="none"/>
                <w:vertAlign w:val="subscript"/>
              </w:rPr>
              <w:t>10</w:t>
            </w:r>
            <w:r>
              <w:rPr>
                <w:rFonts w:hint="default" w:ascii="Times New Roman" w:hAnsi="Times New Roman" w:eastAsia="宋体" w:cs="Times New Roman"/>
                <w:color w:val="auto"/>
                <w:spacing w:val="0"/>
                <w:sz w:val="24"/>
                <w:szCs w:val="24"/>
                <w:highlight w:val="none"/>
              </w:rPr>
              <w:t>、PM</w:t>
            </w:r>
            <w:r>
              <w:rPr>
                <w:rFonts w:hint="default" w:ascii="Times New Roman" w:hAnsi="Times New Roman" w:eastAsia="宋体" w:cs="Times New Roman"/>
                <w:color w:val="auto"/>
                <w:spacing w:val="0"/>
                <w:sz w:val="24"/>
                <w:szCs w:val="24"/>
                <w:highlight w:val="none"/>
                <w:vertAlign w:val="subscript"/>
              </w:rPr>
              <w:t>2.5</w:t>
            </w:r>
            <w:r>
              <w:rPr>
                <w:rFonts w:hint="default" w:ascii="Times New Roman" w:hAnsi="Times New Roman" w:eastAsia="宋体" w:cs="Times New Roman"/>
                <w:color w:val="auto"/>
                <w:spacing w:val="0"/>
                <w:sz w:val="24"/>
                <w:szCs w:val="24"/>
                <w:highlight w:val="none"/>
              </w:rPr>
              <w:t>、CO、O</w:t>
            </w:r>
            <w:r>
              <w:rPr>
                <w:rFonts w:hint="default" w:ascii="Times New Roman" w:hAnsi="Times New Roman" w:eastAsia="宋体" w:cs="Times New Roman"/>
                <w:color w:val="auto"/>
                <w:spacing w:val="0"/>
                <w:sz w:val="24"/>
                <w:szCs w:val="24"/>
                <w:highlight w:val="none"/>
                <w:vertAlign w:val="subscript"/>
              </w:rPr>
              <w:t>3</w:t>
            </w:r>
            <w:r>
              <w:rPr>
                <w:rFonts w:hint="default" w:ascii="Times New Roman" w:hAnsi="Times New Roman" w:eastAsia="宋体" w:cs="Times New Roman"/>
                <w:color w:val="auto"/>
                <w:spacing w:val="0"/>
                <w:sz w:val="24"/>
                <w:szCs w:val="24"/>
                <w:highlight w:val="none"/>
              </w:rPr>
              <w:t>，六项污染物全部达标即为城市环境空气质量达标”可知，拟建项目所在区域属于不达标区。春季沙尘天气对环境空气质量影响很大，是造成空气质量不达标的主要因素。</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sz w:val="24"/>
                <w:szCs w:val="24"/>
                <w:highlight w:val="none"/>
                <w:lang w:eastAsia="zh-CN"/>
              </w:rPr>
            </w:pPr>
            <w:r>
              <w:rPr>
                <w:rFonts w:hint="default" w:ascii="Times New Roman" w:hAnsi="Times New Roman" w:eastAsia="宋体" w:cs="Times New Roman"/>
                <w:color w:val="auto"/>
                <w:spacing w:val="0"/>
                <w:sz w:val="24"/>
                <w:szCs w:val="24"/>
                <w:highlight w:val="none"/>
                <w:lang w:eastAsia="zh-CN"/>
              </w:rPr>
              <w:t>根据</w:t>
            </w:r>
            <w:r>
              <w:rPr>
                <w:rFonts w:hint="default" w:ascii="Times New Roman" w:hAnsi="Times New Roman" w:eastAsia="宋体" w:cs="Times New Roman"/>
                <w:color w:val="auto"/>
                <w:spacing w:val="0"/>
                <w:sz w:val="24"/>
                <w:szCs w:val="24"/>
                <w:highlight w:val="none"/>
                <w:lang w:val="en-US" w:eastAsia="zh-CN"/>
              </w:rPr>
              <w:t>《关于将巴音郭楞蒙古自治州、吐鲁番市、哈密市纳入执行〈环境影响评价技术导则 大气环境（HJ 2.2—2018）〉差别化政策范围的复函》</w:t>
            </w:r>
            <w:r>
              <w:rPr>
                <w:rFonts w:hint="default" w:ascii="Times New Roman" w:hAnsi="Times New Roman" w:eastAsia="宋体" w:cs="Times New Roman"/>
                <w:color w:val="auto"/>
                <w:spacing w:val="0"/>
                <w:sz w:val="24"/>
                <w:szCs w:val="24"/>
                <w:highlight w:val="none"/>
                <w:lang w:eastAsia="zh-CN"/>
              </w:rPr>
              <w:t>要求，对巴州实行环境影响评价差别化政策，</w:t>
            </w:r>
            <w:r>
              <w:rPr>
                <w:rFonts w:hint="default" w:ascii="Times New Roman" w:hAnsi="Times New Roman" w:eastAsia="宋体" w:cs="Times New Roman"/>
                <w:color w:val="auto"/>
                <w:spacing w:val="0"/>
                <w:sz w:val="24"/>
                <w:szCs w:val="24"/>
                <w:highlight w:val="none"/>
                <w:lang w:val="en-US" w:eastAsia="zh-CN"/>
              </w:rPr>
              <w:t>新建项目可</w:t>
            </w:r>
            <w:r>
              <w:rPr>
                <w:rFonts w:hint="default" w:ascii="Times New Roman" w:hAnsi="Times New Roman" w:eastAsia="宋体" w:cs="Times New Roman"/>
                <w:color w:val="auto"/>
                <w:spacing w:val="0"/>
                <w:sz w:val="24"/>
                <w:szCs w:val="24"/>
                <w:highlight w:val="none"/>
                <w:lang w:eastAsia="zh-CN"/>
              </w:rPr>
              <w:t>不进行颗粒物区域削减。本项目实施后塔里木油田分公司应不断强化大气污染源防治措施。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0000FF"/>
                <w:sz w:val="24"/>
                <w:highlight w:val="none"/>
              </w:rPr>
            </w:pPr>
            <w:r>
              <w:rPr>
                <w:rFonts w:hint="default" w:ascii="Times New Roman" w:hAnsi="Times New Roman" w:eastAsia="宋体" w:cs="Times New Roman"/>
                <w:color w:val="auto"/>
                <w:spacing w:val="0"/>
                <w:sz w:val="24"/>
                <w:szCs w:val="24"/>
                <w:highlight w:val="none"/>
                <w:lang w:eastAsia="zh-CN"/>
              </w:rPr>
              <w:t>根据《建设项目环境影响报告表编制技术指南（污染影响类）（试行）》中“区域环境质量现状：1.大气环境。排放国家、地方环境空气质量标准中有标准限值要求的特征污染物时，引用建设项目周边5千米范围内近3年的现有监测数据，无相关数据的选择当季主导风向下风向1个点位补充不少于3天的监测数据。”的规定，本项目涉及特征污染物主要为</w:t>
            </w:r>
            <w:r>
              <w:rPr>
                <w:rFonts w:hint="eastAsia" w:ascii="Times New Roman" w:cs="Times New Roman"/>
                <w:color w:val="auto"/>
                <w:spacing w:val="0"/>
                <w:sz w:val="24"/>
                <w:szCs w:val="24"/>
                <w:highlight w:val="none"/>
                <w:lang w:val="en-US" w:eastAsia="zh-CN"/>
              </w:rPr>
              <w:t>硫化氢</w:t>
            </w:r>
            <w:r>
              <w:rPr>
                <w:rFonts w:hint="default" w:ascii="Times New Roman" w:hAnsi="Times New Roman" w:eastAsia="宋体" w:cs="Times New Roman"/>
                <w:color w:val="auto"/>
                <w:spacing w:val="0"/>
                <w:sz w:val="24"/>
                <w:szCs w:val="24"/>
                <w:highlight w:val="none"/>
                <w:lang w:val="en-US" w:eastAsia="zh-CN"/>
              </w:rPr>
              <w:t>、非甲烷总烃、VOCs</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lang w:val="en-US" w:eastAsia="zh-CN"/>
              </w:rPr>
              <w:t>在</w:t>
            </w:r>
            <w:r>
              <w:rPr>
                <w:rFonts w:hint="default" w:ascii="Times New Roman" w:hAnsi="Times New Roman" w:eastAsia="宋体" w:cs="Times New Roman"/>
                <w:color w:val="auto"/>
                <w:spacing w:val="0"/>
                <w:sz w:val="24"/>
                <w:szCs w:val="24"/>
                <w:highlight w:val="none"/>
              </w:rPr>
              <w:t>《环境空气质量标准》（GB3095</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rPr>
              <w:t>2026）</w:t>
            </w:r>
            <w:r>
              <w:rPr>
                <w:rFonts w:hint="default" w:ascii="Times New Roman" w:hAnsi="Times New Roman" w:eastAsia="宋体" w:cs="Times New Roman"/>
                <w:color w:val="auto"/>
                <w:spacing w:val="0"/>
                <w:sz w:val="24"/>
                <w:szCs w:val="24"/>
                <w:highlight w:val="none"/>
                <w:lang w:val="en-US" w:eastAsia="zh-CN"/>
              </w:rPr>
              <w:t>及新疆维吾尔自治区现行环境空气质量地标中</w:t>
            </w:r>
            <w:r>
              <w:rPr>
                <w:rFonts w:hint="default" w:ascii="Times New Roman" w:hAnsi="Times New Roman" w:eastAsia="宋体" w:cs="Times New Roman"/>
                <w:color w:val="auto"/>
                <w:spacing w:val="0"/>
                <w:sz w:val="24"/>
                <w:szCs w:val="24"/>
                <w:highlight w:val="none"/>
                <w:lang w:eastAsia="zh-CN"/>
              </w:rPr>
              <w:t>均未对其环境空气质量作出限值要求，故本次环评不再对该因子环境质量现状进行调查及评价。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rPr>
              <w:t>地表水质量现状</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0000FF"/>
                <w:sz w:val="24"/>
                <w:highlight w:val="none"/>
              </w:rPr>
            </w:pPr>
            <w:r>
              <w:rPr>
                <w:rFonts w:hint="eastAsia" w:ascii="Times New Roman" w:cs="Times New Roman"/>
                <w:color w:val="auto"/>
                <w:sz w:val="24"/>
                <w:highlight w:val="none"/>
                <w:lang w:val="en-US" w:eastAsia="zh-CN"/>
              </w:rPr>
              <w:t>项目位于沙漠腹地，周边无地表水体</w:t>
            </w:r>
            <w:r>
              <w:rPr>
                <w:rFonts w:hint="default" w:ascii="Times New Roman" w:hAnsi="Times New Roman" w:eastAsia="宋体" w:cs="Times New Roman"/>
                <w:color w:val="auto"/>
                <w:sz w:val="24"/>
                <w:highlight w:val="none"/>
              </w:rPr>
              <w:t>。工程施工期钻井废水不外排，生活污水</w:t>
            </w:r>
            <w:r>
              <w:rPr>
                <w:rFonts w:hint="eastAsia" w:ascii="Times New Roman" w:cs="Times New Roman"/>
                <w:color w:val="auto"/>
                <w:sz w:val="24"/>
                <w:highlight w:val="none"/>
                <w:lang w:val="en-US" w:eastAsia="zh-CN"/>
              </w:rPr>
              <w:t>经井场撬装式污水处理装置处理</w:t>
            </w:r>
            <w:r>
              <w:rPr>
                <w:rFonts w:hint="default" w:ascii="Times New Roman" w:hAnsi="Times New Roman" w:eastAsia="宋体" w:cs="Times New Roman"/>
                <w:color w:val="auto"/>
                <w:sz w:val="24"/>
                <w:highlight w:val="none"/>
              </w:rPr>
              <w:t>。按照《环境影响评价技术导则 地表水环境》</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HJ2.3-2018</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中表1水污染影响型建设项目评价等级判定，结合本项目废水属于间接排放的特点，因此本项目可不开展区域污染源调查及现状监测。</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2"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rPr>
              <w:t>地下水质量现状监测及评价</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根据《环境影响评价技术导则 地下水环境》（HJ610-2016）附录A地下水环境影响评价行业分类表，本项目行业类别属于“C 地质勘查24矿产资源地质勘查（包括勘探活动）”，属于Ⅳ类项目，不需开展地下水环境影响评价工作，无需开展地下水环境现状监测。</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2" w:firstLineChars="200"/>
              <w:jc w:val="both"/>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4、</w:t>
            </w:r>
            <w:r>
              <w:rPr>
                <w:rFonts w:hint="default" w:ascii="Times New Roman" w:hAnsi="Times New Roman" w:eastAsia="宋体" w:cs="Times New Roman"/>
                <w:b/>
                <w:bCs/>
                <w:color w:val="auto"/>
                <w:sz w:val="24"/>
                <w:highlight w:val="none"/>
              </w:rPr>
              <w:t>声环境质量现状监测及评价</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参照《建设项目环境影响报告表编制技术指南》（污染影响类）（试行），项目厂界外周边50m范围内无声环境保护目标，无需进行质量现状监测。</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2"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5、</w:t>
            </w:r>
            <w:r>
              <w:rPr>
                <w:rFonts w:hint="default" w:ascii="Times New Roman" w:hAnsi="Times New Roman" w:eastAsia="宋体" w:cs="Times New Roman"/>
                <w:b/>
                <w:bCs/>
                <w:color w:val="auto"/>
                <w:sz w:val="24"/>
                <w:highlight w:val="none"/>
              </w:rPr>
              <w:t>土壤环境质量现状监测与评价</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textAlignment w:val="baseline"/>
              <w:rPr>
                <w:rFonts w:hint="default" w:ascii="Times New Roman" w:hAnsi="Times New Roman" w:eastAsia="宋体" w:cs="Times New Roman"/>
                <w:b/>
                <w:color w:val="0000FF"/>
                <w:kern w:val="24"/>
                <w:sz w:val="24"/>
                <w:szCs w:val="20"/>
                <w:lang w:val="en-US" w:eastAsia="zh-CN"/>
              </w:rPr>
            </w:pPr>
            <w:r>
              <w:rPr>
                <w:rFonts w:hint="default" w:ascii="Times New Roman" w:hAnsi="Times New Roman" w:eastAsia="宋体" w:cs="Times New Roman"/>
                <w:color w:val="auto"/>
                <w:sz w:val="24"/>
                <w:highlight w:val="none"/>
              </w:rPr>
              <w:t>本项目</w:t>
            </w:r>
            <w:r>
              <w:rPr>
                <w:rFonts w:hint="default" w:ascii="Times New Roman" w:hAnsi="Times New Roman" w:eastAsia="宋体" w:cs="Times New Roman"/>
                <w:color w:val="auto"/>
                <w:sz w:val="24"/>
                <w:highlight w:val="none"/>
                <w:lang w:val="en-US" w:eastAsia="zh-CN"/>
              </w:rPr>
              <w:t>为</w:t>
            </w:r>
            <w:r>
              <w:rPr>
                <w:rFonts w:hint="default" w:ascii="Times New Roman" w:hAnsi="Times New Roman" w:eastAsia="宋体" w:cs="Times New Roman"/>
                <w:color w:val="auto"/>
                <w:sz w:val="24"/>
                <w:highlight w:val="none"/>
              </w:rPr>
              <w:t>陆地矿产资源地质勘查（含油气资源勘探）</w:t>
            </w:r>
            <w:r>
              <w:rPr>
                <w:rFonts w:hint="default" w:ascii="Times New Roman" w:hAnsi="Times New Roman" w:eastAsia="宋体" w:cs="Times New Roman"/>
                <w:color w:val="auto"/>
                <w:sz w:val="24"/>
                <w:highlight w:val="none"/>
                <w:lang w:val="en-US" w:eastAsia="zh-CN"/>
              </w:rPr>
              <w:t>项目，</w:t>
            </w:r>
            <w:r>
              <w:rPr>
                <w:rFonts w:hint="default" w:ascii="Times New Roman" w:hAnsi="Times New Roman" w:eastAsia="宋体" w:cs="Times New Roman"/>
                <w:color w:val="auto"/>
                <w:sz w:val="24"/>
                <w:highlight w:val="none"/>
              </w:rPr>
              <w:t>根据《环境影响评价技术导则 土壤环境（试行）》（HJ964-2018）附录A中表A.1 土壤环境影响评价项目类别，属于“其他行业”，为Ⅳ类项目，可不开展土壤环境影响评价工作，无需开展土壤环境质量现状监测。</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2" w:firstLineChars="200"/>
              <w:jc w:val="both"/>
              <w:textAlignment w:val="baseline"/>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6、</w:t>
            </w:r>
            <w:r>
              <w:rPr>
                <w:rFonts w:hint="default" w:ascii="Times New Roman" w:hAnsi="Times New Roman" w:eastAsia="宋体" w:cs="Times New Roman"/>
                <w:b/>
                <w:color w:val="auto"/>
                <w:sz w:val="24"/>
              </w:rPr>
              <w:t>生态环境</w:t>
            </w:r>
          </w:p>
          <w:bookmarkEnd w:id="41"/>
          <w:bookmarkEnd w:id="42"/>
          <w:bookmarkEnd w:id="43"/>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主体功能区规划</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新疆维吾尔自治区主体功能区规划》，本项目不在新疆维吾尔自治区主体功能区规划划定的禁止开发区，主要目的是勘探油气资源，开发强度不会超过区域规划目标。工程施工过程中严格控制施工占地，井场、生活区建设完成后，采取措施及时恢复临时占地，尽可能减少对区域生态环境的影响。</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0000FF"/>
                <w:sz w:val="24"/>
                <w:highlight w:val="none"/>
                <w:lang w:val="en-US" w:eastAsia="zh-CN"/>
              </w:rPr>
            </w:pPr>
            <w:r>
              <w:rPr>
                <w:rFonts w:hint="default" w:ascii="Times New Roman" w:hAnsi="Times New Roman" w:eastAsia="宋体" w:cs="Times New Roman"/>
                <w:color w:val="auto"/>
                <w:sz w:val="24"/>
                <w:highlight w:val="none"/>
                <w:lang w:val="en-US" w:eastAsia="zh-CN"/>
              </w:rPr>
              <w:t>综上所述，工程未处于主体功能区划中的禁止开发区，与区域主体功能区划目标相协调。</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（2）生态功能区划</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参照《新疆生态功能区划》（新疆维吾尔自治区环境保护局2003年9月），本项目主要生态服务功能、生态敏感因子、主要生态问题和主要保护目标见表3-2。</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2" w:firstLineChars="20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表3-2    区域生态功能区划</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840"/>
              <w:gridCol w:w="906"/>
              <w:gridCol w:w="1018"/>
              <w:gridCol w:w="1023"/>
              <w:gridCol w:w="1036"/>
              <w:gridCol w:w="1050"/>
              <w:gridCol w:w="900"/>
              <w:gridCol w:w="133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22" w:hRule="atLeast"/>
                <w:jc w:val="center"/>
              </w:trPr>
              <w:tc>
                <w:tcPr>
                  <w:tcW w:w="2764" w:type="dxa"/>
                  <w:gridSpan w:val="3"/>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生态功能分区单元</w:t>
                  </w:r>
                </w:p>
              </w:tc>
              <w:tc>
                <w:tcPr>
                  <w:tcW w:w="1023"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主要生态服务功能</w:t>
                  </w:r>
                </w:p>
              </w:tc>
              <w:tc>
                <w:tcPr>
                  <w:tcW w:w="1036"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环境问题</w:t>
                  </w:r>
                </w:p>
              </w:tc>
              <w:tc>
                <w:tcPr>
                  <w:tcW w:w="1050"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主要生态敏感因子、敏感程度</w:t>
                  </w:r>
                </w:p>
              </w:tc>
              <w:tc>
                <w:tcPr>
                  <w:tcW w:w="900"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主要保护目标</w:t>
                  </w:r>
                </w:p>
              </w:tc>
              <w:tc>
                <w:tcPr>
                  <w:tcW w:w="1336"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适宜发展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方向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09" w:hRule="atLeast"/>
                <w:jc w:val="center"/>
              </w:trPr>
              <w:tc>
                <w:tcPr>
                  <w:tcW w:w="840"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生态区</w:t>
                  </w:r>
                </w:p>
              </w:tc>
              <w:tc>
                <w:tcPr>
                  <w:tcW w:w="906"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亚区</w:t>
                  </w:r>
                </w:p>
              </w:tc>
              <w:tc>
                <w:tcPr>
                  <w:tcW w:w="1018"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生态</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功能区</w:t>
                  </w:r>
                </w:p>
              </w:tc>
              <w:tc>
                <w:tcPr>
                  <w:tcW w:w="1023"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03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050"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900"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33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09" w:hRule="atLeast"/>
                <w:jc w:val="center"/>
              </w:trPr>
              <w:tc>
                <w:tcPr>
                  <w:tcW w:w="840"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IV.塔里木盆地暖温荒漠及绿洲农业生态区</w:t>
                  </w:r>
                </w:p>
              </w:tc>
              <w:tc>
                <w:tcPr>
                  <w:tcW w:w="906"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IV.</w:t>
                  </w:r>
                  <w:r>
                    <w:rPr>
                      <w:rFonts w:hint="eastAsia" w:ascii="Times New Roman"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val="en-US" w:eastAsia="zh-CN"/>
                    </w:rPr>
                    <w:t>塔里木盆地中部塔克拉玛干流动沙漠生态亚区</w:t>
                  </w:r>
                </w:p>
              </w:tc>
              <w:tc>
                <w:tcPr>
                  <w:tcW w:w="1018"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71</w:t>
                  </w:r>
                  <w:r>
                    <w:rPr>
                      <w:rFonts w:hint="default" w:ascii="Times New Roman" w:hAnsi="Times New Roman" w:eastAsia="宋体" w:cs="Times New Roman"/>
                      <w:color w:val="auto"/>
                      <w:sz w:val="21"/>
                      <w:szCs w:val="21"/>
                      <w:highlight w:val="none"/>
                      <w:lang w:val="en-US" w:eastAsia="zh-CN"/>
                    </w:rPr>
                    <w:t>.塔克拉玛干东部流动沙漠景观与油田开发生态功能区</w:t>
                  </w:r>
                </w:p>
              </w:tc>
              <w:tc>
                <w:tcPr>
                  <w:tcW w:w="1023"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沙漠景观、风沙源地、油气资源开发</w:t>
                  </w:r>
                </w:p>
              </w:tc>
              <w:tc>
                <w:tcPr>
                  <w:tcW w:w="1036"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风沙</w:t>
                  </w:r>
                  <w:r>
                    <w:rPr>
                      <w:rFonts w:hint="eastAsia" w:ascii="Times New Roman" w:cs="Times New Roman"/>
                      <w:color w:val="auto"/>
                      <w:sz w:val="21"/>
                      <w:szCs w:val="21"/>
                      <w:highlight w:val="none"/>
                      <w:lang w:val="en-US" w:eastAsia="zh-CN"/>
                    </w:rPr>
                    <w:t>威胁</w:t>
                  </w:r>
                  <w:r>
                    <w:rPr>
                      <w:rFonts w:hint="default" w:ascii="Times New Roman" w:hAnsi="Times New Roman" w:eastAsia="宋体" w:cs="Times New Roman"/>
                      <w:color w:val="auto"/>
                      <w:sz w:val="21"/>
                      <w:szCs w:val="21"/>
                      <w:highlight w:val="none"/>
                      <w:lang w:val="en-US" w:eastAsia="zh-CN"/>
                    </w:rPr>
                    <w:t>绿洲和公路以及油田设施、石油开发区环境污染</w:t>
                  </w:r>
                </w:p>
              </w:tc>
              <w:tc>
                <w:tcPr>
                  <w:tcW w:w="1050"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土壤侵蚀高度敏感，土地沙漠化极度敏感，土壤盐渍化轻度敏感</w:t>
                  </w:r>
                </w:p>
              </w:tc>
              <w:tc>
                <w:tcPr>
                  <w:tcW w:w="900"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保护油田设施和沙漠公路、保护文物古迹</w:t>
                  </w:r>
                </w:p>
              </w:tc>
              <w:tc>
                <w:tcPr>
                  <w:tcW w:w="1336"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加强沙漠油气资源勘探开发，适度开发地下水进行油田和公路绿化，发展沙漠探险旅游</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由表3-2可知，本项目位于“塔克拉玛干东部流动沙漠景观与油田开发生态功能区”，主要生态服务功能为“沙漠景观、风沙源地、油气资源开发”，主要保护目标为“保护油田设施和沙漠公路、保护文物古迹”，适宜发展方向为“加强沙漠油气资源勘探开发，适度开发地下水进行油田和公路绿化，发展沙漠探险旅游”。本项目为油气资源勘探项目，与区域发展方向相协调。工程施工期废气达标排放、废水不外排、产生的固废妥善处置，不改变生态功能区主要生态服务功能，对区域生态环境影响是可接受的。</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（3）环境功能区划</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工程所在区域为油气勘探开发区域，大气环境属于《环境空气质量标准》（GB3095-2026）二类区。根据《地下水质量标准》（GB/T14848-2017）地下水质量分类规定，工程所在区域地下水执行《地下水质量标准》（GB/T14848-2017）Ⅲ类标准。周围区域以油气开采为主要功能，声环境为《声环境质量标准》（GB3096-2008）2类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7、生态环境调查与评价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本项目气候类型属大陆性暖温带干旱</w:t>
            </w:r>
            <w:r>
              <w:rPr>
                <w:rFonts w:hint="eastAsia" w:ascii="Times New Roman" w:cs="Times New Roman"/>
                <w:color w:val="auto"/>
                <w:kern w:val="2"/>
                <w:sz w:val="24"/>
                <w:szCs w:val="24"/>
                <w:lang w:val="en-US" w:eastAsia="zh-CN"/>
              </w:rPr>
              <w:t>性气候</w:t>
            </w:r>
            <w:r>
              <w:rPr>
                <w:rFonts w:hint="default" w:ascii="Times New Roman" w:hAnsi="Times New Roman" w:eastAsia="宋体" w:cs="Times New Roman"/>
                <w:color w:val="auto"/>
                <w:kern w:val="2"/>
                <w:sz w:val="24"/>
                <w:szCs w:val="24"/>
                <w:lang w:val="en-US" w:eastAsia="zh-CN"/>
              </w:rPr>
              <w:t>，干旱少雨，不利于土壤中矿物质分解，土壤发育</w:t>
            </w:r>
            <w:r>
              <w:rPr>
                <w:rFonts w:hint="eastAsia" w:ascii="Times New Roman" w:cs="Times New Roman"/>
                <w:color w:val="auto"/>
                <w:kern w:val="2"/>
                <w:sz w:val="24"/>
                <w:szCs w:val="24"/>
                <w:lang w:val="en-US" w:eastAsia="zh-CN"/>
              </w:rPr>
              <w:t>较差</w:t>
            </w:r>
            <w:r>
              <w:rPr>
                <w:rFonts w:hint="default" w:ascii="Times New Roman" w:hAnsi="Times New Roman" w:eastAsia="宋体" w:cs="Times New Roman"/>
                <w:color w:val="auto"/>
                <w:kern w:val="2"/>
                <w:sz w:val="24"/>
                <w:szCs w:val="24"/>
                <w:lang w:val="en-US" w:eastAsia="zh-CN"/>
              </w:rPr>
              <w:t>，类型较为简单，为风沙土。项目占地为戈壁荒漠，周边分布有少量植被，主要有疏叶骆驼刺，植物群落类型单一、生物量低，生物多样性单一，群落稳定性差。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sz w:val="24"/>
                <w:szCs w:val="24"/>
                <w:highlight w:val="none"/>
                <w:lang w:val="en-US" w:eastAsia="zh-CN"/>
              </w:rPr>
              <w:t>本工程位于塔克拉玛干沙漠北部，塔里木河南岸，属于典型的荒漠生态系统，由于水分缺乏，植被极其稀疏，植物种类单调，生物生产量很低，能量流动和物质循环缓慢。</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（1）土地利用现状调查与评价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szCs w:val="24"/>
                <w:highlight w:val="none"/>
                <w:lang w:val="en-US" w:eastAsia="zh-CN"/>
              </w:rPr>
              <w:t>根据遥感调查结果及《土地利用现状分类》</w:t>
            </w:r>
            <w:r>
              <w:rPr>
                <w:rFonts w:hint="eastAsia" w:asci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GB/T21010-2017</w:t>
            </w:r>
            <w:r>
              <w:rPr>
                <w:rFonts w:hint="eastAsia" w:asci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，以确定项目的土地利用类型为</w:t>
            </w:r>
            <w:r>
              <w:rPr>
                <w:rFonts w:hint="eastAsia" w:ascii="Times New Roman" w:cs="Times New Roman"/>
                <w:color w:val="auto"/>
                <w:sz w:val="24"/>
                <w:szCs w:val="24"/>
                <w:highlight w:val="none"/>
                <w:lang w:val="en-US" w:eastAsia="zh-CN"/>
              </w:rPr>
              <w:t>沙地</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（2）植被现状调查与评价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调查范围内地表基本无植被生长，为裸地。植物物种的分布和水文条件直接有关，沙漠边缘分布有一年生草本植物和依靠水平根系吸收水分的植物，地下水位较深的地区，分布深根型多年生植物，沙漠腹地绝大部分为流动沙丘，极端干旱的气候和稀疏的植被使得该区域的生物种类贫乏，仅在一些高大沙丘间低地、地下水位较高的地段生长有柽柳、疏叶骆驼刺等植物群落，沙漠除局部地段外，绝大部分地段无植物生长，本项目评价范围内基本无植被分布。本项目评价范围内不涉及重点保护野生植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（3）土壤现状调查与评价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kern w:val="2"/>
                <w:sz w:val="24"/>
                <w:szCs w:val="24"/>
                <w:highlight w:val="none"/>
              </w:rPr>
              <w:t>结合实地调查和遥感卫星影像，评价区域土壤类型单一，为风沙土。这种土壤是在风成沙性母质上发育起来的，质地较粗，物理性粘粒很少。因风蚀风积作用的交替进行，使土壤发育处于不断的复幼状况下，加之植被稀疏生物作用微弱，有机物质积累很少，成土过程十分微弱，剖面层次分化不明显，因此风沙土在很大程度上只具有风积沙沉积物岩性特征而缺乏其它的诊断层和诊断特征。风沙土可分为流动风沙土、半固定风沙土和固定风沙土三个亚类。本区域土壤类型以流动风沙土为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（4）动物现状调查与评价</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项目油气田所在区域动物种群数量较少，多为荒漠鸟类、爬行类和啮齿类动物。塔克拉玛干沙漠及其边缘地带共分布有野生脊椎动物34种，其中爬行类5种，哺乳动物14种，鸟类15种，这些动物能够在沙漠环境中相对独立生存。</w:t>
            </w:r>
          </w:p>
          <w:p>
            <w:pPr>
              <w:keepNext w:val="0"/>
              <w:keepLines w:val="0"/>
              <w:widowControl w:val="0"/>
              <w:suppressLineNumbers w:val="0"/>
              <w:autoSpaceDE w:val="0"/>
              <w:autoSpaceDN/>
              <w:spacing w:before="0" w:beforeAutospacing="0" w:after="0" w:afterAutospacing="0" w:line="440" w:lineRule="exact"/>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在油田开发区域，因人类活动较频繁，对人类活动敏感的野生动物已远离。评价区域内未见保护动物分布。</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（5）生态敏感区调查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eastAsia" w:ascii="Times New Roman" w:cs="Times New Roman"/>
                <w:color w:val="auto"/>
                <w:sz w:val="24"/>
                <w:highlight w:val="none"/>
                <w:lang w:val="en-US" w:eastAsia="zh-CN"/>
              </w:rPr>
              <w:t>本项目西南距塔里木盆地南缘土地沙化防控生态保护红线区122.9km</w:t>
            </w:r>
            <w:r>
              <w:rPr>
                <w:rFonts w:hint="default" w:ascii="Times New Roman" w:hAnsi="Times New Roman" w:eastAsia="宋体" w:cs="Times New Roman"/>
                <w:color w:val="auto"/>
                <w:sz w:val="24"/>
                <w:highlight w:val="none"/>
                <w:lang w:val="en-US" w:eastAsia="zh-CN"/>
              </w:rPr>
              <w:t>，不占用生态保护红线。本工程施工区域、占地区域、井场及道路周边无依据法律法规、政策等规范性文件划定或确认的国家公园、自然保护区、自然公园等自然保护地、世界自然遗产、生态保护红线等区域及重要物种的天然集中分布区、栖息地，重要水生生物的产卵场、索饵场、越冬场和洄游通道，迁徙鸟类的重要繁殖地、停歇地、越冬地以及野生动物迁徙通道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（6）水土流失现状</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根据《新疆第六次沙化监测报告》，巴音郭楞蒙古自治州为2492.12万公顷，占新疆沙化土地面积33.37%，在巴音郭楞蒙古自治州中沙化土地面积较大的县市有且末县和若羌县，若羌县沙化土地面积为1035.13万公顷，占全州沙化土地面积的41.54%；且末县沙化土地面积为854.41万公顷，占全州沙化土地面积的34.28%；其它7个县市沙化土地面积602.59万公顷，占24.18%。根据《新疆维吾尔自治区2022年度水土流失动态监测年报》，若羌县沙化土地面积为1035.13万公顷，占全州沙化土地面积的41.54%；且末县沙化土地面积为854.41万公顷，占全州沙化土地面积的34.28%；其它7个县市沙化土地面积602.59万公顷，占24.18%。</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szCs w:val="32"/>
                <w:highlight w:val="none"/>
                <w:lang w:val="en-US" w:eastAsia="zh-CN"/>
              </w:rPr>
              <w:t>根据《新疆第六次沙化监测报告》，项目位于沙化土地区。</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（8）区域沙化土地现状</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新疆维吾尔自治区防沙治沙规划》（2021-2030年），本项目所在区域属于“塔克拉玛干沙漠生态保护修复区”中的“塔克拉玛干沙漠中部封育保育小区”。该区域主要生态问题为：自然环境严酷，气候极端干旱，年降水量在30mm以下，沙尘天气强度大、频率高。地表水极度缺乏，地下水虽大多埋深较浅，但基本为高矿化度水质。地表多为裸露的流动沙丘（地），受盛行风向影响沙丘均向南移动。项目所在区域沙化土地类型属于流动沙地（丘），土地沙化程度为极重度，可治理度属于难治理。</w:t>
            </w:r>
          </w:p>
          <w:p>
            <w:pPr>
              <w:keepNext w:val="0"/>
              <w:keepLines w:val="0"/>
              <w:pageBreakBefore w:val="0"/>
              <w:widowControl w:val="0"/>
              <w:suppressLineNumbers w:val="0"/>
              <w:kinsoku/>
              <w:wordWrap/>
              <w:overflowPunct/>
              <w:topLinePunct w:val="0"/>
              <w:bidi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0000FF"/>
                <w:sz w:val="24"/>
                <w:highlight w:val="none"/>
                <w:lang w:val="en-US" w:eastAsia="zh-CN"/>
              </w:rPr>
            </w:pPr>
            <w:r>
              <w:rPr>
                <w:rFonts w:hint="default" w:ascii="Times New Roman" w:hAnsi="Times New Roman" w:eastAsia="宋体" w:cs="Times New Roman"/>
                <w:color w:val="auto"/>
                <w:sz w:val="24"/>
                <w:highlight w:val="none"/>
                <w:lang w:val="en-US" w:eastAsia="zh-CN"/>
              </w:rPr>
              <w:t>根据《新疆第六次沙化监测报告》，且末县位于沙化监测县级单位范围中，且末县沙化土地面积为854.41万公顷，占全州沙化土地面积的34.28%。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77" w:hRule="atLeast"/>
          <w:jc w:val="center"/>
        </w:trPr>
        <w:tc>
          <w:tcPr>
            <w:tcW w:w="728" w:type="dxa"/>
            <w:noWrap w:val="0"/>
            <w:tcMar>
              <w:left w:w="108" w:type="dxa"/>
              <w:right w:w="10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auto"/>
              <w:rPr>
                <w:rFonts w:hint="default" w:ascii="Times New Roman" w:hAnsi="Times New Roman" w:eastAsia="宋体" w:cs="Times New Roman"/>
                <w:color w:val="auto"/>
                <w:spacing w:val="-11"/>
                <w:kern w:val="0"/>
                <w:szCs w:val="21"/>
                <w:highlight w:val="none"/>
              </w:rPr>
            </w:pPr>
            <w:r>
              <w:rPr>
                <w:rFonts w:hint="default" w:ascii="Times New Roman" w:hAnsi="Times New Roman" w:eastAsia="宋体" w:cs="Times New Roman"/>
                <w:color w:val="auto"/>
                <w:sz w:val="24"/>
                <w:szCs w:val="24"/>
                <w:highlight w:val="none"/>
                <w:lang w:val="en-US" w:eastAsia="zh-CN"/>
              </w:rPr>
              <w:t>与项目有关的原有环境污染和生态破坏问题</w:t>
            </w:r>
          </w:p>
        </w:tc>
        <w:tc>
          <w:tcPr>
            <w:tcW w:w="8344"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bCs/>
                <w:color w:val="auto"/>
                <w:szCs w:val="21"/>
                <w:highlight w:val="none"/>
                <w:lang w:bidi="ar"/>
              </w:rPr>
            </w:pPr>
            <w:r>
              <w:rPr>
                <w:rFonts w:hint="default" w:ascii="Times New Roman" w:hAnsi="Times New Roman" w:eastAsia="宋体" w:cs="Times New Roman"/>
                <w:color w:val="auto"/>
                <w:sz w:val="24"/>
                <w:szCs w:val="24"/>
                <w:highlight w:val="none"/>
              </w:rPr>
              <w:t>拟建项目属于新建项目，现状占地为</w:t>
            </w:r>
            <w:r>
              <w:rPr>
                <w:rFonts w:hint="eastAsia" w:ascii="Times New Roman" w:cs="Times New Roman"/>
                <w:color w:val="auto"/>
                <w:sz w:val="24"/>
                <w:szCs w:val="24"/>
                <w:highlight w:val="none"/>
                <w:lang w:val="en-US" w:eastAsia="zh-CN"/>
              </w:rPr>
              <w:t>沙地</w:t>
            </w:r>
            <w:r>
              <w:rPr>
                <w:rFonts w:hint="default" w:ascii="Times New Roman" w:hAnsi="Times New Roman" w:eastAsia="宋体" w:cs="Times New Roman"/>
                <w:color w:val="auto"/>
                <w:sz w:val="24"/>
                <w:szCs w:val="24"/>
                <w:highlight w:val="none"/>
              </w:rPr>
              <w:t>，不涉及原有环境污染问题。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8"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4"/>
                <w:szCs w:val="24"/>
                <w:highlight w:val="none"/>
                <w:lang w:val="en-US" w:eastAsia="zh-CN"/>
              </w:rPr>
              <w:t>生态环境保护目标</w:t>
            </w:r>
          </w:p>
        </w:tc>
        <w:tc>
          <w:tcPr>
            <w:tcW w:w="8344" w:type="dxa"/>
            <w:noWrap w:val="0"/>
            <w:tcMar>
              <w:left w:w="108" w:type="dxa"/>
              <w:right w:w="108" w:type="dxa"/>
            </w:tcMar>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本项目仅涉及施工期，无运营期正常排放污染源，根据《环境影响评价技术导则 大气环境》</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HJ2.2-2018</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无需设置大气环境影响评价范围，参照《建设项目环境影响报告表编制技术指南（污染影响类）（试行）》，根据现场调查可知，井场外500m范围内无自然保护区、风景名胜区和其他需要特殊保护的区域以及村庄、学校、医院等敏感点，因此不再设置环境空气保护目标</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w:t>
            </w:r>
            <w:r>
              <w:rPr>
                <w:rFonts w:hint="eastAsia" w:ascii="Times New Roman" w:cs="Times New Roman"/>
                <w:color w:val="auto"/>
                <w:sz w:val="24"/>
                <w:highlight w:val="none"/>
                <w:lang w:val="en-US" w:eastAsia="zh-CN"/>
              </w:rPr>
              <w:t>周边无地表水体</w:t>
            </w:r>
            <w:r>
              <w:rPr>
                <w:rFonts w:hint="default" w:ascii="Times New Roman" w:hAnsi="Times New Roman" w:eastAsia="宋体" w:cs="Times New Roman"/>
                <w:color w:val="auto"/>
                <w:sz w:val="24"/>
                <w:szCs w:val="24"/>
                <w:highlight w:val="none"/>
              </w:rPr>
              <w:t>，工程施工期钻井废水不外排，不再设置地表水保护目标</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根据《环境影响评价技术导则 地下水环境》</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HJ610-2016</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本项目地下水环境影响评价项目类别为Ⅳ类，故本次不对地下水进行环境影响评价，且施工边界环境影响范围内无地下水集中式饮用水水源和热水、矿泉水、温泉等特殊地下水资源，因此本项目不再设置地下水环境保护目标</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本项目周边50m范围内无声环境敏感点，不再设置声环境保护目标；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根据《环境影响评价技术导则 土壤环境（试行）》（HJ964-2018）附录A，本项目属于Ⅳ类项目，根据导则判定本项目可不开展土壤环境影响评价，因此本项目不再设置土壤环境保护目标</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根据《环境影响评价技术导则 生态影响》（HJ19-2022），结合本项目工程内容及周围环境特征，生态环境评价范围为井场施工边界外扩50m，本项目施工所在区域不涉及国家公园、自然公园、世界自然遗产、生态保护红线及重要生境等生态敏感区，故不设置生态保护目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8"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sz w:val="24"/>
                <w:szCs w:val="24"/>
                <w:highlight w:val="none"/>
                <w:lang w:val="en-US" w:eastAsia="zh-CN"/>
              </w:rPr>
              <w:t>标准</w:t>
            </w:r>
          </w:p>
        </w:tc>
        <w:tc>
          <w:tcPr>
            <w:tcW w:w="8344" w:type="dxa"/>
            <w:noWrap w:val="0"/>
            <w:tcMar>
              <w:left w:w="108" w:type="dxa"/>
              <w:right w:w="108" w:type="dxa"/>
            </w:tcMar>
            <w:vAlign w:val="top"/>
          </w:tcPr>
          <w:p>
            <w:pPr>
              <w:keepNext w:val="0"/>
              <w:keepLines w:val="0"/>
              <w:suppressLineNumbers w:val="0"/>
              <w:adjustRightInd w:val="0"/>
              <w:snapToGrid w:val="0"/>
              <w:spacing w:before="0" w:beforeAutospacing="0" w:after="0" w:afterAutospacing="0" w:line="440" w:lineRule="exact"/>
              <w:ind w:left="0" w:right="0"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1、环境质量标准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空气环境：PM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、CO、O</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2</w:t>
            </w:r>
            <w:r>
              <w:rPr>
                <w:rFonts w:hint="eastAsia" w:ascii="Times New Roman" w:cs="Times New Roman"/>
                <w:color w:val="auto"/>
                <w:sz w:val="24"/>
                <w:szCs w:val="24"/>
                <w:highlight w:val="none"/>
                <w:vertAlign w:val="baseline"/>
                <w:lang w:eastAsia="zh-CN"/>
              </w:rPr>
              <w:t>、</w:t>
            </w:r>
            <w:r>
              <w:rPr>
                <w:rFonts w:hint="eastAsia" w:ascii="Times New Roman" w:cs="Times New Roman"/>
                <w:color w:val="auto"/>
                <w:sz w:val="24"/>
                <w:szCs w:val="24"/>
                <w:highlight w:val="none"/>
                <w:vertAlign w:val="baseline"/>
                <w:lang w:val="en-US" w:eastAsia="zh-CN"/>
              </w:rPr>
              <w:t>TSP</w:t>
            </w:r>
            <w:r>
              <w:rPr>
                <w:rFonts w:hint="default" w:ascii="Times New Roman" w:hAnsi="Times New Roman" w:eastAsia="宋体" w:cs="Times New Roman"/>
                <w:color w:val="auto"/>
                <w:sz w:val="24"/>
                <w:szCs w:val="24"/>
                <w:highlight w:val="none"/>
              </w:rPr>
              <w:t>执行《环境空气质量标准》（GB3095-20</w:t>
            </w:r>
            <w:r>
              <w:rPr>
                <w:rFonts w:hint="default" w:ascii="Times New Roman" w:hAnsi="Times New Roman" w:eastAsia="宋体" w:cs="Times New Roman"/>
                <w:color w:val="auto"/>
                <w:sz w:val="24"/>
                <w:szCs w:val="24"/>
                <w:highlight w:val="none"/>
                <w:lang w:val="en-US" w:eastAsia="zh-CN"/>
              </w:rPr>
              <w:t>26</w:t>
            </w:r>
            <w:r>
              <w:rPr>
                <w:rFonts w:hint="default" w:ascii="Times New Roman" w:hAnsi="Times New Roman" w:eastAsia="宋体" w:cs="Times New Roman"/>
                <w:color w:val="auto"/>
                <w:sz w:val="24"/>
                <w:szCs w:val="24"/>
                <w:highlight w:val="none"/>
              </w:rPr>
              <w:t>）二级标准；非甲烷总烃参照执行《大气污染物综合排放标准详解》中2.0mg/m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的浓度限值；H</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S浓度执行《环境影响评价技术导则 大气环境》（HJ2.2-2018）附录D其他污染物空气质量浓度参考限值10μg/m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的标准</w:t>
            </w:r>
            <w:r>
              <w:rPr>
                <w:rFonts w:hint="default" w:ascii="Times New Roman" w:hAnsi="Times New Roman" w:eastAsia="宋体" w:cs="Times New Roman"/>
                <w:color w:val="auto"/>
                <w:sz w:val="24"/>
                <w:szCs w:val="24"/>
                <w:highlight w:val="none"/>
                <w:lang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声环境：工程所在区域为油田勘探开发区域，以居住、工业混杂为主要功能，执行《声环境质量标准》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GB3096-2008</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2类区标准</w:t>
            </w:r>
            <w:r>
              <w:rPr>
                <w:rFonts w:hint="default" w:ascii="Times New Roman" w:hAnsi="Times New Roman" w:eastAsia="宋体" w:cs="Times New Roman"/>
                <w:color w:val="auto"/>
                <w:sz w:val="24"/>
                <w:szCs w:val="24"/>
                <w:highlight w:val="none"/>
                <w:lang w:eastAsia="zh-CN"/>
              </w:rPr>
              <w:t>。</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表3-3    环境质量标准</w:t>
            </w:r>
          </w:p>
          <w:tbl>
            <w:tblPr>
              <w:tblStyle w:val="32"/>
              <w:tblW w:w="81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35"/>
              <w:gridCol w:w="956"/>
              <w:gridCol w:w="1951"/>
              <w:gridCol w:w="1176"/>
              <w:gridCol w:w="1112"/>
              <w:gridCol w:w="220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20" w:hRule="atLeast"/>
                <w:jc w:val="center"/>
              </w:trPr>
              <w:tc>
                <w:tcPr>
                  <w:tcW w:w="735"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环境</w:t>
                  </w:r>
                </w:p>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要素</w:t>
                  </w:r>
                </w:p>
              </w:tc>
              <w:tc>
                <w:tcPr>
                  <w:tcW w:w="956" w:type="dxa"/>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项目</w:t>
                  </w:r>
                </w:p>
              </w:tc>
              <w:tc>
                <w:tcPr>
                  <w:tcW w:w="1951" w:type="dxa"/>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取值时间</w:t>
                  </w:r>
                </w:p>
              </w:tc>
              <w:tc>
                <w:tcPr>
                  <w:tcW w:w="1176" w:type="dxa"/>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val="en-US" w:eastAsia="zh-CN" w:bidi="ar"/>
                    </w:rPr>
                  </w:pPr>
                  <w:r>
                    <w:rPr>
                      <w:rFonts w:hint="default" w:ascii="Times New Roman" w:hAnsi="Times New Roman" w:eastAsia="宋体" w:cs="Times New Roman"/>
                      <w:color w:val="auto"/>
                      <w:spacing w:val="-10"/>
                      <w:sz w:val="21"/>
                      <w:szCs w:val="21"/>
                      <w:highlight w:val="none"/>
                      <w:lang w:bidi="ar"/>
                    </w:rPr>
                    <w:t>标准</w:t>
                  </w:r>
                </w:p>
              </w:tc>
              <w:tc>
                <w:tcPr>
                  <w:tcW w:w="1112" w:type="dxa"/>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单位</w:t>
                  </w:r>
                </w:p>
              </w:tc>
              <w:tc>
                <w:tcPr>
                  <w:tcW w:w="2207" w:type="dxa"/>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标准来源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restart"/>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环境</w:t>
                  </w:r>
                </w:p>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空气</w:t>
                  </w:r>
                </w:p>
              </w:tc>
              <w:tc>
                <w:tcPr>
                  <w:tcW w:w="956" w:type="dxa"/>
                  <w:vMerge w:val="restart"/>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PM</w:t>
                  </w:r>
                  <w:r>
                    <w:rPr>
                      <w:rFonts w:hint="default" w:ascii="Times New Roman" w:hAnsi="Times New Roman" w:eastAsia="宋体" w:cs="Times New Roman"/>
                      <w:color w:val="auto"/>
                      <w:spacing w:val="-10"/>
                      <w:sz w:val="21"/>
                      <w:szCs w:val="21"/>
                      <w:highlight w:val="none"/>
                      <w:vertAlign w:val="subscript"/>
                    </w:rPr>
                    <w:t>10</w:t>
                  </w:r>
                </w:p>
              </w:tc>
              <w:tc>
                <w:tcPr>
                  <w:tcW w:w="1951"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年平均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rPr>
                    <w:t>60</w:t>
                  </w:r>
                </w:p>
              </w:tc>
              <w:tc>
                <w:tcPr>
                  <w:tcW w:w="1112" w:type="dxa"/>
                  <w:vMerge w:val="restart"/>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μg/m</w:t>
                  </w:r>
                  <w:r>
                    <w:rPr>
                      <w:rFonts w:hint="default" w:ascii="Times New Roman" w:hAnsi="Times New Roman" w:eastAsia="宋体" w:cs="Times New Roman"/>
                      <w:color w:val="auto"/>
                      <w:spacing w:val="-10"/>
                      <w:sz w:val="21"/>
                      <w:szCs w:val="21"/>
                      <w:highlight w:val="none"/>
                      <w:vertAlign w:val="superscript"/>
                      <w:lang w:bidi="ar"/>
                    </w:rPr>
                    <w:t>3</w:t>
                  </w:r>
                </w:p>
              </w:tc>
              <w:tc>
                <w:tcPr>
                  <w:tcW w:w="2207" w:type="dxa"/>
                  <w:vMerge w:val="restart"/>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val="en-US" w:eastAsia="zh-CN" w:bidi="ar"/>
                    </w:rPr>
                  </w:pPr>
                  <w:r>
                    <w:rPr>
                      <w:rFonts w:hint="default" w:ascii="Times New Roman" w:hAnsi="Times New Roman" w:eastAsia="宋体" w:cs="Times New Roman"/>
                      <w:color w:val="auto"/>
                      <w:spacing w:val="-10"/>
                      <w:sz w:val="21"/>
                      <w:szCs w:val="21"/>
                      <w:highlight w:val="none"/>
                      <w:lang w:bidi="ar"/>
                    </w:rPr>
                    <w:t>《环境空气质量标准》（GB3095-20</w:t>
                  </w:r>
                  <w:r>
                    <w:rPr>
                      <w:rFonts w:hint="default" w:ascii="Times New Roman" w:hAnsi="Times New Roman" w:eastAsia="宋体" w:cs="Times New Roman"/>
                      <w:color w:val="auto"/>
                      <w:spacing w:val="-10"/>
                      <w:sz w:val="21"/>
                      <w:szCs w:val="21"/>
                      <w:highlight w:val="none"/>
                      <w:lang w:val="en-US" w:eastAsia="zh-CN" w:bidi="ar"/>
                    </w:rPr>
                    <w:t>26</w:t>
                  </w:r>
                  <w:r>
                    <w:rPr>
                      <w:rFonts w:hint="default" w:ascii="Times New Roman" w:hAnsi="Times New Roman" w:eastAsia="宋体" w:cs="Times New Roman"/>
                      <w:color w:val="auto"/>
                      <w:spacing w:val="-10"/>
                      <w:sz w:val="21"/>
                      <w:szCs w:val="21"/>
                      <w:highlight w:val="none"/>
                      <w:lang w:bidi="ar"/>
                    </w:rPr>
                    <w:t>）</w:t>
                  </w:r>
                  <w:r>
                    <w:rPr>
                      <w:rFonts w:hint="eastAsia" w:ascii="Times New Roman" w:cs="Times New Roman"/>
                      <w:color w:val="auto"/>
                      <w:spacing w:val="-10"/>
                      <w:sz w:val="21"/>
                      <w:szCs w:val="21"/>
                      <w:highlight w:val="none"/>
                      <w:lang w:val="en-US" w:eastAsia="zh-CN" w:bidi="ar"/>
                    </w:rPr>
                    <w:t>过渡期二级标准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pacing w:val="-10"/>
                      <w:sz w:val="21"/>
                      <w:szCs w:val="21"/>
                      <w:highlight w:val="none"/>
                      <w:lang w:eastAsia="zh-CN" w:bidi="ar"/>
                    </w:rPr>
                  </w:pPr>
                  <w:r>
                    <w:rPr>
                      <w:rFonts w:hint="eastAsia" w:ascii="Times New Roman" w:cs="Times New Roman"/>
                      <w:color w:val="auto"/>
                      <w:spacing w:val="-10"/>
                      <w:sz w:val="21"/>
                      <w:szCs w:val="21"/>
                      <w:highlight w:val="none"/>
                      <w:lang w:val="en-US" w:eastAsia="zh-CN"/>
                    </w:rPr>
                    <w:t>日平均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rPr>
                    <w:t>120</w:t>
                  </w:r>
                </w:p>
              </w:tc>
              <w:tc>
                <w:tcPr>
                  <w:tcW w:w="1112"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restart"/>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PM</w:t>
                  </w:r>
                  <w:r>
                    <w:rPr>
                      <w:rFonts w:hint="default" w:ascii="Times New Roman" w:hAnsi="Times New Roman" w:eastAsia="宋体" w:cs="Times New Roman"/>
                      <w:color w:val="auto"/>
                      <w:spacing w:val="-10"/>
                      <w:sz w:val="21"/>
                      <w:szCs w:val="21"/>
                      <w:highlight w:val="none"/>
                      <w:vertAlign w:val="subscript"/>
                    </w:rPr>
                    <w:t>2.5</w:t>
                  </w: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default" w:ascii="Times New Roman" w:hAnsi="Times New Roman" w:eastAsia="宋体" w:cs="Times New Roman"/>
                      <w:color w:val="auto"/>
                      <w:spacing w:val="-10"/>
                      <w:sz w:val="21"/>
                      <w:szCs w:val="21"/>
                      <w:highlight w:val="none"/>
                    </w:rPr>
                    <w:t>年平均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kern w:val="0"/>
                      <w:sz w:val="21"/>
                      <w:szCs w:val="21"/>
                      <w:highlight w:val="none"/>
                      <w:lang w:val="en-US" w:eastAsia="zh-CN"/>
                    </w:rPr>
                    <w:t>30</w:t>
                  </w:r>
                </w:p>
              </w:tc>
              <w:tc>
                <w:tcPr>
                  <w:tcW w:w="1112"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rPr>
                    <w:t>日平均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kern w:val="0"/>
                      <w:sz w:val="21"/>
                      <w:szCs w:val="21"/>
                      <w:highlight w:val="none"/>
                      <w:lang w:val="en-US" w:eastAsia="zh-CN"/>
                    </w:rPr>
                    <w:t>60</w:t>
                  </w:r>
                </w:p>
              </w:tc>
              <w:tc>
                <w:tcPr>
                  <w:tcW w:w="1112"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restart"/>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SO</w:t>
                  </w:r>
                  <w:r>
                    <w:rPr>
                      <w:rFonts w:hint="default" w:ascii="Times New Roman" w:hAnsi="Times New Roman" w:eastAsia="宋体" w:cs="Times New Roman"/>
                      <w:color w:val="auto"/>
                      <w:spacing w:val="-10"/>
                      <w:sz w:val="21"/>
                      <w:szCs w:val="21"/>
                      <w:highlight w:val="none"/>
                      <w:vertAlign w:val="subscript"/>
                      <w:lang w:bidi="ar"/>
                    </w:rPr>
                    <w:t>2</w:t>
                  </w: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default" w:ascii="Times New Roman" w:hAnsi="Times New Roman" w:eastAsia="宋体" w:cs="Times New Roman"/>
                      <w:color w:val="auto"/>
                      <w:spacing w:val="-10"/>
                      <w:sz w:val="21"/>
                      <w:szCs w:val="21"/>
                      <w:highlight w:val="none"/>
                    </w:rPr>
                    <w:t>年平均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rPr>
                    <w:t>60</w:t>
                  </w:r>
                </w:p>
              </w:tc>
              <w:tc>
                <w:tcPr>
                  <w:tcW w:w="1112"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rPr>
                    <w:t>日平均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rPr>
                    <w:t>150</w:t>
                  </w:r>
                </w:p>
              </w:tc>
              <w:tc>
                <w:tcPr>
                  <w:tcW w:w="1112"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1小时平均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rPr>
                    <w:t>500</w:t>
                  </w:r>
                </w:p>
              </w:tc>
              <w:tc>
                <w:tcPr>
                  <w:tcW w:w="1112"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restart"/>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NO</w:t>
                  </w:r>
                  <w:r>
                    <w:rPr>
                      <w:rFonts w:hint="default" w:ascii="Times New Roman" w:hAnsi="Times New Roman" w:eastAsia="宋体" w:cs="Times New Roman"/>
                      <w:color w:val="auto"/>
                      <w:spacing w:val="-10"/>
                      <w:sz w:val="21"/>
                      <w:szCs w:val="21"/>
                      <w:highlight w:val="none"/>
                      <w:vertAlign w:val="subscript"/>
                      <w:lang w:bidi="ar"/>
                    </w:rPr>
                    <w:t>2</w:t>
                  </w: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default" w:ascii="Times New Roman" w:hAnsi="Times New Roman" w:eastAsia="宋体" w:cs="Times New Roman"/>
                      <w:color w:val="auto"/>
                      <w:spacing w:val="-10"/>
                      <w:sz w:val="21"/>
                      <w:szCs w:val="21"/>
                      <w:highlight w:val="none"/>
                    </w:rPr>
                    <w:t>年平均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rPr>
                    <w:t>40</w:t>
                  </w:r>
                </w:p>
              </w:tc>
              <w:tc>
                <w:tcPr>
                  <w:tcW w:w="1112"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rPr>
                    <w:t>日平均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rPr>
                    <w:t>80</w:t>
                  </w:r>
                </w:p>
              </w:tc>
              <w:tc>
                <w:tcPr>
                  <w:tcW w:w="1112"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1小时平均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rPr>
                    <w:t>200</w:t>
                  </w:r>
                </w:p>
              </w:tc>
              <w:tc>
                <w:tcPr>
                  <w:tcW w:w="1112"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restart"/>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CO</w:t>
                  </w:r>
                </w:p>
              </w:tc>
              <w:tc>
                <w:tcPr>
                  <w:tcW w:w="1951"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1小时平均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kern w:val="0"/>
                      <w:sz w:val="21"/>
                      <w:szCs w:val="21"/>
                      <w:highlight w:val="none"/>
                      <w:lang w:val="en-US" w:eastAsia="zh-CN"/>
                    </w:rPr>
                    <w:t>10</w:t>
                  </w:r>
                </w:p>
              </w:tc>
              <w:tc>
                <w:tcPr>
                  <w:tcW w:w="1112" w:type="dxa"/>
                  <w:vMerge w:val="restart"/>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mg/m</w:t>
                  </w:r>
                  <w:r>
                    <w:rPr>
                      <w:rFonts w:hint="default" w:ascii="Times New Roman" w:hAnsi="Times New Roman" w:eastAsia="宋体" w:cs="Times New Roman"/>
                      <w:color w:val="auto"/>
                      <w:spacing w:val="-10"/>
                      <w:sz w:val="21"/>
                      <w:szCs w:val="21"/>
                      <w:highlight w:val="none"/>
                      <w:vertAlign w:val="superscript"/>
                    </w:rPr>
                    <w:t>3</w:t>
                  </w: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eastAsia" w:ascii="Times New Roman" w:hAnsi="Times New Roman" w:eastAsia="宋体" w:cs="Times New Roman"/>
                      <w:color w:val="auto"/>
                      <w:spacing w:val="-10"/>
                      <w:sz w:val="21"/>
                      <w:szCs w:val="21"/>
                      <w:highlight w:val="none"/>
                      <w:lang w:eastAsia="zh-CN" w:bidi="ar"/>
                    </w:rPr>
                  </w:pPr>
                  <w:r>
                    <w:rPr>
                      <w:rFonts w:hint="eastAsia" w:ascii="Times New Roman" w:cs="Times New Roman"/>
                      <w:color w:val="auto"/>
                      <w:spacing w:val="-10"/>
                      <w:sz w:val="21"/>
                      <w:szCs w:val="21"/>
                      <w:highlight w:val="none"/>
                      <w:lang w:val="en-US" w:eastAsia="zh-CN"/>
                    </w:rPr>
                    <w:t>日平均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rPr>
                    <w:t>4</w:t>
                  </w:r>
                </w:p>
              </w:tc>
              <w:tc>
                <w:tcPr>
                  <w:tcW w:w="1112"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restart"/>
                  <w:noWrap w:val="0"/>
                  <w:tcMar>
                    <w:left w:w="28" w:type="dxa"/>
                    <w:right w:w="28" w:type="dxa"/>
                  </w:tcMar>
                  <w:vAlign w:val="center"/>
                </w:tcPr>
                <w:p>
                  <w:pPr>
                    <w:keepNext w:val="0"/>
                    <w:keepLines w:val="0"/>
                    <w:pageBreakBefore w:val="0"/>
                    <w:widowControl w:val="0"/>
                    <w:suppressLineNumbers w:val="0"/>
                    <w:kinsoku/>
                    <w:wordWrap/>
                    <w:overflowPunct/>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val="zh-CN"/>
                    </w:rPr>
                    <w:t>O</w:t>
                  </w:r>
                  <w:r>
                    <w:rPr>
                      <w:rFonts w:hint="default" w:ascii="Times New Roman" w:hAnsi="Times New Roman" w:eastAsia="宋体" w:cs="Times New Roman"/>
                      <w:color w:val="auto"/>
                      <w:spacing w:val="-10"/>
                      <w:sz w:val="21"/>
                      <w:szCs w:val="21"/>
                      <w:highlight w:val="none"/>
                      <w:vertAlign w:val="subscript"/>
                      <w:lang w:val="zh-CN"/>
                    </w:rPr>
                    <w:t>3</w:t>
                  </w:r>
                </w:p>
              </w:tc>
              <w:tc>
                <w:tcPr>
                  <w:tcW w:w="1951" w:type="dxa"/>
                  <w:noWrap w:val="0"/>
                  <w:tcMar>
                    <w:left w:w="28" w:type="dxa"/>
                    <w:right w:w="28" w:type="dxa"/>
                  </w:tcMar>
                  <w:vAlign w:val="center"/>
                </w:tcPr>
                <w:p>
                  <w:pPr>
                    <w:keepNext w:val="0"/>
                    <w:keepLines w:val="0"/>
                    <w:pageBreakBefore w:val="0"/>
                    <w:widowControl w:val="0"/>
                    <w:suppressLineNumbers w:val="0"/>
                    <w:kinsoku/>
                    <w:wordWrap/>
                    <w:overflowPunct/>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lang w:bidi="ar"/>
                    </w:rPr>
                    <w:t>日最大8小时平均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kern w:val="0"/>
                      <w:sz w:val="21"/>
                      <w:szCs w:val="21"/>
                      <w:highlight w:val="none"/>
                    </w:rPr>
                    <w:t>160</w:t>
                  </w:r>
                </w:p>
              </w:tc>
              <w:tc>
                <w:tcPr>
                  <w:tcW w:w="1112" w:type="dxa"/>
                  <w:vMerge w:val="restart"/>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μg/m</w:t>
                  </w:r>
                  <w:r>
                    <w:rPr>
                      <w:rFonts w:hint="default" w:ascii="Times New Roman" w:hAnsi="Times New Roman" w:eastAsia="宋体" w:cs="Times New Roman"/>
                      <w:color w:val="auto"/>
                      <w:spacing w:val="-10"/>
                      <w:sz w:val="21"/>
                      <w:szCs w:val="21"/>
                      <w:highlight w:val="none"/>
                      <w:vertAlign w:val="superscript"/>
                    </w:rPr>
                    <w:t>3</w:t>
                  </w: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noWrap w:val="0"/>
                  <w:tcMar>
                    <w:left w:w="28" w:type="dxa"/>
                    <w:right w:w="28" w:type="dxa"/>
                  </w:tcMar>
                  <w:vAlign w:val="center"/>
                </w:tcPr>
                <w:p>
                  <w:pPr>
                    <w:keepNext w:val="0"/>
                    <w:keepLines w:val="0"/>
                    <w:pageBreakBefore w:val="0"/>
                    <w:widowControl w:val="0"/>
                    <w:suppressLineNumbers w:val="0"/>
                    <w:kinsoku/>
                    <w:wordWrap/>
                    <w:overflowPunct/>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lang w:val="zh-CN"/>
                    </w:rPr>
                    <w:t>1小时平均</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r>
                    <w:rPr>
                      <w:rFonts w:hint="default" w:ascii="Times New Roman" w:hAnsi="Times New Roman" w:eastAsia="宋体" w:cs="Times New Roman"/>
                      <w:color w:val="auto"/>
                      <w:kern w:val="0"/>
                      <w:sz w:val="21"/>
                      <w:szCs w:val="21"/>
                    </w:rPr>
                    <w:t>200</w:t>
                  </w:r>
                </w:p>
              </w:tc>
              <w:tc>
                <w:tcPr>
                  <w:tcW w:w="1112"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restart"/>
                  <w:shd w:val="clear" w:color="auto" w:fill="auto"/>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val="en-US" w:eastAsia="zh-CN"/>
                    </w:rPr>
                    <w:t>TSP</w:t>
                  </w: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zh-CN" w:eastAsia="zh-CN" w:bidi="ar-SA"/>
                    </w:rPr>
                  </w:pPr>
                  <w:r>
                    <w:rPr>
                      <w:rFonts w:hint="default" w:ascii="Times New Roman" w:hAnsi="Times New Roman" w:eastAsia="宋体" w:cs="Times New Roman"/>
                      <w:color w:val="auto"/>
                      <w:spacing w:val="-10"/>
                      <w:sz w:val="21"/>
                      <w:szCs w:val="21"/>
                      <w:highlight w:val="none"/>
                    </w:rPr>
                    <w:t>年平均</w:t>
                  </w:r>
                </w:p>
              </w:tc>
              <w:tc>
                <w:tcPr>
                  <w:tcW w:w="1176"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leftChars="0" w:right="0" w:right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200</w:t>
                  </w:r>
                </w:p>
              </w:tc>
              <w:tc>
                <w:tcPr>
                  <w:tcW w:w="1112" w:type="dxa"/>
                  <w:vMerge w:val="restart"/>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μg/m</w:t>
                  </w:r>
                  <w:r>
                    <w:rPr>
                      <w:rFonts w:hint="default" w:ascii="Times New Roman" w:hAnsi="Times New Roman" w:eastAsia="宋体" w:cs="Times New Roman"/>
                      <w:color w:val="auto"/>
                      <w:spacing w:val="-10"/>
                      <w:sz w:val="21"/>
                      <w:szCs w:val="21"/>
                      <w:highlight w:val="none"/>
                      <w:vertAlign w:val="superscript"/>
                      <w:lang w:bidi="ar"/>
                    </w:rPr>
                    <w:t>3</w:t>
                  </w:r>
                </w:p>
              </w:tc>
              <w:tc>
                <w:tcPr>
                  <w:tcW w:w="2207" w:type="dxa"/>
                  <w:vMerge w:val="restart"/>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《环境空气质量标准》（GB3095-20</w:t>
                  </w:r>
                  <w:r>
                    <w:rPr>
                      <w:rFonts w:hint="default" w:ascii="Times New Roman" w:hAnsi="Times New Roman" w:eastAsia="宋体" w:cs="Times New Roman"/>
                      <w:color w:val="auto"/>
                      <w:spacing w:val="-10"/>
                      <w:sz w:val="21"/>
                      <w:szCs w:val="21"/>
                      <w:highlight w:val="none"/>
                      <w:lang w:val="en-US" w:eastAsia="zh-CN" w:bidi="ar"/>
                    </w:rPr>
                    <w:t>26</w:t>
                  </w:r>
                  <w:r>
                    <w:rPr>
                      <w:rFonts w:hint="default" w:ascii="Times New Roman" w:hAnsi="Times New Roman" w:eastAsia="宋体" w:cs="Times New Roman"/>
                      <w:color w:val="auto"/>
                      <w:spacing w:val="-10"/>
                      <w:sz w:val="21"/>
                      <w:szCs w:val="21"/>
                      <w:highlight w:val="none"/>
                      <w:lang w:bidi="ar"/>
                    </w:rPr>
                    <w:t>）</w:t>
                  </w:r>
                  <w:r>
                    <w:rPr>
                      <w:rFonts w:hint="eastAsia" w:ascii="Times New Roman" w:cs="Times New Roman"/>
                      <w:color w:val="auto"/>
                      <w:spacing w:val="-10"/>
                      <w:sz w:val="21"/>
                      <w:szCs w:val="21"/>
                      <w:highlight w:val="none"/>
                      <w:lang w:val="en-US" w:eastAsia="zh-CN" w:bidi="ar"/>
                    </w:rPr>
                    <w:t>二级标准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1"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zh-CN" w:eastAsia="zh-CN" w:bidi="ar-SA"/>
                    </w:rPr>
                  </w:pPr>
                  <w:r>
                    <w:rPr>
                      <w:rFonts w:hint="eastAsia" w:ascii="Times New Roman" w:cs="Times New Roman"/>
                      <w:color w:val="auto"/>
                      <w:spacing w:val="-10"/>
                      <w:sz w:val="21"/>
                      <w:szCs w:val="21"/>
                      <w:highlight w:val="none"/>
                      <w:lang w:val="en-US" w:eastAsia="zh-CN"/>
                    </w:rPr>
                    <w:t>日均值</w:t>
                  </w:r>
                </w:p>
              </w:tc>
              <w:tc>
                <w:tcPr>
                  <w:tcW w:w="1176" w:type="dxa"/>
                  <w:shd w:val="clear" w:color="auto" w:fill="auto"/>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40" w:lineRule="exact"/>
                    <w:ind w:left="0" w:leftChars="0" w:right="0" w:right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300</w:t>
                  </w:r>
                </w:p>
              </w:tc>
              <w:tc>
                <w:tcPr>
                  <w:tcW w:w="1112"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70"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非甲烷</w:t>
                  </w:r>
                </w:p>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总烃</w:t>
                  </w:r>
                </w:p>
              </w:tc>
              <w:tc>
                <w:tcPr>
                  <w:tcW w:w="1951" w:type="dxa"/>
                  <w:noWrap w:val="0"/>
                  <w:tcMar>
                    <w:left w:w="28" w:type="dxa"/>
                    <w:right w:w="28" w:type="dxa"/>
                  </w:tcMar>
                  <w:vAlign w:val="center"/>
                </w:tcPr>
                <w:p>
                  <w:pPr>
                    <w:keepNext w:val="0"/>
                    <w:keepLines w:val="0"/>
                    <w:pageBreakBefore w:val="0"/>
                    <w:widowControl w:val="0"/>
                    <w:suppressLineNumbers w:val="0"/>
                    <w:kinsoku/>
                    <w:wordWrap/>
                    <w:overflowPunct/>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r>
                    <w:rPr>
                      <w:rFonts w:hint="default" w:ascii="Times New Roman" w:hAnsi="Times New Roman" w:eastAsia="宋体" w:cs="Times New Roman"/>
                      <w:color w:val="auto"/>
                      <w:spacing w:val="-10"/>
                      <w:sz w:val="21"/>
                      <w:szCs w:val="21"/>
                      <w:highlight w:val="none"/>
                      <w:lang w:val="zh-CN"/>
                    </w:rPr>
                    <w:t>1小时平均</w:t>
                  </w:r>
                </w:p>
              </w:tc>
              <w:tc>
                <w:tcPr>
                  <w:tcW w:w="1176" w:type="dxa"/>
                  <w:noWrap w:val="0"/>
                  <w:tcMar>
                    <w:left w:w="28" w:type="dxa"/>
                    <w:right w:w="28" w:type="dxa"/>
                  </w:tcMar>
                  <w:vAlign w:val="center"/>
                </w:tcPr>
                <w:p>
                  <w:pPr>
                    <w:pStyle w:val="77"/>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2.0</w:t>
                  </w:r>
                </w:p>
              </w:tc>
              <w:tc>
                <w:tcPr>
                  <w:tcW w:w="1112" w:type="dxa"/>
                  <w:noWrap w:val="0"/>
                  <w:tcMar>
                    <w:left w:w="28" w:type="dxa"/>
                    <w:right w:w="28" w:type="dxa"/>
                  </w:tcMar>
                  <w:vAlign w:val="center"/>
                </w:tcPr>
                <w:p>
                  <w:pPr>
                    <w:pStyle w:val="77"/>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mg/m</w:t>
                  </w:r>
                  <w:r>
                    <w:rPr>
                      <w:rFonts w:hint="default" w:ascii="Times New Roman" w:hAnsi="Times New Roman" w:eastAsia="宋体" w:cs="Times New Roman"/>
                      <w:color w:val="auto"/>
                      <w:spacing w:val="-10"/>
                      <w:sz w:val="21"/>
                      <w:szCs w:val="21"/>
                      <w:highlight w:val="none"/>
                      <w:vertAlign w:val="superscript"/>
                    </w:rPr>
                    <w:t>3</w:t>
                  </w:r>
                </w:p>
              </w:tc>
              <w:tc>
                <w:tcPr>
                  <w:tcW w:w="2207" w:type="dxa"/>
                  <w:noWrap w:val="0"/>
                  <w:tcMar>
                    <w:left w:w="28" w:type="dxa"/>
                    <w:right w:w="28" w:type="dxa"/>
                  </w:tcMar>
                  <w:vAlign w:val="center"/>
                </w:tcPr>
                <w:p>
                  <w:pPr>
                    <w:pStyle w:val="77"/>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《大气污染物综合排放标准详解》中的2.0mg/m</w:t>
                  </w:r>
                  <w:r>
                    <w:rPr>
                      <w:rFonts w:hint="default" w:ascii="Times New Roman" w:hAnsi="Times New Roman" w:eastAsia="宋体" w:cs="Times New Roman"/>
                      <w:color w:val="auto"/>
                      <w:spacing w:val="-10"/>
                      <w:sz w:val="21"/>
                      <w:szCs w:val="21"/>
                      <w:highlight w:val="none"/>
                      <w:vertAlign w:val="superscript"/>
                    </w:rPr>
                    <w:t>3</w:t>
                  </w:r>
                  <w:r>
                    <w:rPr>
                      <w:rFonts w:hint="default" w:ascii="Times New Roman" w:hAnsi="Times New Roman" w:eastAsia="宋体" w:cs="Times New Roman"/>
                      <w:color w:val="auto"/>
                      <w:spacing w:val="-10"/>
                      <w:sz w:val="21"/>
                      <w:szCs w:val="21"/>
                      <w:highlight w:val="none"/>
                    </w:rPr>
                    <w:t>的标准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11"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noWrap w:val="0"/>
                  <w:tcMar>
                    <w:left w:w="28" w:type="dxa"/>
                    <w:right w:w="28" w:type="dxa"/>
                  </w:tcMar>
                  <w:vAlign w:val="center"/>
                </w:tcPr>
                <w:p>
                  <w:pPr>
                    <w:pStyle w:val="77"/>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H</w:t>
                  </w:r>
                  <w:r>
                    <w:rPr>
                      <w:rFonts w:hint="default" w:ascii="Times New Roman" w:hAnsi="Times New Roman" w:eastAsia="宋体" w:cs="Times New Roman"/>
                      <w:color w:val="auto"/>
                      <w:spacing w:val="-10"/>
                      <w:sz w:val="21"/>
                      <w:szCs w:val="21"/>
                      <w:highlight w:val="none"/>
                      <w:vertAlign w:val="subscript"/>
                    </w:rPr>
                    <w:t>2</w:t>
                  </w:r>
                  <w:r>
                    <w:rPr>
                      <w:rFonts w:hint="default" w:ascii="Times New Roman" w:hAnsi="Times New Roman" w:eastAsia="宋体" w:cs="Times New Roman"/>
                      <w:color w:val="auto"/>
                      <w:spacing w:val="-10"/>
                      <w:sz w:val="21"/>
                      <w:szCs w:val="21"/>
                      <w:highlight w:val="none"/>
                    </w:rPr>
                    <w:t>S</w:t>
                  </w:r>
                </w:p>
              </w:tc>
              <w:tc>
                <w:tcPr>
                  <w:tcW w:w="1951" w:type="dxa"/>
                  <w:noWrap w:val="0"/>
                  <w:tcMar>
                    <w:left w:w="28" w:type="dxa"/>
                    <w:right w:w="28" w:type="dxa"/>
                  </w:tcMar>
                  <w:vAlign w:val="center"/>
                </w:tcPr>
                <w:p>
                  <w:pPr>
                    <w:pStyle w:val="77"/>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val="zh-CN"/>
                    </w:rPr>
                  </w:pPr>
                  <w:r>
                    <w:rPr>
                      <w:rFonts w:hint="default" w:ascii="Times New Roman" w:hAnsi="Times New Roman" w:eastAsia="宋体" w:cs="Times New Roman"/>
                      <w:color w:val="auto"/>
                      <w:spacing w:val="-10"/>
                      <w:sz w:val="21"/>
                      <w:szCs w:val="21"/>
                      <w:highlight w:val="none"/>
                    </w:rPr>
                    <w:t>1小时平均</w:t>
                  </w:r>
                </w:p>
              </w:tc>
              <w:tc>
                <w:tcPr>
                  <w:tcW w:w="1176" w:type="dxa"/>
                  <w:noWrap w:val="0"/>
                  <w:tcMar>
                    <w:left w:w="28" w:type="dxa"/>
                    <w:right w:w="28" w:type="dxa"/>
                  </w:tcMar>
                  <w:vAlign w:val="center"/>
                </w:tcPr>
                <w:p>
                  <w:pPr>
                    <w:pStyle w:val="77"/>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10</w:t>
                  </w:r>
                </w:p>
              </w:tc>
              <w:tc>
                <w:tcPr>
                  <w:tcW w:w="1112" w:type="dxa"/>
                  <w:noWrap w:val="0"/>
                  <w:tcMar>
                    <w:left w:w="28" w:type="dxa"/>
                    <w:right w:w="28" w:type="dxa"/>
                  </w:tcMar>
                  <w:vAlign w:val="center"/>
                </w:tcPr>
                <w:p>
                  <w:pPr>
                    <w:pStyle w:val="77"/>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lang w:bidi="ar"/>
                    </w:rPr>
                    <w:t>μg/m</w:t>
                  </w:r>
                  <w:r>
                    <w:rPr>
                      <w:rFonts w:hint="default" w:ascii="Times New Roman" w:hAnsi="Times New Roman" w:eastAsia="宋体" w:cs="Times New Roman"/>
                      <w:color w:val="auto"/>
                      <w:spacing w:val="-10"/>
                      <w:sz w:val="21"/>
                      <w:szCs w:val="21"/>
                      <w:highlight w:val="none"/>
                      <w:vertAlign w:val="superscript"/>
                      <w:lang w:bidi="ar"/>
                    </w:rPr>
                    <w:t>3</w:t>
                  </w:r>
                </w:p>
              </w:tc>
              <w:tc>
                <w:tcPr>
                  <w:tcW w:w="2207" w:type="dxa"/>
                  <w:noWrap w:val="0"/>
                  <w:tcMar>
                    <w:left w:w="28" w:type="dxa"/>
                    <w:right w:w="28" w:type="dxa"/>
                  </w:tcMar>
                  <w:vAlign w:val="center"/>
                </w:tcPr>
                <w:p>
                  <w:pPr>
                    <w:pStyle w:val="77"/>
                    <w:keepNext w:val="0"/>
                    <w:keepLines w:val="0"/>
                    <w:pageBreakBefore w:val="0"/>
                    <w:widowControl w:val="0"/>
                    <w:suppressLineNumbers w:val="0"/>
                    <w:kinsoku/>
                    <w:wordWrap/>
                    <w:overflowPunct/>
                    <w:topLine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《环境影响评价技术导则 大气环境》（HJ2.2-2018）附录D其他污染物空气质量浓度参考限值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51" w:hRule="atLeast"/>
                <w:jc w:val="center"/>
              </w:trPr>
              <w:tc>
                <w:tcPr>
                  <w:tcW w:w="735" w:type="dxa"/>
                  <w:vMerge w:val="restart"/>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声环境</w:t>
                  </w:r>
                </w:p>
              </w:tc>
              <w:tc>
                <w:tcPr>
                  <w:tcW w:w="956" w:type="dxa"/>
                  <w:vMerge w:val="restart"/>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L</w:t>
                  </w:r>
                  <w:r>
                    <w:rPr>
                      <w:rFonts w:hint="default" w:ascii="Times New Roman" w:hAnsi="Times New Roman" w:eastAsia="宋体" w:cs="Times New Roman"/>
                      <w:color w:val="auto"/>
                      <w:spacing w:val="-10"/>
                      <w:sz w:val="21"/>
                      <w:szCs w:val="21"/>
                      <w:highlight w:val="none"/>
                      <w:vertAlign w:val="subscript"/>
                    </w:rPr>
                    <w:t>Aeq，T</w:t>
                  </w:r>
                </w:p>
              </w:tc>
              <w:tc>
                <w:tcPr>
                  <w:tcW w:w="1951" w:type="dxa"/>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val="zh-CN"/>
                    </w:rPr>
                  </w:pPr>
                  <w:r>
                    <w:rPr>
                      <w:rFonts w:hint="default" w:ascii="Times New Roman" w:hAnsi="Times New Roman" w:eastAsia="宋体" w:cs="Times New Roman"/>
                      <w:color w:val="auto"/>
                      <w:spacing w:val="-10"/>
                      <w:sz w:val="21"/>
                      <w:szCs w:val="21"/>
                      <w:highlight w:val="none"/>
                    </w:rPr>
                    <w:t>昼间</w:t>
                  </w:r>
                </w:p>
              </w:tc>
              <w:tc>
                <w:tcPr>
                  <w:tcW w:w="1176" w:type="dxa"/>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60</w:t>
                  </w:r>
                </w:p>
              </w:tc>
              <w:tc>
                <w:tcPr>
                  <w:tcW w:w="1112" w:type="dxa"/>
                  <w:vMerge w:val="restart"/>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eastAsia"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dB</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A</w:t>
                  </w:r>
                  <w:r>
                    <w:rPr>
                      <w:rFonts w:hint="eastAsia" w:ascii="Times New Roman" w:cs="Times New Roman"/>
                      <w:color w:val="auto"/>
                      <w:spacing w:val="-10"/>
                      <w:sz w:val="21"/>
                      <w:szCs w:val="21"/>
                      <w:highlight w:val="none"/>
                      <w:lang w:eastAsia="zh-CN"/>
                    </w:rPr>
                    <w:t>）</w:t>
                  </w:r>
                </w:p>
              </w:tc>
              <w:tc>
                <w:tcPr>
                  <w:tcW w:w="2207" w:type="dxa"/>
                  <w:vMerge w:val="restart"/>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《声环境质量标准》</w:t>
                  </w:r>
                </w:p>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GB3096-2008</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2类标准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6" w:hRule="atLeast"/>
                <w:jc w:val="center"/>
              </w:trPr>
              <w:tc>
                <w:tcPr>
                  <w:tcW w:w="735" w:type="dxa"/>
                  <w:vMerge w:val="continue"/>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956"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1951"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r>
                    <w:rPr>
                      <w:rFonts w:hint="default" w:ascii="Times New Roman" w:hAnsi="Times New Roman" w:eastAsia="宋体" w:cs="Times New Roman"/>
                      <w:color w:val="auto"/>
                      <w:spacing w:val="-10"/>
                      <w:sz w:val="21"/>
                      <w:szCs w:val="21"/>
                      <w:highlight w:val="none"/>
                    </w:rPr>
                    <w:t>夜间</w:t>
                  </w:r>
                </w:p>
              </w:tc>
              <w:tc>
                <w:tcPr>
                  <w:tcW w:w="1176" w:type="dxa"/>
                  <w:noWrap w:val="0"/>
                  <w:tcMar>
                    <w:left w:w="28" w:type="dxa"/>
                    <w:right w:w="28" w:type="dxa"/>
                  </w:tcMar>
                  <w:vAlign w:val="center"/>
                </w:tcPr>
                <w:p>
                  <w:pPr>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50</w:t>
                  </w:r>
                </w:p>
              </w:tc>
              <w:tc>
                <w:tcPr>
                  <w:tcW w:w="1112"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c>
                <w:tcPr>
                  <w:tcW w:w="2207" w:type="dxa"/>
                  <w:vMerge w:val="continue"/>
                  <w:noWrap w:val="0"/>
                  <w:tcMar>
                    <w:left w:w="28" w:type="dxa"/>
                    <w:right w:w="28" w:type="dxa"/>
                  </w:tcMar>
                  <w:vAlign w:val="center"/>
                </w:tcPr>
                <w:p>
                  <w:pPr>
                    <w:pStyle w:val="77"/>
                    <w:keepNext w:val="0"/>
                    <w:keepLines w:val="0"/>
                    <w:pageBreakBefore w:val="0"/>
                    <w:widowControl w:val="0"/>
                    <w:suppressLineNumbers w:val="0"/>
                    <w:kinsoku/>
                    <w:wordWrap/>
                    <w:overflowPunct/>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2、污染物排放执行标准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废气</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施工扬尘</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1"/>
                <w:highlight w:val="none"/>
              </w:rPr>
              <w:t>完井测试天然气燃烧烟气</w:t>
            </w:r>
            <w:r>
              <w:rPr>
                <w:rFonts w:hint="default" w:ascii="Times New Roman" w:hAnsi="Times New Roman" w:eastAsia="宋体" w:cs="Times New Roman"/>
                <w:color w:val="auto"/>
                <w:sz w:val="24"/>
                <w:szCs w:val="24"/>
                <w:highlight w:val="none"/>
              </w:rPr>
              <w:t>执行《大气污染物综合排放标准》（GB16297-1996）中无组织浓度限值；柴油发电机烟气排放执行《大气污染物综合排放标准》</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GB16297-1996</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表2新污染源大气污染物无组织排放监控浓度限值要求；生物质锅炉产生的废气</w:t>
            </w:r>
            <w:r>
              <w:rPr>
                <w:rFonts w:hint="default" w:ascii="Times New Roman" w:hAnsi="Times New Roman" w:eastAsia="宋体" w:cs="Times New Roman"/>
                <w:color w:val="auto"/>
                <w:sz w:val="24"/>
                <w:szCs w:val="24"/>
                <w:highlight w:val="none"/>
                <w:lang w:val="en-US" w:eastAsia="zh-CN"/>
              </w:rPr>
              <w:t>参照</w:t>
            </w:r>
            <w:r>
              <w:rPr>
                <w:rFonts w:hint="default" w:ascii="Times New Roman" w:hAnsi="Times New Roman" w:eastAsia="宋体" w:cs="Times New Roman"/>
                <w:color w:val="auto"/>
                <w:sz w:val="24"/>
                <w:szCs w:val="24"/>
                <w:highlight w:val="none"/>
              </w:rPr>
              <w:t>执行《锅炉大气污染物排放标准》（GB13271-2014）表2中燃气锅炉的标准限值；井场无组织非甲烷总烃执行《陆上石油天然气开采工业大气污染物排放标准》（GB39728-2020）中边界污染物控制要求</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硫化氢执行《恶臭污染物排放标准》（GB14554-93）表1标准限值要求。</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上述各标准的标准值见</w:t>
            </w:r>
            <w:r>
              <w:rPr>
                <w:rFonts w:hint="default" w:ascii="Times New Roman" w:hAnsi="Times New Roman" w:eastAsia="宋体" w:cs="Times New Roman"/>
                <w:color w:val="auto"/>
                <w:sz w:val="24"/>
                <w:szCs w:val="24"/>
                <w:highlight w:val="none"/>
                <w:lang w:val="en-US" w:eastAsia="zh-CN"/>
              </w:rPr>
              <w:t>下表</w:t>
            </w:r>
            <w:r>
              <w:rPr>
                <w:rFonts w:hint="default" w:ascii="Times New Roman" w:hAnsi="Times New Roman" w:eastAsia="宋体" w:cs="Times New Roman"/>
                <w:color w:val="auto"/>
                <w:sz w:val="24"/>
                <w:szCs w:val="24"/>
                <w:highlight w:val="none"/>
              </w:rPr>
              <w:t>。</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表3-4    污染物排放执行标准一览表</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16"/>
              <w:gridCol w:w="842"/>
              <w:gridCol w:w="1215"/>
              <w:gridCol w:w="947"/>
              <w:gridCol w:w="859"/>
              <w:gridCol w:w="352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类别</w:t>
                  </w:r>
                </w:p>
              </w:tc>
              <w:tc>
                <w:tcPr>
                  <w:tcW w:w="84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污染源</w:t>
                  </w:r>
                </w:p>
              </w:tc>
              <w:tc>
                <w:tcPr>
                  <w:tcW w:w="12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项目</w:t>
                  </w:r>
                </w:p>
              </w:tc>
              <w:tc>
                <w:tcPr>
                  <w:tcW w:w="94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排放限值</w:t>
                  </w:r>
                </w:p>
              </w:tc>
              <w:tc>
                <w:tcPr>
                  <w:tcW w:w="85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单位</w:t>
                  </w:r>
                </w:p>
              </w:tc>
              <w:tc>
                <w:tcPr>
                  <w:tcW w:w="352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标 准 来 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废气</w:t>
                  </w:r>
                </w:p>
              </w:tc>
              <w:tc>
                <w:tcPr>
                  <w:tcW w:w="842"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bidi="ar"/>
                    </w:rPr>
                  </w:pPr>
                  <w:r>
                    <w:rPr>
                      <w:rFonts w:hint="default" w:ascii="Times New Roman" w:hAnsi="Times New Roman" w:eastAsia="宋体" w:cs="Times New Roman"/>
                      <w:color w:val="auto"/>
                      <w:spacing w:val="-10"/>
                      <w:sz w:val="21"/>
                      <w:szCs w:val="21"/>
                      <w:highlight w:val="none"/>
                      <w:lang w:val="en-US" w:eastAsia="zh-CN" w:bidi="ar"/>
                    </w:rPr>
                    <w:t>生物质锅炉烟气</w:t>
                  </w:r>
                </w:p>
              </w:tc>
              <w:tc>
                <w:tcPr>
                  <w:tcW w:w="1215"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颗粒物</w:t>
                  </w:r>
                </w:p>
              </w:tc>
              <w:tc>
                <w:tcPr>
                  <w:tcW w:w="947"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20</w:t>
                  </w:r>
                </w:p>
              </w:tc>
              <w:tc>
                <w:tcPr>
                  <w:tcW w:w="859"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Cs w:val="21"/>
                    </w:rPr>
                    <w:t>mg/m</w:t>
                  </w:r>
                  <w:r>
                    <w:rPr>
                      <w:rFonts w:hint="default" w:ascii="Times New Roman" w:hAnsi="Times New Roman" w:eastAsia="宋体" w:cs="Times New Roman"/>
                      <w:color w:val="auto"/>
                      <w:spacing w:val="-10"/>
                      <w:szCs w:val="21"/>
                      <w:vertAlign w:val="superscript"/>
                    </w:rPr>
                    <w:t>3</w:t>
                  </w:r>
                </w:p>
              </w:tc>
              <w:tc>
                <w:tcPr>
                  <w:tcW w:w="3529"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Cs w:val="21"/>
                      <w:lang w:bidi="ar"/>
                    </w:rPr>
                    <w:t>《锅炉大气污染物排放标准》（GB13271-2014）表2中燃气锅炉标准限值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1215"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二氧化硫</w:t>
                  </w:r>
                </w:p>
              </w:tc>
              <w:tc>
                <w:tcPr>
                  <w:tcW w:w="947"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50</w:t>
                  </w:r>
                </w:p>
              </w:tc>
              <w:tc>
                <w:tcPr>
                  <w:tcW w:w="85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352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1215"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氮氧化物</w:t>
                  </w:r>
                </w:p>
              </w:tc>
              <w:tc>
                <w:tcPr>
                  <w:tcW w:w="947"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bidi="ar"/>
                    </w:rPr>
                  </w:pPr>
                  <w:r>
                    <w:rPr>
                      <w:rFonts w:hint="eastAsia" w:ascii="Times New Roman" w:cs="Times New Roman"/>
                      <w:color w:val="auto"/>
                      <w:spacing w:val="-10"/>
                      <w:sz w:val="21"/>
                      <w:szCs w:val="21"/>
                      <w:highlight w:val="none"/>
                      <w:lang w:val="en-US" w:eastAsia="zh-CN" w:bidi="ar"/>
                    </w:rPr>
                    <w:t>200</w:t>
                  </w:r>
                </w:p>
              </w:tc>
              <w:tc>
                <w:tcPr>
                  <w:tcW w:w="85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352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1215"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2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烟气黑度（林格曼黑度，级）</w:t>
                  </w:r>
                </w:p>
              </w:tc>
              <w:tc>
                <w:tcPr>
                  <w:tcW w:w="947" w:type="dxa"/>
                  <w:noWrap w:val="0"/>
                  <w:tcMar>
                    <w:left w:w="28" w:type="dxa"/>
                    <w:right w:w="28" w:type="dxa"/>
                  </w:tcMar>
                  <w:vAlign w:val="center"/>
                </w:tcPr>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≤1</w:t>
                  </w:r>
                </w:p>
              </w:tc>
              <w:tc>
                <w:tcPr>
                  <w:tcW w:w="85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Cs w:val="21"/>
                    </w:rPr>
                    <w:t>级</w:t>
                  </w:r>
                </w:p>
              </w:tc>
              <w:tc>
                <w:tcPr>
                  <w:tcW w:w="3529"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施工期厂界无组织</w:t>
                  </w:r>
                </w:p>
              </w:tc>
              <w:tc>
                <w:tcPr>
                  <w:tcW w:w="12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颗粒物</w:t>
                  </w:r>
                </w:p>
              </w:tc>
              <w:tc>
                <w:tcPr>
                  <w:tcW w:w="94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1.0</w:t>
                  </w:r>
                </w:p>
              </w:tc>
              <w:tc>
                <w:tcPr>
                  <w:tcW w:w="85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mg/m</w:t>
                  </w:r>
                  <w:r>
                    <w:rPr>
                      <w:rFonts w:hint="default" w:ascii="Times New Roman" w:hAnsi="Times New Roman" w:eastAsia="宋体" w:cs="Times New Roman"/>
                      <w:color w:val="auto"/>
                      <w:spacing w:val="-10"/>
                      <w:sz w:val="21"/>
                      <w:szCs w:val="21"/>
                      <w:highlight w:val="none"/>
                      <w:vertAlign w:val="superscript"/>
                      <w:lang w:bidi="ar"/>
                    </w:rPr>
                    <w:t>3</w:t>
                  </w:r>
                </w:p>
              </w:tc>
              <w:tc>
                <w:tcPr>
                  <w:tcW w:w="352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《大气污染物综合排放标准》（GB16297-1996）中无组织排放监控浓度限值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柴油发电机</w:t>
                  </w:r>
                </w:p>
              </w:tc>
              <w:tc>
                <w:tcPr>
                  <w:tcW w:w="1215"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bidi="ar"/>
                    </w:rPr>
                    <w:t>颗粒物</w:t>
                  </w:r>
                </w:p>
              </w:tc>
              <w:tc>
                <w:tcPr>
                  <w:tcW w:w="947"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bidi="ar"/>
                    </w:rPr>
                    <w:t>1.0</w:t>
                  </w:r>
                </w:p>
              </w:tc>
              <w:tc>
                <w:tcPr>
                  <w:tcW w:w="859"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mg/m</w:t>
                  </w:r>
                  <w:r>
                    <w:rPr>
                      <w:rFonts w:hint="default" w:ascii="Times New Roman" w:hAnsi="Times New Roman" w:eastAsia="宋体" w:cs="Times New Roman"/>
                      <w:color w:val="auto"/>
                      <w:spacing w:val="-10"/>
                      <w:sz w:val="21"/>
                      <w:szCs w:val="21"/>
                      <w:highlight w:val="none"/>
                      <w:vertAlign w:val="superscript"/>
                      <w:lang w:bidi="ar"/>
                    </w:rPr>
                    <w:t>3</w:t>
                  </w:r>
                </w:p>
              </w:tc>
              <w:tc>
                <w:tcPr>
                  <w:tcW w:w="3529"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《大气污染物综合排放标准》</w:t>
                  </w:r>
                  <w:r>
                    <w:rPr>
                      <w:rFonts w:hint="eastAsia" w:ascii="Times New Roman" w:cs="Times New Roman"/>
                      <w:color w:val="auto"/>
                      <w:spacing w:val="-10"/>
                      <w:sz w:val="21"/>
                      <w:szCs w:val="21"/>
                      <w:highlight w:val="none"/>
                      <w:lang w:eastAsia="zh-CN" w:bidi="ar"/>
                    </w:rPr>
                    <w:t>（</w:t>
                  </w:r>
                  <w:r>
                    <w:rPr>
                      <w:rFonts w:hint="default" w:ascii="Times New Roman" w:hAnsi="Times New Roman" w:eastAsia="宋体" w:cs="Times New Roman"/>
                      <w:color w:val="auto"/>
                      <w:spacing w:val="-10"/>
                      <w:sz w:val="21"/>
                      <w:szCs w:val="21"/>
                      <w:highlight w:val="none"/>
                      <w:lang w:bidi="ar"/>
                    </w:rPr>
                    <w:t>GB16297-1996</w:t>
                  </w:r>
                  <w:r>
                    <w:rPr>
                      <w:rFonts w:hint="eastAsia" w:ascii="Times New Roman" w:cs="Times New Roman"/>
                      <w:color w:val="auto"/>
                      <w:spacing w:val="-10"/>
                      <w:sz w:val="21"/>
                      <w:szCs w:val="21"/>
                      <w:highlight w:val="none"/>
                      <w:lang w:eastAsia="zh-CN" w:bidi="ar"/>
                    </w:rPr>
                    <w:t>）</w:t>
                  </w:r>
                  <w:r>
                    <w:rPr>
                      <w:rFonts w:hint="default" w:ascii="Times New Roman" w:hAnsi="Times New Roman" w:eastAsia="宋体" w:cs="Times New Roman"/>
                      <w:color w:val="auto"/>
                      <w:spacing w:val="-10"/>
                      <w:sz w:val="21"/>
                      <w:szCs w:val="21"/>
                      <w:highlight w:val="none"/>
                      <w:lang w:bidi="ar"/>
                    </w:rPr>
                    <w:t>表2新污染源大气污染物无组织排放监控浓度限值要求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1215"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bidi="ar"/>
                    </w:rPr>
                    <w:t>二氧化硫</w:t>
                  </w:r>
                </w:p>
              </w:tc>
              <w:tc>
                <w:tcPr>
                  <w:tcW w:w="947"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bidi="ar"/>
                    </w:rPr>
                    <w:t>0.4</w:t>
                  </w:r>
                </w:p>
              </w:tc>
              <w:tc>
                <w:tcPr>
                  <w:tcW w:w="859"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3529"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1215"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bidi="ar"/>
                    </w:rPr>
                    <w:t>氮氧化物</w:t>
                  </w:r>
                </w:p>
              </w:tc>
              <w:tc>
                <w:tcPr>
                  <w:tcW w:w="947" w:type="dxa"/>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pacing w:val="-10"/>
                      <w:kern w:val="2"/>
                      <w:sz w:val="21"/>
                      <w:szCs w:val="21"/>
                      <w:highlight w:val="none"/>
                      <w:lang w:val="en-US" w:eastAsia="zh-CN" w:bidi="ar"/>
                    </w:rPr>
                  </w:pPr>
                  <w:r>
                    <w:rPr>
                      <w:rFonts w:hint="eastAsia" w:ascii="Times New Roman" w:cs="Times New Roman"/>
                      <w:color w:val="auto"/>
                      <w:spacing w:val="-10"/>
                      <w:sz w:val="21"/>
                      <w:szCs w:val="21"/>
                      <w:highlight w:val="none"/>
                      <w:lang w:val="en-US" w:eastAsia="zh-CN" w:bidi="ar"/>
                    </w:rPr>
                    <w:t>0.12</w:t>
                  </w:r>
                </w:p>
              </w:tc>
              <w:tc>
                <w:tcPr>
                  <w:tcW w:w="859"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3529"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井场无组织废气</w:t>
                  </w:r>
                </w:p>
              </w:tc>
              <w:tc>
                <w:tcPr>
                  <w:tcW w:w="12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非甲烷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总烃</w:t>
                  </w:r>
                </w:p>
              </w:tc>
              <w:tc>
                <w:tcPr>
                  <w:tcW w:w="947" w:type="dxa"/>
                  <w:noWrap w:val="0"/>
                  <w:tcMar>
                    <w:left w:w="28" w:type="dxa"/>
                    <w:right w:w="28" w:type="dxa"/>
                  </w:tcMar>
                  <w:vAlign w:val="center"/>
                </w:tcPr>
                <w:p>
                  <w:pPr>
                    <w:pStyle w:val="7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4.0</w:t>
                  </w:r>
                </w:p>
              </w:tc>
              <w:tc>
                <w:tcPr>
                  <w:tcW w:w="85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kern w:val="0"/>
                      <w:sz w:val="21"/>
                      <w:szCs w:val="21"/>
                      <w:highlight w:val="none"/>
                    </w:rPr>
                    <w:t>mg/m</w:t>
                  </w:r>
                  <w:r>
                    <w:rPr>
                      <w:rFonts w:hint="default" w:ascii="Times New Roman" w:hAnsi="Times New Roman" w:eastAsia="宋体" w:cs="Times New Roman"/>
                      <w:color w:val="auto"/>
                      <w:spacing w:val="-10"/>
                      <w:kern w:val="0"/>
                      <w:sz w:val="21"/>
                      <w:szCs w:val="21"/>
                      <w:highlight w:val="none"/>
                      <w:vertAlign w:val="superscript"/>
                    </w:rPr>
                    <w:t>3</w:t>
                  </w:r>
                </w:p>
              </w:tc>
              <w:tc>
                <w:tcPr>
                  <w:tcW w:w="352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《陆上石油天然气开采工业大气污染物排放标准》（GB39728-2020）中边界污染物控制要求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716"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842" w:type="dxa"/>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p>
              </w:tc>
              <w:tc>
                <w:tcPr>
                  <w:tcW w:w="1215"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硫化氢</w:t>
                  </w:r>
                </w:p>
              </w:tc>
              <w:tc>
                <w:tcPr>
                  <w:tcW w:w="947"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0.06</w:t>
                  </w:r>
                </w:p>
              </w:tc>
              <w:tc>
                <w:tcPr>
                  <w:tcW w:w="85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sz w:val="21"/>
                      <w:szCs w:val="21"/>
                      <w:highlight w:val="none"/>
                    </w:rPr>
                    <w:t>mg/m</w:t>
                  </w:r>
                  <w:r>
                    <w:rPr>
                      <w:rFonts w:hint="default" w:ascii="Times New Roman" w:hAnsi="Times New Roman" w:eastAsia="宋体" w:cs="Times New Roman"/>
                      <w:color w:val="auto"/>
                      <w:spacing w:val="-10"/>
                      <w:sz w:val="21"/>
                      <w:szCs w:val="21"/>
                      <w:highlight w:val="none"/>
                      <w:vertAlign w:val="superscript"/>
                    </w:rPr>
                    <w:t>3</w:t>
                  </w:r>
                </w:p>
              </w:tc>
              <w:tc>
                <w:tcPr>
                  <w:tcW w:w="3529" w:type="dxa"/>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《恶臭污染物排放标准》（GB14554-93）表1标准限值要求</w:t>
                  </w:r>
                </w:p>
              </w:tc>
            </w:tr>
          </w:tbl>
          <w:p>
            <w:pPr>
              <w:keepNext w:val="0"/>
              <w:keepLines w:val="0"/>
              <w:suppressLineNumbers w:val="0"/>
              <w:spacing w:before="0" w:beforeAutospacing="0" w:after="0" w:afterAutospacing="0" w:line="440" w:lineRule="exact"/>
              <w:ind w:left="0" w:right="0" w:firstLine="480" w:firstLineChars="200"/>
              <w:textAlignment w:val="baseline"/>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（2）</w:t>
            </w:r>
            <w:r>
              <w:rPr>
                <w:rFonts w:hint="eastAsia" w:ascii="Times New Roman" w:cs="Times New Roman"/>
                <w:color w:val="auto"/>
                <w:sz w:val="24"/>
                <w:highlight w:val="none"/>
                <w:lang w:val="en-US" w:eastAsia="zh-CN"/>
              </w:rPr>
              <w:t>废水</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b/>
                <w:color w:val="auto"/>
                <w:sz w:val="24"/>
                <w:highlight w:val="none"/>
              </w:rPr>
            </w:pPr>
            <w:r>
              <w:rPr>
                <w:rFonts w:hint="default" w:ascii="Times New Roman" w:hAnsi="Times New Roman" w:eastAsia="宋体" w:cs="Times New Roman"/>
                <w:color w:val="auto"/>
                <w:sz w:val="24"/>
                <w:highlight w:val="none"/>
              </w:rPr>
              <w:t>生活污水经井场撬装式污水处理装置处理后达到《农村生活污水处理排放标准》（DB65</w:t>
            </w:r>
            <w:r>
              <w:rPr>
                <w:rFonts w:hint="eastAsia" w:ascii="Times New Roman"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rPr>
              <w:t>4275-2019）表2的</w:t>
            </w:r>
            <w:r>
              <w:rPr>
                <w:rFonts w:hint="default" w:ascii="Times New Roman" w:hAnsi="Times New Roman" w:eastAsia="宋体" w:cs="Times New Roman"/>
                <w:color w:val="auto"/>
                <w:sz w:val="24"/>
                <w:highlight w:val="none"/>
                <w:lang w:val="en-US" w:eastAsia="zh-CN"/>
              </w:rPr>
              <w:t>B</w:t>
            </w:r>
            <w:r>
              <w:rPr>
                <w:rFonts w:hint="default" w:ascii="Times New Roman" w:hAnsi="Times New Roman" w:eastAsia="宋体" w:cs="Times New Roman"/>
                <w:color w:val="auto"/>
                <w:sz w:val="24"/>
                <w:highlight w:val="none"/>
              </w:rPr>
              <w:t>级标准，用于荒漠生态恢复。</w:t>
            </w:r>
          </w:p>
          <w:p>
            <w:pPr>
              <w:keepNext w:val="0"/>
              <w:keepLines w:val="0"/>
              <w:suppressLineNumbers w:val="0"/>
              <w:spacing w:before="0" w:beforeAutospacing="0" w:after="0" w:afterAutospacing="0" w:line="440" w:lineRule="exact"/>
              <w:ind w:left="0" w:right="0" w:firstLine="482" w:firstLineChars="200"/>
              <w:textAlignment w:val="baseline"/>
              <w:rPr>
                <w:rFonts w:hint="default" w:ascii="Times New Roman" w:hAnsi="Times New Roman" w:eastAsia="宋体" w:cs="Times New Roman"/>
                <w:b/>
                <w:color w:val="auto"/>
                <w:sz w:val="24"/>
                <w:highlight w:val="none"/>
              </w:rPr>
            </w:pPr>
            <w:r>
              <w:rPr>
                <w:rFonts w:hint="default" w:ascii="Times New Roman" w:hAnsi="Times New Roman" w:eastAsia="宋体" w:cs="Times New Roman"/>
                <w:b/>
                <w:bCs w:val="0"/>
                <w:color w:val="auto"/>
                <w:sz w:val="24"/>
                <w:highlight w:val="none"/>
              </w:rPr>
              <w:t>表3-</w:t>
            </w:r>
            <w:r>
              <w:rPr>
                <w:rFonts w:hint="default" w:ascii="Times New Roman" w:hAnsi="Times New Roman" w:eastAsia="宋体" w:cs="Times New Roman"/>
                <w:b/>
                <w:bCs w:val="0"/>
                <w:color w:val="auto"/>
                <w:sz w:val="24"/>
                <w:highlight w:val="none"/>
                <w:lang w:val="en-US" w:eastAsia="zh-CN"/>
              </w:rPr>
              <w:t>5</w:t>
            </w:r>
            <w:r>
              <w:rPr>
                <w:rFonts w:hint="default" w:ascii="Times New Roman" w:hAnsi="Times New Roman" w:eastAsia="宋体" w:cs="Times New Roman"/>
                <w:b/>
                <w:bCs w:val="0"/>
                <w:color w:val="auto"/>
                <w:sz w:val="24"/>
                <w:highlight w:val="none"/>
              </w:rPr>
              <w:t xml:space="preserve">    废水污染物排放标准     </w:t>
            </w:r>
            <w:r>
              <w:rPr>
                <w:rFonts w:hint="default" w:ascii="Times New Roman" w:hAnsi="Times New Roman" w:eastAsia="宋体" w:cs="Times New Roman"/>
                <w:b/>
                <w:bCs w:val="0"/>
                <w:color w:val="auto"/>
                <w:sz w:val="24"/>
                <w:highlight w:val="none"/>
                <w:lang w:val="en-US" w:eastAsia="zh-CN"/>
              </w:rPr>
              <w:t xml:space="preserve">     </w:t>
            </w:r>
            <w:r>
              <w:rPr>
                <w:rFonts w:hint="default" w:ascii="Times New Roman" w:hAnsi="Times New Roman" w:eastAsia="宋体" w:cs="Times New Roman"/>
                <w:b/>
                <w:color w:val="auto"/>
                <w:sz w:val="24"/>
                <w:highlight w:val="none"/>
              </w:rPr>
              <w:t xml:space="preserve">  单位：mg/L（pH无纲量）</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5"/>
              <w:gridCol w:w="6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032" w:type="pct"/>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3967" w:type="pct"/>
                  <w:tcMar>
                    <w:left w:w="0" w:type="dxa"/>
                    <w:right w:w="0" w:type="dxa"/>
                  </w:tcMar>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《农村生活污水处理排放标准》（DB65</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4275-2019）表2的</w:t>
                  </w:r>
                  <w:r>
                    <w:rPr>
                      <w:rFonts w:hint="default" w:ascii="Times New Roman" w:hAnsi="Times New Roman" w:eastAsia="宋体" w:cs="Times New Roman"/>
                      <w:color w:val="auto"/>
                      <w:sz w:val="21"/>
                      <w:szCs w:val="21"/>
                      <w:highlight w:val="none"/>
                      <w:lang w:val="en-US" w:eastAsia="zh-CN"/>
                    </w:rPr>
                    <w:t>B</w:t>
                  </w:r>
                  <w:r>
                    <w:rPr>
                      <w:rFonts w:hint="default" w:ascii="Times New Roman" w:hAnsi="Times New Roman" w:eastAsia="宋体" w:cs="Times New Roman"/>
                      <w:color w:val="auto"/>
                      <w:sz w:val="21"/>
                      <w:szCs w:val="21"/>
                      <w:highlight w:val="none"/>
                    </w:rPr>
                    <w:t>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1032" w:type="pct"/>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pH</w:t>
                  </w:r>
                </w:p>
              </w:tc>
              <w:tc>
                <w:tcPr>
                  <w:tcW w:w="3967" w:type="pct"/>
                  <w:tcMar>
                    <w:left w:w="0" w:type="dxa"/>
                    <w:right w:w="0" w:type="dxa"/>
                  </w:tcMar>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1032" w:type="pct"/>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w:t>
                  </w:r>
                </w:p>
              </w:tc>
              <w:tc>
                <w:tcPr>
                  <w:tcW w:w="3967" w:type="pct"/>
                  <w:tcMar>
                    <w:left w:w="0" w:type="dxa"/>
                    <w:right w:w="0" w:type="dxa"/>
                  </w:tcMar>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 w:hRule="atLeast"/>
                <w:jc w:val="center"/>
              </w:trPr>
              <w:tc>
                <w:tcPr>
                  <w:tcW w:w="1032" w:type="pct"/>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SS</w:t>
                  </w:r>
                </w:p>
              </w:tc>
              <w:tc>
                <w:tcPr>
                  <w:tcW w:w="3967" w:type="pct"/>
                  <w:tcMar>
                    <w:left w:w="0" w:type="dxa"/>
                    <w:right w:w="0" w:type="dxa"/>
                  </w:tcMar>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1032" w:type="pct"/>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粪大肠菌群</w:t>
                  </w:r>
                </w:p>
              </w:tc>
              <w:tc>
                <w:tcPr>
                  <w:tcW w:w="3967" w:type="pct"/>
                  <w:tcMar>
                    <w:left w:w="0" w:type="dxa"/>
                    <w:right w:w="0" w:type="dxa"/>
                  </w:tcMar>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40000</w:t>
                  </w:r>
                  <w:r>
                    <w:rPr>
                      <w:rFonts w:hint="eastAsia" w:asci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MPN/L</w:t>
                  </w:r>
                  <w:r>
                    <w:rPr>
                      <w:rFonts w:hint="eastAsia" w:ascii="Times New Roman" w:cs="Times New Roman"/>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1032" w:type="pct"/>
                  <w:vAlign w:val="center"/>
                </w:tcPr>
                <w:p>
                  <w:pPr>
                    <w:keepNext w:val="0"/>
                    <w:keepLines w:val="0"/>
                    <w:pageBreakBefore w:val="0"/>
                    <w:suppressLineNumbers w:val="0"/>
                    <w:kinsoku/>
                    <w:wordWrap/>
                    <w:overflowPunct/>
                    <w:topLinePunct w:val="0"/>
                    <w:autoSpaceDE/>
                    <w:autoSpaceDN/>
                    <w:bidi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蛔虫卵个数</w:t>
                  </w:r>
                </w:p>
              </w:tc>
              <w:tc>
                <w:tcPr>
                  <w:tcW w:w="3967" w:type="pct"/>
                  <w:tcMar>
                    <w:left w:w="0" w:type="dxa"/>
                    <w:right w:w="0" w:type="dxa"/>
                  </w:tcMar>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2（个/L）</w:t>
                  </w:r>
                </w:p>
              </w:tc>
            </w:tr>
          </w:tbl>
          <w:p>
            <w:pPr>
              <w:keepNext w:val="0"/>
              <w:keepLines w:val="0"/>
              <w:suppressLineNumbers w:val="0"/>
              <w:spacing w:before="0" w:beforeAutospacing="0" w:after="0" w:afterAutospacing="0" w:line="440" w:lineRule="exact"/>
              <w:ind w:left="0" w:right="0" w:firstLine="480" w:firstLineChars="200"/>
              <w:textAlignment w:val="baseline"/>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（3）</w:t>
            </w:r>
            <w:r>
              <w:rPr>
                <w:rFonts w:hint="eastAsia" w:ascii="Times New Roman" w:cs="Times New Roman"/>
                <w:color w:val="auto"/>
                <w:sz w:val="24"/>
                <w:highlight w:val="none"/>
                <w:lang w:val="en-US" w:eastAsia="zh-CN"/>
              </w:rPr>
              <w:t>噪声</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b/>
                <w:color w:val="auto"/>
                <w:kern w:val="0"/>
                <w:sz w:val="24"/>
                <w:highlight w:val="none"/>
              </w:rPr>
            </w:pPr>
            <w:r>
              <w:rPr>
                <w:rFonts w:hint="default" w:ascii="Times New Roman" w:hAnsi="Times New Roman" w:eastAsia="宋体" w:cs="Times New Roman"/>
                <w:color w:val="auto"/>
                <w:sz w:val="24"/>
                <w:highlight w:val="none"/>
              </w:rPr>
              <w:t>施工期噪声执行《建筑施工噪声排放标准》</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GB12523-20</w:t>
            </w:r>
            <w:r>
              <w:rPr>
                <w:rFonts w:hint="default" w:ascii="Times New Roman" w:hAnsi="Times New Roman" w:eastAsia="宋体" w:cs="Times New Roman"/>
                <w:color w:val="auto"/>
                <w:sz w:val="24"/>
                <w:highlight w:val="none"/>
                <w:lang w:val="en-US" w:eastAsia="zh-CN"/>
              </w:rPr>
              <w:t>25）</w:t>
            </w:r>
            <w:r>
              <w:rPr>
                <w:rFonts w:hint="default" w:ascii="Times New Roman" w:hAnsi="Times New Roman" w:eastAsia="宋体" w:cs="Times New Roman"/>
                <w:color w:val="auto"/>
                <w:sz w:val="24"/>
                <w:highlight w:val="none"/>
              </w:rPr>
              <w:t>中的相关规定，试井期间厂界执行《工业企业厂界环境噪声排放标准》（GB12348-2008）2类标准。</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color w:val="auto"/>
                <w:kern w:val="0"/>
                <w:sz w:val="24"/>
                <w:highlight w:val="none"/>
                <w:lang w:val="en-US" w:eastAsia="zh-CN"/>
              </w:rPr>
            </w:pPr>
            <w:r>
              <w:rPr>
                <w:rFonts w:hint="default" w:ascii="Times New Roman" w:hAnsi="Times New Roman" w:eastAsia="宋体" w:cs="Times New Roman"/>
                <w:b/>
                <w:color w:val="auto"/>
                <w:kern w:val="0"/>
                <w:sz w:val="24"/>
                <w:highlight w:val="none"/>
              </w:rPr>
              <w:t>表3-</w:t>
            </w:r>
            <w:r>
              <w:rPr>
                <w:rFonts w:hint="default" w:ascii="Times New Roman" w:hAnsi="Times New Roman" w:eastAsia="宋体" w:cs="Times New Roman"/>
                <w:b/>
                <w:color w:val="auto"/>
                <w:kern w:val="0"/>
                <w:sz w:val="24"/>
                <w:highlight w:val="none"/>
                <w:lang w:val="en-US" w:eastAsia="zh-CN"/>
              </w:rPr>
              <w:t>6</w:t>
            </w:r>
            <w:r>
              <w:rPr>
                <w:rFonts w:hint="default" w:ascii="Times New Roman" w:hAnsi="Times New Roman" w:eastAsia="宋体" w:cs="Times New Roman"/>
                <w:b/>
                <w:color w:val="auto"/>
                <w:kern w:val="0"/>
                <w:sz w:val="24"/>
                <w:highlight w:val="none"/>
              </w:rPr>
              <w:t xml:space="preserve">    环境噪声排放标准</w:t>
            </w:r>
            <w:r>
              <w:rPr>
                <w:rFonts w:hint="default" w:ascii="Times New Roman" w:hAnsi="Times New Roman" w:eastAsia="宋体" w:cs="Times New Roman"/>
                <w:b/>
                <w:color w:val="auto"/>
                <w:kern w:val="0"/>
                <w:sz w:val="24"/>
                <w:highlight w:val="none"/>
                <w:lang w:val="en-US" w:eastAsia="zh-CN"/>
              </w:rPr>
              <w:t xml:space="preserve">                     </w:t>
            </w:r>
            <w:r>
              <w:rPr>
                <w:rFonts w:hint="default" w:ascii="Times New Roman" w:hAnsi="Times New Roman" w:eastAsia="宋体" w:cs="Times New Roman"/>
                <w:b/>
                <w:color w:val="auto"/>
                <w:sz w:val="24"/>
                <w:highlight w:val="none"/>
              </w:rPr>
              <w:t>单位：</w:t>
            </w:r>
            <w:r>
              <w:rPr>
                <w:rFonts w:hint="default" w:ascii="Times New Roman" w:hAnsi="Times New Roman" w:eastAsia="宋体" w:cs="Times New Roman"/>
                <w:b/>
                <w:color w:val="auto"/>
                <w:sz w:val="24"/>
                <w:highlight w:val="none"/>
                <w:lang w:val="en-US" w:eastAsia="zh-CN"/>
              </w:rPr>
              <w:t>dB</w:t>
            </w:r>
            <w:r>
              <w:rPr>
                <w:rFonts w:hint="eastAsia" w:ascii="Times New Roman" w:cs="Times New Roman"/>
                <w:b/>
                <w:color w:val="auto"/>
                <w:sz w:val="24"/>
                <w:highlight w:val="none"/>
                <w:lang w:val="en-US" w:eastAsia="zh-CN"/>
              </w:rPr>
              <w:t>（</w:t>
            </w:r>
            <w:r>
              <w:rPr>
                <w:rFonts w:hint="default" w:ascii="Times New Roman" w:hAnsi="Times New Roman" w:eastAsia="宋体" w:cs="Times New Roman"/>
                <w:b/>
                <w:color w:val="auto"/>
                <w:sz w:val="24"/>
                <w:highlight w:val="none"/>
                <w:lang w:val="en-US" w:eastAsia="zh-CN"/>
              </w:rPr>
              <w:t>A</w:t>
            </w:r>
            <w:r>
              <w:rPr>
                <w:rFonts w:hint="eastAsia" w:ascii="Times New Roman" w:cs="Times New Roman"/>
                <w:b/>
                <w:color w:val="auto"/>
                <w:sz w:val="24"/>
                <w:highlight w:val="none"/>
                <w:lang w:val="en-US" w:eastAsia="zh-CN"/>
              </w:rPr>
              <w:t>）</w:t>
            </w:r>
          </w:p>
          <w:tbl>
            <w:tblPr>
              <w:tblStyle w:val="32"/>
              <w:tblW w:w="8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1329"/>
              <w:gridCol w:w="1268"/>
              <w:gridCol w:w="4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060"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时段</w:t>
                  </w:r>
                </w:p>
              </w:tc>
              <w:tc>
                <w:tcPr>
                  <w:tcW w:w="2597" w:type="dxa"/>
                  <w:gridSpan w:val="2"/>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标准值</w:t>
                  </w:r>
                </w:p>
              </w:tc>
              <w:tc>
                <w:tcPr>
                  <w:tcW w:w="4482"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060" w:type="dxa"/>
                  <w:vMerge w:val="restart"/>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施工期</w:t>
                  </w:r>
                </w:p>
              </w:tc>
              <w:tc>
                <w:tcPr>
                  <w:tcW w:w="1329"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126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sz w:val="21"/>
                      <w:szCs w:val="21"/>
                      <w:highlight w:val="none"/>
                    </w:rPr>
                    <w:t>70</w:t>
                  </w:r>
                </w:p>
              </w:tc>
              <w:tc>
                <w:tcPr>
                  <w:tcW w:w="4482" w:type="dxa"/>
                  <w:vMerge w:val="restart"/>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《建筑施工噪声排放标准》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GB12523-2025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中的相关规定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060" w:type="dxa"/>
                  <w:vMerge w:val="continue"/>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p>
              </w:tc>
              <w:tc>
                <w:tcPr>
                  <w:tcW w:w="1329"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夜间</w:t>
                  </w:r>
                </w:p>
              </w:tc>
              <w:tc>
                <w:tcPr>
                  <w:tcW w:w="126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sz w:val="21"/>
                      <w:szCs w:val="21"/>
                      <w:highlight w:val="none"/>
                    </w:rPr>
                    <w:t>55</w:t>
                  </w:r>
                </w:p>
              </w:tc>
              <w:tc>
                <w:tcPr>
                  <w:tcW w:w="4482" w:type="dxa"/>
                  <w:vMerge w:val="continue"/>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060" w:type="dxa"/>
                  <w:vMerge w:val="restart"/>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试井期</w:t>
                  </w:r>
                </w:p>
              </w:tc>
              <w:tc>
                <w:tcPr>
                  <w:tcW w:w="1329"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c>
                <w:tcPr>
                  <w:tcW w:w="126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sz w:val="21"/>
                      <w:szCs w:val="21"/>
                      <w:highlight w:val="none"/>
                    </w:rPr>
                    <w:t>60</w:t>
                  </w:r>
                </w:p>
              </w:tc>
              <w:tc>
                <w:tcPr>
                  <w:tcW w:w="4482" w:type="dxa"/>
                  <w:vMerge w:val="restart"/>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《工业企业厂界环境噪声排放标准》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GB12348-2008</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060" w:type="dxa"/>
                  <w:vMerge w:val="continue"/>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p>
              </w:tc>
              <w:tc>
                <w:tcPr>
                  <w:tcW w:w="1329"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夜间</w:t>
                  </w:r>
                </w:p>
              </w:tc>
              <w:tc>
                <w:tcPr>
                  <w:tcW w:w="1268" w:type="dxa"/>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sz w:val="21"/>
                      <w:szCs w:val="21"/>
                      <w:highlight w:val="none"/>
                    </w:rPr>
                    <w:t>50</w:t>
                  </w:r>
                </w:p>
              </w:tc>
              <w:tc>
                <w:tcPr>
                  <w:tcW w:w="4482" w:type="dxa"/>
                  <w:vMerge w:val="continue"/>
                  <w:vAlign w:val="center"/>
                </w:tcPr>
                <w:p>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p>
              </w:tc>
            </w:tr>
          </w:tbl>
          <w:p>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2"/>
                <w:sz w:val="24"/>
                <w:szCs w:val="24"/>
                <w:lang w:val="en-US" w:eastAsia="zh-CN" w:bidi="ar-SA"/>
              </w:rPr>
              <w:t>（4）</w:t>
            </w:r>
            <w:r>
              <w:rPr>
                <w:rFonts w:hint="default" w:ascii="Times New Roman" w:hAnsi="Times New Roman" w:eastAsia="宋体" w:cs="Times New Roman"/>
                <w:color w:val="auto"/>
                <w:sz w:val="24"/>
                <w:szCs w:val="24"/>
                <w:highlight w:val="none"/>
              </w:rPr>
              <w:t>固体废物</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一般工业固体废物执行《一般工业固体废物贮存和填埋污染控制标准》（GB</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18599-2020）要求；</w:t>
            </w:r>
            <w:r>
              <w:rPr>
                <w:rFonts w:hint="default" w:ascii="Times New Roman" w:hAnsi="Times New Roman" w:eastAsia="宋体" w:cs="Times New Roman"/>
                <w:color w:val="auto"/>
                <w:sz w:val="24"/>
                <w:szCs w:val="24"/>
                <w:highlight w:val="none"/>
                <w:lang w:eastAsia="zh-CN"/>
              </w:rPr>
              <w:t>沾油废物、废烧碱包装袋、废矿物油及其包装物等执行</w:t>
            </w:r>
            <w:r>
              <w:rPr>
                <w:rFonts w:hint="default" w:ascii="Times New Roman" w:hAnsi="Times New Roman" w:eastAsia="宋体" w:cs="Times New Roman"/>
                <w:color w:val="auto"/>
                <w:sz w:val="24"/>
                <w:szCs w:val="24"/>
                <w:highlight w:val="none"/>
              </w:rPr>
              <w:t>《危险废物贮存污染控制标准》（GB18597-2023）要求及《</w:t>
            </w:r>
            <w:r>
              <w:rPr>
                <w:rFonts w:hint="default" w:ascii="Times New Roman" w:hAnsi="Times New Roman" w:eastAsia="宋体" w:cs="Times New Roman"/>
                <w:color w:val="auto"/>
                <w:sz w:val="24"/>
                <w:szCs w:val="24"/>
                <w:highlight w:val="none"/>
                <w:lang w:eastAsia="zh-CN"/>
              </w:rPr>
              <w:t>危险废物收集 贮存 运输技术规范</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HJ2025-2012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处理达标后的钻井岩屑执行《油气田钻井固体废物综合利用污染控制要求》（DB65/T3997-2017）中表1综合利用污染限值及《石油天然气开采业固体废物污染控制技术规范（试行）》（HJ1461-2026）中的相关限值。</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0000FF"/>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725" w:hRule="atLeast"/>
          <w:jc w:val="center"/>
        </w:trPr>
        <w:tc>
          <w:tcPr>
            <w:tcW w:w="728" w:type="dxa"/>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z w:val="24"/>
                <w:szCs w:val="24"/>
                <w:highlight w:val="none"/>
                <w:lang w:val="en-US" w:eastAsia="zh-CN"/>
              </w:rPr>
              <w:t>其他</w:t>
            </w:r>
          </w:p>
        </w:tc>
        <w:tc>
          <w:tcPr>
            <w:tcW w:w="8344" w:type="dxa"/>
            <w:noWrap w:val="0"/>
            <w:tcMar>
              <w:left w:w="108" w:type="dxa"/>
              <w:right w:w="10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按照《全国主要污染物排放总量控制计划》中的要求，结合项目的排污特点，确定以下污染物为总量控制因子。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废气：</w:t>
            </w:r>
            <w:r>
              <w:rPr>
                <w:rFonts w:hint="default" w:ascii="Times New Roman" w:hAnsi="Times New Roman" w:eastAsia="宋体" w:cs="Times New Roman"/>
                <w:color w:val="auto"/>
                <w:sz w:val="24"/>
                <w:highlight w:val="none"/>
              </w:rPr>
              <w:t>NOx</w:t>
            </w:r>
            <w:r>
              <w:rPr>
                <w:rFonts w:hint="eastAsia" w:ascii="Times New Roman" w:cs="Times New Roman"/>
                <w:color w:val="auto"/>
                <w:sz w:val="24"/>
                <w:highlight w:val="none"/>
                <w:lang w:eastAsia="zh-CN"/>
              </w:rPr>
              <w:t>、</w:t>
            </w:r>
            <w:r>
              <w:rPr>
                <w:rFonts w:hint="eastAsia" w:ascii="Times New Roman" w:cs="Times New Roman"/>
                <w:color w:val="auto"/>
                <w:sz w:val="24"/>
                <w:highlight w:val="none"/>
                <w:lang w:val="en-US" w:eastAsia="zh-CN"/>
              </w:rPr>
              <w:t>非甲烷总烃</w:t>
            </w:r>
            <w:r>
              <w:rPr>
                <w:rFonts w:hint="default" w:ascii="Times New Roman" w:hAnsi="Times New Roman" w:eastAsia="宋体" w:cs="Times New Roman"/>
                <w:color w:val="auto"/>
                <w:sz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cs="Times New Roman"/>
                <w:color w:val="auto"/>
                <w:sz w:val="24"/>
                <w:highlight w:val="none"/>
                <w:lang w:val="en-US" w:eastAsia="zh-CN"/>
              </w:rPr>
              <w:t>根据污染物源强核算，本项目氮氧化物排放量为22.721t/钻井期，非甲烷总烃排放量为0t。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本项目实施后主要总量控制指标建议值见表3-</w:t>
            </w:r>
            <w:r>
              <w:rPr>
                <w:rFonts w:hint="eastAsia" w:ascii="Times New Roman" w:hAnsi="Times New Roman" w:eastAsia="宋体" w:cs="Times New Roman"/>
                <w:color w:val="auto"/>
                <w:sz w:val="24"/>
                <w:highlight w:val="none"/>
                <w:lang w:val="en-US" w:eastAsia="zh-CN"/>
              </w:rPr>
              <w:t>7</w:t>
            </w:r>
            <w:r>
              <w:rPr>
                <w:rFonts w:hint="default" w:ascii="Times New Roman" w:hAnsi="Times New Roman" w:eastAsia="宋体" w:cs="Times New Roman"/>
                <w:color w:val="auto"/>
                <w:sz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表3-</w:t>
            </w:r>
            <w:r>
              <w:rPr>
                <w:rFonts w:hint="eastAsia" w:ascii="Times New Roman" w:hAnsi="Times New Roman" w:eastAsia="宋体" w:cs="Times New Roman"/>
                <w:b/>
                <w:bCs/>
                <w:color w:val="auto"/>
                <w:sz w:val="24"/>
                <w:highlight w:val="none"/>
                <w:lang w:val="en-US" w:eastAsia="zh-CN"/>
              </w:rPr>
              <w:t>7</w:t>
            </w:r>
            <w:r>
              <w:rPr>
                <w:rFonts w:hint="default" w:ascii="Times New Roman" w:hAnsi="Times New Roman" w:eastAsia="宋体" w:cs="Times New Roman"/>
                <w:b/>
                <w:bCs/>
                <w:color w:val="auto"/>
                <w:sz w:val="24"/>
                <w:highlight w:val="none"/>
                <w:lang w:val="en-US" w:eastAsia="zh-CN"/>
              </w:rPr>
              <w:t xml:space="preserve">    项目总量控制指标建议值</w:t>
            </w:r>
          </w:p>
          <w:tbl>
            <w:tblPr>
              <w:tblStyle w:val="33"/>
              <w:tblW w:w="7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6"/>
              <w:gridCol w:w="2763"/>
              <w:gridCol w:w="2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6"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总量控制指标类型</w:t>
                  </w:r>
                </w:p>
              </w:tc>
              <w:tc>
                <w:tcPr>
                  <w:tcW w:w="276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控制因子</w:t>
                  </w:r>
                </w:p>
              </w:tc>
              <w:tc>
                <w:tcPr>
                  <w:tcW w:w="2906"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控制量（t</w:t>
                  </w:r>
                  <w:r>
                    <w:rPr>
                      <w:rFonts w:hint="eastAsia" w:ascii="Times New Roman" w:cs="Times New Roman"/>
                      <w:color w:val="auto"/>
                      <w:sz w:val="21"/>
                      <w:szCs w:val="21"/>
                      <w:highlight w:val="none"/>
                      <w:lang w:val="en-US" w:eastAsia="zh-CN"/>
                    </w:rPr>
                    <w:t>/钻井期</w:t>
                  </w:r>
                  <w:r>
                    <w:rPr>
                      <w:rFonts w:hint="default" w:ascii="Times New Roman" w:hAnsi="Times New Roman" w:eastAsia="宋体" w:cs="Times New Roman"/>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6" w:type="dxa"/>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废气</w:t>
                  </w:r>
                </w:p>
              </w:tc>
              <w:tc>
                <w:tcPr>
                  <w:tcW w:w="276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NOx</w:t>
                  </w:r>
                </w:p>
              </w:tc>
              <w:tc>
                <w:tcPr>
                  <w:tcW w:w="2906"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22.721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296" w:type="dxa"/>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p>
              </w:tc>
              <w:tc>
                <w:tcPr>
                  <w:tcW w:w="2763"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非甲烷总烃</w:t>
                  </w:r>
                </w:p>
              </w:tc>
              <w:tc>
                <w:tcPr>
                  <w:tcW w:w="2906"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w:t>
                  </w: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lang w:eastAsia="zh-CN"/>
              </w:rPr>
            </w:pPr>
          </w:p>
          <w:p>
            <w:pPr>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p>
          <w:p>
            <w:pPr>
              <w:pStyle w:val="2"/>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 w:val="24"/>
                <w:szCs w:val="24"/>
                <w:highlight w:val="none"/>
                <w:lang w:eastAsia="zh-CN"/>
              </w:rPr>
            </w:pPr>
          </w:p>
        </w:tc>
      </w:tr>
    </w:tbl>
    <w:p>
      <w:pPr>
        <w:pStyle w:val="29"/>
        <w:jc w:val="center"/>
        <w:outlineLvl w:val="0"/>
        <w:rPr>
          <w:rFonts w:hint="default" w:ascii="Times New Roman" w:hAnsi="Times New Roman" w:eastAsia="宋体" w:cs="Times New Roman"/>
          <w:b/>
          <w:bCs/>
          <w:snapToGrid w:val="0"/>
          <w:color w:val="auto"/>
          <w:sz w:val="30"/>
          <w:szCs w:val="30"/>
          <w:highlight w:val="none"/>
        </w:rPr>
      </w:pPr>
      <w:r>
        <w:rPr>
          <w:rFonts w:hint="default" w:ascii="Times New Roman" w:hAnsi="Times New Roman" w:eastAsia="宋体" w:cs="Times New Roman"/>
          <w:snapToGrid w:val="0"/>
          <w:color w:val="0000FF"/>
          <w:kern w:val="2"/>
          <w:sz w:val="36"/>
          <w:szCs w:val="36"/>
          <w:highlight w:val="none"/>
        </w:rPr>
        <w:br w:type="page"/>
      </w:r>
      <w:bookmarkStart w:id="44" w:name="_Toc32305"/>
      <w:r>
        <w:rPr>
          <w:rFonts w:hint="default" w:ascii="Times New Roman" w:hAnsi="Times New Roman" w:eastAsia="宋体" w:cs="Times New Roman"/>
          <w:b/>
          <w:bCs/>
          <w:snapToGrid w:val="0"/>
          <w:color w:val="auto"/>
          <w:sz w:val="30"/>
          <w:szCs w:val="30"/>
          <w:highlight w:val="none"/>
        </w:rPr>
        <w:t>四、生态环境影响分析</w:t>
      </w:r>
      <w:bookmarkEnd w:id="44"/>
    </w:p>
    <w:tbl>
      <w:tblPr>
        <w:tblStyle w:val="32"/>
        <w:tblW w:w="90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
        <w:gridCol w:w="749"/>
        <w:gridCol w:w="83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5" w:type="dxa"/>
            <w:gridSpan w:val="2"/>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rPr>
                <w:rFonts w:hint="default" w:ascii="Times New Roman" w:hAnsi="Times New Roman" w:eastAsia="宋体" w:cs="Times New Roman"/>
                <w:bCs/>
                <w:color w:val="auto"/>
                <w:kern w:val="2"/>
                <w:sz w:val="21"/>
                <w:szCs w:val="21"/>
                <w:highlight w:val="none"/>
                <w:lang w:val="en-US" w:eastAsia="zh-CN"/>
              </w:rPr>
            </w:pPr>
            <w:bookmarkStart w:id="45" w:name="_Hlk49796138"/>
            <w:r>
              <w:rPr>
                <w:rFonts w:hint="default" w:ascii="Times New Roman" w:hAnsi="Times New Roman" w:eastAsia="宋体" w:cs="Times New Roman"/>
                <w:color w:val="auto"/>
                <w:sz w:val="24"/>
                <w:szCs w:val="24"/>
                <w:highlight w:val="none"/>
                <w:lang w:val="en-US" w:eastAsia="zh-CN"/>
              </w:rPr>
              <w:t>施工期生态环境影响分析</w:t>
            </w:r>
          </w:p>
        </w:tc>
        <w:tc>
          <w:tcPr>
            <w:tcW w:w="8334" w:type="dxa"/>
            <w:noWrap w:val="0"/>
            <w:tcMar>
              <w:left w:w="108" w:type="dxa"/>
              <w:right w:w="108" w:type="dxa"/>
            </w:tcMar>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en-US" w:eastAsia="zh-CN"/>
              </w:rPr>
              <w:t>1、</w:t>
            </w:r>
            <w:r>
              <w:rPr>
                <w:rFonts w:hint="default" w:ascii="Times New Roman" w:hAnsi="Times New Roman" w:eastAsia="宋体" w:cs="Times New Roman"/>
                <w:b/>
                <w:color w:val="auto"/>
                <w:sz w:val="24"/>
                <w:szCs w:val="20"/>
                <w:highlight w:val="none"/>
                <w:lang w:val="zh-CN" w:eastAsia="zh-CN"/>
              </w:rPr>
              <w:t>施工期生态影响分析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（1）工程占地影响分析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2"/>
                <w:sz w:val="24"/>
                <w:szCs w:val="24"/>
              </w:rPr>
              <w:t>结合地形等条件估算，需新建临时进场道路长约</w:t>
            </w:r>
            <w:r>
              <w:rPr>
                <w:rFonts w:hint="eastAsia" w:ascii="Times New Roman" w:cs="Times New Roman"/>
                <w:color w:val="auto"/>
                <w:kern w:val="2"/>
                <w:sz w:val="24"/>
                <w:szCs w:val="24"/>
                <w:lang w:val="en-US" w:eastAsia="zh-CN"/>
              </w:rPr>
              <w:t>405</w:t>
            </w:r>
            <w:r>
              <w:rPr>
                <w:rFonts w:hint="default" w:ascii="Times New Roman" w:hAnsi="Times New Roman" w:eastAsia="宋体" w:cs="Times New Roman"/>
                <w:color w:val="auto"/>
                <w:kern w:val="2"/>
                <w:sz w:val="24"/>
                <w:szCs w:val="24"/>
              </w:rPr>
              <w:t>m。工程占地类型为</w:t>
            </w:r>
            <w:r>
              <w:rPr>
                <w:rFonts w:hint="eastAsia" w:ascii="Times New Roman" w:cs="Times New Roman"/>
                <w:color w:val="auto"/>
                <w:kern w:val="2"/>
                <w:sz w:val="24"/>
                <w:szCs w:val="24"/>
                <w:lang w:val="en-US" w:eastAsia="zh-CN"/>
              </w:rPr>
              <w:t>沙地</w:t>
            </w:r>
            <w:r>
              <w:rPr>
                <w:rFonts w:hint="default" w:ascii="Times New Roman" w:hAnsi="Times New Roman" w:eastAsia="宋体" w:cs="Times New Roman"/>
                <w:color w:val="auto"/>
                <w:kern w:val="2"/>
                <w:sz w:val="24"/>
                <w:szCs w:val="24"/>
                <w:lang w:val="en-US" w:eastAsia="zh-CN"/>
              </w:rPr>
              <w:t>，</w:t>
            </w:r>
            <w:r>
              <w:rPr>
                <w:rFonts w:hint="default" w:ascii="Times New Roman" w:hAnsi="Times New Roman" w:eastAsia="宋体" w:cs="Times New Roman"/>
                <w:color w:val="auto"/>
                <w:sz w:val="24"/>
                <w:highlight w:val="none"/>
                <w:lang w:val="en-US" w:eastAsia="zh-CN"/>
              </w:rPr>
              <w:t>临时</w:t>
            </w:r>
            <w:r>
              <w:rPr>
                <w:rFonts w:hint="default" w:ascii="Times New Roman" w:hAnsi="Times New Roman" w:eastAsia="宋体" w:cs="Times New Roman"/>
                <w:color w:val="auto"/>
                <w:kern w:val="2"/>
                <w:sz w:val="24"/>
                <w:szCs w:val="24"/>
                <w:highlight w:val="none"/>
                <w:lang w:val="en-US" w:eastAsia="zh-CN"/>
              </w:rPr>
              <w:t>占地面积为</w:t>
            </w:r>
            <w:r>
              <w:rPr>
                <w:rFonts w:hint="eastAsia" w:ascii="Times New Roman" w:cs="Times New Roman"/>
                <w:color w:val="auto"/>
                <w:kern w:val="2"/>
                <w:sz w:val="24"/>
                <w:szCs w:val="24"/>
                <w:highlight w:val="none"/>
                <w:lang w:val="en-US" w:eastAsia="zh-CN"/>
              </w:rPr>
              <w:t>20330</w:t>
            </w:r>
            <w:r>
              <w:rPr>
                <w:rFonts w:hint="default" w:ascii="Times New Roman" w:hAnsi="Times New Roman" w:eastAsia="宋体" w:cs="Times New Roman"/>
                <w:color w:val="auto"/>
                <w:kern w:val="2"/>
                <w:sz w:val="24"/>
                <w:szCs w:val="24"/>
                <w:highlight w:val="none"/>
                <w:lang w:val="en-US" w:eastAsia="zh-CN"/>
              </w:rPr>
              <w:t>m</w:t>
            </w:r>
            <w:r>
              <w:rPr>
                <w:rFonts w:hint="default" w:ascii="Times New Roman" w:hAnsi="Times New Roman" w:eastAsia="宋体" w:cs="Times New Roman"/>
                <w:color w:val="auto"/>
                <w:kern w:val="2"/>
                <w:sz w:val="24"/>
                <w:szCs w:val="24"/>
                <w:highlight w:val="none"/>
                <w:vertAlign w:val="superscript"/>
                <w:lang w:val="en-US" w:eastAsia="zh-CN"/>
              </w:rPr>
              <w:t>2</w:t>
            </w:r>
            <w:r>
              <w:rPr>
                <w:rFonts w:hint="default"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sz w:val="24"/>
                <w:highlight w:val="none"/>
                <w:lang w:bidi="ar"/>
              </w:rPr>
              <w:t>其中井场面积为</w:t>
            </w:r>
            <w:r>
              <w:rPr>
                <w:rFonts w:hint="default" w:ascii="Times New Roman" w:hAnsi="Times New Roman" w:eastAsia="宋体" w:cs="Times New Roman"/>
                <w:color w:val="auto"/>
                <w:sz w:val="24"/>
                <w:highlight w:val="none"/>
                <w:lang w:val="en-US" w:eastAsia="zh-CN" w:bidi="ar"/>
              </w:rPr>
              <w:t>14000</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2</w:t>
            </w:r>
            <w:r>
              <w:rPr>
                <w:rFonts w:hint="eastAsia" w:ascii="Times New Roman" w:cs="Times New Roman"/>
                <w:color w:val="auto"/>
                <w:sz w:val="24"/>
                <w:highlight w:val="none"/>
                <w:lang w:eastAsia="zh-CN"/>
              </w:rPr>
              <w:t>（</w:t>
            </w:r>
            <w:r>
              <w:rPr>
                <w:rFonts w:hint="default" w:ascii="Times New Roman" w:hAnsi="Times New Roman" w:eastAsia="宋体" w:cs="Times New Roman"/>
                <w:color w:val="auto"/>
                <w:sz w:val="24"/>
                <w:highlight w:val="none"/>
              </w:rPr>
              <w:t>100m×140m</w:t>
            </w:r>
            <w:r>
              <w:rPr>
                <w:rFonts w:hint="eastAsia" w:ascii="Times New Roman" w:cs="Times New Roman"/>
                <w:color w:val="auto"/>
                <w:sz w:val="24"/>
                <w:highlight w:val="none"/>
                <w:lang w:eastAsia="zh-CN"/>
              </w:rPr>
              <w:t>）</w:t>
            </w:r>
            <w:r>
              <w:rPr>
                <w:rFonts w:hint="default" w:ascii="Times New Roman" w:hAnsi="Times New Roman" w:eastAsia="宋体" w:cs="Times New Roman"/>
                <w:color w:val="auto"/>
                <w:sz w:val="24"/>
                <w:highlight w:val="none"/>
                <w:lang w:bidi="ar"/>
              </w:rPr>
              <w:t>，生活区</w:t>
            </w:r>
            <w:r>
              <w:rPr>
                <w:rFonts w:hint="default" w:ascii="Times New Roman" w:hAnsi="Times New Roman" w:eastAsia="宋体" w:cs="Times New Roman"/>
                <w:color w:val="auto"/>
                <w:sz w:val="24"/>
                <w:highlight w:val="none"/>
                <w:lang w:val="en-US" w:eastAsia="zh-CN" w:bidi="ar"/>
              </w:rPr>
              <w:t>面积3500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highlight w:val="none"/>
                <w:lang w:bidi="ar"/>
              </w:rPr>
              <w:t>，进场道路</w:t>
            </w:r>
            <w:r>
              <w:rPr>
                <w:rFonts w:hint="default" w:ascii="Times New Roman" w:hAnsi="Times New Roman" w:eastAsia="宋体" w:cs="Times New Roman"/>
                <w:color w:val="auto"/>
                <w:sz w:val="24"/>
                <w:highlight w:val="none"/>
                <w:lang w:val="en-US" w:eastAsia="zh-CN" w:bidi="ar"/>
              </w:rPr>
              <w:t>面积</w:t>
            </w:r>
            <w:r>
              <w:rPr>
                <w:rFonts w:hint="eastAsia" w:ascii="Times New Roman" w:cs="Times New Roman"/>
                <w:color w:val="auto"/>
                <w:sz w:val="24"/>
                <w:highlight w:val="none"/>
                <w:lang w:val="en-US" w:eastAsia="zh-CN" w:bidi="ar"/>
              </w:rPr>
              <w:t>2430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vertAlign w:val="baseline"/>
                <w:lang w:val="en-US" w:eastAsia="zh-CN"/>
              </w:rPr>
              <w:t>其他各类池体占地400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kern w:val="2"/>
                <w:sz w:val="24"/>
                <w:szCs w:val="24"/>
              </w:rPr>
              <w:t>。工程布局无环境限制性因素，布局合理。工程临时占地会使土地的利用形式发生临时性改变，暂时影响这些土地的原有功能。</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0000FF"/>
                <w:sz w:val="24"/>
                <w:highlight w:val="none"/>
                <w:lang w:val="en-US" w:eastAsia="zh-CN"/>
              </w:rPr>
            </w:pPr>
            <w:r>
              <w:rPr>
                <w:rFonts w:hint="default" w:ascii="Times New Roman" w:hAnsi="Times New Roman" w:eastAsia="宋体" w:cs="Times New Roman"/>
                <w:b/>
                <w:bCs/>
                <w:color w:val="auto"/>
                <w:sz w:val="24"/>
                <w:highlight w:val="none"/>
                <w:lang w:val="en-US" w:eastAsia="zh-CN"/>
              </w:rPr>
              <w:t>表4-1    本项目占地一览表</w:t>
            </w:r>
          </w:p>
          <w:tbl>
            <w:tblPr>
              <w:tblStyle w:val="3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2316"/>
              <w:gridCol w:w="1587"/>
              <w:gridCol w:w="1587"/>
              <w:gridCol w:w="18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9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序号</w:t>
                  </w:r>
                </w:p>
              </w:tc>
              <w:tc>
                <w:tcPr>
                  <w:tcW w:w="1428"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项目</w:t>
                  </w:r>
                </w:p>
              </w:tc>
              <w:tc>
                <w:tcPr>
                  <w:tcW w:w="97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 w:val="21"/>
                      <w:szCs w:val="21"/>
                      <w:lang w:val="en-US" w:eastAsia="zh-CN" w:bidi="ar"/>
                    </w:rPr>
                  </w:pPr>
                  <w:r>
                    <w:rPr>
                      <w:rFonts w:hint="default" w:ascii="Times New Roman" w:hAnsi="Times New Roman" w:eastAsia="宋体" w:cs="Times New Roman"/>
                      <w:snapToGrid w:val="0"/>
                      <w:color w:val="auto"/>
                      <w:spacing w:val="0"/>
                      <w:kern w:val="0"/>
                      <w:szCs w:val="21"/>
                      <w:lang w:bidi="ar"/>
                    </w:rPr>
                    <w:t>占地面积</w:t>
                  </w:r>
                </w:p>
              </w:tc>
              <w:tc>
                <w:tcPr>
                  <w:tcW w:w="97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占地性质</w:t>
                  </w:r>
                </w:p>
              </w:tc>
              <w:tc>
                <w:tcPr>
                  <w:tcW w:w="1113"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占地类型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bidi="ar"/>
                    </w:rPr>
                    <w:t>1</w:t>
                  </w:r>
                </w:p>
              </w:tc>
              <w:tc>
                <w:tcPr>
                  <w:tcW w:w="1428"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井场</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top"/>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14000</w:t>
                  </w:r>
                </w:p>
              </w:tc>
              <w:tc>
                <w:tcPr>
                  <w:tcW w:w="979"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bidi="ar"/>
                    </w:rPr>
                  </w:pPr>
                  <w:r>
                    <w:rPr>
                      <w:rFonts w:hint="default" w:ascii="Times New Roman" w:hAnsi="Times New Roman" w:eastAsia="宋体" w:cs="Times New Roman"/>
                      <w:snapToGrid w:val="0"/>
                      <w:color w:val="auto"/>
                      <w:spacing w:val="0"/>
                      <w:kern w:val="0"/>
                      <w:szCs w:val="21"/>
                      <w:lang w:val="en-US" w:eastAsia="zh-CN" w:bidi="ar"/>
                    </w:rPr>
                    <w:t>临时占地</w:t>
                  </w:r>
                </w:p>
              </w:tc>
              <w:tc>
                <w:tcPr>
                  <w:tcW w:w="1113" w:type="pct"/>
                  <w:tcBorders>
                    <w:top w:val="single" w:color="auto" w:sz="4" w:space="0"/>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2</w:t>
                  </w:r>
                </w:p>
              </w:tc>
              <w:tc>
                <w:tcPr>
                  <w:tcW w:w="1428"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生活区</w:t>
                  </w:r>
                </w:p>
              </w:tc>
              <w:tc>
                <w:tcPr>
                  <w:tcW w:w="979"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default" w:ascii="Times New Roman" w:hAnsi="Times New Roman" w:eastAsia="宋体" w:cs="Times New Roman"/>
                      <w:snapToGrid w:val="0"/>
                      <w:color w:val="auto"/>
                      <w:spacing w:val="0"/>
                      <w:kern w:val="0"/>
                      <w:szCs w:val="21"/>
                      <w:highlight w:val="none"/>
                      <w:lang w:val="en-US" w:eastAsia="zh-CN" w:bidi="ar"/>
                    </w:rPr>
                    <w:t>3500</w:t>
                  </w:r>
                </w:p>
              </w:tc>
              <w:tc>
                <w:tcPr>
                  <w:tcW w:w="979" w:type="pct"/>
                  <w:tcBorders>
                    <w:left w:val="single" w:color="auto" w:sz="4" w:space="0"/>
                    <w:right w:val="single" w:color="auto" w:sz="4" w:space="0"/>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bidi="ar"/>
                    </w:rPr>
                  </w:pPr>
                  <w:r>
                    <w:rPr>
                      <w:rFonts w:hint="default" w:ascii="Times New Roman" w:hAnsi="Times New Roman" w:eastAsia="宋体" w:cs="Times New Roman"/>
                      <w:bCs/>
                      <w:color w:val="auto"/>
                      <w:spacing w:val="0"/>
                      <w:sz w:val="21"/>
                      <w:szCs w:val="21"/>
                      <w:highlight w:val="none"/>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3</w:t>
                  </w:r>
                </w:p>
              </w:tc>
              <w:tc>
                <w:tcPr>
                  <w:tcW w:w="1428"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进场道路</w:t>
                  </w:r>
                </w:p>
              </w:tc>
              <w:tc>
                <w:tcPr>
                  <w:tcW w:w="979"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 w:val="21"/>
                      <w:szCs w:val="21"/>
                      <w:highlight w:val="none"/>
                      <w:lang w:val="en-US" w:eastAsia="zh-CN" w:bidi="ar"/>
                    </w:rPr>
                    <w:t>2430</w:t>
                  </w:r>
                </w:p>
              </w:tc>
              <w:tc>
                <w:tcPr>
                  <w:tcW w:w="979" w:type="pct"/>
                  <w:tcBorders>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99"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4</w:t>
                  </w:r>
                </w:p>
              </w:tc>
              <w:tc>
                <w:tcPr>
                  <w:tcW w:w="1428" w:type="pct"/>
                  <w:tcBorders>
                    <w:left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各类池体</w:t>
                  </w:r>
                </w:p>
              </w:tc>
              <w:tc>
                <w:tcPr>
                  <w:tcW w:w="979"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default" w:ascii="Times New Roman" w:hAnsi="Times New Roman" w:eastAsia="宋体" w:cs="Times New Roman"/>
                      <w:snapToGrid w:val="0"/>
                      <w:color w:val="auto"/>
                      <w:spacing w:val="0"/>
                      <w:kern w:val="0"/>
                      <w:sz w:val="21"/>
                      <w:szCs w:val="21"/>
                      <w:highlight w:val="none"/>
                      <w:lang w:val="en-US" w:eastAsia="zh-CN" w:bidi="ar"/>
                    </w:rPr>
                    <w:t>400</w:t>
                  </w:r>
                </w:p>
              </w:tc>
              <w:tc>
                <w:tcPr>
                  <w:tcW w:w="979" w:type="pct"/>
                  <w:tcBorders>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27"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lang w:val="en-US" w:eastAsia="zh-CN" w:bidi="ar"/>
                    </w:rPr>
                  </w:pPr>
                  <w:r>
                    <w:rPr>
                      <w:rFonts w:hint="default" w:ascii="Times New Roman" w:hAnsi="Times New Roman" w:eastAsia="宋体" w:cs="Times New Roman"/>
                      <w:snapToGrid w:val="0"/>
                      <w:color w:val="auto"/>
                      <w:spacing w:val="0"/>
                      <w:kern w:val="0"/>
                      <w:szCs w:val="21"/>
                      <w:lang w:val="en-US" w:eastAsia="zh-CN" w:bidi="ar"/>
                    </w:rPr>
                    <w:t>合计</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leftChars="0" w:right="0" w:rightChars="0"/>
                    <w:jc w:val="center"/>
                    <w:rPr>
                      <w:rFonts w:hint="default" w:ascii="Times New Roman" w:hAnsi="Times New Roman" w:eastAsia="宋体" w:cs="Times New Roman"/>
                      <w:snapToGrid w:val="0"/>
                      <w:color w:val="auto"/>
                      <w:spacing w:val="0"/>
                      <w:kern w:val="0"/>
                      <w:sz w:val="21"/>
                      <w:szCs w:val="21"/>
                      <w:lang w:val="en-US" w:eastAsia="zh-CN" w:bidi="ar"/>
                    </w:rPr>
                  </w:pPr>
                  <w:r>
                    <w:rPr>
                      <w:rFonts w:hint="eastAsia" w:ascii="Times New Roman" w:cs="Times New Roman"/>
                      <w:snapToGrid w:val="0"/>
                      <w:color w:val="auto"/>
                      <w:spacing w:val="0"/>
                      <w:kern w:val="0"/>
                      <w:szCs w:val="21"/>
                      <w:highlight w:val="none"/>
                      <w:lang w:val="en-US" w:eastAsia="zh-CN" w:bidi="ar"/>
                    </w:rPr>
                    <w:t>20330</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suppressLineNumbers w:val="0"/>
                    <w:wordWrap/>
                    <w:overflowPunct/>
                    <w:bidi w:val="0"/>
                    <w:adjustRightInd/>
                    <w:snapToGrid/>
                    <w:spacing w:before="0" w:beforeAutospacing="0" w:after="0" w:afterAutospacing="0" w:line="360" w:lineRule="exact"/>
                    <w:ind w:left="0" w:right="0"/>
                    <w:jc w:val="center"/>
                    <w:rPr>
                      <w:rFonts w:hint="default" w:ascii="Times New Roman" w:hAnsi="Times New Roman" w:eastAsia="宋体" w:cs="Times New Roman"/>
                      <w:snapToGrid w:val="0"/>
                      <w:color w:val="auto"/>
                      <w:spacing w:val="0"/>
                      <w:kern w:val="0"/>
                      <w:szCs w:val="21"/>
                      <w:highlight w:val="none"/>
                      <w:lang w:val="en-US" w:eastAsia="zh-CN" w:bidi="ar"/>
                    </w:rPr>
                  </w:pPr>
                  <w:r>
                    <w:rPr>
                      <w:rFonts w:hint="default" w:ascii="Times New Roman" w:hAnsi="Times New Roman" w:eastAsia="宋体" w:cs="Times New Roman"/>
                      <w:bCs/>
                      <w:color w:val="auto"/>
                      <w:spacing w:val="0"/>
                      <w:sz w:val="21"/>
                      <w:szCs w:val="21"/>
                      <w:highlight w:val="none"/>
                    </w:rPr>
                    <w:t>临时占地</w:t>
                  </w:r>
                </w:p>
              </w:tc>
              <w:tc>
                <w:tcPr>
                  <w:tcW w:w="1113" w:type="pct"/>
                  <w:tcBorders>
                    <w:top w:val="single" w:color="auto" w:sz="4" w:space="0"/>
                    <w:left w:val="single" w:color="auto" w:sz="4" w:space="0"/>
                    <w:right w:val="single" w:color="auto" w:sz="4" w:space="0"/>
                  </w:tcBorders>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snapToGrid w:val="0"/>
                      <w:color w:val="auto"/>
                      <w:spacing w:val="0"/>
                      <w:kern w:val="0"/>
                      <w:sz w:val="21"/>
                      <w:szCs w:val="21"/>
                      <w:highlight w:val="none"/>
                      <w:lang w:val="en-US" w:eastAsia="zh-CN" w:bidi="ar"/>
                    </w:rPr>
                  </w:pPr>
                  <w:r>
                    <w:rPr>
                      <w:rFonts w:hint="eastAsia" w:ascii="Times New Roman" w:cs="Times New Roman"/>
                      <w:snapToGrid w:val="0"/>
                      <w:color w:val="auto"/>
                      <w:spacing w:val="0"/>
                      <w:kern w:val="0"/>
                      <w:szCs w:val="21"/>
                      <w:highlight w:val="none"/>
                      <w:lang w:val="en-US" w:eastAsia="zh-CN" w:bidi="ar"/>
                    </w:rPr>
                    <w:t>沙地</w:t>
                  </w:r>
                </w:p>
              </w:tc>
            </w:tr>
          </w:tbl>
          <w:p>
            <w:pPr>
              <w:keepNext w:val="0"/>
              <w:keepLines w:val="0"/>
              <w:pageBreakBefore w:val="0"/>
              <w:widowControl w:val="0"/>
              <w:suppressLineNumbers w:val="0"/>
              <w:kinsoku/>
              <w:wordWrap/>
              <w:overflowPunct/>
              <w:topLinePunct w:val="0"/>
              <w:bidi w:val="0"/>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rPr>
              <w:t>钻井工程结束后对临时设施予以拆除，统一采取平整土地措施，人工恢复进场道路及施工临时占地的原貌。本项目井场占地为</w:t>
            </w:r>
            <w:r>
              <w:rPr>
                <w:rFonts w:hint="eastAsia" w:ascii="Times New Roman" w:cs="Times New Roman"/>
                <w:color w:val="auto"/>
                <w:sz w:val="24"/>
                <w:szCs w:val="24"/>
                <w:lang w:val="en-US" w:eastAsia="zh-CN"/>
              </w:rPr>
              <w:t>沙地</w:t>
            </w:r>
            <w:r>
              <w:rPr>
                <w:rFonts w:hint="default" w:ascii="Times New Roman" w:hAnsi="Times New Roman" w:eastAsia="宋体" w:cs="Times New Roman"/>
                <w:color w:val="auto"/>
                <w:sz w:val="24"/>
                <w:szCs w:val="24"/>
              </w:rPr>
              <w:t>，不占用基本农田等保护用地。临时占地在占用完毕后都可在较短时间内恢复。根据现场调查，项目的井场选址占地在当地现有土地利用类型中所占比例很小，不会导致区域土地利用格局的变化，对区域土地利用格局产生的影响甚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（2）对土壤环境影响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流动沙地区域的土壤环境本就脆弱，车辆碾压、基础建设等工程活动会对其造成多方面影响，具体如下：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车辆碾压会直接破坏地表结构。流动沙地的土壤颗粒松散，缺乏稳定的植被覆盖，车辆行驶时的重力碾压会使表层土壤压实，改变土壤孔隙度。原本疏松的土壤孔隙被压缩，透气性和透水性下降，不仅不利于水分下渗，影响土壤与大气间的气体交换，还会降低土壤的持水能力，进一步加剧区域的干旱程度。同时，碾压会使土壤颗粒之间的连接更加紧密，在风力作用下，原本易被吹扬的细颗粒土壤可能形成板结层，虽然短期内可能减少局部风蚀，但长期来看，板结层一旦被破坏，会引发更严重的沙粒流失。</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基础建设工程，如场地平整、地基开挖等，会严重扰动地表土壤。这会直接改变土壤的原始分布状态，如深层土壤被翻至表层，而表层土壤可能被掩埋或搬运。流动沙地的土壤养分本就匮乏，这种扰动会打破土壤原有的养分分布格局，导致土壤肥力进一步下降。此外，基础建设过程中产生的弃土若处理不当，随意堆放，在风力作用下极易成为新的沙源，加剧周边区域的土壤侵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另外，工程活动还可能破坏土壤中的生物结皮。流动沙地中即使植被稀少，也可能存在少量的生物结皮，它们由微生物、藻类等组成，对稳定土壤表层、减少风蚀起着重要作用。车辆碾压和基础建设会直接碾压或剥离这些生物结皮，使其失去保护作用，土壤表层的抗侵蚀能力大幅降低，更容易受到风沙的侵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这些影响相互叠加，会破坏流动沙地区域土壤的生态功能，影响其自我修复能力，对区域的生态环境造成不利影响。因此，在流动沙地区域施工时，需采取有效的防护措施，如严格限制施工活动区域、划定车辆行驶路线等，以减少对土壤环境的扰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（3）对植被的影响分析</w:t>
            </w:r>
          </w:p>
          <w:p>
            <w:pPr>
              <w:keepNext w:val="0"/>
              <w:keepLines w:val="0"/>
              <w:widowControl w:val="0"/>
              <w:suppressLineNumbers w:val="0"/>
              <w:autoSpaceDE w:val="0"/>
              <w:autoSpaceDN/>
              <w:adjustRightInd w:val="0"/>
              <w:spacing w:before="0" w:beforeAutospacing="0" w:after="0" w:afterAutospacing="0" w:line="440" w:lineRule="exact"/>
              <w:ind w:left="0" w:right="0" w:firstLine="480" w:firstLineChars="200"/>
              <w:jc w:val="both"/>
              <w:rPr>
                <w:rFonts w:hint="default" w:ascii="Times New Roman" w:hAnsi="Times New Roman" w:eastAsia="宋体" w:cs="Times New Roman"/>
                <w:color w:val="0000FF"/>
                <w:kern w:val="2"/>
                <w:sz w:val="24"/>
                <w:szCs w:val="24"/>
              </w:rPr>
            </w:pPr>
            <w:r>
              <w:rPr>
                <w:rFonts w:hint="default" w:ascii="Times New Roman" w:hAnsi="Times New Roman" w:eastAsia="宋体" w:cs="Times New Roman"/>
                <w:color w:val="auto"/>
                <w:kern w:val="2"/>
                <w:sz w:val="24"/>
                <w:szCs w:val="24"/>
                <w:lang w:val="en-US" w:eastAsia="zh-CN" w:bidi="ar"/>
              </w:rPr>
              <w:t>根据现场调查情况，项目拟占地区域地表基本无植被覆盖，项目施工建设不会造成区域生物量损失。</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（4）对野生动物的影响分析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油气田</w:t>
            </w:r>
            <w:r>
              <w:rPr>
                <w:rFonts w:hint="default" w:ascii="Times New Roman" w:hAnsi="Times New Roman" w:eastAsia="宋体" w:cs="Times New Roman"/>
                <w:color w:val="auto"/>
                <w:sz w:val="24"/>
                <w:szCs w:val="24"/>
                <w:highlight w:val="none"/>
              </w:rPr>
              <w:t>钻井工程对野生动物的生存环境、分布范围和种群数量的影响主要分为直接影响和间接影响两个方面。直接影响主要表现为建设项目的占地，使野生动物的原始生存环境被破坏或改变；间接影响主要表现为由于植被的减少或污染破坏而</w:t>
            </w:r>
            <w:r>
              <w:rPr>
                <w:rFonts w:hint="default" w:ascii="Times New Roman" w:hAnsi="Times New Roman" w:eastAsia="宋体" w:cs="Times New Roman"/>
                <w:color w:val="auto"/>
                <w:sz w:val="24"/>
                <w:szCs w:val="24"/>
                <w:highlight w:val="none"/>
                <w:lang w:val="en-US" w:eastAsia="zh-CN"/>
              </w:rPr>
              <w:t>导致</w:t>
            </w:r>
            <w:r>
              <w:rPr>
                <w:rFonts w:hint="default" w:ascii="Times New Roman" w:hAnsi="Times New Roman" w:eastAsia="宋体" w:cs="Times New Roman"/>
                <w:color w:val="auto"/>
                <w:sz w:val="24"/>
                <w:szCs w:val="24"/>
                <w:highlight w:val="none"/>
              </w:rPr>
              <w:t>野生动物食物来源的减少。</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本项目所在区域以沙漠生态系统为主，镶嵌工矿用地生态系统，随着油气田开采活动的开展，人为干扰逐渐加强，</w:t>
            </w:r>
            <w:r>
              <w:rPr>
                <w:rFonts w:hint="default" w:ascii="Times New Roman" w:hAnsi="Times New Roman" w:eastAsia="宋体" w:cs="Times New Roman"/>
                <w:color w:val="auto"/>
                <w:sz w:val="24"/>
                <w:szCs w:val="24"/>
                <w:highlight w:val="none"/>
              </w:rPr>
              <w:t>区域内各种野生动物经过长期的适应已形成较稳定的取食、饮水、栖息活动范围和</w:t>
            </w:r>
            <w:r>
              <w:rPr>
                <w:rFonts w:hint="default" w:ascii="Times New Roman" w:hAnsi="Times New Roman" w:eastAsia="宋体" w:cs="Times New Roman"/>
                <w:color w:val="auto"/>
                <w:sz w:val="24"/>
                <w:szCs w:val="24"/>
                <w:highlight w:val="none"/>
                <w:lang w:val="en-US" w:eastAsia="zh-CN"/>
              </w:rPr>
              <w:t>路径</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该区域现状存在的野生动物种类和数量较少，多为对人类活动适应性较强的“伴人动物”。本项目施工建设期间，占地和噪声等的影响将会迫使现存的野生动物短暂离开施工活动区域，待施工结束，野生动物对新环境适应后其活动和分布范围将逐步恢复。总体来讲，本项目施工建设对野生动物影响较小。</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0000FF"/>
                <w:sz w:val="24"/>
                <w:szCs w:val="24"/>
                <w:highlight w:val="none"/>
              </w:rPr>
            </w:pPr>
            <w:r>
              <w:rPr>
                <w:rFonts w:hint="default" w:ascii="Times New Roman" w:hAnsi="Times New Roman" w:eastAsia="宋体" w:cs="Times New Roman"/>
                <w:color w:val="auto"/>
                <w:sz w:val="24"/>
                <w:szCs w:val="24"/>
                <w:highlight w:val="none"/>
                <w:lang w:val="en-US" w:eastAsia="zh-CN"/>
              </w:rPr>
              <w:t>施工期间应加强管理，约束施工人员的行为，禁止对野生动物进行捕猎。</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（5）对生态保护红线影响分析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z w:val="24"/>
                <w:szCs w:val="24"/>
                <w:highlight w:val="none"/>
              </w:rPr>
              <w:t>本工程</w:t>
            </w:r>
            <w:r>
              <w:rPr>
                <w:rFonts w:hint="eastAsia" w:ascii="Times New Roman" w:cs="Times New Roman"/>
                <w:color w:val="auto"/>
                <w:sz w:val="24"/>
                <w:szCs w:val="24"/>
                <w:highlight w:val="none"/>
                <w:lang w:val="en-US" w:eastAsia="zh-CN"/>
              </w:rPr>
              <w:t>西南</w:t>
            </w:r>
            <w:r>
              <w:rPr>
                <w:rFonts w:hint="default" w:ascii="Times New Roman" w:hAnsi="Times New Roman" w:eastAsia="宋体" w:cs="Times New Roman"/>
                <w:color w:val="auto"/>
                <w:sz w:val="24"/>
                <w:szCs w:val="24"/>
                <w:highlight w:val="none"/>
                <w:lang w:val="en-US" w:eastAsia="zh-CN"/>
              </w:rPr>
              <w:t>距</w:t>
            </w:r>
            <w:r>
              <w:rPr>
                <w:rFonts w:hint="eastAsia" w:ascii="Times New Roman" w:hAnsi="Times New Roman" w:eastAsia="宋体" w:cs="Times New Roman"/>
                <w:color w:val="auto"/>
                <w:sz w:val="24"/>
                <w:szCs w:val="24"/>
                <w:highlight w:val="none"/>
                <w:lang w:val="en-US" w:eastAsia="zh-CN"/>
              </w:rPr>
              <w:t>塔里木盆地南缘土地沙化防控生态保护红线区</w:t>
            </w:r>
            <w:r>
              <w:rPr>
                <w:rFonts w:hint="eastAsia" w:ascii="Times New Roman" w:cs="Times New Roman"/>
                <w:color w:val="auto"/>
                <w:sz w:val="24"/>
                <w:szCs w:val="24"/>
                <w:highlight w:val="none"/>
                <w:lang w:val="en-US" w:eastAsia="zh-CN"/>
              </w:rPr>
              <w:t>122.9</w:t>
            </w:r>
            <w:r>
              <w:rPr>
                <w:rFonts w:hint="default" w:ascii="Times New Roman" w:hAnsi="Times New Roman" w:eastAsia="宋体" w:cs="Times New Roman"/>
                <w:color w:val="auto"/>
                <w:sz w:val="24"/>
                <w:szCs w:val="24"/>
                <w:highlight w:val="none"/>
                <w:lang w:val="en-US" w:eastAsia="zh-CN"/>
              </w:rPr>
              <w:t>km</w:t>
            </w:r>
            <w:r>
              <w:rPr>
                <w:rFonts w:hint="default" w:ascii="Times New Roman" w:hAnsi="Times New Roman" w:eastAsia="宋体" w:cs="Times New Roman"/>
                <w:color w:val="auto"/>
                <w:sz w:val="24"/>
                <w:szCs w:val="24"/>
                <w:highlight w:val="none"/>
              </w:rPr>
              <w:t>，不在生态保护红线内。</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根据生态保护红线划定结果，本工程在选址选线中充分考虑了避让红线，另外，控制施工作业带宽度，控制人为活动范围，减少对原生地表的破坏</w:t>
            </w:r>
            <w:r>
              <w:rPr>
                <w:rFonts w:hint="eastAsia" w:ascii="Times New Roman" w:cs="Times New Roman"/>
                <w:color w:val="auto"/>
                <w:sz w:val="24"/>
                <w:szCs w:val="24"/>
                <w:highlight w:val="none"/>
                <w:lang w:eastAsia="zh-CN"/>
              </w:rPr>
              <w:t>，是</w:t>
            </w:r>
            <w:r>
              <w:rPr>
                <w:rFonts w:hint="default" w:ascii="Times New Roman" w:hAnsi="Times New Roman" w:eastAsia="宋体" w:cs="Times New Roman"/>
                <w:color w:val="auto"/>
                <w:sz w:val="24"/>
                <w:szCs w:val="24"/>
                <w:highlight w:val="none"/>
              </w:rPr>
              <w:t>施工期降低对生态保护红线影响的主要手段。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0000FF"/>
                <w:sz w:val="24"/>
                <w:szCs w:val="24"/>
                <w:highlight w:val="none"/>
              </w:rPr>
            </w:pPr>
            <w:r>
              <w:rPr>
                <w:rFonts w:hint="default" w:ascii="Times New Roman" w:hAnsi="Times New Roman" w:eastAsia="宋体" w:cs="Times New Roman"/>
                <w:color w:val="auto"/>
                <w:sz w:val="24"/>
                <w:szCs w:val="24"/>
                <w:highlight w:val="none"/>
              </w:rPr>
              <w:t>项目建成后，及时恢复临时占地，本工程优化选址，同时做好施工期的生态保护，项目对生态保护红线的影响可以接受，不会导致生态保护红线生态功能发生明显改变，满足生态保护红线</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面积不减少、性质不改变、功能不降低</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的有关要求。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（6）水土流失影响分析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沙漠地区生态环境脆弱，施工建设易引发水土流失，其影响主要体现在以下方面：</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施工期车辆碾压、场地开挖平整等活动会破坏地表原有松散结构，使土壤抗蚀能力下降。风力作用下，裸露的沙粒易被吹扬，形成风蚀，加剧土地沙化。</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此外，施工过程中临时弃土弃渣若堆放不当，会成为新的侵蚀源，易在风力作用下扩散，不仅侵占周边土地，还可能堵塞周边有限的水文通道，影响区域水文循环。同时，水土流失会带走土壤表层有限的养分，进一步降低土壤肥力，破坏沙漠生态系统的稳定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szCs w:val="24"/>
                <w:highlight w:val="none"/>
                <w:lang w:val="en-US" w:eastAsia="zh-CN"/>
              </w:rPr>
              <w:t>施工中需采取合理安排施工进度、避免在大风天气进行土方作业、易起尘物料覆盖防尘网等措施，施工结束后及时对临时占地区域进行恢复，尽可能减少水土流失。</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（7）施工期</w:t>
            </w:r>
            <w:r>
              <w:rPr>
                <w:rFonts w:hint="default" w:ascii="Times New Roman" w:hAnsi="Times New Roman" w:eastAsia="宋体" w:cs="Times New Roman"/>
                <w:color w:val="auto"/>
                <w:sz w:val="24"/>
                <w:szCs w:val="24"/>
                <w:highlight w:val="none"/>
                <w:lang w:val="en-US" w:eastAsia="zh-CN"/>
              </w:rPr>
              <w:t>沙化影响</w:t>
            </w:r>
            <w:r>
              <w:rPr>
                <w:rFonts w:hint="default" w:ascii="Times New Roman" w:hAnsi="Times New Roman" w:eastAsia="宋体" w:cs="Times New Roman"/>
                <w:color w:val="auto"/>
                <w:sz w:val="24"/>
                <w:szCs w:val="24"/>
                <w:highlight w:val="none"/>
              </w:rPr>
              <w:t>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在沙漠流动沙地区域，项目施工建设对沙化土地的影响因流沙的不稳定性而更具特殊性，具体表现为：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①加速流沙迁移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流动沙地的沙粒本就处于较频繁移动状态，施工中的场地清理、机械碾压、基础开挖等会打破原有沙丘的平衡状态。例如，推土机平整场地时可能推散阻沙丘体，导致周边流沙失去遮挡，在风力作用下使原本局限于特定区域的流动沙地向周边扩散。同时，移动机械及运输车辆在流沙表面反复行驶形成的车辙，会成为新的“输沙通道”，引导流沙向更低洼的区域堆积，破坏周边沙化土地的自然分布格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②削弱流沙区有限的抗蚀缓冲能力</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流动沙地中虽缺乏稳定植被，但局部可能存在临时形成的沙结皮（由风力分选形成的较紧实表层）等，这些是延缓流沙移动的微弱缓冲因素。施工活动（如材料堆放、临时建筑搭建等）会直接碾压或掩埋这些缓冲层，使流沙失去短暂的“束缚”，沙粒启动风速降低，导致沙化土地的风蚀强度显著提升。此外，地基开挖产生的松散弃沙若未及时固定，会成为“流动性更强的新沙源”，在风力作用下随流沙一起迁移，加剧侵蚀。</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③干扰流沙区水文与土壤的脆弱平衡</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流动沙地的地下水位通常较浅且极不稳定，施工中开挖地基可能破坏浅层地下水的渗透路径，导致局部区域水位下降或出现积水洼地。水位变化会进一步改变沙粒的紧实度——水位下降处沙粒更松散，易被风蚀；积水处干涸后形成的盐结皮被破坏，会释放出更多易蚀性盐质沙粒，形成“次生盐碱化沙化土地”。同时，施工废弃物（如油污等）渗入流沙后，难以被分解或过滤，会随沙粒移动污染更大范围的沙化土地，破坏其本就脆弱的土壤微环境，阻碍任何可能的自然植被生长。</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④增加沙化土地治理的长期性难度</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流动沙地的沙粒移动具有季节性规律（如冬季风大时迁移距离远），施工扰动后，流沙的迁移路径可能发生改变，原本可通过自然植被逐步固定的区域，可能因流沙持续堆积而失去修复条件。从而导致流动沙地的治理需投入更多的人工干预成本。</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0000FF"/>
                <w:sz w:val="24"/>
                <w:szCs w:val="24"/>
                <w:highlight w:val="none"/>
              </w:rPr>
            </w:pPr>
            <w:r>
              <w:rPr>
                <w:rFonts w:hint="default" w:ascii="Times New Roman" w:hAnsi="Times New Roman" w:eastAsia="宋体" w:cs="Times New Roman"/>
                <w:color w:val="auto"/>
                <w:spacing w:val="0"/>
                <w:position w:val="0"/>
                <w:sz w:val="24"/>
                <w:szCs w:val="24"/>
                <w:highlight w:val="none"/>
                <w:lang w:val="en-US" w:eastAsia="zh-CN"/>
              </w:rPr>
              <w:t>施工建设过程中应严格限制施工活动区域，针对流动沙地区域的特殊性，施工中还需强化防沙治沙措施，如采用网格沙障固定施工区周边流沙等，以遏制流沙迁移对沙化土地的连锁影响。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zh-CN" w:eastAsia="zh-CN"/>
              </w:rPr>
              <w:t>2、施工废气影响分析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rPr>
              <w:t>施工扬尘</w:t>
            </w:r>
          </w:p>
          <w:p>
            <w:pPr>
              <w:keepNext w:val="0"/>
              <w:keepLines w:val="0"/>
              <w:pageBreakBefore w:val="0"/>
              <w:widowControl w:val="0"/>
              <w:suppressLineNumbers w:val="0"/>
              <w:kinsoku/>
              <w:wordWrap/>
              <w:overflowPunct/>
              <w:topLinePunct w:val="0"/>
              <w:bidi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施工扬尘主要</w:t>
            </w:r>
            <w:r>
              <w:rPr>
                <w:rFonts w:hint="default" w:ascii="Times New Roman" w:hAnsi="Times New Roman" w:eastAsia="宋体" w:cs="Times New Roman"/>
                <w:color w:val="auto"/>
                <w:kern w:val="0"/>
                <w:sz w:val="24"/>
                <w:szCs w:val="24"/>
                <w:lang w:eastAsia="zh-CN"/>
              </w:rPr>
              <w:t>来自</w:t>
            </w:r>
            <w:r>
              <w:rPr>
                <w:rFonts w:hint="default" w:ascii="Times New Roman" w:hAnsi="Times New Roman" w:eastAsia="宋体" w:cs="Times New Roman"/>
                <w:color w:val="auto"/>
                <w:kern w:val="0"/>
                <w:sz w:val="24"/>
                <w:szCs w:val="24"/>
              </w:rPr>
              <w:t>井场平整、进场道路建设过程中土地的清理、挖掘、土方的运转及堆积，</w:t>
            </w:r>
            <w:r>
              <w:rPr>
                <w:rFonts w:hint="default" w:ascii="Times New Roman" w:hAnsi="Times New Roman" w:eastAsia="宋体" w:cs="Times New Roman"/>
                <w:color w:val="auto"/>
                <w:kern w:val="0"/>
                <w:sz w:val="24"/>
                <w:szCs w:val="24"/>
                <w:lang w:val="en-US" w:eastAsia="zh-CN"/>
              </w:rPr>
              <w:t>主要来自施工和运输产生的粉尘、车辆运输二次扬尘以及地面物料堆放时的遇风扬尘，施工扬尘的产生及影响程度跟施工季节、施工管理和风力等气候因素有一定关系，如遇干旱大风天气扬尘影响则较为严重</w:t>
            </w:r>
            <w:r>
              <w:rPr>
                <w:rFonts w:hint="default" w:ascii="Times New Roman" w:hAnsi="Times New Roman" w:eastAsia="宋体" w:cs="Times New Roman"/>
                <w:color w:val="auto"/>
                <w:kern w:val="0"/>
                <w:sz w:val="24"/>
                <w:szCs w:val="24"/>
              </w:rPr>
              <w:t>。类比调查，土路下风向100米颗粒物浓度达到10mg/m</w:t>
            </w:r>
            <w:r>
              <w:rPr>
                <w:rFonts w:hint="default" w:ascii="Times New Roman" w:hAnsi="Times New Roman" w:eastAsia="宋体" w:cs="Times New Roman"/>
                <w:color w:val="auto"/>
                <w:kern w:val="0"/>
                <w:sz w:val="24"/>
                <w:szCs w:val="24"/>
                <w:vertAlign w:val="superscript"/>
              </w:rPr>
              <w:t>3</w:t>
            </w:r>
            <w:r>
              <w:rPr>
                <w:rFonts w:hint="default" w:ascii="Times New Roman" w:hAnsi="Times New Roman" w:eastAsia="宋体" w:cs="Times New Roman"/>
                <w:color w:val="auto"/>
                <w:kern w:val="0"/>
                <w:sz w:val="24"/>
                <w:szCs w:val="24"/>
              </w:rPr>
              <w:t>，150米处仍达5.039mg/m</w:t>
            </w:r>
            <w:r>
              <w:rPr>
                <w:rFonts w:hint="default" w:ascii="Times New Roman" w:hAnsi="Times New Roman" w:eastAsia="宋体" w:cs="Times New Roman"/>
                <w:color w:val="auto"/>
                <w:kern w:val="0"/>
                <w:sz w:val="24"/>
                <w:szCs w:val="24"/>
                <w:vertAlign w:val="superscript"/>
              </w:rPr>
              <w:t>3</w:t>
            </w:r>
            <w:r>
              <w:rPr>
                <w:rFonts w:hint="default" w:ascii="Times New Roman" w:hAnsi="Times New Roman" w:eastAsia="宋体" w:cs="Times New Roman"/>
                <w:color w:val="auto"/>
                <w:kern w:val="0"/>
                <w:sz w:val="24"/>
                <w:szCs w:val="24"/>
              </w:rPr>
              <w:t>，超过《环境空气质量标准》</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GB3095-20</w:t>
            </w:r>
            <w:r>
              <w:rPr>
                <w:rFonts w:hint="default" w:ascii="Times New Roman" w:hAnsi="Times New Roman" w:eastAsia="宋体" w:cs="Times New Roman"/>
                <w:color w:val="auto"/>
                <w:kern w:val="0"/>
                <w:sz w:val="24"/>
                <w:szCs w:val="24"/>
                <w:lang w:val="en-US" w:eastAsia="zh-CN"/>
              </w:rPr>
              <w:t>26）</w:t>
            </w:r>
            <w:r>
              <w:rPr>
                <w:rFonts w:hint="default" w:ascii="Times New Roman" w:hAnsi="Times New Roman" w:eastAsia="宋体" w:cs="Times New Roman"/>
                <w:color w:val="auto"/>
                <w:kern w:val="0"/>
                <w:sz w:val="24"/>
                <w:szCs w:val="24"/>
              </w:rPr>
              <w:t>二级标准要求。</w:t>
            </w:r>
          </w:p>
          <w:p>
            <w:pPr>
              <w:keepNext w:val="0"/>
              <w:keepLines w:val="0"/>
              <w:pageBreakBefore w:val="0"/>
              <w:widowControl w:val="0"/>
              <w:suppressLineNumbers w:val="0"/>
              <w:kinsoku/>
              <w:wordWrap/>
              <w:overflowPunct/>
              <w:topLinePunct w:val="0"/>
              <w:bidi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b w:val="0"/>
                <w:bCs/>
                <w:snapToGrid/>
                <w:color w:val="auto"/>
                <w:kern w:val="2"/>
                <w:sz w:val="24"/>
                <w:szCs w:val="20"/>
                <w:highlight w:val="none"/>
                <w:lang w:val="en-US" w:eastAsia="zh-CN"/>
              </w:rPr>
            </w:pPr>
            <w:r>
              <w:rPr>
                <w:rFonts w:hint="default" w:ascii="Times New Roman" w:hAnsi="Times New Roman" w:eastAsia="宋体" w:cs="Times New Roman"/>
                <w:color w:val="auto"/>
                <w:kern w:val="0"/>
                <w:sz w:val="24"/>
                <w:szCs w:val="24"/>
              </w:rPr>
              <w:t>施工期对易产生扬尘的作业采取遮盖、定期指派洒水车洒水抑尘等措施后可对区域环境空气影响较小。</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钻井工程废气</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钻井废气主要包括钻井柴油发电机废气、测试放喷废气、井场储罐产生的无组织废气。</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①柴油发电机废气</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0000FF"/>
                <w:sz w:val="24"/>
                <w:szCs w:val="24"/>
                <w:highlight w:val="none"/>
              </w:rPr>
            </w:pPr>
            <w:r>
              <w:rPr>
                <w:rFonts w:hint="default" w:ascii="Times New Roman" w:hAnsi="Times New Roman" w:eastAsia="宋体" w:cs="Times New Roman"/>
                <w:color w:val="auto"/>
                <w:sz w:val="24"/>
                <w:szCs w:val="24"/>
                <w:highlight w:val="none"/>
              </w:rPr>
              <w:t>井场钻机动力、生活、办公等用电以及试井期井场设备均由柴油发电机</w:t>
            </w:r>
            <w:r>
              <w:rPr>
                <w:rFonts w:hint="eastAsia" w:ascii="Times New Roman" w:cs="Times New Roman"/>
                <w:color w:val="auto"/>
                <w:sz w:val="24"/>
                <w:szCs w:val="24"/>
                <w:highlight w:val="none"/>
                <w:lang w:val="en-US" w:eastAsia="zh-CN"/>
              </w:rPr>
              <w:t>提供</w:t>
            </w:r>
            <w:r>
              <w:rPr>
                <w:rFonts w:hint="default" w:ascii="Times New Roman" w:hAnsi="Times New Roman" w:eastAsia="宋体" w:cs="Times New Roman"/>
                <w:color w:val="auto"/>
                <w:sz w:val="24"/>
                <w:szCs w:val="24"/>
                <w:highlight w:val="none"/>
              </w:rPr>
              <w:t>。根据钻井过程中动力消耗适时调整柴油发电机运行台数。预计工程施工期间柴油发电机消耗柴油约</w:t>
            </w:r>
            <w:r>
              <w:rPr>
                <w:rFonts w:hint="eastAsia" w:ascii="Times New Roman" w:cs="Times New Roman"/>
                <w:color w:val="auto"/>
                <w:sz w:val="24"/>
                <w:szCs w:val="24"/>
                <w:highlight w:val="none"/>
                <w:lang w:val="en-US" w:eastAsia="zh-CN"/>
              </w:rPr>
              <w:t>6270</w:t>
            </w:r>
            <w:r>
              <w:rPr>
                <w:rFonts w:hint="default" w:ascii="Times New Roman" w:hAnsi="Times New Roman" w:eastAsia="宋体" w:cs="Times New Roman"/>
                <w:color w:val="auto"/>
                <w:sz w:val="24"/>
                <w:szCs w:val="24"/>
                <w:highlight w:val="none"/>
              </w:rPr>
              <w:t>t。柴油发电机等设备燃料燃烧废气主要污染物为颗粒物、NO</w:t>
            </w:r>
            <w:r>
              <w:rPr>
                <w:rFonts w:hint="eastAsia" w:ascii="Times New Roman" w:cs="Times New Roman"/>
                <w:color w:val="auto"/>
                <w:sz w:val="24"/>
                <w:szCs w:val="24"/>
                <w:highlight w:val="none"/>
                <w:lang w:val="en-US" w:eastAsia="zh-CN"/>
              </w:rPr>
              <w:t>x</w:t>
            </w:r>
            <w:r>
              <w:rPr>
                <w:rFonts w:hint="default" w:ascii="Times New Roman" w:hAnsi="Times New Roman" w:eastAsia="宋体" w:cs="Times New Roman"/>
                <w:color w:val="auto"/>
                <w:sz w:val="24"/>
                <w:szCs w:val="24"/>
                <w:highlight w:val="none"/>
              </w:rPr>
              <w:t>和CO等。</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0000FF"/>
                <w:sz w:val="24"/>
                <w:szCs w:val="24"/>
                <w:highlight w:val="none"/>
              </w:rPr>
            </w:pPr>
            <w:r>
              <w:rPr>
                <w:rFonts w:hint="default" w:ascii="Times New Roman" w:hAnsi="Times New Roman" w:eastAsia="宋体" w:cs="Times New Roman"/>
                <w:color w:val="auto"/>
                <w:sz w:val="24"/>
                <w:szCs w:val="24"/>
                <w:highlight w:val="none"/>
              </w:rPr>
              <w:t>根据《第一次全国污染源普查工业污染源产排污系数手册》，烟尘按0.25kg/t柴油、NOx按3.41kg/t柴油计。根据《车用柴油》</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GB19147-2016</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及《关于做好全国全面供应硫含量不大于10ppm普通柴油有关工作的通知》</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发改办能源〔2017〕1665号</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，现行柴油含硫量不大于10mg/kg</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0.01kg/t</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，本次评价按柴油中硫含量0.01kg/t柴油估算，燃烧柴油SO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排放量按照Q=2*S*W计算，其中Q是污染物排放量，单位kg</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S为含硫率0.01kg/t，W为耗油量</w:t>
            </w:r>
            <w:r>
              <w:rPr>
                <w:rFonts w:hint="eastAsia" w:ascii="Times New Roman" w:cs="Times New Roman"/>
                <w:color w:val="auto"/>
                <w:sz w:val="24"/>
                <w:szCs w:val="24"/>
                <w:highlight w:val="none"/>
                <w:lang w:val="en-US" w:eastAsia="zh-CN"/>
              </w:rPr>
              <w:t>6270</w:t>
            </w:r>
            <w:r>
              <w:rPr>
                <w:rFonts w:hint="default" w:ascii="Times New Roman" w:hAnsi="Times New Roman" w:eastAsia="宋体" w:cs="Times New Roman"/>
                <w:color w:val="auto"/>
                <w:sz w:val="24"/>
                <w:szCs w:val="24"/>
                <w:highlight w:val="none"/>
              </w:rPr>
              <w:t>t。根据《环境统计手册》，燃烧1m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柴油产生的CO 0.293kg，HC 0.293kg，本项目采用轻柴油，密度850kg/m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，据此核算本项目备用情况下钻井工程柴油发电机的废气中各项污染物的产生量为SO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 xml:space="preserve"> </w:t>
            </w:r>
            <w:r>
              <w:rPr>
                <w:rFonts w:hint="eastAsia" w:ascii="Times New Roman" w:cs="Times New Roman"/>
                <w:color w:val="auto"/>
                <w:sz w:val="24"/>
                <w:szCs w:val="24"/>
                <w:highlight w:val="none"/>
                <w:lang w:val="en-US" w:eastAsia="zh-CN"/>
              </w:rPr>
              <w:t>125.4</w:t>
            </w:r>
            <w:r>
              <w:rPr>
                <w:rFonts w:hint="default" w:ascii="Times New Roman" w:hAnsi="Times New Roman" w:eastAsia="宋体" w:cs="Times New Roman"/>
                <w:color w:val="auto"/>
                <w:sz w:val="24"/>
                <w:szCs w:val="24"/>
                <w:highlight w:val="none"/>
              </w:rPr>
              <w:t xml:space="preserve">kg、NOx </w:t>
            </w:r>
            <w:r>
              <w:rPr>
                <w:rFonts w:hint="eastAsia" w:ascii="Times New Roman" w:cs="Times New Roman"/>
                <w:color w:val="auto"/>
                <w:sz w:val="24"/>
                <w:szCs w:val="24"/>
                <w:highlight w:val="none"/>
                <w:lang w:val="en-US" w:eastAsia="zh-CN"/>
              </w:rPr>
              <w:t>21380.7</w:t>
            </w:r>
            <w:r>
              <w:rPr>
                <w:rFonts w:hint="default" w:ascii="Times New Roman" w:hAnsi="Times New Roman" w:eastAsia="宋体" w:cs="Times New Roman"/>
                <w:color w:val="auto"/>
                <w:sz w:val="24"/>
                <w:szCs w:val="24"/>
                <w:highlight w:val="none"/>
              </w:rPr>
              <w:t>kg、颗粒物</w:t>
            </w:r>
            <w:r>
              <w:rPr>
                <w:rFonts w:hint="eastAsia" w:ascii="Times New Roman" w:cs="Times New Roman"/>
                <w:color w:val="auto"/>
                <w:sz w:val="24"/>
                <w:szCs w:val="24"/>
                <w:highlight w:val="none"/>
                <w:lang w:val="en-US" w:eastAsia="zh-CN"/>
              </w:rPr>
              <w:t>1567.5</w:t>
            </w:r>
            <w:r>
              <w:rPr>
                <w:rFonts w:hint="default" w:ascii="Times New Roman" w:hAnsi="Times New Roman" w:eastAsia="宋体" w:cs="Times New Roman"/>
                <w:color w:val="auto"/>
                <w:sz w:val="24"/>
                <w:szCs w:val="24"/>
                <w:highlight w:val="none"/>
              </w:rPr>
              <w:t xml:space="preserve">kg、CO </w:t>
            </w:r>
            <w:r>
              <w:rPr>
                <w:rFonts w:hint="eastAsia" w:ascii="Times New Roman" w:cs="Times New Roman"/>
                <w:color w:val="auto"/>
                <w:sz w:val="24"/>
                <w:szCs w:val="24"/>
                <w:highlight w:val="none"/>
                <w:lang w:val="en-US" w:eastAsia="zh-CN"/>
              </w:rPr>
              <w:t>2161.3</w:t>
            </w:r>
            <w:r>
              <w:rPr>
                <w:rFonts w:hint="default" w:ascii="Times New Roman" w:hAnsi="Times New Roman" w:eastAsia="宋体" w:cs="Times New Roman"/>
                <w:color w:val="auto"/>
                <w:sz w:val="24"/>
                <w:szCs w:val="24"/>
                <w:highlight w:val="none"/>
              </w:rPr>
              <w:t xml:space="preserve">kg、HC </w:t>
            </w:r>
            <w:r>
              <w:rPr>
                <w:rFonts w:hint="eastAsia" w:ascii="Times New Roman" w:cs="Times New Roman"/>
                <w:color w:val="auto"/>
                <w:sz w:val="24"/>
                <w:szCs w:val="24"/>
                <w:highlight w:val="none"/>
                <w:lang w:val="en-US" w:eastAsia="zh-CN"/>
              </w:rPr>
              <w:t>2161.3</w:t>
            </w:r>
            <w:r>
              <w:rPr>
                <w:rFonts w:hint="default" w:ascii="Times New Roman" w:hAnsi="Times New Roman" w:eastAsia="宋体" w:cs="Times New Roman"/>
                <w:color w:val="auto"/>
                <w:sz w:val="24"/>
                <w:szCs w:val="24"/>
                <w:highlight w:val="none"/>
              </w:rPr>
              <w:t>kg。</w:t>
            </w:r>
          </w:p>
          <w:p>
            <w:pPr>
              <w:keepNext w:val="0"/>
              <w:keepLines w:val="0"/>
              <w:pageBreakBefore w:val="0"/>
              <w:widowControl w:val="0"/>
              <w:suppressLineNumbers w:val="0"/>
              <w:kinsoku/>
              <w:wordWrap/>
              <w:overflowPunct/>
              <w:topLinePunct w:val="0"/>
              <w:bidi w:val="0"/>
              <w:spacing w:before="0" w:beforeAutospacing="0" w:after="0" w:afterAutospacing="0" w:line="440" w:lineRule="exact"/>
              <w:ind w:left="0" w:right="0" w:firstLine="480" w:firstLineChars="200"/>
              <w:rPr>
                <w:rFonts w:hint="default" w:ascii="Times New Roman" w:hAnsi="Times New Roman" w:eastAsia="宋体" w:cs="Times New Roman"/>
                <w:color w:val="0000FF"/>
                <w:highlight w:val="none"/>
              </w:rPr>
            </w:pPr>
            <w:r>
              <w:rPr>
                <w:rFonts w:hint="default" w:ascii="Times New Roman" w:hAnsi="Times New Roman" w:eastAsia="宋体" w:cs="Times New Roman"/>
                <w:color w:val="auto"/>
                <w:sz w:val="24"/>
                <w:szCs w:val="21"/>
                <w:highlight w:val="none"/>
                <w:lang w:val="en-US" w:eastAsia="zh-CN"/>
              </w:rPr>
              <w:t>柴油发电机废气污染物的排放具有排放时间短等特点，项目使用环保节能型柴油机，选用轻质柴油燃料，并加强管</w:t>
            </w:r>
            <w:r>
              <w:rPr>
                <w:rFonts w:hint="eastAsia" w:ascii="Times New Roman" w:cs="Times New Roman"/>
                <w:color w:val="auto"/>
                <w:sz w:val="24"/>
                <w:szCs w:val="21"/>
                <w:highlight w:val="none"/>
                <w:lang w:val="en-US" w:eastAsia="zh-CN"/>
              </w:rPr>
              <w:t>理和</w:t>
            </w:r>
            <w:r>
              <w:rPr>
                <w:rFonts w:hint="default" w:ascii="Times New Roman" w:hAnsi="Times New Roman" w:eastAsia="宋体" w:cs="Times New Roman"/>
                <w:color w:val="auto"/>
                <w:sz w:val="24"/>
                <w:szCs w:val="21"/>
                <w:highlight w:val="none"/>
                <w:lang w:val="en-US" w:eastAsia="zh-CN"/>
              </w:rPr>
              <w:t>维护，对环境的影响是暂时的、不连续的、可接受的，对周边环境影响较小。</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②测试放喷</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正常情况下，当钻至井目的层后，对油气应进行完井测试，如钻孔在目的层有裂隙发育，则不需进行酸化、压裂等工作。钻孔在目的层未遇裂隙，则需进行射孔，用射孔枪打开产层，用酸化压裂液清洗裂隙，酸化目的层。放喷前安装井口放喷专用管线、各种计量设备，天然气经管线引至放喷池点燃，依据具体情况设定放喷时间，一般为15～20天时间。油气经井口装置节流、降压，进入油气计量分离器，分离后的液相（包括油和水）通过管线输送至</w:t>
            </w:r>
            <w:r>
              <w:rPr>
                <w:rFonts w:hint="eastAsia" w:ascii="Times New Roman" w:eastAsia="宋体" w:cs="Times New Roman"/>
                <w:color w:val="auto"/>
                <w:kern w:val="2"/>
                <w:sz w:val="24"/>
                <w:szCs w:val="24"/>
                <w:highlight w:val="none"/>
                <w:lang w:val="en-US" w:eastAsia="zh-CN"/>
              </w:rPr>
              <w:t>凝析油罐</w:t>
            </w:r>
            <w:r>
              <w:rPr>
                <w:rFonts w:hint="default" w:ascii="Times New Roman" w:hAnsi="Times New Roman" w:eastAsia="宋体" w:cs="Times New Roman"/>
                <w:color w:val="auto"/>
                <w:kern w:val="2"/>
                <w:sz w:val="24"/>
                <w:szCs w:val="24"/>
                <w:highlight w:val="none"/>
                <w:lang w:val="en-US" w:eastAsia="zh-CN"/>
              </w:rPr>
              <w:t>，再由油罐车拉走，天然气通过管线输送至放空管。</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本项目为勘探项目，仅涉及施工期，且整个施工期较短，施工期间扬尘产生量较小；本项目钻井期采用柴油发电机供电，测试放喷期较短，污染物排放量较小，对区域环境空气影响可接受。</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③井场储罐挥发无组织废气</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储罐内储存的原油、柴油会在储罐液面的上部空间充满物料挥发出来的蒸汽，并最终会达到饱和蒸气压，罐体液面空间体积一旦发生变化时，就会导致物料饱和蒸气溢出，形成所谓的储罐呼吸现象。储罐液面空间体积变化可以发生在物料进出的情况下，也会发生在昼夜温差变化的情况下，前者称为大呼吸，后者称为小呼吸。</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根据《散装液态石油产品损耗》（GB/T11085-1989），卸油过程中柴油会产生0.05%的油气，储存过程中柴油会产生0.01%的油气，以非甲烷总烃来表征呼吸油气。本项目柴油周转量少，柴油储罐呼吸废气非甲烷总烃产生量少。</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本项目试井过程中地层流体经地面气液分离器装置分离后，原油通过管线</w:t>
            </w:r>
            <w:r>
              <w:rPr>
                <w:rFonts w:hint="eastAsia" w:ascii="Times New Roman" w:eastAsia="宋体" w:cs="Times New Roman"/>
                <w:color w:val="auto"/>
                <w:kern w:val="2"/>
                <w:sz w:val="24"/>
                <w:szCs w:val="24"/>
                <w:highlight w:val="none"/>
                <w:lang w:val="en-US" w:eastAsia="zh-CN"/>
              </w:rPr>
              <w:t>进入凝析油罐</w:t>
            </w:r>
            <w:r>
              <w:rPr>
                <w:rFonts w:hint="default" w:ascii="Times New Roman" w:hAnsi="Times New Roman" w:eastAsia="宋体" w:cs="Times New Roman"/>
                <w:color w:val="auto"/>
                <w:kern w:val="2"/>
                <w:sz w:val="24"/>
                <w:szCs w:val="24"/>
                <w:highlight w:val="none"/>
                <w:lang w:val="en-US" w:eastAsia="zh-CN"/>
              </w:rPr>
              <w:t>回收储存。试井过程中原油回收量由勘探井地质条件、油藏储层含油量等因素决定，经类比该地区其他勘探井试井情况，试井时间短，</w:t>
            </w:r>
            <w:r>
              <w:rPr>
                <w:rFonts w:hint="eastAsia" w:ascii="Times New Roman" w:eastAsia="宋体" w:cs="Times New Roman"/>
                <w:color w:val="auto"/>
                <w:kern w:val="2"/>
                <w:sz w:val="24"/>
                <w:szCs w:val="24"/>
                <w:highlight w:val="none"/>
                <w:lang w:val="en-US" w:eastAsia="zh-CN"/>
              </w:rPr>
              <w:t>凝析油罐</w:t>
            </w:r>
            <w:r>
              <w:rPr>
                <w:rFonts w:hint="default" w:ascii="Times New Roman" w:hAnsi="Times New Roman" w:eastAsia="宋体" w:cs="Times New Roman"/>
                <w:color w:val="auto"/>
                <w:kern w:val="2"/>
                <w:sz w:val="24"/>
                <w:szCs w:val="24"/>
                <w:highlight w:val="none"/>
                <w:lang w:val="en-US" w:eastAsia="zh-CN"/>
              </w:rPr>
              <w:t>呼吸废气无组织排放量较少。由于项目周边扩散条件较好，经类比该地区其他勘探井监测数据，项目边界非甲烷总烃无组织排放满足《陆上石油天然气开采工业大气污染物排放标准》（GB39728-2020）相关要求。硫化氢无组织排放执行《恶臭污染物排放标准》（GB14554-93）表1标准限值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0000FF"/>
                <w:sz w:val="24"/>
                <w:szCs w:val="24"/>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eastAsia="zh-CN"/>
              </w:rPr>
              <w:t>锅炉烟气</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钻井期泥浆伴热采取生物质锅炉加热工艺，生物质锅炉烟气污染物主要有颗粒物、SO</w:t>
            </w:r>
            <w:r>
              <w:rPr>
                <w:rFonts w:hint="default" w:ascii="Times New Roman" w:hAnsi="Times New Roman" w:eastAsia="宋体" w:cs="Times New Roman"/>
                <w:color w:val="auto"/>
                <w:sz w:val="24"/>
                <w:szCs w:val="24"/>
                <w:highlight w:val="none"/>
                <w:vertAlign w:val="subscript"/>
                <w:lang w:eastAsia="zh-CN"/>
              </w:rPr>
              <w:t>2</w:t>
            </w:r>
            <w:r>
              <w:rPr>
                <w:rFonts w:hint="default" w:ascii="Times New Roman" w:hAnsi="Times New Roman" w:eastAsia="宋体" w:cs="Times New Roman"/>
                <w:color w:val="auto"/>
                <w:sz w:val="24"/>
                <w:szCs w:val="24"/>
                <w:highlight w:val="none"/>
                <w:lang w:eastAsia="zh-CN"/>
              </w:rPr>
              <w:t>、NO</w:t>
            </w:r>
            <w:r>
              <w:rPr>
                <w:rFonts w:hint="default" w:ascii="Times New Roman" w:hAnsi="Times New Roman" w:eastAsia="宋体" w:cs="Times New Roman"/>
                <w:color w:val="auto"/>
                <w:sz w:val="24"/>
                <w:szCs w:val="24"/>
                <w:highlight w:val="none"/>
                <w:vertAlign w:val="subscript"/>
                <w:lang w:eastAsia="zh-CN"/>
              </w:rPr>
              <w:t>X</w:t>
            </w:r>
            <w:r>
              <w:rPr>
                <w:rFonts w:hint="default" w:ascii="Times New Roman" w:hAnsi="Times New Roman" w:eastAsia="宋体" w:cs="Times New Roman"/>
                <w:color w:val="auto"/>
                <w:sz w:val="24"/>
                <w:szCs w:val="24"/>
                <w:highlight w:val="none"/>
                <w:lang w:eastAsia="zh-CN"/>
              </w:rPr>
              <w:t>、烟气黑度等，生物质锅炉烟气采取“低氮燃烧技术+袋式除尘”处理后通过</w:t>
            </w:r>
            <w:r>
              <w:rPr>
                <w:rFonts w:hint="eastAsia" w:ascii="Times New Roman"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lang w:eastAsia="zh-CN"/>
              </w:rPr>
              <w:t>m高排气筒排放。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0000FF"/>
                <w:sz w:val="24"/>
                <w:szCs w:val="24"/>
                <w:highlight w:val="none"/>
                <w:lang w:eastAsia="zh-CN"/>
              </w:rPr>
            </w:pPr>
            <w:r>
              <w:rPr>
                <w:rFonts w:hint="default" w:ascii="Times New Roman" w:hAnsi="Times New Roman" w:eastAsia="宋体" w:cs="Times New Roman"/>
                <w:color w:val="auto"/>
                <w:spacing w:val="0"/>
                <w:position w:val="0"/>
                <w:sz w:val="24"/>
                <w:szCs w:val="24"/>
                <w:highlight w:val="none"/>
                <w:lang w:eastAsia="zh-CN"/>
              </w:rPr>
              <w:t>2.5t/h的</w:t>
            </w:r>
            <w:r>
              <w:rPr>
                <w:rFonts w:hint="default" w:ascii="Times New Roman" w:hAnsi="Times New Roman" w:eastAsia="宋体" w:cs="Times New Roman"/>
                <w:color w:val="auto"/>
                <w:spacing w:val="0"/>
                <w:position w:val="0"/>
                <w:sz w:val="24"/>
                <w:szCs w:val="24"/>
                <w:highlight w:val="none"/>
                <w:lang w:val="en-US" w:eastAsia="zh-CN"/>
              </w:rPr>
              <w:t>生物质</w:t>
            </w:r>
            <w:r>
              <w:rPr>
                <w:rFonts w:hint="default" w:ascii="Times New Roman" w:hAnsi="Times New Roman" w:eastAsia="宋体" w:cs="Times New Roman"/>
                <w:color w:val="auto"/>
                <w:spacing w:val="0"/>
                <w:position w:val="0"/>
                <w:sz w:val="24"/>
                <w:szCs w:val="24"/>
                <w:highlight w:val="none"/>
                <w:lang w:eastAsia="zh-CN"/>
              </w:rPr>
              <w:t>锅炉以生物质</w:t>
            </w:r>
            <w:r>
              <w:rPr>
                <w:rFonts w:hint="default" w:ascii="Times New Roman" w:hAnsi="Times New Roman" w:eastAsia="宋体" w:cs="Times New Roman"/>
                <w:color w:val="auto"/>
                <w:spacing w:val="0"/>
                <w:position w:val="0"/>
                <w:sz w:val="24"/>
                <w:szCs w:val="24"/>
                <w:highlight w:val="none"/>
                <w:lang w:val="en-US" w:eastAsia="zh-CN"/>
              </w:rPr>
              <w:t>颗粒</w:t>
            </w:r>
            <w:r>
              <w:rPr>
                <w:rFonts w:hint="default" w:ascii="Times New Roman" w:hAnsi="Times New Roman" w:eastAsia="宋体" w:cs="Times New Roman"/>
                <w:color w:val="auto"/>
                <w:spacing w:val="0"/>
                <w:position w:val="0"/>
                <w:sz w:val="24"/>
                <w:szCs w:val="24"/>
                <w:highlight w:val="none"/>
                <w:lang w:eastAsia="zh-CN"/>
              </w:rPr>
              <w:t>为燃料，平均低位发热值16.11MJ/kg，单台2.5t/h</w:t>
            </w:r>
            <w:r>
              <w:rPr>
                <w:rFonts w:hint="default" w:ascii="Times New Roman" w:hAnsi="Times New Roman" w:eastAsia="宋体" w:cs="Times New Roman"/>
                <w:color w:val="auto"/>
                <w:sz w:val="24"/>
                <w:szCs w:val="24"/>
                <w:highlight w:val="none"/>
                <w:lang w:eastAsia="zh-CN"/>
              </w:rPr>
              <w:t>生物质锅炉每天燃料消耗量约为11t，</w:t>
            </w:r>
            <w:r>
              <w:rPr>
                <w:rFonts w:hint="default" w:ascii="Times New Roman" w:hAnsi="Times New Roman" w:eastAsia="宋体" w:cs="Times New Roman"/>
                <w:color w:val="auto"/>
                <w:sz w:val="24"/>
                <w:szCs w:val="24"/>
                <w:highlight w:val="none"/>
                <w:lang w:val="en-US" w:eastAsia="zh-CN"/>
              </w:rPr>
              <w:t>钻井期锅炉运行时间约</w:t>
            </w:r>
            <w:r>
              <w:rPr>
                <w:rFonts w:hint="eastAsia" w:ascii="Times New Roman" w:cs="Times New Roman"/>
                <w:color w:val="auto"/>
                <w:sz w:val="24"/>
                <w:szCs w:val="24"/>
                <w:highlight w:val="none"/>
                <w:lang w:val="en-US" w:eastAsia="zh-CN"/>
              </w:rPr>
              <w:t>170</w:t>
            </w:r>
            <w:r>
              <w:rPr>
                <w:rFonts w:hint="default" w:ascii="Times New Roman" w:hAnsi="Times New Roman" w:eastAsia="宋体" w:cs="Times New Roman"/>
                <w:color w:val="auto"/>
                <w:sz w:val="24"/>
                <w:szCs w:val="24"/>
                <w:highlight w:val="none"/>
                <w:lang w:val="en-US" w:eastAsia="zh-CN"/>
              </w:rPr>
              <w:t>天（</w:t>
            </w:r>
            <w:r>
              <w:rPr>
                <w:rFonts w:hint="eastAsia" w:ascii="Times New Roman" w:cs="Times New Roman"/>
                <w:color w:val="auto"/>
                <w:sz w:val="24"/>
                <w:szCs w:val="24"/>
                <w:highlight w:val="none"/>
                <w:lang w:val="en-US" w:eastAsia="zh-CN"/>
              </w:rPr>
              <w:t>40</w:t>
            </w:r>
            <w:r>
              <w:rPr>
                <w:rFonts w:hint="default" w:ascii="Times New Roman" w:hAnsi="Times New Roman" w:eastAsia="宋体" w:cs="Times New Roman"/>
                <w:color w:val="auto"/>
                <w:sz w:val="24"/>
                <w:szCs w:val="24"/>
                <w:highlight w:val="none"/>
                <w:lang w:val="en-US" w:eastAsia="zh-CN"/>
              </w:rPr>
              <w:t>80h），</w:t>
            </w:r>
            <w:r>
              <w:rPr>
                <w:rFonts w:hint="default" w:ascii="Times New Roman" w:hAnsi="Times New Roman" w:eastAsia="宋体" w:cs="Times New Roman"/>
                <w:color w:val="auto"/>
                <w:sz w:val="24"/>
                <w:szCs w:val="24"/>
                <w:highlight w:val="none"/>
                <w:lang w:eastAsia="zh-CN"/>
              </w:rPr>
              <w:t>钻井期共计燃料消耗量为</w:t>
            </w:r>
            <w:r>
              <w:rPr>
                <w:rFonts w:hint="eastAsia" w:ascii="Times New Roman" w:cs="Times New Roman"/>
                <w:color w:val="auto"/>
                <w:sz w:val="24"/>
                <w:szCs w:val="24"/>
                <w:highlight w:val="none"/>
                <w:lang w:val="en-US" w:eastAsia="zh-CN"/>
              </w:rPr>
              <w:t>18</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eastAsia="zh-CN"/>
              </w:rPr>
              <w:t>0t。</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①标干烟气量</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根据《排污许可证申请与核发技术规范 锅炉》（HJ953-2018）中基准烟气量核算方法中的经验公式估算法进行核算：</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gy</w:t>
            </w:r>
            <w:r>
              <w:rPr>
                <w:rFonts w:hint="default" w:ascii="Times New Roman" w:hAnsi="Times New Roman" w:eastAsia="宋体" w:cs="Times New Roman"/>
                <w:color w:val="auto"/>
                <w:sz w:val="24"/>
                <w:szCs w:val="24"/>
                <w:highlight w:val="none"/>
              </w:rPr>
              <w:t>=0.393Q</w:t>
            </w:r>
            <w:r>
              <w:rPr>
                <w:rFonts w:hint="default" w:ascii="Times New Roman" w:hAnsi="Times New Roman" w:eastAsia="宋体" w:cs="Times New Roman"/>
                <w:color w:val="auto"/>
                <w:sz w:val="24"/>
                <w:szCs w:val="24"/>
                <w:highlight w:val="none"/>
                <w:vertAlign w:val="subscript"/>
              </w:rPr>
              <w:t>net,ar</w:t>
            </w:r>
            <w:r>
              <w:rPr>
                <w:rFonts w:hint="default" w:ascii="Times New Roman" w:hAnsi="Times New Roman" w:eastAsia="宋体" w:cs="Times New Roman"/>
                <w:color w:val="auto"/>
                <w:sz w:val="24"/>
                <w:szCs w:val="24"/>
                <w:highlight w:val="none"/>
              </w:rPr>
              <w:t>+0.876</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Q</w:t>
            </w:r>
            <w:r>
              <w:rPr>
                <w:rFonts w:hint="default" w:ascii="Times New Roman" w:hAnsi="Times New Roman" w:eastAsia="宋体" w:cs="Times New Roman"/>
                <w:color w:val="auto"/>
                <w:sz w:val="24"/>
                <w:szCs w:val="24"/>
                <w:highlight w:val="none"/>
                <w:vertAlign w:val="subscript"/>
              </w:rPr>
              <w:t>net,ar</w:t>
            </w:r>
            <w:r>
              <w:rPr>
                <w:rFonts w:hint="default" w:ascii="Times New Roman" w:hAnsi="Times New Roman" w:eastAsia="宋体" w:cs="Times New Roman"/>
                <w:color w:val="auto"/>
                <w:sz w:val="24"/>
                <w:szCs w:val="24"/>
                <w:highlight w:val="none"/>
              </w:rPr>
              <w:t>≥12.54MJ/kg,V</w:t>
            </w:r>
            <w:r>
              <w:rPr>
                <w:rFonts w:hint="default" w:ascii="Times New Roman" w:hAnsi="Times New Roman" w:eastAsia="宋体" w:cs="Times New Roman"/>
                <w:color w:val="auto"/>
                <w:sz w:val="24"/>
                <w:szCs w:val="24"/>
                <w:highlight w:val="none"/>
                <w:vertAlign w:val="subscript"/>
              </w:rPr>
              <w:t>daf</w:t>
            </w:r>
            <w:r>
              <w:rPr>
                <w:rFonts w:hint="default" w:ascii="Times New Roman" w:hAnsi="Times New Roman" w:eastAsia="宋体" w:cs="Times New Roman"/>
                <w:color w:val="auto"/>
                <w:sz w:val="24"/>
                <w:szCs w:val="24"/>
                <w:highlight w:val="none"/>
              </w:rPr>
              <w:t>≥15%</w:t>
            </w:r>
            <w:r>
              <w:rPr>
                <w:rFonts w:hint="eastAsia" w:ascii="Times New Roman" w:cs="Times New Roman"/>
                <w:color w:val="auto"/>
                <w:sz w:val="24"/>
                <w:szCs w:val="24"/>
                <w:highlight w:val="none"/>
                <w:lang w:eastAsia="zh-CN"/>
              </w:rPr>
              <w:t>）</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式中：Vgy—基准烟气量，（标m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/kg）</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Q</w:t>
            </w:r>
            <w:r>
              <w:rPr>
                <w:rFonts w:hint="default" w:ascii="Times New Roman" w:hAnsi="Times New Roman" w:eastAsia="宋体" w:cs="Times New Roman"/>
                <w:color w:val="auto"/>
                <w:sz w:val="24"/>
                <w:szCs w:val="24"/>
                <w:highlight w:val="none"/>
                <w:vertAlign w:val="subscript"/>
              </w:rPr>
              <w:t>net,ar</w:t>
            </w:r>
            <w:r>
              <w:rPr>
                <w:rFonts w:hint="default" w:ascii="Times New Roman" w:hAnsi="Times New Roman" w:eastAsia="宋体" w:cs="Times New Roman"/>
                <w:color w:val="auto"/>
                <w:sz w:val="24"/>
                <w:szCs w:val="24"/>
                <w:highlight w:val="none"/>
              </w:rPr>
              <w:t>—燃料的低位发热值，MJ/kg，拟建项目燃料热值16.11MJ/kg；</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根据上面计算得出本项目生物质蒸汽锅炉的烟气量产生系数为7.20723Nm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/kg</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燃料。则生物质蒸汽锅炉烟气量为3300Nm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/h。</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②颗粒物</w:t>
            </w:r>
          </w:p>
          <w:p>
            <w:pPr>
              <w:pStyle w:val="11"/>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1"/>
                <w:szCs w:val="21"/>
                <w:highlight w:val="yellow"/>
              </w:rPr>
            </w:pPr>
            <w:r>
              <w:rPr>
                <w:rFonts w:hint="default" w:ascii="Times New Roman" w:hAnsi="Times New Roman" w:eastAsia="宋体" w:cs="Times New Roman"/>
                <w:color w:val="auto"/>
                <w:sz w:val="24"/>
                <w:szCs w:val="24"/>
                <w:highlight w:val="none"/>
              </w:rPr>
              <w:t>燃生物质锅炉颗粒物（烟尘）排放量按以下列公式计算：</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Cs w:val="21"/>
                <w:highlight w:val="yellow"/>
              </w:rPr>
            </w:pPr>
            <m:oMathPara>
              <m:oMath>
                <m:sSub>
                  <m:sSubPr>
                    <m:ctrlPr>
                      <w:rPr>
                        <w:rFonts w:hint="default" w:ascii="Cambria Math" w:hAnsi="Cambria Math" w:eastAsia="宋体" w:cs="Times New Roman"/>
                        <w:color w:val="auto"/>
                        <w:sz w:val="24"/>
                        <w:highlight w:val="none"/>
                      </w:rPr>
                    </m:ctrlPr>
                  </m:sSubPr>
                  <m:e>
                    <m:r>
                      <m:rPr>
                        <m:nor/>
                        <m:sty m:val="p"/>
                      </m:rPr>
                      <w:rPr>
                        <w:rFonts w:hint="default" w:ascii="Times New Roman" w:hAnsi="Times New Roman" w:eastAsia="宋体" w:cs="Times New Roman"/>
                        <w:b w:val="0"/>
                        <w:i w:val="0"/>
                        <w:color w:val="auto"/>
                        <w:sz w:val="24"/>
                        <w:highlight w:val="none"/>
                      </w:rPr>
                      <m:t>E</m:t>
                    </m:r>
                    <m:ctrlPr>
                      <w:rPr>
                        <w:rFonts w:hint="default" w:ascii="Cambria Math" w:hAnsi="Cambria Math" w:eastAsia="宋体" w:cs="Times New Roman"/>
                        <w:color w:val="auto"/>
                        <w:sz w:val="24"/>
                        <w:highlight w:val="none"/>
                      </w:rPr>
                    </m:ctrlPr>
                  </m:e>
                  <m:sub>
                    <m:r>
                      <m:rPr>
                        <m:nor/>
                        <m:sty m:val="p"/>
                      </m:rPr>
                      <w:rPr>
                        <w:rFonts w:hint="default" w:ascii="Times New Roman" w:hAnsi="Times New Roman" w:eastAsia="宋体" w:cs="Times New Roman"/>
                        <w:b w:val="0"/>
                        <w:i w:val="0"/>
                        <w:color w:val="auto"/>
                        <w:sz w:val="24"/>
                        <w:highlight w:val="none"/>
                      </w:rPr>
                      <m:t>A</m:t>
                    </m:r>
                    <m:ctrlPr>
                      <w:rPr>
                        <w:rFonts w:hint="default" w:ascii="Cambria Math" w:hAnsi="Cambria Math" w:eastAsia="宋体" w:cs="Times New Roman"/>
                        <w:color w:val="auto"/>
                        <w:sz w:val="24"/>
                        <w:highlight w:val="none"/>
                      </w:rPr>
                    </m:ctrlPr>
                  </m:sub>
                </m:sSub>
                <m:r>
                  <m:rPr>
                    <m:nor/>
                    <m:sty m:val="p"/>
                  </m:rPr>
                  <w:rPr>
                    <w:rFonts w:hint="default" w:ascii="Times New Roman" w:hAnsi="Times New Roman" w:eastAsia="宋体" w:cs="Times New Roman"/>
                    <w:b w:val="0"/>
                    <w:i w:val="0"/>
                    <w:color w:val="auto"/>
                    <w:sz w:val="24"/>
                    <w:highlight w:val="none"/>
                  </w:rPr>
                  <m:t>=</m:t>
                </m:r>
                <m:f>
                  <m:fPr>
                    <m:ctrlPr>
                      <w:rPr>
                        <w:rFonts w:hint="default" w:ascii="Cambria Math" w:hAnsi="Cambria Math" w:eastAsia="宋体" w:cs="Times New Roman"/>
                        <w:color w:val="auto"/>
                        <w:sz w:val="24"/>
                        <w:highlight w:val="none"/>
                      </w:rPr>
                    </m:ctrlPr>
                  </m:fPr>
                  <m:num>
                    <m:r>
                      <m:rPr>
                        <m:nor/>
                        <m:sty m:val="p"/>
                      </m:rPr>
                      <w:rPr>
                        <w:rFonts w:hint="default" w:ascii="Times New Roman" w:hAnsi="Times New Roman" w:eastAsia="宋体" w:cs="Times New Roman"/>
                        <w:b w:val="0"/>
                        <w:i w:val="0"/>
                        <w:color w:val="auto"/>
                        <w:sz w:val="24"/>
                        <w:highlight w:val="none"/>
                      </w:rPr>
                      <m:t>R×</m:t>
                    </m:r>
                    <m:f>
                      <m:fPr>
                        <m:ctrlPr>
                          <w:rPr>
                            <w:rFonts w:hint="default" w:ascii="Cambria Math" w:hAnsi="Cambria Math" w:eastAsia="宋体" w:cs="Times New Roman"/>
                            <w:color w:val="auto"/>
                            <w:sz w:val="24"/>
                            <w:highlight w:val="none"/>
                          </w:rPr>
                        </m:ctrlPr>
                      </m:fPr>
                      <m:num>
                        <m:sSub>
                          <m:sSubPr>
                            <m:ctrlPr>
                              <w:rPr>
                                <w:rFonts w:hint="default" w:ascii="Cambria Math" w:hAnsi="Cambria Math" w:eastAsia="宋体" w:cs="Times New Roman"/>
                                <w:color w:val="auto"/>
                                <w:sz w:val="24"/>
                                <w:highlight w:val="none"/>
                              </w:rPr>
                            </m:ctrlPr>
                          </m:sSubPr>
                          <m:e>
                            <m:r>
                              <m:rPr>
                                <m:nor/>
                                <m:sty m:val="p"/>
                              </m:rPr>
                              <w:rPr>
                                <w:rFonts w:hint="default" w:ascii="Times New Roman" w:hAnsi="Times New Roman" w:eastAsia="宋体" w:cs="Times New Roman"/>
                                <w:b w:val="0"/>
                                <w:i w:val="0"/>
                                <w:color w:val="auto"/>
                                <w:sz w:val="24"/>
                                <w:highlight w:val="none"/>
                              </w:rPr>
                              <m:t>A</m:t>
                            </m:r>
                            <m:ctrlPr>
                              <w:rPr>
                                <w:rFonts w:hint="default" w:ascii="Cambria Math" w:hAnsi="Cambria Math" w:eastAsia="宋体" w:cs="Times New Roman"/>
                                <w:color w:val="auto"/>
                                <w:sz w:val="24"/>
                                <w:highlight w:val="none"/>
                              </w:rPr>
                            </m:ctrlPr>
                          </m:e>
                          <m:sub>
                            <m:r>
                              <m:rPr>
                                <m:nor/>
                                <m:sty m:val="p"/>
                              </m:rPr>
                              <w:rPr>
                                <w:rFonts w:hint="default" w:ascii="Times New Roman" w:hAnsi="Times New Roman" w:eastAsia="宋体" w:cs="Times New Roman"/>
                                <w:b w:val="0"/>
                                <w:i w:val="0"/>
                                <w:color w:val="auto"/>
                                <w:sz w:val="24"/>
                                <w:highlight w:val="none"/>
                              </w:rPr>
                              <m:t>ar</m:t>
                            </m:r>
                            <m:ctrlPr>
                              <w:rPr>
                                <w:rFonts w:hint="default" w:ascii="Cambria Math" w:hAnsi="Cambria Math" w:eastAsia="宋体" w:cs="Times New Roman"/>
                                <w:color w:val="auto"/>
                                <w:sz w:val="24"/>
                                <w:highlight w:val="none"/>
                              </w:rPr>
                            </m:ctrlPr>
                          </m:sub>
                        </m:sSub>
                        <m:ctrlPr>
                          <w:rPr>
                            <w:rFonts w:hint="default" w:ascii="Cambria Math" w:hAnsi="Cambria Math" w:eastAsia="宋体" w:cs="Times New Roman"/>
                            <w:color w:val="auto"/>
                            <w:sz w:val="24"/>
                            <w:highlight w:val="none"/>
                          </w:rPr>
                        </m:ctrlPr>
                      </m:num>
                      <m:den>
                        <m:r>
                          <m:rPr>
                            <m:nor/>
                            <m:sty m:val="p"/>
                          </m:rPr>
                          <w:rPr>
                            <w:rFonts w:hint="default" w:ascii="Times New Roman" w:hAnsi="Times New Roman" w:eastAsia="宋体" w:cs="Times New Roman"/>
                            <w:b w:val="0"/>
                            <w:i w:val="0"/>
                            <w:color w:val="auto"/>
                            <w:sz w:val="24"/>
                            <w:highlight w:val="none"/>
                          </w:rPr>
                          <m:t>100</m:t>
                        </m:r>
                        <m:ctrlPr>
                          <w:rPr>
                            <w:rFonts w:hint="default" w:ascii="Cambria Math" w:hAnsi="Cambria Math" w:eastAsia="宋体" w:cs="Times New Roman"/>
                            <w:color w:val="auto"/>
                            <w:sz w:val="24"/>
                            <w:highlight w:val="none"/>
                          </w:rPr>
                        </m:ctrlPr>
                      </m:den>
                    </m:f>
                    <m:r>
                      <m:rPr>
                        <m:nor/>
                        <m:sty m:val="p"/>
                      </m:rPr>
                      <w:rPr>
                        <w:rFonts w:hint="default" w:ascii="Times New Roman" w:hAnsi="Times New Roman" w:eastAsia="宋体" w:cs="Times New Roman"/>
                        <w:b w:val="0"/>
                        <w:i w:val="0"/>
                        <w:color w:val="auto"/>
                        <w:sz w:val="24"/>
                        <w:highlight w:val="none"/>
                      </w:rPr>
                      <m:t>×</m:t>
                    </m:r>
                    <m:f>
                      <m:fPr>
                        <m:ctrlPr>
                          <w:rPr>
                            <w:rFonts w:hint="default" w:ascii="Cambria Math" w:hAnsi="Cambria Math" w:eastAsia="宋体" w:cs="Times New Roman"/>
                            <w:color w:val="auto"/>
                            <w:sz w:val="24"/>
                            <w:highlight w:val="none"/>
                          </w:rPr>
                        </m:ctrlPr>
                      </m:fPr>
                      <m:num>
                        <m:sSub>
                          <m:sSubPr>
                            <m:ctrlPr>
                              <w:rPr>
                                <w:rFonts w:hint="default" w:ascii="Cambria Math" w:hAnsi="Cambria Math" w:eastAsia="宋体" w:cs="Times New Roman"/>
                                <w:color w:val="auto"/>
                                <w:sz w:val="24"/>
                                <w:highlight w:val="none"/>
                              </w:rPr>
                            </m:ctrlPr>
                          </m:sSubPr>
                          <m:e>
                            <m:r>
                              <m:rPr>
                                <m:nor/>
                                <m:sty m:val="p"/>
                              </m:rPr>
                              <w:rPr>
                                <w:rFonts w:hint="default" w:ascii="Times New Roman" w:hAnsi="Times New Roman" w:eastAsia="宋体" w:cs="Times New Roman"/>
                                <w:b w:val="0"/>
                                <w:i w:val="0"/>
                                <w:color w:val="auto"/>
                                <w:sz w:val="24"/>
                                <w:highlight w:val="none"/>
                              </w:rPr>
                              <m:t>d</m:t>
                            </m:r>
                            <m:ctrlPr>
                              <w:rPr>
                                <w:rFonts w:hint="default" w:ascii="Cambria Math" w:hAnsi="Cambria Math" w:eastAsia="宋体" w:cs="Times New Roman"/>
                                <w:color w:val="auto"/>
                                <w:sz w:val="24"/>
                                <w:highlight w:val="none"/>
                              </w:rPr>
                            </m:ctrlPr>
                          </m:e>
                          <m:sub>
                            <m:r>
                              <m:rPr>
                                <m:nor/>
                                <m:sty m:val="p"/>
                              </m:rPr>
                              <w:rPr>
                                <w:rFonts w:hint="default" w:ascii="Times New Roman" w:hAnsi="Times New Roman" w:eastAsia="宋体" w:cs="Times New Roman"/>
                                <w:b w:val="0"/>
                                <w:i w:val="0"/>
                                <w:color w:val="auto"/>
                                <w:sz w:val="24"/>
                                <w:highlight w:val="none"/>
                              </w:rPr>
                              <m:t>fh</m:t>
                            </m:r>
                            <m:ctrlPr>
                              <w:rPr>
                                <w:rFonts w:hint="default" w:ascii="Cambria Math" w:hAnsi="Cambria Math" w:eastAsia="宋体" w:cs="Times New Roman"/>
                                <w:color w:val="auto"/>
                                <w:sz w:val="24"/>
                                <w:highlight w:val="none"/>
                              </w:rPr>
                            </m:ctrlPr>
                          </m:sub>
                        </m:sSub>
                        <m:ctrlPr>
                          <w:rPr>
                            <w:rFonts w:hint="default" w:ascii="Cambria Math" w:hAnsi="Cambria Math" w:eastAsia="宋体" w:cs="Times New Roman"/>
                            <w:color w:val="auto"/>
                            <w:sz w:val="24"/>
                            <w:highlight w:val="none"/>
                          </w:rPr>
                        </m:ctrlPr>
                      </m:num>
                      <m:den>
                        <m:r>
                          <m:rPr>
                            <m:nor/>
                            <m:sty m:val="p"/>
                          </m:rPr>
                          <w:rPr>
                            <w:rFonts w:hint="default" w:ascii="Times New Roman" w:hAnsi="Times New Roman" w:eastAsia="宋体" w:cs="Times New Roman"/>
                            <w:b w:val="0"/>
                            <w:i w:val="0"/>
                            <w:color w:val="auto"/>
                            <w:sz w:val="24"/>
                            <w:highlight w:val="none"/>
                          </w:rPr>
                          <m:t>100</m:t>
                        </m:r>
                        <m:ctrlPr>
                          <w:rPr>
                            <w:rFonts w:hint="default" w:ascii="Cambria Math" w:hAnsi="Cambria Math" w:eastAsia="宋体" w:cs="Times New Roman"/>
                            <w:color w:val="auto"/>
                            <w:sz w:val="24"/>
                            <w:highlight w:val="none"/>
                          </w:rPr>
                        </m:ctrlPr>
                      </m:den>
                    </m:f>
                    <m:r>
                      <m:rPr>
                        <m:nor/>
                        <m:sty m:val="p"/>
                      </m:rPr>
                      <w:rPr>
                        <w:rFonts w:hint="default" w:ascii="Times New Roman" w:hAnsi="Times New Roman" w:eastAsia="宋体" w:cs="Times New Roman"/>
                        <w:b w:val="0"/>
                        <w:i w:val="0"/>
                        <w:color w:val="auto"/>
                        <w:sz w:val="24"/>
                        <w:highlight w:val="none"/>
                      </w:rPr>
                      <m:t>×</m:t>
                    </m:r>
                    <m:d>
                      <m:dPr>
                        <m:ctrlPr>
                          <w:rPr>
                            <w:rFonts w:hint="default" w:ascii="Cambria Math" w:hAnsi="Cambria Math" w:eastAsia="宋体" w:cs="Times New Roman"/>
                            <w:color w:val="auto"/>
                            <w:sz w:val="24"/>
                            <w:highlight w:val="none"/>
                          </w:rPr>
                        </m:ctrlPr>
                      </m:dPr>
                      <m:e>
                        <m:r>
                          <m:rPr>
                            <m:nor/>
                            <m:sty m:val="p"/>
                          </m:rPr>
                          <w:rPr>
                            <w:rFonts w:hint="default" w:ascii="Times New Roman" w:hAnsi="Times New Roman" w:eastAsia="宋体" w:cs="Times New Roman"/>
                            <w:b w:val="0"/>
                            <w:i w:val="0"/>
                            <w:color w:val="auto"/>
                            <w:sz w:val="24"/>
                            <w:highlight w:val="none"/>
                          </w:rPr>
                          <m:t>1−</m:t>
                        </m:r>
                        <m:f>
                          <m:fPr>
                            <m:ctrlPr>
                              <w:rPr>
                                <w:rFonts w:hint="default" w:ascii="Cambria Math" w:hAnsi="Cambria Math" w:eastAsia="宋体" w:cs="Times New Roman"/>
                                <w:color w:val="auto"/>
                                <w:sz w:val="24"/>
                                <w:highlight w:val="none"/>
                              </w:rPr>
                            </m:ctrlPr>
                          </m:fPr>
                          <m:num>
                            <m:sSub>
                              <m:sSubPr>
                                <m:ctrlPr>
                                  <w:rPr>
                                    <w:rFonts w:hint="default" w:ascii="Cambria Math" w:hAnsi="Cambria Math" w:eastAsia="宋体" w:cs="Times New Roman"/>
                                    <w:color w:val="auto"/>
                                    <w:sz w:val="24"/>
                                    <w:highlight w:val="none"/>
                                  </w:rPr>
                                </m:ctrlPr>
                              </m:sSubPr>
                              <m:e>
                                <m:r>
                                  <m:rPr>
                                    <m:nor/>
                                    <m:sty m:val="p"/>
                                  </m:rPr>
                                  <w:rPr>
                                    <w:rFonts w:hint="default" w:ascii="Times New Roman" w:hAnsi="Times New Roman" w:eastAsia="宋体" w:cs="Times New Roman"/>
                                    <w:b w:val="0"/>
                                    <w:i w:val="0"/>
                                    <w:color w:val="auto"/>
                                    <w:sz w:val="24"/>
                                    <w:highlight w:val="none"/>
                                  </w:rPr>
                                  <m:t>η</m:t>
                                </m:r>
                                <m:ctrlPr>
                                  <w:rPr>
                                    <w:rFonts w:hint="default" w:ascii="Cambria Math" w:hAnsi="Cambria Math" w:eastAsia="宋体" w:cs="Times New Roman"/>
                                    <w:color w:val="auto"/>
                                    <w:sz w:val="24"/>
                                    <w:highlight w:val="none"/>
                                  </w:rPr>
                                </m:ctrlPr>
                              </m:e>
                              <m:sub>
                                <m:r>
                                  <m:rPr>
                                    <m:nor/>
                                    <m:sty m:val="p"/>
                                  </m:rPr>
                                  <w:rPr>
                                    <w:rFonts w:hint="default" w:ascii="Times New Roman" w:hAnsi="Times New Roman" w:eastAsia="宋体" w:cs="Times New Roman"/>
                                    <w:b w:val="0"/>
                                    <w:i w:val="0"/>
                                    <w:color w:val="auto"/>
                                    <w:sz w:val="24"/>
                                    <w:highlight w:val="none"/>
                                  </w:rPr>
                                  <m:t>c</m:t>
                                </m:r>
                                <m:ctrlPr>
                                  <w:rPr>
                                    <w:rFonts w:hint="default" w:ascii="Cambria Math" w:hAnsi="Cambria Math" w:eastAsia="宋体" w:cs="Times New Roman"/>
                                    <w:color w:val="auto"/>
                                    <w:sz w:val="24"/>
                                    <w:highlight w:val="none"/>
                                  </w:rPr>
                                </m:ctrlPr>
                              </m:sub>
                            </m:sSub>
                            <m:ctrlPr>
                              <w:rPr>
                                <w:rFonts w:hint="default" w:ascii="Cambria Math" w:hAnsi="Cambria Math" w:eastAsia="宋体" w:cs="Times New Roman"/>
                                <w:color w:val="auto"/>
                                <w:sz w:val="24"/>
                                <w:highlight w:val="none"/>
                              </w:rPr>
                            </m:ctrlPr>
                          </m:num>
                          <m:den>
                            <m:r>
                              <m:rPr>
                                <m:nor/>
                                <m:sty m:val="p"/>
                              </m:rPr>
                              <w:rPr>
                                <w:rFonts w:hint="default" w:ascii="Times New Roman" w:hAnsi="Times New Roman" w:eastAsia="宋体" w:cs="Times New Roman"/>
                                <w:b w:val="0"/>
                                <w:i w:val="0"/>
                                <w:color w:val="auto"/>
                                <w:sz w:val="24"/>
                                <w:highlight w:val="none"/>
                              </w:rPr>
                              <m:t>100</m:t>
                            </m:r>
                            <m:ctrlPr>
                              <w:rPr>
                                <w:rFonts w:hint="default" w:ascii="Cambria Math" w:hAnsi="Cambria Math" w:eastAsia="宋体" w:cs="Times New Roman"/>
                                <w:color w:val="auto"/>
                                <w:sz w:val="24"/>
                                <w:highlight w:val="none"/>
                              </w:rPr>
                            </m:ctrlPr>
                          </m:den>
                        </m:f>
                        <m:ctrlPr>
                          <w:rPr>
                            <w:rFonts w:hint="default" w:ascii="Cambria Math" w:hAnsi="Cambria Math" w:eastAsia="宋体" w:cs="Times New Roman"/>
                            <w:color w:val="auto"/>
                            <w:sz w:val="24"/>
                            <w:highlight w:val="none"/>
                          </w:rPr>
                        </m:ctrlPr>
                      </m:e>
                    </m:d>
                    <m:ctrlPr>
                      <w:rPr>
                        <w:rFonts w:hint="default" w:ascii="Cambria Math" w:hAnsi="Cambria Math" w:eastAsia="宋体" w:cs="Times New Roman"/>
                        <w:color w:val="auto"/>
                        <w:sz w:val="24"/>
                        <w:highlight w:val="none"/>
                      </w:rPr>
                    </m:ctrlPr>
                  </m:num>
                  <m:den>
                    <m:r>
                      <m:rPr>
                        <m:nor/>
                        <m:sty m:val="p"/>
                      </m:rPr>
                      <w:rPr>
                        <w:rFonts w:hint="default" w:ascii="Times New Roman" w:hAnsi="Times New Roman" w:eastAsia="宋体" w:cs="Times New Roman"/>
                        <w:b w:val="0"/>
                        <w:i w:val="0"/>
                        <w:color w:val="auto"/>
                        <w:sz w:val="24"/>
                        <w:highlight w:val="none"/>
                      </w:rPr>
                      <m:t>1−</m:t>
                    </m:r>
                    <m:f>
                      <m:fPr>
                        <m:ctrlPr>
                          <w:rPr>
                            <w:rFonts w:hint="default" w:ascii="Cambria Math" w:hAnsi="Cambria Math" w:eastAsia="宋体" w:cs="Times New Roman"/>
                            <w:color w:val="auto"/>
                            <w:sz w:val="24"/>
                            <w:highlight w:val="none"/>
                          </w:rPr>
                        </m:ctrlPr>
                      </m:fPr>
                      <m:num>
                        <m:sSub>
                          <m:sSubPr>
                            <m:ctrlPr>
                              <w:rPr>
                                <w:rFonts w:hint="default" w:ascii="Cambria Math" w:hAnsi="Cambria Math" w:eastAsia="宋体" w:cs="Times New Roman"/>
                                <w:color w:val="auto"/>
                                <w:sz w:val="24"/>
                                <w:highlight w:val="none"/>
                              </w:rPr>
                            </m:ctrlPr>
                          </m:sSubPr>
                          <m:e>
                            <m:r>
                              <m:rPr>
                                <m:nor/>
                                <m:sty m:val="p"/>
                              </m:rPr>
                              <w:rPr>
                                <w:rFonts w:hint="default" w:ascii="Times New Roman" w:hAnsi="Times New Roman" w:eastAsia="宋体" w:cs="Times New Roman"/>
                                <w:b w:val="0"/>
                                <w:i w:val="0"/>
                                <w:color w:val="auto"/>
                                <w:sz w:val="24"/>
                                <w:highlight w:val="none"/>
                              </w:rPr>
                              <m:t>C</m:t>
                            </m:r>
                            <m:ctrlPr>
                              <w:rPr>
                                <w:rFonts w:hint="default" w:ascii="Cambria Math" w:hAnsi="Cambria Math" w:eastAsia="宋体" w:cs="Times New Roman"/>
                                <w:color w:val="auto"/>
                                <w:sz w:val="24"/>
                                <w:highlight w:val="none"/>
                              </w:rPr>
                            </m:ctrlPr>
                          </m:e>
                          <m:sub>
                            <m:r>
                              <m:rPr>
                                <m:nor/>
                                <m:sty m:val="p"/>
                              </m:rPr>
                              <w:rPr>
                                <w:rFonts w:hint="default" w:ascii="Times New Roman" w:hAnsi="Times New Roman" w:eastAsia="宋体" w:cs="Times New Roman"/>
                                <w:b w:val="0"/>
                                <w:i w:val="0"/>
                                <w:color w:val="auto"/>
                                <w:sz w:val="24"/>
                                <w:highlight w:val="none"/>
                              </w:rPr>
                              <m:t>fh</m:t>
                            </m:r>
                            <m:ctrlPr>
                              <w:rPr>
                                <w:rFonts w:hint="default" w:ascii="Cambria Math" w:hAnsi="Cambria Math" w:eastAsia="宋体" w:cs="Times New Roman"/>
                                <w:color w:val="auto"/>
                                <w:sz w:val="24"/>
                                <w:highlight w:val="none"/>
                              </w:rPr>
                            </m:ctrlPr>
                          </m:sub>
                        </m:sSub>
                        <m:ctrlPr>
                          <w:rPr>
                            <w:rFonts w:hint="default" w:ascii="Cambria Math" w:hAnsi="Cambria Math" w:eastAsia="宋体" w:cs="Times New Roman"/>
                            <w:color w:val="auto"/>
                            <w:sz w:val="24"/>
                            <w:highlight w:val="none"/>
                          </w:rPr>
                        </m:ctrlPr>
                      </m:num>
                      <m:den>
                        <m:r>
                          <m:rPr>
                            <m:nor/>
                            <m:sty m:val="p"/>
                          </m:rPr>
                          <w:rPr>
                            <w:rFonts w:hint="default" w:ascii="Times New Roman" w:hAnsi="Times New Roman" w:eastAsia="宋体" w:cs="Times New Roman"/>
                            <w:b w:val="0"/>
                            <w:i w:val="0"/>
                            <w:color w:val="auto"/>
                            <w:sz w:val="24"/>
                            <w:highlight w:val="none"/>
                          </w:rPr>
                          <m:t>100</m:t>
                        </m:r>
                        <m:ctrlPr>
                          <w:rPr>
                            <w:rFonts w:hint="default" w:ascii="Cambria Math" w:hAnsi="Cambria Math" w:eastAsia="宋体" w:cs="Times New Roman"/>
                            <w:color w:val="auto"/>
                            <w:sz w:val="24"/>
                            <w:highlight w:val="none"/>
                          </w:rPr>
                        </m:ctrlPr>
                      </m:den>
                    </m:f>
                    <m:ctrlPr>
                      <w:rPr>
                        <w:rFonts w:hint="default" w:ascii="Cambria Math" w:hAnsi="Cambria Math" w:eastAsia="宋体" w:cs="Times New Roman"/>
                        <w:color w:val="auto"/>
                        <w:sz w:val="24"/>
                        <w:highlight w:val="none"/>
                      </w:rPr>
                    </m:ctrlPr>
                  </m:den>
                </m:f>
              </m:oMath>
            </m:oMathPara>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式中：EA——核算时段内颗粒物（烟尘）排放量，t；</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720" w:firstLineChars="3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R——核算时段内锅炉燃料耗量，t（</w:t>
            </w:r>
            <w:r>
              <w:rPr>
                <w:rFonts w:hint="eastAsia" w:ascii="Times New Roman" w:cs="Times New Roman"/>
                <w:color w:val="auto"/>
                <w:sz w:val="24"/>
                <w:szCs w:val="24"/>
                <w:highlight w:val="none"/>
                <w:lang w:val="en-US" w:eastAsia="zh-CN"/>
              </w:rPr>
              <w:t>18</w:t>
            </w:r>
            <w:r>
              <w:rPr>
                <w:rFonts w:hint="default" w:ascii="Times New Roman" w:hAnsi="Times New Roman" w:eastAsia="宋体" w:cs="Times New Roman"/>
                <w:color w:val="auto"/>
                <w:sz w:val="24"/>
                <w:szCs w:val="24"/>
                <w:highlight w:val="none"/>
                <w:lang w:val="en-US" w:eastAsia="zh-CN"/>
              </w:rPr>
              <w:t>70</w:t>
            </w:r>
            <w:r>
              <w:rPr>
                <w:rFonts w:hint="default" w:ascii="Times New Roman" w:hAnsi="Times New Roman" w:eastAsia="宋体" w:cs="Times New Roman"/>
                <w:color w:val="auto"/>
                <w:sz w:val="24"/>
                <w:szCs w:val="24"/>
                <w:highlight w:val="none"/>
              </w:rPr>
              <w:t>t/钻井期）；</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239" w:leftChars="114"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Aar—收到基灰分的质量分数，%（7.22）；</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720" w:firstLineChars="3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vertAlign w:val="subscript"/>
              </w:rPr>
              <w:t>fh</w:t>
            </w:r>
            <w:r>
              <w:rPr>
                <w:rFonts w:hint="default" w:ascii="Times New Roman" w:hAnsi="Times New Roman" w:eastAsia="宋体" w:cs="Times New Roman"/>
                <w:color w:val="auto"/>
                <w:sz w:val="24"/>
                <w:szCs w:val="24"/>
                <w:highlight w:val="none"/>
              </w:rPr>
              <w:t>——锅炉烟气带出的飞灰份额，%（本项目使用的沸腾炉属于流化床炉的一种飞灰份额，</w:t>
            </w:r>
            <w:r>
              <w:rPr>
                <w:rFonts w:hint="default" w:ascii="Times New Roman" w:hAnsi="Times New Roman" w:eastAsia="宋体" w:cs="Times New Roman"/>
                <w:color w:val="auto"/>
                <w:sz w:val="24"/>
                <w:szCs w:val="24"/>
                <w:highlight w:val="none"/>
                <w:lang w:eastAsia="zh-CN"/>
              </w:rPr>
              <w:t>40%～60%</w:t>
            </w:r>
            <w:r>
              <w:rPr>
                <w:rFonts w:hint="default" w:ascii="Times New Roman" w:hAnsi="Times New Roman" w:eastAsia="宋体" w:cs="Times New Roman"/>
                <w:color w:val="auto"/>
                <w:sz w:val="24"/>
                <w:szCs w:val="24"/>
                <w:highlight w:val="none"/>
              </w:rPr>
              <w:t>，取50%）；</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720" w:firstLineChars="3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ηc ——本项目采用袋式除尘器，%（根据《锅炉产排污量核算系数手册》-4430工业锅炉</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热力生产和供应行业</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产污系数表</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取值99.7%）；</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720" w:firstLineChars="3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w:t>
            </w:r>
            <w:r>
              <w:rPr>
                <w:rFonts w:hint="default" w:ascii="Times New Roman" w:hAnsi="Times New Roman" w:eastAsia="宋体" w:cs="Times New Roman"/>
                <w:color w:val="auto"/>
                <w:sz w:val="24"/>
                <w:szCs w:val="24"/>
                <w:highlight w:val="none"/>
                <w:vertAlign w:val="subscript"/>
              </w:rPr>
              <w:t>fh</w:t>
            </w:r>
            <w:r>
              <w:rPr>
                <w:rFonts w:hint="default" w:ascii="Times New Roman" w:hAnsi="Times New Roman" w:eastAsia="宋体" w:cs="Times New Roman"/>
                <w:color w:val="auto"/>
                <w:sz w:val="24"/>
                <w:szCs w:val="24"/>
                <w:highlight w:val="none"/>
              </w:rPr>
              <w:t>——飞灰中的可燃物含量，%（取14%，参考《桉树类生物质燃烧飞灰可燃物含量分析方法研究》（第35卷第2期2015年2月）中的结论）。</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由此计算得生物质锅炉烟气中颗粒物排放量为0.</w:t>
            </w:r>
            <w:r>
              <w:rPr>
                <w:rFonts w:hint="eastAsia" w:ascii="Times New Roman" w:eastAsia="宋体" w:cs="Times New Roman"/>
                <w:color w:val="auto"/>
                <w:sz w:val="24"/>
                <w:szCs w:val="24"/>
                <w:highlight w:val="none"/>
                <w:lang w:val="en-US" w:eastAsia="zh-CN"/>
              </w:rPr>
              <w:t>235</w:t>
            </w:r>
            <w:r>
              <w:rPr>
                <w:rFonts w:hint="default" w:ascii="Times New Roman" w:hAnsi="Times New Roman" w:eastAsia="宋体" w:cs="Times New Roman"/>
                <w:color w:val="auto"/>
                <w:sz w:val="24"/>
                <w:szCs w:val="24"/>
                <w:highlight w:val="none"/>
              </w:rPr>
              <w:t>t/</w:t>
            </w:r>
            <w:r>
              <w:rPr>
                <w:rFonts w:hint="eastAsia" w:ascii="Times New Roman" w:eastAsia="宋体" w:cs="Times New Roman"/>
                <w:color w:val="auto"/>
                <w:sz w:val="24"/>
                <w:szCs w:val="24"/>
                <w:highlight w:val="none"/>
                <w:lang w:val="en-US" w:eastAsia="zh-CN"/>
              </w:rPr>
              <w:t>钻井期</w:t>
            </w:r>
            <w:r>
              <w:rPr>
                <w:rFonts w:hint="default" w:ascii="Times New Roman" w:hAnsi="Times New Roman" w:eastAsia="宋体" w:cs="Times New Roman"/>
                <w:color w:val="auto"/>
                <w:sz w:val="24"/>
                <w:szCs w:val="24"/>
                <w:highlight w:val="none"/>
              </w:rPr>
              <w:t>，排放速率为0.058kg/h，排放浓度为17.</w:t>
            </w:r>
            <w:r>
              <w:rPr>
                <w:rFonts w:hint="eastAsia" w:asci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③二氧化硫</w:t>
            </w:r>
          </w:p>
          <w:p>
            <w:pPr>
              <w:keepNext/>
              <w:keepLines w:val="0"/>
              <w:suppressLineNumbers w:val="0"/>
              <w:adjustRightInd w:val="0"/>
              <w:spacing w:before="0" w:beforeAutospacing="0" w:after="0" w:afterAutospacing="0" w:line="372" w:lineRule="auto"/>
              <w:ind w:left="0" w:right="0" w:firstLine="480" w:firstLineChars="200"/>
              <w:rPr>
                <w:rFonts w:hint="default" w:ascii="Times New Roman" w:hAnsi="Times New Roman" w:eastAsia="宋体" w:cs="Times New Roman"/>
                <w:color w:val="auto"/>
                <w:sz w:val="24"/>
                <w:szCs w:val="24"/>
                <w:highlight w:val="none"/>
              </w:rPr>
            </w:pPr>
            <m:oMathPara>
              <m:oMath>
                <m:sSub>
                  <m:sSubPr>
                    <m:ctrlPr>
                      <w:rPr>
                        <w:rFonts w:hint="default" w:ascii="Cambria Math" w:hAnsi="Cambria Math" w:eastAsia="宋体" w:cs="Times New Roman"/>
                        <w:color w:val="auto"/>
                        <w:sz w:val="24"/>
                        <w:szCs w:val="24"/>
                        <w:highlight w:val="none"/>
                      </w:rPr>
                    </m:ctrlPr>
                  </m:sSubPr>
                  <m:e>
                    <m:r>
                      <m:rPr>
                        <m:nor/>
                        <m:sty m:val="p"/>
                      </m:rPr>
                      <w:rPr>
                        <w:rFonts w:hint="default" w:ascii="Times New Roman" w:hAnsi="Times New Roman" w:eastAsia="宋体" w:cs="Times New Roman"/>
                        <w:b w:val="0"/>
                        <w:i w:val="0"/>
                        <w:color w:val="auto"/>
                        <w:sz w:val="24"/>
                        <w:szCs w:val="24"/>
                        <w:highlight w:val="none"/>
                      </w:rPr>
                      <m:t>E</m:t>
                    </m:r>
                    <m:ctrlPr>
                      <w:rPr>
                        <w:rFonts w:hint="default" w:ascii="Cambria Math" w:hAnsi="Cambria Math" w:eastAsia="宋体" w:cs="Times New Roman"/>
                        <w:color w:val="auto"/>
                        <w:sz w:val="24"/>
                        <w:szCs w:val="24"/>
                        <w:highlight w:val="none"/>
                      </w:rPr>
                    </m:ctrlPr>
                  </m:e>
                  <m:sub>
                    <m:r>
                      <m:rPr>
                        <m:nor/>
                        <m:sty m:val="p"/>
                      </m:rPr>
                      <w:rPr>
                        <w:rFonts w:hint="default" w:ascii="Times New Roman" w:hAnsi="Times New Roman" w:eastAsia="宋体" w:cs="Times New Roman"/>
                        <w:b w:val="0"/>
                        <w:i w:val="0"/>
                        <w:color w:val="auto"/>
                        <w:sz w:val="24"/>
                        <w:szCs w:val="24"/>
                        <w:highlight w:val="none"/>
                      </w:rPr>
                      <m:t>SO2</m:t>
                    </m:r>
                    <m:ctrlPr>
                      <w:rPr>
                        <w:rFonts w:hint="default" w:ascii="Cambria Math" w:hAnsi="Cambria Math" w:eastAsia="宋体" w:cs="Times New Roman"/>
                        <w:color w:val="auto"/>
                        <w:sz w:val="24"/>
                        <w:szCs w:val="24"/>
                        <w:highlight w:val="none"/>
                      </w:rPr>
                    </m:ctrlPr>
                  </m:sub>
                </m:sSub>
                <m:r>
                  <m:rPr>
                    <m:nor/>
                    <m:sty m:val="p"/>
                  </m:rPr>
                  <w:rPr>
                    <w:rFonts w:hint="default" w:ascii="Times New Roman" w:hAnsi="Times New Roman" w:eastAsia="宋体" w:cs="Times New Roman"/>
                    <w:b w:val="0"/>
                    <w:i w:val="0"/>
                    <w:color w:val="auto"/>
                    <w:sz w:val="24"/>
                    <w:szCs w:val="24"/>
                    <w:highlight w:val="none"/>
                  </w:rPr>
                  <m:t>=2R×</m:t>
                </m:r>
                <m:f>
                  <m:fPr>
                    <m:ctrlPr>
                      <w:rPr>
                        <w:rFonts w:hint="default" w:ascii="Cambria Math" w:hAnsi="Cambria Math" w:eastAsia="宋体" w:cs="Times New Roman"/>
                        <w:color w:val="auto"/>
                        <w:sz w:val="24"/>
                        <w:szCs w:val="24"/>
                        <w:highlight w:val="none"/>
                      </w:rPr>
                    </m:ctrlPr>
                  </m:fPr>
                  <m:num>
                    <m:sSub>
                      <m:sSubPr>
                        <m:ctrlPr>
                          <w:rPr>
                            <w:rFonts w:hint="default" w:ascii="Cambria Math" w:hAnsi="Cambria Math" w:eastAsia="宋体" w:cs="Times New Roman"/>
                            <w:color w:val="auto"/>
                            <w:sz w:val="24"/>
                            <w:szCs w:val="24"/>
                            <w:highlight w:val="none"/>
                          </w:rPr>
                        </m:ctrlPr>
                      </m:sSubPr>
                      <m:e>
                        <m:r>
                          <m:rPr>
                            <m:nor/>
                            <m:sty m:val="p"/>
                          </m:rPr>
                          <w:rPr>
                            <w:rFonts w:hint="default" w:ascii="Times New Roman" w:hAnsi="Times New Roman" w:eastAsia="宋体" w:cs="Times New Roman"/>
                            <w:b w:val="0"/>
                            <w:i w:val="0"/>
                            <w:color w:val="auto"/>
                            <w:sz w:val="24"/>
                            <w:szCs w:val="24"/>
                            <w:highlight w:val="none"/>
                          </w:rPr>
                          <m:t>S</m:t>
                        </m:r>
                        <m:ctrlPr>
                          <w:rPr>
                            <w:rFonts w:hint="default" w:ascii="Cambria Math" w:hAnsi="Cambria Math" w:eastAsia="宋体" w:cs="Times New Roman"/>
                            <w:color w:val="auto"/>
                            <w:sz w:val="24"/>
                            <w:szCs w:val="24"/>
                            <w:highlight w:val="none"/>
                          </w:rPr>
                        </m:ctrlPr>
                      </m:e>
                      <m:sub>
                        <m:r>
                          <m:rPr>
                            <m:nor/>
                            <m:sty m:val="p"/>
                          </m:rPr>
                          <w:rPr>
                            <w:rFonts w:hint="default" w:ascii="Times New Roman" w:hAnsi="Times New Roman" w:eastAsia="宋体" w:cs="Times New Roman"/>
                            <w:b w:val="0"/>
                            <w:i w:val="0"/>
                            <w:color w:val="auto"/>
                            <w:sz w:val="24"/>
                            <w:szCs w:val="24"/>
                            <w:highlight w:val="none"/>
                          </w:rPr>
                          <m:t>ar</m:t>
                        </m:r>
                        <m:ctrlPr>
                          <w:rPr>
                            <w:rFonts w:hint="default" w:ascii="Cambria Math" w:hAnsi="Cambria Math" w:eastAsia="宋体" w:cs="Times New Roman"/>
                            <w:color w:val="auto"/>
                            <w:sz w:val="24"/>
                            <w:szCs w:val="24"/>
                            <w:highlight w:val="none"/>
                          </w:rPr>
                        </m:ctrlPr>
                      </m:sub>
                    </m:sSub>
                    <m:ctrlPr>
                      <w:rPr>
                        <w:rFonts w:hint="default" w:ascii="Cambria Math" w:hAnsi="Cambria Math" w:eastAsia="宋体" w:cs="Times New Roman"/>
                        <w:color w:val="auto"/>
                        <w:sz w:val="24"/>
                        <w:szCs w:val="24"/>
                        <w:highlight w:val="none"/>
                      </w:rPr>
                    </m:ctrlPr>
                  </m:num>
                  <m:den>
                    <m:r>
                      <m:rPr>
                        <m:nor/>
                        <m:sty m:val="p"/>
                      </m:rPr>
                      <w:rPr>
                        <w:rFonts w:hint="default" w:ascii="Times New Roman" w:hAnsi="Times New Roman" w:eastAsia="宋体" w:cs="Times New Roman"/>
                        <w:b w:val="0"/>
                        <w:i w:val="0"/>
                        <w:color w:val="auto"/>
                        <w:sz w:val="24"/>
                        <w:szCs w:val="24"/>
                        <w:highlight w:val="none"/>
                      </w:rPr>
                      <m:t>100</m:t>
                    </m:r>
                    <m:ctrlPr>
                      <w:rPr>
                        <w:rFonts w:hint="default" w:ascii="Cambria Math" w:hAnsi="Cambria Math" w:eastAsia="宋体" w:cs="Times New Roman"/>
                        <w:color w:val="auto"/>
                        <w:sz w:val="24"/>
                        <w:szCs w:val="24"/>
                        <w:highlight w:val="none"/>
                      </w:rPr>
                    </m:ctrlPr>
                  </m:den>
                </m:f>
                <m:r>
                  <m:rPr>
                    <m:nor/>
                    <m:sty m:val="p"/>
                  </m:rPr>
                  <w:rPr>
                    <w:rFonts w:hint="default" w:ascii="Times New Roman" w:hAnsi="Times New Roman" w:eastAsia="宋体" w:cs="Times New Roman"/>
                    <w:b w:val="0"/>
                    <w:i w:val="0"/>
                    <w:color w:val="auto"/>
                    <w:sz w:val="24"/>
                    <w:szCs w:val="24"/>
                    <w:highlight w:val="none"/>
                  </w:rPr>
                  <m:t>×</m:t>
                </m:r>
                <m:d>
                  <m:dPr>
                    <m:ctrlPr>
                      <w:rPr>
                        <w:rFonts w:hint="default" w:ascii="Cambria Math" w:hAnsi="Cambria Math" w:eastAsia="宋体" w:cs="Times New Roman"/>
                        <w:color w:val="auto"/>
                        <w:sz w:val="24"/>
                        <w:szCs w:val="24"/>
                        <w:highlight w:val="none"/>
                      </w:rPr>
                    </m:ctrlPr>
                  </m:dPr>
                  <m:e>
                    <m:r>
                      <m:rPr>
                        <m:nor/>
                        <m:sty m:val="p"/>
                      </m:rPr>
                      <w:rPr>
                        <w:rFonts w:hint="default" w:ascii="Times New Roman" w:hAnsi="Times New Roman" w:eastAsia="宋体" w:cs="Times New Roman"/>
                        <w:b w:val="0"/>
                        <w:i w:val="0"/>
                        <w:color w:val="auto"/>
                        <w:sz w:val="24"/>
                        <w:szCs w:val="24"/>
                        <w:highlight w:val="none"/>
                      </w:rPr>
                      <m:t>1−</m:t>
                    </m:r>
                    <m:f>
                      <m:fPr>
                        <m:ctrlPr>
                          <w:rPr>
                            <w:rFonts w:hint="default" w:ascii="Cambria Math" w:hAnsi="Cambria Math" w:eastAsia="宋体" w:cs="Times New Roman"/>
                            <w:color w:val="auto"/>
                            <w:sz w:val="24"/>
                            <w:szCs w:val="24"/>
                            <w:highlight w:val="none"/>
                          </w:rPr>
                        </m:ctrlPr>
                      </m:fPr>
                      <m:num>
                        <m:sSub>
                          <m:sSubPr>
                            <m:ctrlPr>
                              <w:rPr>
                                <w:rFonts w:hint="default" w:ascii="Cambria Math" w:hAnsi="Cambria Math" w:eastAsia="宋体" w:cs="Times New Roman"/>
                                <w:color w:val="auto"/>
                                <w:sz w:val="24"/>
                                <w:szCs w:val="24"/>
                                <w:highlight w:val="none"/>
                              </w:rPr>
                            </m:ctrlPr>
                          </m:sSubPr>
                          <m:e>
                            <m:r>
                              <m:rPr>
                                <m:nor/>
                                <m:sty m:val="p"/>
                              </m:rPr>
                              <w:rPr>
                                <w:rFonts w:hint="default" w:ascii="Times New Roman" w:hAnsi="Times New Roman" w:eastAsia="宋体" w:cs="Times New Roman"/>
                                <w:b w:val="0"/>
                                <w:i w:val="0"/>
                                <w:color w:val="auto"/>
                                <w:sz w:val="24"/>
                                <w:szCs w:val="24"/>
                                <w:highlight w:val="none"/>
                              </w:rPr>
                              <m:t>q</m:t>
                            </m:r>
                            <m:ctrlPr>
                              <w:rPr>
                                <w:rFonts w:hint="default" w:ascii="Cambria Math" w:hAnsi="Cambria Math" w:eastAsia="宋体" w:cs="Times New Roman"/>
                                <w:color w:val="auto"/>
                                <w:sz w:val="24"/>
                                <w:szCs w:val="24"/>
                                <w:highlight w:val="none"/>
                              </w:rPr>
                            </m:ctrlPr>
                          </m:e>
                          <m:sub>
                            <m:r>
                              <m:rPr>
                                <m:nor/>
                                <m:sty m:val="p"/>
                              </m:rPr>
                              <w:rPr>
                                <w:rFonts w:hint="default" w:ascii="Times New Roman" w:hAnsi="Times New Roman" w:eastAsia="宋体" w:cs="Times New Roman"/>
                                <w:b w:val="0"/>
                                <w:i w:val="0"/>
                                <w:color w:val="auto"/>
                                <w:sz w:val="24"/>
                                <w:szCs w:val="24"/>
                                <w:highlight w:val="none"/>
                              </w:rPr>
                              <m:t>4</m:t>
                            </m:r>
                            <m:ctrlPr>
                              <w:rPr>
                                <w:rFonts w:hint="default" w:ascii="Cambria Math" w:hAnsi="Cambria Math" w:eastAsia="宋体" w:cs="Times New Roman"/>
                                <w:color w:val="auto"/>
                                <w:sz w:val="24"/>
                                <w:szCs w:val="24"/>
                                <w:highlight w:val="none"/>
                              </w:rPr>
                            </m:ctrlPr>
                          </m:sub>
                        </m:sSub>
                        <m:ctrlPr>
                          <w:rPr>
                            <w:rFonts w:hint="default" w:ascii="Cambria Math" w:hAnsi="Cambria Math" w:eastAsia="宋体" w:cs="Times New Roman"/>
                            <w:color w:val="auto"/>
                            <w:sz w:val="24"/>
                            <w:szCs w:val="24"/>
                            <w:highlight w:val="none"/>
                          </w:rPr>
                        </m:ctrlPr>
                      </m:num>
                      <m:den>
                        <m:r>
                          <m:rPr>
                            <m:nor/>
                            <m:sty m:val="p"/>
                          </m:rPr>
                          <w:rPr>
                            <w:rFonts w:hint="default" w:ascii="Times New Roman" w:hAnsi="Times New Roman" w:eastAsia="宋体" w:cs="Times New Roman"/>
                            <w:b w:val="0"/>
                            <w:i w:val="0"/>
                            <w:color w:val="auto"/>
                            <w:sz w:val="24"/>
                            <w:szCs w:val="24"/>
                            <w:highlight w:val="none"/>
                          </w:rPr>
                          <m:t>100</m:t>
                        </m:r>
                        <m:ctrlPr>
                          <w:rPr>
                            <w:rFonts w:hint="default" w:ascii="Cambria Math" w:hAnsi="Cambria Math" w:eastAsia="宋体" w:cs="Times New Roman"/>
                            <w:color w:val="auto"/>
                            <w:sz w:val="24"/>
                            <w:szCs w:val="24"/>
                            <w:highlight w:val="none"/>
                          </w:rPr>
                        </m:ctrlPr>
                      </m:den>
                    </m:f>
                    <m:ctrlPr>
                      <w:rPr>
                        <w:rFonts w:hint="default" w:ascii="Cambria Math" w:hAnsi="Cambria Math" w:eastAsia="宋体" w:cs="Times New Roman"/>
                        <w:color w:val="auto"/>
                        <w:sz w:val="24"/>
                        <w:szCs w:val="24"/>
                        <w:highlight w:val="none"/>
                      </w:rPr>
                    </m:ctrlPr>
                  </m:e>
                </m:d>
                <m:r>
                  <m:rPr>
                    <m:nor/>
                    <m:sty m:val="p"/>
                  </m:rPr>
                  <w:rPr>
                    <w:rFonts w:hint="default" w:ascii="Times New Roman" w:hAnsi="Times New Roman" w:eastAsia="宋体" w:cs="Times New Roman"/>
                    <w:b w:val="0"/>
                    <w:i w:val="0"/>
                    <w:color w:val="auto"/>
                    <w:sz w:val="24"/>
                    <w:szCs w:val="24"/>
                    <w:highlight w:val="none"/>
                  </w:rPr>
                  <m:t>×</m:t>
                </m:r>
                <m:d>
                  <m:dPr>
                    <m:ctrlPr>
                      <w:rPr>
                        <w:rFonts w:hint="default" w:ascii="Cambria Math" w:hAnsi="Cambria Math" w:eastAsia="宋体" w:cs="Times New Roman"/>
                        <w:color w:val="auto"/>
                        <w:sz w:val="24"/>
                        <w:szCs w:val="24"/>
                        <w:highlight w:val="none"/>
                      </w:rPr>
                    </m:ctrlPr>
                  </m:dPr>
                  <m:e>
                    <m:r>
                      <m:rPr>
                        <m:nor/>
                        <m:sty m:val="p"/>
                      </m:rPr>
                      <w:rPr>
                        <w:rFonts w:hint="default" w:ascii="Times New Roman" w:hAnsi="Times New Roman" w:eastAsia="宋体" w:cs="Times New Roman"/>
                        <w:b w:val="0"/>
                        <w:i w:val="0"/>
                        <w:color w:val="auto"/>
                        <w:sz w:val="24"/>
                        <w:szCs w:val="24"/>
                        <w:highlight w:val="none"/>
                      </w:rPr>
                      <m:t>1−</m:t>
                    </m:r>
                    <m:f>
                      <m:fPr>
                        <m:ctrlPr>
                          <w:rPr>
                            <w:rFonts w:hint="default" w:ascii="Cambria Math" w:hAnsi="Cambria Math" w:eastAsia="宋体" w:cs="Times New Roman"/>
                            <w:color w:val="auto"/>
                            <w:sz w:val="24"/>
                            <w:szCs w:val="24"/>
                            <w:highlight w:val="none"/>
                          </w:rPr>
                        </m:ctrlPr>
                      </m:fPr>
                      <m:num>
                        <m:sSub>
                          <m:sSubPr>
                            <m:ctrlPr>
                              <w:rPr>
                                <w:rFonts w:hint="default" w:ascii="Cambria Math" w:hAnsi="Cambria Math" w:eastAsia="宋体" w:cs="Times New Roman"/>
                                <w:color w:val="auto"/>
                                <w:sz w:val="24"/>
                                <w:szCs w:val="24"/>
                                <w:highlight w:val="none"/>
                              </w:rPr>
                            </m:ctrlPr>
                          </m:sSubPr>
                          <m:e>
                            <m:r>
                              <m:rPr>
                                <m:nor/>
                                <m:sty m:val="p"/>
                              </m:rPr>
                              <w:rPr>
                                <w:rFonts w:hint="default" w:ascii="Times New Roman" w:hAnsi="Times New Roman" w:eastAsia="宋体" w:cs="Times New Roman"/>
                                <w:b w:val="0"/>
                                <w:i w:val="0"/>
                                <w:color w:val="auto"/>
                                <w:sz w:val="24"/>
                                <w:szCs w:val="24"/>
                                <w:highlight w:val="none"/>
                              </w:rPr>
                              <m:t>η</m:t>
                            </m:r>
                            <m:ctrlPr>
                              <w:rPr>
                                <w:rFonts w:hint="default" w:ascii="Cambria Math" w:hAnsi="Cambria Math" w:eastAsia="宋体" w:cs="Times New Roman"/>
                                <w:color w:val="auto"/>
                                <w:sz w:val="24"/>
                                <w:szCs w:val="24"/>
                                <w:highlight w:val="none"/>
                              </w:rPr>
                            </m:ctrlPr>
                          </m:e>
                          <m:sub>
                            <m:r>
                              <m:rPr>
                                <m:nor/>
                                <m:sty m:val="p"/>
                              </m:rPr>
                              <w:rPr>
                                <w:rFonts w:hint="default" w:ascii="Times New Roman" w:hAnsi="Times New Roman" w:eastAsia="宋体" w:cs="Times New Roman"/>
                                <w:b w:val="0"/>
                                <w:i w:val="0"/>
                                <w:color w:val="auto"/>
                                <w:sz w:val="24"/>
                                <w:szCs w:val="24"/>
                                <w:highlight w:val="none"/>
                              </w:rPr>
                              <m:t>s</m:t>
                            </m:r>
                            <m:ctrlPr>
                              <w:rPr>
                                <w:rFonts w:hint="default" w:ascii="Cambria Math" w:hAnsi="Cambria Math" w:eastAsia="宋体" w:cs="Times New Roman"/>
                                <w:color w:val="auto"/>
                                <w:sz w:val="24"/>
                                <w:szCs w:val="24"/>
                                <w:highlight w:val="none"/>
                              </w:rPr>
                            </m:ctrlPr>
                          </m:sub>
                        </m:sSub>
                        <m:ctrlPr>
                          <w:rPr>
                            <w:rFonts w:hint="default" w:ascii="Cambria Math" w:hAnsi="Cambria Math" w:eastAsia="宋体" w:cs="Times New Roman"/>
                            <w:color w:val="auto"/>
                            <w:sz w:val="24"/>
                            <w:szCs w:val="24"/>
                            <w:highlight w:val="none"/>
                          </w:rPr>
                        </m:ctrlPr>
                      </m:num>
                      <m:den>
                        <m:r>
                          <m:rPr>
                            <m:nor/>
                            <m:sty m:val="p"/>
                          </m:rPr>
                          <w:rPr>
                            <w:rFonts w:hint="default" w:ascii="Times New Roman" w:hAnsi="Times New Roman" w:eastAsia="宋体" w:cs="Times New Roman"/>
                            <w:b w:val="0"/>
                            <w:i w:val="0"/>
                            <w:color w:val="auto"/>
                            <w:sz w:val="24"/>
                            <w:szCs w:val="24"/>
                            <w:highlight w:val="none"/>
                          </w:rPr>
                          <m:t>100</m:t>
                        </m:r>
                        <m:ctrlPr>
                          <w:rPr>
                            <w:rFonts w:hint="default" w:ascii="Cambria Math" w:hAnsi="Cambria Math" w:eastAsia="宋体" w:cs="Times New Roman"/>
                            <w:color w:val="auto"/>
                            <w:sz w:val="24"/>
                            <w:szCs w:val="24"/>
                            <w:highlight w:val="none"/>
                          </w:rPr>
                        </m:ctrlPr>
                      </m:den>
                    </m:f>
                    <m:ctrlPr>
                      <w:rPr>
                        <w:rFonts w:hint="default" w:ascii="Cambria Math" w:hAnsi="Cambria Math" w:eastAsia="宋体" w:cs="Times New Roman"/>
                        <w:color w:val="auto"/>
                        <w:sz w:val="24"/>
                        <w:szCs w:val="24"/>
                        <w:highlight w:val="none"/>
                      </w:rPr>
                    </m:ctrlPr>
                  </m:e>
                </m:d>
                <m:r>
                  <m:rPr>
                    <m:nor/>
                    <m:sty m:val="p"/>
                  </m:rPr>
                  <w:rPr>
                    <w:rFonts w:hint="default" w:ascii="Times New Roman" w:hAnsi="Times New Roman" w:eastAsia="宋体" w:cs="Times New Roman"/>
                    <w:b w:val="0"/>
                    <w:i w:val="0"/>
                    <w:color w:val="auto"/>
                    <w:sz w:val="24"/>
                    <w:szCs w:val="24"/>
                    <w:highlight w:val="none"/>
                  </w:rPr>
                  <m:t>×K</m:t>
                </m:r>
              </m:oMath>
            </m:oMathPara>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式中：E</w:t>
            </w:r>
            <w:r>
              <w:rPr>
                <w:rFonts w:hint="default" w:ascii="Times New Roman" w:hAnsi="Times New Roman" w:eastAsia="宋体" w:cs="Times New Roman"/>
                <w:color w:val="auto"/>
                <w:sz w:val="24"/>
                <w:szCs w:val="24"/>
                <w:highlight w:val="none"/>
                <w:vertAlign w:val="subscript"/>
              </w:rPr>
              <w:t>SO2—</w:t>
            </w:r>
            <w:r>
              <w:rPr>
                <w:rFonts w:hint="default" w:ascii="Times New Roman" w:hAnsi="Times New Roman" w:eastAsia="宋体" w:cs="Times New Roman"/>
                <w:color w:val="auto"/>
                <w:sz w:val="24"/>
                <w:szCs w:val="24"/>
                <w:highlight w:val="none"/>
              </w:rPr>
              <w:t>—核算时段内二氧化硫排放量，t；</w:t>
            </w:r>
          </w:p>
          <w:p>
            <w:pPr>
              <w:pStyle w:val="31"/>
              <w:keepLines w:val="0"/>
              <w:pageBreakBefore w:val="0"/>
              <w:widowControl w:val="0"/>
              <w:kinsoku/>
              <w:wordWrap/>
              <w:overflowPunct/>
              <w:topLinePunct w:val="0"/>
              <w:autoSpaceDE/>
              <w:autoSpaceDN/>
              <w:bidi w:val="0"/>
              <w:snapToGrid/>
              <w:spacing w:after="0" w:line="440" w:lineRule="exact"/>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R——核算时段内锅炉燃料耗量，</w:t>
            </w:r>
            <w:r>
              <w:rPr>
                <w:rFonts w:hint="eastAsia" w:ascii="Times New Roman" w:hAnsi="Times New Roman" w:cs="Times New Roman"/>
                <w:color w:val="auto"/>
                <w:sz w:val="24"/>
                <w:szCs w:val="24"/>
                <w:highlight w:val="none"/>
                <w:lang w:val="en-US" w:eastAsia="zh-CN"/>
              </w:rPr>
              <w:t>1870</w:t>
            </w:r>
            <w:r>
              <w:rPr>
                <w:rFonts w:hint="default" w:ascii="Times New Roman" w:hAnsi="Times New Roman" w:eastAsia="宋体" w:cs="Times New Roman"/>
                <w:color w:val="auto"/>
                <w:sz w:val="24"/>
                <w:szCs w:val="24"/>
                <w:highlight w:val="none"/>
              </w:rPr>
              <w:t>t/钻井期；</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Sar——收到基硫的质量分数，%，0.021%</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（Sar=Sd×（100−Mar）/100=0.022×（100-6.48）/100）；</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q</w:t>
            </w:r>
            <w:r>
              <w:rPr>
                <w:rFonts w:hint="default" w:ascii="Times New Roman" w:hAnsi="Times New Roman" w:eastAsia="宋体" w:cs="Times New Roman"/>
                <w:color w:val="auto"/>
                <w:sz w:val="24"/>
                <w:szCs w:val="24"/>
                <w:highlight w:val="none"/>
                <w:vertAlign w:val="subscript"/>
              </w:rPr>
              <w:t>4</w:t>
            </w:r>
            <w:r>
              <w:rPr>
                <w:rFonts w:hint="default" w:ascii="Times New Roman" w:hAnsi="Times New Roman" w:eastAsia="宋体" w:cs="Times New Roman"/>
                <w:color w:val="auto"/>
                <w:sz w:val="24"/>
                <w:szCs w:val="24"/>
                <w:highlight w:val="none"/>
              </w:rPr>
              <w:t>——锅炉机械不完全燃烧热损失，%（5%～15%，取10%）；</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ηs——脱硫效率，%（0%）；</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K——燃料中的硫燃烧后氧化成二氧化硫的份额，量纲一的量（0.30～0.50，取0.40）。</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计算可知本项目生物质锅炉</w:t>
            </w:r>
            <w:r>
              <w:rPr>
                <w:rFonts w:hint="eastAsia" w:ascii="Times New Roman" w:cs="Times New Roman"/>
                <w:color w:val="auto"/>
                <w:sz w:val="24"/>
                <w:szCs w:val="24"/>
                <w:highlight w:val="none"/>
                <w:lang w:val="en-US" w:eastAsia="zh-CN"/>
              </w:rPr>
              <w:t>二氧化硫</w:t>
            </w:r>
            <w:r>
              <w:rPr>
                <w:rFonts w:hint="default" w:ascii="Times New Roman" w:hAnsi="Times New Roman" w:eastAsia="宋体" w:cs="Times New Roman"/>
                <w:color w:val="auto"/>
                <w:sz w:val="24"/>
                <w:szCs w:val="24"/>
                <w:highlight w:val="none"/>
              </w:rPr>
              <w:t>排放量为0.</w:t>
            </w:r>
            <w:r>
              <w:rPr>
                <w:rFonts w:hint="eastAsia" w:ascii="Times New Roman" w:cs="Times New Roman"/>
                <w:color w:val="auto"/>
                <w:sz w:val="24"/>
                <w:szCs w:val="24"/>
                <w:highlight w:val="none"/>
                <w:lang w:val="en-US" w:eastAsia="zh-CN"/>
              </w:rPr>
              <w:t>283</w:t>
            </w:r>
            <w:r>
              <w:rPr>
                <w:rFonts w:hint="default" w:ascii="Times New Roman" w:hAnsi="Times New Roman" w:eastAsia="宋体" w:cs="Times New Roman"/>
                <w:color w:val="auto"/>
                <w:sz w:val="24"/>
                <w:szCs w:val="24"/>
                <w:highlight w:val="none"/>
              </w:rPr>
              <w:t>t/钻井期，排放速率为0.07kg/h，排放浓度为21</w:t>
            </w:r>
            <w:r>
              <w:rPr>
                <w:rFonts w:hint="eastAsia" w:ascii="Times New Roman"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④氮氧化物</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氮氧化物利用《排放源统计调查产排污核算方法和系数手册》中系数1.02kg/t燃料计算，生物质锅炉烟气采取低氮燃烧技术去除氮氧化物，去除效率为30%，则本项目生物质锅炉氮氧化物排放量为</w:t>
            </w:r>
            <w:r>
              <w:rPr>
                <w:rFonts w:hint="eastAsia" w:ascii="Times New Roman" w:cs="Times New Roman"/>
                <w:color w:val="auto"/>
                <w:sz w:val="24"/>
                <w:szCs w:val="24"/>
                <w:highlight w:val="none"/>
                <w:lang w:val="en-US" w:eastAsia="zh-CN"/>
              </w:rPr>
              <w:t>1.34</w:t>
            </w:r>
            <w:r>
              <w:rPr>
                <w:rFonts w:hint="default" w:ascii="Times New Roman" w:hAnsi="Times New Roman" w:eastAsia="宋体" w:cs="Times New Roman"/>
                <w:color w:val="auto"/>
                <w:sz w:val="24"/>
                <w:szCs w:val="24"/>
                <w:highlight w:val="none"/>
              </w:rPr>
              <w:t>t/钻井期，排放速率为0.3</w:t>
            </w:r>
            <w:r>
              <w:rPr>
                <w:rFonts w:hint="eastAsia" w:ascii="Times New Roman"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kg/h，排放浓度为99.</w:t>
            </w:r>
            <w:r>
              <w:rPr>
                <w:rFonts w:hint="eastAsia" w:asci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，满足《锅炉大气污染物排放标准》（GB13271-2014）中表2燃气锅炉标准限值要求。</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综上钻井期生物质锅炉烟气各污染物均满足《锅炉大气污染物排放标准》（GB13271-2014）中表2燃气锅炉标准限值要求；钻井期生物质锅炉烟气中二氧化硫排放量为0.</w:t>
            </w:r>
            <w:r>
              <w:rPr>
                <w:rFonts w:hint="eastAsia" w:ascii="Times New Roman" w:cs="Times New Roman"/>
                <w:color w:val="auto"/>
                <w:sz w:val="24"/>
                <w:szCs w:val="24"/>
                <w:highlight w:val="none"/>
                <w:lang w:val="en-US" w:eastAsia="zh-CN"/>
              </w:rPr>
              <w:t>283</w:t>
            </w:r>
            <w:r>
              <w:rPr>
                <w:rFonts w:hint="default" w:ascii="Times New Roman" w:hAnsi="Times New Roman" w:eastAsia="宋体" w:cs="Times New Roman"/>
                <w:color w:val="auto"/>
                <w:sz w:val="24"/>
                <w:szCs w:val="24"/>
                <w:highlight w:val="none"/>
              </w:rPr>
              <w:t>t、颗粒物排放量为0.</w:t>
            </w:r>
            <w:r>
              <w:rPr>
                <w:rFonts w:hint="eastAsia" w:ascii="Times New Roman" w:cs="Times New Roman"/>
                <w:color w:val="auto"/>
                <w:sz w:val="24"/>
                <w:szCs w:val="24"/>
                <w:highlight w:val="none"/>
                <w:lang w:val="en-US" w:eastAsia="zh-CN"/>
              </w:rPr>
              <w:t>235</w:t>
            </w:r>
            <w:r>
              <w:rPr>
                <w:rFonts w:hint="default" w:ascii="Times New Roman" w:hAnsi="Times New Roman" w:eastAsia="宋体" w:cs="Times New Roman"/>
                <w:color w:val="auto"/>
                <w:sz w:val="24"/>
                <w:szCs w:val="24"/>
                <w:highlight w:val="none"/>
              </w:rPr>
              <w:t>t、氮氧化物排放量为</w:t>
            </w:r>
            <w:r>
              <w:rPr>
                <w:rFonts w:hint="eastAsia" w:ascii="Times New Roman" w:cs="Times New Roman"/>
                <w:color w:val="auto"/>
                <w:sz w:val="24"/>
                <w:szCs w:val="24"/>
                <w:highlight w:val="none"/>
                <w:lang w:val="en-US" w:eastAsia="zh-CN"/>
              </w:rPr>
              <w:t>1.34</w:t>
            </w:r>
            <w:r>
              <w:rPr>
                <w:rFonts w:hint="default" w:ascii="Times New Roman" w:hAnsi="Times New Roman" w:eastAsia="宋体" w:cs="Times New Roman"/>
                <w:color w:val="auto"/>
                <w:sz w:val="24"/>
                <w:szCs w:val="24"/>
                <w:highlight w:val="none"/>
              </w:rPr>
              <w:t>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82" w:firstLineChars="200"/>
              <w:textAlignment w:val="auto"/>
              <w:rPr>
                <w:rFonts w:hint="eastAsia" w:ascii="Times New Roman" w:hAnsi="Times New Roman" w:eastAsia="宋体" w:cs="Times New Roman"/>
                <w:b/>
                <w:bCs/>
                <w:color w:val="000000" w:themeColor="text1"/>
                <w:spacing w:val="0"/>
                <w:position w:val="0"/>
                <w:sz w:val="24"/>
                <w:szCs w:val="24"/>
                <w:highlight w:val="none"/>
                <w:lang w:val="en-US" w:eastAsia="zh-CN"/>
                <w14:textFill>
                  <w14:solidFill>
                    <w14:schemeClr w14:val="tx1"/>
                  </w14:solidFill>
                </w14:textFill>
              </w:rPr>
            </w:pPr>
            <w:r>
              <w:rPr>
                <w:rFonts w:hint="eastAsia" w:ascii="Times New Roman" w:cs="Times New Roman"/>
                <w:b/>
                <w:bCs/>
                <w:color w:val="000000" w:themeColor="text1"/>
                <w:spacing w:val="0"/>
                <w:position w:val="0"/>
                <w:sz w:val="24"/>
                <w:szCs w:val="24"/>
                <w:highlight w:val="none"/>
                <w:lang w:val="en-US" w:eastAsia="zh-CN"/>
                <w14:textFill>
                  <w14:solidFill>
                    <w14:schemeClr w14:val="tx1"/>
                  </w14:solidFill>
                </w14:textFill>
              </w:rPr>
              <w:t xml:space="preserve">表4-2    </w:t>
            </w:r>
            <w:r>
              <w:rPr>
                <w:rFonts w:hint="eastAsia" w:ascii="Times New Roman" w:hAnsi="Times New Roman" w:eastAsia="宋体" w:cs="Times New Roman"/>
                <w:b/>
                <w:bCs/>
                <w:color w:val="000000" w:themeColor="text1"/>
                <w:spacing w:val="0"/>
                <w:position w:val="0"/>
                <w:sz w:val="24"/>
                <w:szCs w:val="24"/>
                <w:highlight w:val="none"/>
                <w:lang w:val="en-US" w:eastAsia="zh-CN"/>
                <w14:textFill>
                  <w14:solidFill>
                    <w14:schemeClr w14:val="tx1"/>
                  </w14:solidFill>
                </w14:textFill>
              </w:rPr>
              <w:t>锅炉烟气污染</w:t>
            </w:r>
            <w:r>
              <w:rPr>
                <w:rFonts w:hint="eastAsia" w:ascii="Times New Roman" w:cs="Times New Roman"/>
                <w:b/>
                <w:bCs/>
                <w:color w:val="000000" w:themeColor="text1"/>
                <w:spacing w:val="0"/>
                <w:position w:val="0"/>
                <w:sz w:val="24"/>
                <w:szCs w:val="24"/>
                <w:highlight w:val="none"/>
                <w:lang w:val="en-US" w:eastAsia="zh-CN"/>
                <w14:textFill>
                  <w14:solidFill>
                    <w14:schemeClr w14:val="tx1"/>
                  </w14:solidFill>
                </w14:textFill>
              </w:rPr>
              <w:t>源源强核算结果及相关</w:t>
            </w:r>
            <w:r>
              <w:rPr>
                <w:rFonts w:hint="eastAsia" w:ascii="Times New Roman" w:hAnsi="Times New Roman" w:eastAsia="宋体" w:cs="Times New Roman"/>
                <w:b/>
                <w:bCs/>
                <w:color w:val="000000" w:themeColor="text1"/>
                <w:spacing w:val="0"/>
                <w:position w:val="0"/>
                <w:sz w:val="24"/>
                <w:szCs w:val="24"/>
                <w:highlight w:val="none"/>
                <w:lang w:val="en-US" w:eastAsia="zh-CN"/>
                <w14:textFill>
                  <w14:solidFill>
                    <w14:schemeClr w14:val="tx1"/>
                  </w14:solidFill>
                </w14:textFill>
              </w:rPr>
              <w:t>参数一览表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775"/>
              <w:gridCol w:w="735"/>
              <w:gridCol w:w="737"/>
              <w:gridCol w:w="653"/>
              <w:gridCol w:w="697"/>
              <w:gridCol w:w="861"/>
              <w:gridCol w:w="737"/>
              <w:gridCol w:w="737"/>
              <w:gridCol w:w="815"/>
              <w:gridCol w:w="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废气来源及名称</w:t>
                  </w:r>
                </w:p>
              </w:tc>
              <w:tc>
                <w:tcPr>
                  <w:tcW w:w="775"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污染物</w:t>
                  </w:r>
                </w:p>
              </w:tc>
              <w:tc>
                <w:tcPr>
                  <w:tcW w:w="735"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燃料消耗量（t/钻井期）</w:t>
                  </w:r>
                </w:p>
              </w:tc>
              <w:tc>
                <w:tcPr>
                  <w:tcW w:w="139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治理措施</w:t>
                  </w:r>
                </w:p>
              </w:tc>
              <w:tc>
                <w:tcPr>
                  <w:tcW w:w="3847" w:type="dxa"/>
                  <w:gridSpan w:val="5"/>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排放情况</w:t>
                  </w:r>
                </w:p>
              </w:tc>
              <w:tc>
                <w:tcPr>
                  <w:tcW w:w="661"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运行时间（h）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7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3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工艺</w:t>
                  </w:r>
                </w:p>
              </w:tc>
              <w:tc>
                <w:tcPr>
                  <w:tcW w:w="65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效率（%）</w:t>
                  </w:r>
                </w:p>
              </w:tc>
              <w:tc>
                <w:tcPr>
                  <w:tcW w:w="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核算方法</w:t>
                  </w:r>
                </w:p>
              </w:tc>
              <w:tc>
                <w:tcPr>
                  <w:tcW w:w="86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烟气量（</w:t>
                  </w:r>
                  <w:r>
                    <w:rPr>
                      <w:rFonts w:hint="default" w:ascii="Times New Roman" w:hAnsi="Times New Roman" w:eastAsia="宋体" w:cs="Times New Roman"/>
                      <w:color w:val="000000" w:themeColor="text1"/>
                      <w:spacing w:val="0"/>
                      <w:position w:val="0"/>
                      <w:sz w:val="21"/>
                      <w:szCs w:val="21"/>
                      <w:highlight w:val="none"/>
                      <w14:textFill>
                        <w14:solidFill>
                          <w14:schemeClr w14:val="tx1"/>
                        </w14:solidFill>
                      </w14:textFill>
                    </w:rPr>
                    <w:t>Nm</w:t>
                  </w:r>
                  <w:r>
                    <w:rPr>
                      <w:rFonts w:hint="default" w:ascii="Times New Roman" w:hAnsi="Times New Roman" w:eastAsia="宋体" w:cs="Times New Roman"/>
                      <w:color w:val="000000" w:themeColor="text1"/>
                      <w:spacing w:val="0"/>
                      <w:position w:val="0"/>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pacing w:val="0"/>
                      <w:position w:val="0"/>
                      <w:sz w:val="21"/>
                      <w:szCs w:val="21"/>
                      <w:highlight w:val="none"/>
                      <w14:textFill>
                        <w14:solidFill>
                          <w14:schemeClr w14:val="tx1"/>
                        </w14:solidFill>
                      </w14:textFill>
                    </w:rPr>
                    <w:t>/h</w:t>
                  </w:r>
                  <w:r>
                    <w:rPr>
                      <w:rFonts w:hint="default" w:ascii="Times New Roman" w:hAnsi="Times New Roman" w:eastAsia="宋体" w:cs="Times New Roman"/>
                      <w:color w:val="000000" w:themeColor="text1"/>
                      <w:spacing w:val="0"/>
                      <w:position w:val="0"/>
                      <w:sz w:val="21"/>
                      <w:szCs w:val="21"/>
                      <w:highlight w:val="none"/>
                      <w:lang w:eastAsia="zh-CN"/>
                      <w14:textFill>
                        <w14:solidFill>
                          <w14:schemeClr w14:val="tx1"/>
                        </w14:solidFill>
                      </w14:textFill>
                    </w:rPr>
                    <w:t>）</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浓度（</w:t>
                  </w:r>
                  <w:r>
                    <w:rPr>
                      <w:rFonts w:hint="default" w:ascii="Times New Roman" w:hAnsi="Times New Roman" w:eastAsia="宋体" w:cs="Times New Roman"/>
                      <w:color w:val="000000" w:themeColor="text1"/>
                      <w:spacing w:val="0"/>
                      <w:position w:val="0"/>
                      <w:sz w:val="21"/>
                      <w:szCs w:val="21"/>
                      <w:highlight w:val="none"/>
                      <w14:textFill>
                        <w14:solidFill>
                          <w14:schemeClr w14:val="tx1"/>
                        </w14:solidFill>
                      </w14:textFill>
                    </w:rPr>
                    <w:t>mg/m</w:t>
                  </w:r>
                  <w:r>
                    <w:rPr>
                      <w:rFonts w:hint="default" w:ascii="Times New Roman" w:hAnsi="Times New Roman" w:eastAsia="宋体" w:cs="Times New Roman"/>
                      <w:color w:val="000000" w:themeColor="text1"/>
                      <w:spacing w:val="0"/>
                      <w:position w:val="0"/>
                      <w:sz w:val="21"/>
                      <w:szCs w:val="21"/>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pacing w:val="0"/>
                      <w:position w:val="0"/>
                      <w:sz w:val="21"/>
                      <w:szCs w:val="21"/>
                      <w:highlight w:val="none"/>
                      <w:vertAlign w:val="baseline"/>
                      <w:lang w:eastAsia="zh-CN"/>
                      <w14:textFill>
                        <w14:solidFill>
                          <w14:schemeClr w14:val="tx1"/>
                        </w14:solidFill>
                      </w14:textFill>
                    </w:rPr>
                    <w:t>）</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速率（</w:t>
                  </w:r>
                  <w:r>
                    <w:rPr>
                      <w:rFonts w:hint="default" w:ascii="Times New Roman" w:hAnsi="Times New Roman" w:eastAsia="宋体" w:cs="Times New Roman"/>
                      <w:color w:val="000000" w:themeColor="text1"/>
                      <w:spacing w:val="0"/>
                      <w:position w:val="0"/>
                      <w:sz w:val="21"/>
                      <w:szCs w:val="21"/>
                      <w:highlight w:val="none"/>
                      <w14:textFill>
                        <w14:solidFill>
                          <w14:schemeClr w14:val="tx1"/>
                        </w14:solidFill>
                      </w14:textFill>
                    </w:rPr>
                    <w:t>kg/h</w:t>
                  </w:r>
                  <w:r>
                    <w:rPr>
                      <w:rFonts w:hint="default" w:ascii="Times New Roman" w:hAnsi="Times New Roman" w:eastAsia="宋体" w:cs="Times New Roman"/>
                      <w:color w:val="000000" w:themeColor="text1"/>
                      <w:spacing w:val="0"/>
                      <w:position w:val="0"/>
                      <w:sz w:val="21"/>
                      <w:szCs w:val="21"/>
                      <w:highlight w:val="none"/>
                      <w:lang w:eastAsia="zh-CN"/>
                      <w14:textFill>
                        <w14:solidFill>
                          <w14:schemeClr w14:val="tx1"/>
                        </w14:solidFill>
                      </w14:textFill>
                    </w:rPr>
                    <w:t>）</w:t>
                  </w:r>
                </w:p>
              </w:tc>
              <w:tc>
                <w:tcPr>
                  <w:tcW w:w="815"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kern w:val="2"/>
                      <w:positio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排放量（t/钻井期）</w:t>
                  </w:r>
                </w:p>
              </w:tc>
              <w:tc>
                <w:tcPr>
                  <w:tcW w:w="6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锅炉烟气</w:t>
                  </w:r>
                </w:p>
              </w:tc>
              <w:tc>
                <w:tcPr>
                  <w:tcW w:w="7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颗粒物</w:t>
                  </w:r>
                </w:p>
              </w:tc>
              <w:tc>
                <w:tcPr>
                  <w:tcW w:w="735"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1870</w:t>
                  </w:r>
                </w:p>
              </w:tc>
              <w:tc>
                <w:tcPr>
                  <w:tcW w:w="737"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低氮燃烧器+袋式除尘器+</w:t>
                  </w:r>
                  <w:r>
                    <w:rPr>
                      <w:rFonts w:hint="eastAsia" w:ascii="Times New Roman" w:cs="Times New Roman"/>
                      <w:color w:val="auto"/>
                      <w:spacing w:val="0"/>
                      <w:position w:val="0"/>
                      <w:sz w:val="21"/>
                      <w:szCs w:val="21"/>
                      <w:highlight w:val="none"/>
                      <w:vertAlign w:val="baseline"/>
                      <w:lang w:val="en-US" w:eastAsia="zh-CN"/>
                    </w:rPr>
                    <w:t>30</w:t>
                  </w:r>
                  <w:r>
                    <w:rPr>
                      <w:rFonts w:hint="default" w:ascii="Times New Roman" w:hAnsi="Times New Roman" w:eastAsia="宋体" w:cs="Times New Roman"/>
                      <w:color w:val="auto"/>
                      <w:spacing w:val="0"/>
                      <w:position w:val="0"/>
                      <w:sz w:val="21"/>
                      <w:szCs w:val="21"/>
                      <w:highlight w:val="none"/>
                      <w:vertAlign w:val="baseline"/>
                      <w:lang w:val="en-US" w:eastAsia="zh-CN"/>
                    </w:rPr>
                    <w:t>m高排气筒</w:t>
                  </w:r>
                </w:p>
              </w:tc>
              <w:tc>
                <w:tcPr>
                  <w:tcW w:w="65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99.7</w:t>
                  </w:r>
                </w:p>
              </w:tc>
              <w:tc>
                <w:tcPr>
                  <w:tcW w:w="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物料衡算法</w:t>
                  </w:r>
                </w:p>
              </w:tc>
              <w:tc>
                <w:tcPr>
                  <w:tcW w:w="861"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330</w:t>
                  </w:r>
                  <w:r>
                    <w:rPr>
                      <w:rFonts w:hint="eastAsia"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0</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17.</w:t>
                  </w:r>
                  <w:r>
                    <w:rPr>
                      <w:rFonts w:hint="eastAsia" w:ascii="Times New Roman" w:cs="Times New Roman"/>
                      <w:color w:val="000000" w:themeColor="text1"/>
                      <w:spacing w:val="0"/>
                      <w:position w:val="0"/>
                      <w:sz w:val="21"/>
                      <w:szCs w:val="21"/>
                      <w:highlight w:val="none"/>
                      <w:vertAlign w:val="baseline"/>
                      <w:lang w:val="en-US" w:eastAsia="zh-CN"/>
                      <w14:textFill>
                        <w14:solidFill>
                          <w14:schemeClr w14:val="tx1"/>
                        </w14:solidFill>
                      </w14:textFill>
                    </w:rPr>
                    <w:t>5</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0.058</w:t>
                  </w:r>
                </w:p>
              </w:tc>
              <w:tc>
                <w:tcPr>
                  <w:tcW w:w="81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0.2</w:t>
                  </w:r>
                  <w:r>
                    <w:rPr>
                      <w:rFonts w:hint="eastAsia"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3</w:t>
                  </w:r>
                  <w:r>
                    <w:rPr>
                      <w:rFonts w:hint="eastAsia" w:ascii="Times New Roman" w:cs="Times New Roman"/>
                      <w:color w:val="000000" w:themeColor="text1"/>
                      <w:spacing w:val="0"/>
                      <w:position w:val="0"/>
                      <w:sz w:val="21"/>
                      <w:szCs w:val="21"/>
                      <w:highlight w:val="none"/>
                      <w:vertAlign w:val="baseline"/>
                      <w:lang w:val="en-US" w:eastAsia="zh-CN"/>
                      <w14:textFill>
                        <w14:solidFill>
                          <w14:schemeClr w14:val="tx1"/>
                        </w14:solidFill>
                      </w14:textFill>
                    </w:rPr>
                    <w:t>5</w:t>
                  </w:r>
                </w:p>
              </w:tc>
              <w:tc>
                <w:tcPr>
                  <w:tcW w:w="661"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4080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二氧化硫</w:t>
                  </w:r>
                </w:p>
              </w:tc>
              <w:tc>
                <w:tcPr>
                  <w:tcW w:w="73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37"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65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0</w:t>
                  </w:r>
                </w:p>
              </w:tc>
              <w:tc>
                <w:tcPr>
                  <w:tcW w:w="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物料衡算法</w:t>
                  </w:r>
                </w:p>
              </w:tc>
              <w:tc>
                <w:tcPr>
                  <w:tcW w:w="8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21.</w:t>
                  </w:r>
                  <w:r>
                    <w:rPr>
                      <w:rFonts w:hint="eastAsia" w:ascii="Times New Roman" w:cs="Times New Roman"/>
                      <w:color w:val="000000" w:themeColor="text1"/>
                      <w:spacing w:val="0"/>
                      <w:position w:val="0"/>
                      <w:sz w:val="21"/>
                      <w:szCs w:val="21"/>
                      <w:highlight w:val="none"/>
                      <w:vertAlign w:val="baseline"/>
                      <w:lang w:val="en-US" w:eastAsia="zh-CN"/>
                      <w14:textFill>
                        <w14:solidFill>
                          <w14:schemeClr w14:val="tx1"/>
                        </w14:solidFill>
                      </w14:textFill>
                    </w:rPr>
                    <w:t>0</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0.0</w:t>
                  </w:r>
                  <w:r>
                    <w:rPr>
                      <w:rFonts w:hint="eastAsia"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7</w:t>
                  </w:r>
                </w:p>
              </w:tc>
              <w:tc>
                <w:tcPr>
                  <w:tcW w:w="81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0.2</w:t>
                  </w:r>
                  <w:r>
                    <w:rPr>
                      <w:rFonts w:hint="eastAsia"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83</w:t>
                  </w:r>
                </w:p>
              </w:tc>
              <w:tc>
                <w:tcPr>
                  <w:tcW w:w="6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氮氧化物</w:t>
                  </w:r>
                </w:p>
              </w:tc>
              <w:tc>
                <w:tcPr>
                  <w:tcW w:w="73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37"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65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0"/>
                      <w:position w:val="0"/>
                      <w:sz w:val="21"/>
                      <w:szCs w:val="21"/>
                      <w:highlight w:val="none"/>
                      <w:vertAlign w:val="baseline"/>
                      <w:lang w:val="en-US" w:eastAsia="zh-CN"/>
                    </w:rPr>
                    <w:t>30</w:t>
                  </w:r>
                </w:p>
              </w:tc>
              <w:tc>
                <w:tcPr>
                  <w:tcW w:w="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产污系数法</w:t>
                  </w:r>
                </w:p>
              </w:tc>
              <w:tc>
                <w:tcPr>
                  <w:tcW w:w="8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99.</w:t>
                  </w:r>
                  <w:r>
                    <w:rPr>
                      <w:rFonts w:hint="eastAsia" w:ascii="Times New Roman" w:cs="Times New Roman"/>
                      <w:color w:val="000000" w:themeColor="text1"/>
                      <w:spacing w:val="0"/>
                      <w:position w:val="0"/>
                      <w:sz w:val="21"/>
                      <w:szCs w:val="21"/>
                      <w:highlight w:val="none"/>
                      <w:vertAlign w:val="baseline"/>
                      <w:lang w:val="en-US" w:eastAsia="zh-CN"/>
                      <w14:textFill>
                        <w14:solidFill>
                          <w14:schemeClr w14:val="tx1"/>
                        </w14:solidFill>
                      </w14:textFill>
                    </w:rPr>
                    <w:t>2</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0.3</w:t>
                  </w:r>
                  <w:r>
                    <w:rPr>
                      <w:rFonts w:hint="eastAsia"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3</w:t>
                  </w:r>
                </w:p>
              </w:tc>
              <w:tc>
                <w:tcPr>
                  <w:tcW w:w="81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1.</w:t>
                  </w:r>
                  <w:r>
                    <w:rPr>
                      <w:rFonts w:hint="eastAsia"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34</w:t>
                  </w:r>
                </w:p>
              </w:tc>
              <w:tc>
                <w:tcPr>
                  <w:tcW w:w="6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烟气黑度</w:t>
                  </w:r>
                </w:p>
              </w:tc>
              <w:tc>
                <w:tcPr>
                  <w:tcW w:w="73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37"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p>
              </w:tc>
              <w:tc>
                <w:tcPr>
                  <w:tcW w:w="65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auto"/>
                      <w:spacing w:val="0"/>
                      <w:position w:val="0"/>
                      <w:sz w:val="21"/>
                      <w:szCs w:val="21"/>
                      <w:highlight w:val="none"/>
                      <w:vertAlign w:val="baseline"/>
                      <w:lang w:val="en-US" w:eastAsia="zh-CN"/>
                    </w:rPr>
                  </w:pPr>
                  <w:r>
                    <w:rPr>
                      <w:rFonts w:hint="default" w:ascii="Times New Roman" w:hAnsi="Times New Roman" w:eastAsia="宋体" w:cs="Times New Roman"/>
                      <w:color w:val="auto"/>
                      <w:spacing w:val="-11"/>
                      <w:sz w:val="21"/>
                      <w:szCs w:val="21"/>
                      <w:lang w:val="en-US" w:eastAsia="zh-CN"/>
                    </w:rPr>
                    <w:t>--</w:t>
                  </w:r>
                </w:p>
              </w:tc>
              <w:tc>
                <w:tcPr>
                  <w:tcW w:w="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t>--</w:t>
                  </w:r>
                </w:p>
              </w:tc>
              <w:tc>
                <w:tcPr>
                  <w:tcW w:w="8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&lt;1</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t>--</w:t>
                  </w:r>
                </w:p>
              </w:tc>
              <w:tc>
                <w:tcPr>
                  <w:tcW w:w="81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t>--</w:t>
                  </w:r>
                </w:p>
              </w:tc>
              <w:tc>
                <w:tcPr>
                  <w:tcW w:w="6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7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t>汞及其化合物</w:t>
                  </w:r>
                </w:p>
              </w:tc>
              <w:tc>
                <w:tcPr>
                  <w:tcW w:w="735"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t>--</w:t>
                  </w:r>
                </w:p>
              </w:tc>
              <w:tc>
                <w:tcPr>
                  <w:tcW w:w="65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t>--</w:t>
                  </w:r>
                </w:p>
              </w:tc>
              <w:tc>
                <w:tcPr>
                  <w:tcW w:w="69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t>--</w:t>
                  </w:r>
                </w:p>
              </w:tc>
              <w:tc>
                <w:tcPr>
                  <w:tcW w:w="8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t>--</w:t>
                  </w:r>
                </w:p>
              </w:tc>
              <w:tc>
                <w:tcPr>
                  <w:tcW w:w="73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t>--</w:t>
                  </w:r>
                </w:p>
              </w:tc>
              <w:tc>
                <w:tcPr>
                  <w:tcW w:w="81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11"/>
                      <w:sz w:val="21"/>
                      <w:szCs w:val="21"/>
                      <w:lang w:val="en-US" w:eastAsia="zh-CN"/>
                      <w14:textFill>
                        <w14:solidFill>
                          <w14:schemeClr w14:val="tx1"/>
                        </w14:solidFill>
                      </w14:textFill>
                    </w:rPr>
                    <w:t>--</w:t>
                  </w:r>
                </w:p>
              </w:tc>
              <w:tc>
                <w:tcPr>
                  <w:tcW w:w="661"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28" w:right="-28"/>
                    <w:jc w:val="center"/>
                    <w:textAlignment w:val="auto"/>
                    <w:rPr>
                      <w:rFonts w:hint="default" w:ascii="Times New Roman" w:hAnsi="Times New Roman" w:eastAsia="宋体" w:cs="Times New Roman"/>
                      <w:color w:val="000000" w:themeColor="text1"/>
                      <w:spacing w:val="0"/>
                      <w:position w:val="0"/>
                      <w:sz w:val="21"/>
                      <w:szCs w:val="21"/>
                      <w:highlight w:val="none"/>
                      <w:vertAlign w:val="baseline"/>
                      <w:lang w:val="en-US" w:eastAsia="zh-CN"/>
                      <w14:textFill>
                        <w14:solidFill>
                          <w14:schemeClr w14:val="tx1"/>
                        </w14:solidFill>
                      </w14:textFill>
                    </w:rPr>
                  </w:pPr>
                </w:p>
              </w:tc>
            </w:tr>
          </w:tbl>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000000" w:themeColor="text1"/>
                <w:spacing w:val="0"/>
                <w:position w:val="0"/>
                <w:sz w:val="24"/>
                <w:szCs w:val="24"/>
                <w:highlight w:val="none"/>
                <w14:textFill>
                  <w14:solidFill>
                    <w14:schemeClr w14:val="tx1"/>
                  </w14:solidFill>
                </w14:textFill>
              </w:rPr>
              <w:t>钻井结束后生物质锅炉随井队搬迁，从影响范围和程度来看，生物质锅炉对周围大气环境的影响是有限的</w:t>
            </w:r>
            <w:r>
              <w:rPr>
                <w:rFonts w:hint="eastAsia" w:ascii="Times New Roman" w:eastAsia="宋体" w:cs="Times New Roman"/>
                <w:color w:val="000000" w:themeColor="text1"/>
                <w:spacing w:val="0"/>
                <w:position w:val="0"/>
                <w:sz w:val="24"/>
                <w:szCs w:val="24"/>
                <w:highlight w:val="none"/>
                <w:lang w:eastAsia="zh-CN"/>
                <w14:textFill>
                  <w14:solidFill>
                    <w14:schemeClr w14:val="tx1"/>
                  </w14:solidFill>
                </w14:textFill>
              </w:rPr>
              <w:t>。</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4）井场、生活区、道路施工废气进行土方施工、物料运输、场地建设，该过程中将产生一定的施工扬尘。主要来自施工和运输产生的粉尘、车辆运输二次扬尘以及地面物料堆放时的遇风扬尘，施工扬尘的产生及影响程度跟施工季节、施工管理和风力等气候因素有一定关系，如遇干旱大风天气扬尘影响则较为严重。</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（5）机械设备和车辆尾气</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在工程施工中使用多种燃油机动设备和运输车辆，会产生机械设备和车辆内燃机燃料废气，其污染物主要有颗粒物、SO</w:t>
            </w:r>
            <w:r>
              <w:rPr>
                <w:rFonts w:hint="default" w:ascii="Times New Roman" w:hAnsi="Times New Roman" w:eastAsia="宋体" w:cs="Times New Roman"/>
                <w:color w:val="auto"/>
                <w:kern w:val="2"/>
                <w:sz w:val="24"/>
                <w:szCs w:val="24"/>
                <w:highlight w:val="none"/>
                <w:vertAlign w:val="subscript"/>
                <w:lang w:val="en-US" w:eastAsia="zh-CN"/>
              </w:rPr>
              <w:t>2</w:t>
            </w:r>
            <w:r>
              <w:rPr>
                <w:rFonts w:hint="default" w:ascii="Times New Roman" w:hAnsi="Times New Roman" w:eastAsia="宋体" w:cs="Times New Roman"/>
                <w:color w:val="auto"/>
                <w:kern w:val="2"/>
                <w:sz w:val="24"/>
                <w:szCs w:val="24"/>
                <w:highlight w:val="none"/>
                <w:lang w:val="en-US" w:eastAsia="zh-CN"/>
              </w:rPr>
              <w:t>、NO</w:t>
            </w:r>
            <w:r>
              <w:rPr>
                <w:rFonts w:hint="default" w:ascii="Times New Roman" w:hAnsi="Times New Roman" w:eastAsia="宋体" w:cs="Times New Roman"/>
                <w:color w:val="auto"/>
                <w:kern w:val="2"/>
                <w:sz w:val="24"/>
                <w:szCs w:val="24"/>
                <w:highlight w:val="none"/>
                <w:vertAlign w:val="subscript"/>
                <w:lang w:val="en-US" w:eastAsia="zh-CN"/>
              </w:rPr>
              <w:t>x</w:t>
            </w:r>
            <w:r>
              <w:rPr>
                <w:rFonts w:hint="default" w:ascii="Times New Roman" w:hAnsi="Times New Roman" w:eastAsia="宋体" w:cs="Times New Roman"/>
                <w:color w:val="auto"/>
                <w:kern w:val="2"/>
                <w:sz w:val="24"/>
                <w:szCs w:val="24"/>
                <w:highlight w:val="none"/>
                <w:lang w:val="en-US" w:eastAsia="zh-CN"/>
              </w:rPr>
              <w:t>、烃类等。</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（6）环境影响分析</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由现场踏勘可知，工程施工活动范围周边无环境敏感点，且区域开阔，废气污染物气相扩散条件好。施工前期准备过程中应检修设备和车辆，保证设备正常稳定运行，燃用合格的燃料，设备和车辆不超负荷运行，从而从源头减少设备和车辆废气对环境的影响。</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因此，施工扬尘、测试废气、锅炉烟气、机械设备车辆尾气等不会对区域环境空气产生明显影响，且这种影响是局部的、短期的，工程建设完成之后影响就会消失。</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zh-CN" w:eastAsia="zh-CN"/>
              </w:rPr>
              <w:t>3、地表水环境影响分析</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工程钻井过程中产生的废水有钻井废水、酸化压裂返排液、锅炉排污水和生活污水。</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（1）钻井废水</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根据《排放源统计调查产排污核算方法和系数手册》中石油和天然气开采专业及辅助性活动行业系数手册钻井作业废水（≥4km）产污系数52.64t/100m。项目井深为</w:t>
            </w:r>
            <w:r>
              <w:rPr>
                <w:rFonts w:hint="eastAsia" w:ascii="Times New Roman" w:eastAsia="宋体" w:cs="Times New Roman"/>
                <w:color w:val="auto"/>
                <w:kern w:val="2"/>
                <w:sz w:val="24"/>
                <w:szCs w:val="24"/>
                <w:highlight w:val="none"/>
                <w:lang w:val="en-US" w:eastAsia="zh-CN"/>
              </w:rPr>
              <w:t>9070</w:t>
            </w:r>
            <w:r>
              <w:rPr>
                <w:rFonts w:hint="default" w:ascii="Times New Roman" w:hAnsi="Times New Roman" w:eastAsia="宋体" w:cs="Times New Roman"/>
                <w:color w:val="auto"/>
                <w:kern w:val="2"/>
                <w:sz w:val="24"/>
                <w:szCs w:val="24"/>
                <w:highlight w:val="none"/>
                <w:lang w:val="en-US" w:eastAsia="zh-CN"/>
              </w:rPr>
              <w:t>m，则钻井废水</w:t>
            </w:r>
            <w:r>
              <w:rPr>
                <w:rFonts w:hint="default" w:ascii="Times New Roman" w:hAnsi="Times New Roman" w:eastAsia="宋体" w:cs="Times New Roman"/>
                <w:color w:val="auto"/>
                <w:sz w:val="24"/>
                <w:szCs w:val="21"/>
                <w:highlight w:val="none"/>
              </w:rPr>
              <w:t>产生量为</w:t>
            </w:r>
            <w:r>
              <w:rPr>
                <w:rFonts w:hint="eastAsia" w:ascii="Times New Roman" w:eastAsia="宋体" w:cs="Times New Roman"/>
                <w:bCs/>
                <w:color w:val="auto"/>
                <w:sz w:val="24"/>
                <w:highlight w:val="none"/>
                <w:lang w:val="en-US" w:eastAsia="zh-CN"/>
              </w:rPr>
              <w:t>4774</w:t>
            </w:r>
            <w:r>
              <w:rPr>
                <w:rFonts w:hint="default" w:ascii="Times New Roman" w:hAnsi="Times New Roman" w:eastAsia="宋体" w:cs="Times New Roman"/>
                <w:color w:val="auto"/>
                <w:sz w:val="24"/>
                <w:szCs w:val="21"/>
                <w:highlight w:val="none"/>
              </w:rPr>
              <w:t>t</w:t>
            </w:r>
            <w:r>
              <w:rPr>
                <w:rFonts w:hint="default" w:ascii="Times New Roman" w:hAnsi="Times New Roman" w:eastAsia="宋体" w:cs="Times New Roman"/>
                <w:color w:val="auto"/>
                <w:sz w:val="24"/>
                <w:szCs w:val="21"/>
                <w:highlight w:val="none"/>
                <w:lang w:val="en-US" w:eastAsia="zh-CN"/>
              </w:rPr>
              <w:t>。</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钻井废水与钻井泥浆、岩屑一同进入不落地系统处理，处理后的液相全部回用于钻井液配制，不外排。</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（2）酸化压裂返排液</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sz w:val="24"/>
                <w:szCs w:val="21"/>
                <w:highlight w:val="none"/>
                <w:lang w:val="en-US" w:eastAsia="zh-CN"/>
              </w:rPr>
              <w:t>本工程酸化压裂液不在现场配制，储层改造时需进行酸化压裂作业时，可采用罐车将酸化压裂液直接运至作业区域。</w:t>
            </w:r>
            <w:r>
              <w:rPr>
                <w:rFonts w:hint="default" w:ascii="Times New Roman" w:hAnsi="Times New Roman" w:eastAsia="宋体" w:cs="Times New Roman"/>
                <w:color w:val="auto"/>
                <w:kern w:val="2"/>
                <w:sz w:val="24"/>
                <w:szCs w:val="24"/>
                <w:highlight w:val="none"/>
                <w:lang w:val="en-US" w:eastAsia="zh-CN" w:bidi="ar-SA"/>
              </w:rPr>
              <w:t>根据类比调查，如遇含油气层则少部分（约20%）酸化压裂返排液从井口返排，如未遇含油气地层，则大部分（70%～80%）酸化压裂返排液从井口返排。根据设计单位提供的资料</w:t>
            </w:r>
            <w:r>
              <w:rPr>
                <w:rFonts w:hint="default" w:ascii="Times New Roman" w:hAnsi="Times New Roman" w:eastAsia="宋体" w:cs="Times New Roman"/>
                <w:color w:val="auto"/>
                <w:sz w:val="24"/>
                <w:szCs w:val="21"/>
                <w:highlight w:val="none"/>
                <w:lang w:val="en-US" w:eastAsia="zh-CN"/>
              </w:rPr>
              <w:t>，储层改造期间酸化压裂废水的最大产生量约为</w:t>
            </w:r>
            <w:r>
              <w:rPr>
                <w:rFonts w:hint="eastAsia" w:ascii="Times New Roman" w:eastAsia="宋体" w:cs="Times New Roman"/>
                <w:color w:val="auto"/>
                <w:sz w:val="24"/>
                <w:szCs w:val="21"/>
                <w:highlight w:val="none"/>
                <w:lang w:val="en-US" w:eastAsia="zh-CN"/>
              </w:rPr>
              <w:t>1</w:t>
            </w:r>
            <w:r>
              <w:rPr>
                <w:rFonts w:hint="default" w:ascii="Times New Roman" w:hAnsi="Times New Roman" w:eastAsia="宋体" w:cs="Times New Roman"/>
                <w:color w:val="auto"/>
                <w:sz w:val="24"/>
                <w:szCs w:val="21"/>
                <w:highlight w:val="none"/>
                <w:lang w:val="en-US" w:eastAsia="zh-CN"/>
              </w:rPr>
              <w:t>000m</w:t>
            </w:r>
            <w:r>
              <w:rPr>
                <w:rFonts w:hint="default" w:ascii="Times New Roman" w:hAnsi="Times New Roman" w:eastAsia="宋体" w:cs="Times New Roman"/>
                <w:color w:val="auto"/>
                <w:sz w:val="24"/>
                <w:szCs w:val="21"/>
                <w:highlight w:val="none"/>
                <w:vertAlign w:val="superscript"/>
                <w:lang w:val="en-US" w:eastAsia="zh-CN"/>
              </w:rPr>
              <w:t>3</w:t>
            </w:r>
            <w:r>
              <w:rPr>
                <w:rFonts w:hint="default" w:ascii="Times New Roman" w:hAnsi="Times New Roman" w:eastAsia="宋体" w:cs="Times New Roman"/>
                <w:color w:val="auto"/>
                <w:kern w:val="2"/>
                <w:sz w:val="24"/>
                <w:szCs w:val="24"/>
                <w:highlight w:val="none"/>
                <w:lang w:val="en-US" w:eastAsia="zh-CN"/>
              </w:rPr>
              <w:t>，在井场加碱中和后，暂存于废液收集罐，运至富源7环保处理站处置。</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（3）锅炉排污水</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拟建工程锅炉排污水水量为0.3m</w:t>
            </w:r>
            <w:r>
              <w:rPr>
                <w:rFonts w:hint="default" w:ascii="Times New Roman" w:hAnsi="Times New Roman" w:eastAsia="宋体" w:cs="Times New Roman"/>
                <w:color w:val="auto"/>
                <w:kern w:val="2"/>
                <w:sz w:val="24"/>
                <w:szCs w:val="24"/>
                <w:highlight w:val="none"/>
                <w:vertAlign w:val="superscript"/>
                <w:lang w:val="en-US" w:eastAsia="zh-CN"/>
              </w:rPr>
              <w:t>3</w:t>
            </w:r>
            <w:r>
              <w:rPr>
                <w:rFonts w:hint="default" w:ascii="Times New Roman" w:hAnsi="Times New Roman" w:eastAsia="宋体" w:cs="Times New Roman"/>
                <w:color w:val="auto"/>
                <w:kern w:val="2"/>
                <w:sz w:val="24"/>
                <w:szCs w:val="24"/>
                <w:highlight w:val="none"/>
                <w:lang w:val="en-US" w:eastAsia="zh-CN"/>
              </w:rPr>
              <w:t>/d，水质简单，污染物主要为SS、COD及含盐量，用于井区周边洒水抑尘。</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（4）生活污水</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spacing w:val="0"/>
                <w:kern w:val="2"/>
                <w:sz w:val="24"/>
                <w:szCs w:val="24"/>
              </w:rPr>
              <w:t>施工期常驻井场人员按60人计，施工总天数</w:t>
            </w:r>
            <w:r>
              <w:rPr>
                <w:rFonts w:hint="eastAsia" w:ascii="Times New Roman" w:eastAsia="宋体" w:cs="Times New Roman"/>
                <w:color w:val="auto"/>
                <w:spacing w:val="0"/>
                <w:kern w:val="2"/>
                <w:sz w:val="24"/>
                <w:szCs w:val="24"/>
                <w:lang w:eastAsia="zh-CN"/>
              </w:rPr>
              <w:t>190</w:t>
            </w:r>
            <w:r>
              <w:rPr>
                <w:rFonts w:hint="default" w:ascii="Times New Roman" w:hAnsi="Times New Roman" w:eastAsia="宋体" w:cs="Times New Roman"/>
                <w:color w:val="auto"/>
                <w:spacing w:val="0"/>
                <w:kern w:val="2"/>
                <w:sz w:val="24"/>
                <w:szCs w:val="24"/>
              </w:rPr>
              <w:t>d，按生活用水量100L/d·人计，生活用水量约</w:t>
            </w:r>
            <w:r>
              <w:rPr>
                <w:rFonts w:hint="eastAsia" w:ascii="Times New Roman" w:eastAsia="宋体" w:cs="Times New Roman"/>
                <w:color w:val="auto"/>
                <w:spacing w:val="0"/>
                <w:kern w:val="2"/>
                <w:sz w:val="24"/>
                <w:szCs w:val="24"/>
                <w:lang w:eastAsia="zh-CN"/>
              </w:rPr>
              <w:t>1140</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lang w:eastAsia="zh-CN"/>
              </w:rPr>
              <w:t>（</w:t>
            </w:r>
            <w:r>
              <w:rPr>
                <w:rFonts w:hint="default" w:ascii="Times New Roman" w:hAnsi="Times New Roman" w:eastAsia="宋体" w:cs="Times New Roman"/>
                <w:color w:val="auto"/>
                <w:spacing w:val="0"/>
                <w:kern w:val="2"/>
                <w:sz w:val="24"/>
                <w:szCs w:val="24"/>
              </w:rPr>
              <w:t>6m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/d</w:t>
            </w:r>
            <w:r>
              <w:rPr>
                <w:rFonts w:hint="default" w:ascii="Times New Roman" w:hAnsi="Times New Roman" w:eastAsia="宋体" w:cs="Times New Roman"/>
                <w:color w:val="auto"/>
                <w:spacing w:val="0"/>
                <w:kern w:val="2"/>
                <w:sz w:val="24"/>
                <w:szCs w:val="24"/>
                <w:lang w:eastAsia="zh-CN"/>
              </w:rPr>
              <w:t>）</w:t>
            </w:r>
            <w:r>
              <w:rPr>
                <w:rFonts w:hint="default" w:ascii="Times New Roman" w:hAnsi="Times New Roman" w:eastAsia="宋体" w:cs="Times New Roman"/>
                <w:color w:val="auto"/>
                <w:spacing w:val="0"/>
                <w:kern w:val="2"/>
                <w:sz w:val="24"/>
                <w:szCs w:val="24"/>
              </w:rPr>
              <w:t>。生活污水产生量按用水量80%计，生活污水产生量为</w:t>
            </w:r>
            <w:r>
              <w:rPr>
                <w:rFonts w:hint="eastAsia" w:ascii="Times New Roman" w:eastAsia="宋体" w:cs="Times New Roman"/>
                <w:color w:val="auto"/>
                <w:spacing w:val="0"/>
                <w:kern w:val="2"/>
                <w:sz w:val="24"/>
                <w:szCs w:val="24"/>
                <w:lang w:eastAsia="zh-CN"/>
              </w:rPr>
              <w:t>912</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eastAsia" w:ascii="Times New Roman" w:eastAsia="宋体" w:cs="Times New Roman"/>
                <w:color w:val="auto"/>
                <w:spacing w:val="0"/>
                <w:kern w:val="2"/>
                <w:sz w:val="24"/>
                <w:szCs w:val="24"/>
                <w:lang w:eastAsia="zh-CN"/>
              </w:rPr>
              <w:t>（</w:t>
            </w:r>
            <w:r>
              <w:rPr>
                <w:rFonts w:hint="default" w:ascii="Times New Roman" w:hAnsi="Times New Roman" w:eastAsia="宋体" w:cs="Times New Roman"/>
                <w:color w:val="auto"/>
                <w:spacing w:val="0"/>
                <w:kern w:val="2"/>
                <w:sz w:val="24"/>
                <w:szCs w:val="24"/>
              </w:rPr>
              <w:t>4.8m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/d</w:t>
            </w:r>
            <w:r>
              <w:rPr>
                <w:rFonts w:hint="default" w:ascii="Times New Roman" w:hAnsi="Times New Roman" w:eastAsia="宋体" w:cs="Times New Roman"/>
                <w:color w:val="auto"/>
                <w:spacing w:val="0"/>
                <w:kern w:val="2"/>
                <w:sz w:val="24"/>
                <w:szCs w:val="24"/>
                <w:lang w:eastAsia="zh-CN"/>
              </w:rPr>
              <w:t>）</w:t>
            </w:r>
            <w:r>
              <w:rPr>
                <w:rFonts w:hint="default" w:ascii="Times New Roman" w:hAnsi="Times New Roman" w:eastAsia="宋体" w:cs="Times New Roman"/>
                <w:color w:val="auto"/>
                <w:spacing w:val="0"/>
                <w:kern w:val="2"/>
                <w:sz w:val="24"/>
                <w:szCs w:val="24"/>
              </w:rPr>
              <w:t>，经井场撬装式污水处理装置处理后，水质达到《农村生活污水处理排放标准》（DB65 4275-2019）表2的B级标准，用于荒漠生态恢复。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zh-CN" w:eastAsia="zh-CN"/>
              </w:rPr>
              <w:t>4、地下水环境影响分析</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本项目钻井目的层穿过地下水含水层，且钻井过程中使用泥浆、钻井液等特点，为保护地下水，本评价对地下水环境影响分析并提出减缓措施。</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工程施工钻井过程中泥浆循环使用，可避免对地下水水质影响，施工过程采用下套管注水泥固井完井方式进行了水泥固井，同时严格要求套管下入深度，可有效控制钻井液在地层中的漏失，减轻对地层的影响。工程在施工过程中产生废水不与当地水体发生水力联系，同时对产生的废水进行严格管理并采取相应地下水环境保护措施与对策。</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非正常状况下如发生井喷等事故时，放喷池防渗层出现裂缝，暂存岩屑和暂存井喷液中污染物对地下水环境造成污染。本项目采取“钢板池”阻隔，通过类比分析可知非正常状况下可见污染物的污染范围可以控制井场范围内，柴油罐采用定期巡检及下设托盘可防止泄漏污染土壤及地下水。</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（1）落地油对地下水环境的影响</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钻井过程中产生的落地原油及时回收，不会对地下水环境产生不良影响。根据油田环境保护的要求，对落地油必须进行100%的回收。本工程地处干旱少雨地区，地表干燥，落地原油主要污染表层土壤。由于土壤对石油分子的吸附作用，下渗对地下水影响可接受。</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（2）井喷事故对地下水的影响</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井喷事故一旦发生，大量的油气喷出井口，散落于井场周围，除造成重大经济损失外，还会造成严重的环境污染。根据测算，井喷发生后，一般需要1～2天才能得以控制。井喷范围内土壤表层可见有蜡状的喷散物，主要影响形式为渗透污染，通过包气带渗透到潜水含水层而污染地下水的。包气带厚度愈薄，透水性愈好，就愈造成潜水污染，反之，包气带愈厚、透水性愈差，则其隔污能力就愈强，则潜水污染就愈轻。泄漏产生的污染物以点源形式通过土壤表层下渗进入地下含水层。因而泄漏事故对地下水环境的影响程度主要取决于原油的物理性质、泄漏量、泄漏方式、多孔介质特征及地下水位埋深等因素。污染物进入地下后，污染物向地下水系统的迁移途径为：入渗污染物→表土层→包气带→含水层→迁移。</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由于各种土壤的不同土层对石油类均有吸附能力，石油类污染物主要集中在表层，随着时间的推移，包气带土壤对石油类物质的吸附将趋向饱和，吸附能力将逐渐降低。一般来讲，土壤表层0～20cm的滞留石油类物质的含量至少是下层（1m以下）石油类物质含量的35倍；且石油类多在地表1m以内积聚，1m以下土壤中含油量甚少。由于泄漏事故为短期大量排放，污染物的泄漏以地表扩展为主，一般能及时发现，并可很快加以控制，石油烃多属疏水性有机污染物，难溶于水而容易被土壤有机质吸附，当土壤中有机质含量较高时，石油烃等污染物在其中迁移的阻滞作用较强，迁移及衰减速度较慢，其影响范围不大，对地下水环境不易产生不利影响。且一旦发生泄漏，建设单位及当地环境保护部门会组织专门力量进行污染物的清除工作，将在最短的时间内清除地面及地下的石油类物质，因而，石油类污染物进入地下潜水的可能性较小。若及时采取有效措施治理污染，井喷不会造成地下水污染。</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（3）油水窜层对地下水的影响分析</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钻井完井后油水窜层污染（包括生产井的窜层）的主要原因是：固井质量差；工艺措施不合理或未实施。因此，为预防污染的发生和污染源的形成，表层套管必须严格封闭含水层，固井质量应符合环保要求。</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（4）井漏事故的泥浆对地下水的影响</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井漏事故对地下水的污染是钻井泥浆漏失于地下水含水层中，由于其含Ca</w:t>
            </w:r>
            <w:r>
              <w:rPr>
                <w:rFonts w:hint="default" w:ascii="Times New Roman" w:hAnsi="Times New Roman" w:eastAsia="宋体" w:cs="Times New Roman"/>
                <w:color w:val="auto"/>
                <w:kern w:val="2"/>
                <w:sz w:val="24"/>
                <w:szCs w:val="24"/>
                <w:highlight w:val="none"/>
                <w:vertAlign w:val="superscript"/>
                <w:lang w:val="en-US" w:eastAsia="zh-CN"/>
              </w:rPr>
              <w:t>2+</w:t>
            </w:r>
            <w:r>
              <w:rPr>
                <w:rFonts w:hint="default" w:ascii="Times New Roman" w:hAnsi="Times New Roman" w:eastAsia="宋体" w:cs="Times New Roman"/>
                <w:color w:val="auto"/>
                <w:kern w:val="2"/>
                <w:sz w:val="24"/>
                <w:szCs w:val="24"/>
                <w:highlight w:val="none"/>
                <w:lang w:val="en-US" w:eastAsia="zh-CN"/>
              </w:rPr>
              <w:t>、Na</w:t>
            </w:r>
            <w:r>
              <w:rPr>
                <w:rFonts w:hint="default" w:ascii="Times New Roman" w:hAnsi="Times New Roman" w:eastAsia="宋体" w:cs="Times New Roman"/>
                <w:color w:val="auto"/>
                <w:kern w:val="2"/>
                <w:sz w:val="24"/>
                <w:szCs w:val="24"/>
                <w:highlight w:val="none"/>
                <w:vertAlign w:val="superscript"/>
                <w:lang w:val="en-US" w:eastAsia="zh-CN"/>
              </w:rPr>
              <w:t>+</w:t>
            </w:r>
            <w:r>
              <w:rPr>
                <w:rFonts w:hint="default" w:ascii="Times New Roman" w:hAnsi="Times New Roman" w:eastAsia="宋体" w:cs="Times New Roman"/>
                <w:color w:val="auto"/>
                <w:kern w:val="2"/>
                <w:sz w:val="24"/>
                <w:szCs w:val="24"/>
                <w:highlight w:val="none"/>
                <w:lang w:val="en-US" w:eastAsia="zh-CN"/>
              </w:rPr>
              <w:t>等离子，盐分较多，造成地下含水层水质污染。因此，推广使用清洁无害的泥浆，严格控制使用有毒有害泥浆及化学处理剂，同时严格要求套管下入深度、选用合理的钻井液密度等措施，可以有效控制钻井液在含水层中的漏失，减轻对地下水环境的影响。</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正常情况下，污染源从源头上可以得到控制，对地下水环境产生的影响可接受；非正常情况下，如发生井喷等事故时，启动相关应急预案，及时采取井控措施，首先利用放喷池等设施作为一级污染防控措施，避免固废及废水直接排入外环境，渗入地下污染地下水。</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zh-CN" w:eastAsia="zh-CN"/>
              </w:rPr>
              <w:t>5、施工噪声影响分析</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b w:val="0"/>
                <w:bCs/>
                <w:color w:val="auto"/>
                <w:sz w:val="24"/>
                <w:szCs w:val="20"/>
                <w:highlight w:val="none"/>
              </w:rPr>
              <w:t>（1）噪声源</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钻井噪声主要为柴油发电机噪声、钻机噪声、泥浆泵噪声、压裂车噪声、锅炉风机噪声等。对环境影响大的主要为钻井过程中柴油发电机噪声、钻机噪声、泥浆泵噪声、压裂车噪声、泥浆不落地系统噪声、固液分离器噪声等连续性噪声。</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参照《环境噪声与振动控制工程技术导则》（HJ 2034-2013）中表A.2，本项目拟采用的各类施工设备产噪值见</w:t>
            </w:r>
            <w:r>
              <w:rPr>
                <w:rFonts w:hint="eastAsia" w:ascii="Times New Roman" w:eastAsia="宋体" w:cs="Times New Roman"/>
                <w:color w:val="auto"/>
                <w:kern w:val="2"/>
                <w:sz w:val="24"/>
                <w:szCs w:val="24"/>
                <w:highlight w:val="none"/>
                <w:lang w:val="en-US" w:eastAsia="zh-CN"/>
              </w:rPr>
              <w:t>下表</w:t>
            </w:r>
            <w:r>
              <w:rPr>
                <w:rFonts w:hint="default" w:ascii="Times New Roman" w:hAnsi="Times New Roman" w:eastAsia="宋体" w:cs="Times New Roman"/>
                <w:color w:val="auto"/>
                <w:kern w:val="2"/>
                <w:sz w:val="24"/>
                <w:szCs w:val="24"/>
                <w:highlight w:val="none"/>
                <w:lang w:val="en-US" w:eastAsia="zh-CN"/>
              </w:rPr>
              <w:t>。</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lang w:val="en-US" w:eastAsia="zh-CN"/>
              </w:rPr>
              <w:t xml:space="preserve">    钻井期噪声源强调查清单（室外声源）   单位：dB</w:t>
            </w:r>
            <w:r>
              <w:rPr>
                <w:rFonts w:hint="eastAsia" w:ascii="Times New Roman" w:cs="Times New Roman"/>
                <w:b/>
                <w:bCs/>
                <w:color w:val="auto"/>
                <w:sz w:val="24"/>
                <w:highlight w:val="none"/>
                <w:lang w:val="en-US" w:eastAsia="zh-CN"/>
              </w:rPr>
              <w:t>（</w:t>
            </w:r>
            <w:r>
              <w:rPr>
                <w:rFonts w:hint="default" w:ascii="Times New Roman" w:hAnsi="Times New Roman" w:eastAsia="宋体" w:cs="Times New Roman"/>
                <w:b/>
                <w:bCs/>
                <w:color w:val="auto"/>
                <w:sz w:val="24"/>
                <w:highlight w:val="none"/>
                <w:lang w:val="en-US" w:eastAsia="zh-CN"/>
              </w:rPr>
              <w:t>A</w:t>
            </w:r>
            <w:r>
              <w:rPr>
                <w:rFonts w:hint="eastAsia" w:ascii="Times New Roman" w:cs="Times New Roman"/>
                <w:b/>
                <w:bCs/>
                <w:color w:val="auto"/>
                <w:sz w:val="24"/>
                <w:highlight w:val="none"/>
                <w:lang w:val="en-US" w:eastAsia="zh-CN"/>
              </w:rPr>
              <w:t>）</w:t>
            </w:r>
          </w:p>
          <w:tbl>
            <w:tblPr>
              <w:tblStyle w:val="32"/>
              <w:tblW w:w="491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50"/>
              <w:gridCol w:w="1121"/>
              <w:gridCol w:w="735"/>
              <w:gridCol w:w="653"/>
              <w:gridCol w:w="590"/>
              <w:gridCol w:w="543"/>
              <w:gridCol w:w="1385"/>
              <w:gridCol w:w="746"/>
              <w:gridCol w:w="1021"/>
              <w:gridCol w:w="71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5" w:hRule="atLeast"/>
                <w:jc w:val="center"/>
              </w:trPr>
              <w:tc>
                <w:tcPr>
                  <w:tcW w:w="282"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序号</w:t>
                  </w:r>
                </w:p>
              </w:tc>
              <w:tc>
                <w:tcPr>
                  <w:tcW w:w="703"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声源</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名称</w:t>
                  </w:r>
                </w:p>
              </w:tc>
              <w:tc>
                <w:tcPr>
                  <w:tcW w:w="461"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型号</w:t>
                  </w:r>
                </w:p>
              </w:tc>
              <w:tc>
                <w:tcPr>
                  <w:tcW w:w="1121" w:type="pct"/>
                  <w:gridSpan w:val="3"/>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空间相对位置/m</w:t>
                  </w:r>
                </w:p>
              </w:tc>
              <w:tc>
                <w:tcPr>
                  <w:tcW w:w="869"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声压级/距离〔dB</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A</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/m〕</w:t>
                  </w:r>
                </w:p>
              </w:tc>
              <w:tc>
                <w:tcPr>
                  <w:tcW w:w="468"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声源控制措施</w:t>
                  </w:r>
                </w:p>
              </w:tc>
              <w:tc>
                <w:tcPr>
                  <w:tcW w:w="641" w:type="pct"/>
                  <w:vMerge w:val="restart"/>
                  <w:shd w:val="clear" w:color="auto" w:fill="auto"/>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治理后声源源强dB</w:t>
                  </w:r>
                  <w:r>
                    <w:rPr>
                      <w:rFonts w:hint="eastAsia" w:ascii="Times New Roman" w:cs="Times New Roman"/>
                      <w:color w:val="auto"/>
                      <w:sz w:val="21"/>
                      <w:szCs w:val="21"/>
                      <w:lang w:eastAsia="zh-CN"/>
                    </w:rPr>
                    <w:t>（</w:t>
                  </w:r>
                  <w:r>
                    <w:rPr>
                      <w:rFonts w:hint="default" w:ascii="Times New Roman" w:hAnsi="Times New Roman" w:eastAsia="宋体" w:cs="Times New Roman"/>
                      <w:color w:val="auto"/>
                      <w:sz w:val="21"/>
                      <w:szCs w:val="21"/>
                    </w:rPr>
                    <w:t>A</w:t>
                  </w:r>
                  <w:r>
                    <w:rPr>
                      <w:rFonts w:hint="eastAsia" w:ascii="Times New Roman" w:cs="Times New Roman"/>
                      <w:color w:val="auto"/>
                      <w:sz w:val="21"/>
                      <w:szCs w:val="21"/>
                      <w:lang w:eastAsia="zh-CN"/>
                    </w:rPr>
                    <w:t>）</w:t>
                  </w:r>
                </w:p>
              </w:tc>
              <w:tc>
                <w:tcPr>
                  <w:tcW w:w="451" w:type="pct"/>
                  <w:vMerge w:val="restar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运行</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时段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703"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461"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X</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Y</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Z</w:t>
                  </w:r>
                </w:p>
              </w:tc>
              <w:tc>
                <w:tcPr>
                  <w:tcW w:w="869"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641"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451"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柴油发电机</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57</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80</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1.5</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102/5</w:t>
                  </w:r>
                </w:p>
              </w:tc>
              <w:tc>
                <w:tcPr>
                  <w:tcW w:w="468" w:type="pct"/>
                  <w:vMerge w:val="restart"/>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lang w:val="zh-CN"/>
                    </w:rPr>
                  </w:pPr>
                  <w:r>
                    <w:rPr>
                      <w:rFonts w:hint="default" w:ascii="Times New Roman" w:hAnsi="Times New Roman" w:eastAsia="宋体" w:cs="Times New Roman"/>
                      <w:color w:val="auto"/>
                      <w:spacing w:val="-10"/>
                      <w:sz w:val="21"/>
                      <w:szCs w:val="21"/>
                      <w:highlight w:val="none"/>
                      <w:lang w:val="zh-CN"/>
                    </w:rPr>
                    <w:t>基础</w:t>
                  </w:r>
                </w:p>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zh-CN" w:eastAsia="zh-CN" w:bidi="ar-SA"/>
                    </w:rPr>
                  </w:pPr>
                  <w:r>
                    <w:rPr>
                      <w:rFonts w:hint="default" w:ascii="Times New Roman" w:hAnsi="Times New Roman" w:eastAsia="宋体" w:cs="Times New Roman"/>
                      <w:color w:val="auto"/>
                      <w:spacing w:val="-10"/>
                      <w:sz w:val="21"/>
                      <w:szCs w:val="21"/>
                      <w:highlight w:val="none"/>
                      <w:lang w:val="zh-CN"/>
                    </w:rPr>
                    <w:t>减振</w:t>
                  </w: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92</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钻机</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eastAsia="zh-CN"/>
                    </w:rPr>
                  </w:pPr>
                  <w:r>
                    <w:rPr>
                      <w:rFonts w:hint="eastAsia" w:ascii="Times New Roman" w:cs="Times New Roman"/>
                      <w:bCs/>
                      <w:color w:val="auto"/>
                      <w:spacing w:val="-10"/>
                      <w:sz w:val="21"/>
                      <w:szCs w:val="21"/>
                      <w:highlight w:val="none"/>
                      <w:lang w:val="en-US" w:eastAsia="zh-CN"/>
                    </w:rPr>
                    <w:t>90D</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55</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64</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10</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110</w:t>
                  </w:r>
                  <w:r>
                    <w:rPr>
                      <w:rFonts w:hint="default" w:ascii="Times New Roman" w:hAnsi="Times New Roman" w:eastAsia="宋体" w:cs="Times New Roman"/>
                      <w:color w:val="auto"/>
                      <w:spacing w:val="-10"/>
                      <w:sz w:val="21"/>
                      <w:szCs w:val="21"/>
                      <w:highlight w:val="none"/>
                    </w:rPr>
                    <w:t>/5</w:t>
                  </w: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100</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3</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泥浆泵</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1600HP</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57</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56</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1.5</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105</w:t>
                  </w:r>
                  <w:r>
                    <w:rPr>
                      <w:rFonts w:hint="default" w:ascii="Times New Roman" w:hAnsi="Times New Roman" w:eastAsia="宋体" w:cs="Times New Roman"/>
                      <w:color w:val="auto"/>
                      <w:spacing w:val="-10"/>
                      <w:sz w:val="21"/>
                      <w:szCs w:val="21"/>
                      <w:highlight w:val="none"/>
                    </w:rPr>
                    <w:t>/5</w:t>
                  </w: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95</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4</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泥浆泵</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1600HP</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60</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56</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1.5</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105</w:t>
                  </w:r>
                  <w:r>
                    <w:rPr>
                      <w:rFonts w:hint="default" w:ascii="Times New Roman" w:hAnsi="Times New Roman" w:eastAsia="宋体" w:cs="Times New Roman"/>
                      <w:color w:val="auto"/>
                      <w:spacing w:val="-10"/>
                      <w:sz w:val="21"/>
                      <w:szCs w:val="21"/>
                      <w:highlight w:val="none"/>
                    </w:rPr>
                    <w:t>/5</w:t>
                  </w: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95</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泥浆泵</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1600HP</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63</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56</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1.5</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eastAsia" w:ascii="Times New Roman" w:cs="Times New Roman"/>
                      <w:color w:val="auto"/>
                      <w:spacing w:val="-10"/>
                      <w:sz w:val="21"/>
                      <w:szCs w:val="21"/>
                      <w:highlight w:val="none"/>
                      <w:lang w:val="en-US" w:eastAsia="zh-CN"/>
                    </w:rPr>
                    <w:t>105/</w:t>
                  </w:r>
                  <w:r>
                    <w:rPr>
                      <w:rFonts w:hint="default" w:ascii="Times New Roman" w:hAnsi="Times New Roman" w:eastAsia="宋体" w:cs="Times New Roman"/>
                      <w:color w:val="auto"/>
                      <w:spacing w:val="-10"/>
                      <w:sz w:val="21"/>
                      <w:szCs w:val="21"/>
                      <w:highlight w:val="none"/>
                    </w:rPr>
                    <w:t>5</w:t>
                  </w: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95</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6</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压裂车</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55</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50</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10</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110/5</w:t>
                  </w: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100</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7</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泥浆不落地系统</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50</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50</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90/5</w:t>
                  </w: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80</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8</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固液分离器</w:t>
                  </w:r>
                </w:p>
              </w:tc>
              <w:tc>
                <w:tcPr>
                  <w:tcW w:w="46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41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50</w:t>
                  </w:r>
                </w:p>
              </w:tc>
              <w:tc>
                <w:tcPr>
                  <w:tcW w:w="37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50</w:t>
                  </w:r>
                </w:p>
              </w:tc>
              <w:tc>
                <w:tcPr>
                  <w:tcW w:w="340"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1.5</w:t>
                  </w:r>
                </w:p>
              </w:tc>
              <w:tc>
                <w:tcPr>
                  <w:tcW w:w="869"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90/5</w:t>
                  </w:r>
                </w:p>
              </w:tc>
              <w:tc>
                <w:tcPr>
                  <w:tcW w:w="468" w:type="pct"/>
                  <w:vMerge w:val="continue"/>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zh-CN"/>
                    </w:rPr>
                  </w:pPr>
                </w:p>
              </w:tc>
              <w:tc>
                <w:tcPr>
                  <w:tcW w:w="64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80</w:t>
                  </w:r>
                </w:p>
              </w:tc>
              <w:tc>
                <w:tcPr>
                  <w:tcW w:w="451"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昼夜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2"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9</w:t>
                  </w:r>
                </w:p>
              </w:tc>
              <w:tc>
                <w:tcPr>
                  <w:tcW w:w="703"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锅炉风机</w:t>
                  </w:r>
                </w:p>
              </w:tc>
              <w:tc>
                <w:tcPr>
                  <w:tcW w:w="461" w:type="pct"/>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en-US" w:eastAsia="zh-CN" w:bidi="ar-SA"/>
                    </w:rPr>
                  </w:pPr>
                  <w:r>
                    <w:rPr>
                      <w:rFonts w:hint="default" w:ascii="Times New Roman" w:hAnsi="Times New Roman" w:eastAsia="宋体" w:cs="Times New Roman"/>
                      <w:color w:val="auto"/>
                      <w:spacing w:val="-10"/>
                      <w:szCs w:val="21"/>
                    </w:rPr>
                    <w:t>--</w:t>
                  </w:r>
                </w:p>
              </w:tc>
              <w:tc>
                <w:tcPr>
                  <w:tcW w:w="410" w:type="pct"/>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en-US" w:eastAsia="zh-CN" w:bidi="ar-SA"/>
                    </w:rPr>
                  </w:pPr>
                  <w:r>
                    <w:rPr>
                      <w:rFonts w:hint="default" w:ascii="Times New Roman" w:hAnsi="Times New Roman" w:eastAsia="宋体" w:cs="Times New Roman"/>
                      <w:color w:val="auto"/>
                      <w:spacing w:val="-10"/>
                      <w:szCs w:val="21"/>
                    </w:rPr>
                    <w:t>40</w:t>
                  </w:r>
                </w:p>
              </w:tc>
              <w:tc>
                <w:tcPr>
                  <w:tcW w:w="370" w:type="pct"/>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en-US" w:eastAsia="zh-CN" w:bidi="ar-SA"/>
                    </w:rPr>
                  </w:pPr>
                  <w:r>
                    <w:rPr>
                      <w:rFonts w:hint="default" w:ascii="Times New Roman" w:hAnsi="Times New Roman" w:eastAsia="宋体" w:cs="Times New Roman"/>
                      <w:color w:val="auto"/>
                      <w:spacing w:val="-10"/>
                      <w:szCs w:val="21"/>
                    </w:rPr>
                    <w:t>50</w:t>
                  </w:r>
                </w:p>
              </w:tc>
              <w:tc>
                <w:tcPr>
                  <w:tcW w:w="340" w:type="pct"/>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en-US" w:eastAsia="zh-CN" w:bidi="ar-SA"/>
                    </w:rPr>
                  </w:pPr>
                  <w:r>
                    <w:rPr>
                      <w:rFonts w:hint="default" w:ascii="Times New Roman" w:hAnsi="Times New Roman" w:eastAsia="宋体" w:cs="Times New Roman"/>
                      <w:color w:val="auto"/>
                      <w:spacing w:val="-10"/>
                      <w:szCs w:val="21"/>
                    </w:rPr>
                    <w:t>10</w:t>
                  </w:r>
                </w:p>
              </w:tc>
              <w:tc>
                <w:tcPr>
                  <w:tcW w:w="869" w:type="pct"/>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en-US" w:eastAsia="zh-CN" w:bidi="ar-SA"/>
                    </w:rPr>
                  </w:pPr>
                  <w:r>
                    <w:rPr>
                      <w:rFonts w:hint="default" w:ascii="Times New Roman" w:hAnsi="Times New Roman" w:eastAsia="宋体" w:cs="Times New Roman"/>
                      <w:color w:val="auto"/>
                      <w:spacing w:val="-10"/>
                      <w:szCs w:val="21"/>
                    </w:rPr>
                    <w:t>95/5</w:t>
                  </w:r>
                </w:p>
              </w:tc>
              <w:tc>
                <w:tcPr>
                  <w:tcW w:w="468" w:type="pct"/>
                  <w:vMerge w:val="continue"/>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zh-CN" w:eastAsia="zh-CN" w:bidi="ar-SA"/>
                    </w:rPr>
                  </w:pPr>
                </w:p>
              </w:tc>
              <w:tc>
                <w:tcPr>
                  <w:tcW w:w="641" w:type="pct"/>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szCs w:val="21"/>
                      <w:lang w:val="en-US" w:eastAsia="zh-CN"/>
                    </w:rPr>
                  </w:pPr>
                  <w:r>
                    <w:rPr>
                      <w:rFonts w:hint="eastAsia" w:ascii="Times New Roman" w:cs="Times New Roman"/>
                      <w:color w:val="auto"/>
                      <w:spacing w:val="-10"/>
                      <w:szCs w:val="21"/>
                      <w:lang w:val="en-US" w:eastAsia="zh-CN"/>
                    </w:rPr>
                    <w:t>85</w:t>
                  </w:r>
                </w:p>
              </w:tc>
              <w:tc>
                <w:tcPr>
                  <w:tcW w:w="451" w:type="pct"/>
                  <w:shd w:val="clear" w:color="auto" w:fill="auto"/>
                  <w:noWrap w:val="0"/>
                  <w:tcMar>
                    <w:left w:w="28" w:type="dxa"/>
                    <w:right w:w="28" w:type="dxa"/>
                  </w:tcMar>
                  <w:vAlign w:val="center"/>
                </w:tcPr>
                <w:p>
                  <w:pPr>
                    <w:keepNext w:val="0"/>
                    <w:keepLines w:val="0"/>
                    <w:suppressLineNumbers w:val="0"/>
                    <w:adjustRightInd w:val="0"/>
                    <w:spacing w:before="0" w:beforeAutospacing="0" w:after="0" w:afterAutospacing="0" w:line="0" w:lineRule="atLeast"/>
                    <w:ind w:left="0" w:right="0"/>
                    <w:jc w:val="center"/>
                    <w:rPr>
                      <w:rFonts w:hint="default" w:ascii="Times New Roman" w:hAnsi="Times New Roman" w:eastAsia="宋体" w:cs="Times New Roman"/>
                      <w:color w:val="auto"/>
                      <w:spacing w:val="-10"/>
                      <w:kern w:val="2"/>
                      <w:sz w:val="21"/>
                      <w:szCs w:val="21"/>
                      <w:lang w:val="en-US" w:eastAsia="zh-CN" w:bidi="ar-SA"/>
                    </w:rPr>
                  </w:pPr>
                  <w:r>
                    <w:rPr>
                      <w:rFonts w:hint="default" w:ascii="Times New Roman" w:hAnsi="Times New Roman" w:eastAsia="宋体" w:cs="Times New Roman"/>
                      <w:color w:val="auto"/>
                      <w:spacing w:val="-10"/>
                      <w:szCs w:val="21"/>
                    </w:rPr>
                    <w:t>昼夜</w:t>
                  </w:r>
                </w:p>
              </w:tc>
            </w:tr>
          </w:tbl>
          <w:p>
            <w:pPr>
              <w:keepNext w:val="0"/>
              <w:keepLines w:val="0"/>
              <w:suppressLineNumbers w:val="0"/>
              <w:spacing w:before="0" w:beforeAutospacing="0" w:after="0" w:afterAutospacing="0" w:line="440" w:lineRule="exact"/>
              <w:ind w:left="0" w:right="0" w:firstLine="480"/>
              <w:textAlignment w:val="baseline"/>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2</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预测模式</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施工噪声源可以近似作为点声源处理，根据点声源噪声衰减模式，可估算其施工期间离噪声源在不同距离处的噪声值，预测模式如下：</w:t>
            </w:r>
          </w:p>
          <w:p>
            <w:pPr>
              <w:keepNext w:val="0"/>
              <w:keepLines w:val="0"/>
              <w:suppressLineNumbers w:val="0"/>
              <w:spacing w:before="0" w:beforeAutospacing="0" w:after="0" w:afterAutospacing="0" w:line="440" w:lineRule="exact"/>
              <w:ind w:left="0" w:right="0" w:firstLine="1200" w:firstLineChars="500"/>
              <w:textAlignment w:val="baseline"/>
              <w:rPr>
                <w:rFonts w:hint="eastAsia" w:ascii="Times New Roman" w:hAnsi="Times New Roman" w:eastAsia="宋体" w:cs="Times New Roman"/>
                <w:color w:val="auto"/>
                <w:sz w:val="24"/>
                <w:lang w:eastAsia="zh-CN"/>
              </w:rPr>
            </w:pPr>
            <w:r>
              <w:rPr>
                <w:rFonts w:hint="default" w:ascii="Times New Roman" w:hAnsi="Times New Roman" w:eastAsia="宋体" w:cs="Times New Roman"/>
                <w:color w:val="auto"/>
                <w:sz w:val="24"/>
              </w:rPr>
              <w:t>Lr=Lro-20lg</w:t>
            </w:r>
            <w:r>
              <w:rPr>
                <w:rFonts w:hint="eastAsia" w:ascii="Times New Roman" w:cs="Times New Roman"/>
                <w:color w:val="auto"/>
                <w:sz w:val="24"/>
                <w:lang w:eastAsia="zh-CN"/>
              </w:rPr>
              <w:t>（</w:t>
            </w:r>
            <w:r>
              <w:rPr>
                <w:rFonts w:hint="default" w:ascii="Times New Roman" w:hAnsi="Times New Roman" w:eastAsia="宋体" w:cs="Times New Roman"/>
                <w:color w:val="auto"/>
                <w:sz w:val="24"/>
              </w:rPr>
              <w:t>r/ro</w:t>
            </w:r>
            <w:r>
              <w:rPr>
                <w:rFonts w:hint="eastAsia" w:ascii="Times New Roman" w:cs="Times New Roman"/>
                <w:color w:val="auto"/>
                <w:sz w:val="24"/>
                <w:lang w:eastAsia="zh-CN"/>
              </w:rPr>
              <w:t>）</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式中：Lr——距声源r处的A声压级，dB</w:t>
            </w:r>
            <w:r>
              <w:rPr>
                <w:rFonts w:hint="eastAsia" w:cs="Times New Roman"/>
                <w:color w:val="auto"/>
                <w:sz w:val="24"/>
                <w:lang w:eastAsia="zh-CN"/>
              </w:rPr>
              <w:t>（</w:t>
            </w:r>
            <w:r>
              <w:rPr>
                <w:rFonts w:hint="default" w:ascii="Times New Roman" w:hAnsi="Times New Roman" w:eastAsia="宋体" w:cs="Times New Roman"/>
                <w:color w:val="auto"/>
                <w:sz w:val="24"/>
              </w:rPr>
              <w:t>A</w:t>
            </w:r>
            <w:r>
              <w:rPr>
                <w:rFonts w:hint="eastAsia" w:cs="Times New Roman"/>
                <w:color w:val="auto"/>
                <w:sz w:val="24"/>
                <w:lang w:eastAsia="zh-CN"/>
              </w:rPr>
              <w:t>）</w:t>
            </w:r>
            <w:r>
              <w:rPr>
                <w:rFonts w:hint="default" w:ascii="Times New Roman" w:hAnsi="Times New Roman" w:eastAsia="宋体" w:cs="Times New Roman"/>
                <w:color w:val="auto"/>
                <w:sz w:val="24"/>
              </w:rPr>
              <w:t>；</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 xml:space="preserve">      Lro——距声源ro处的A声压级，dB</w:t>
            </w:r>
            <w:r>
              <w:rPr>
                <w:rFonts w:hint="eastAsia" w:cs="Times New Roman"/>
                <w:color w:val="auto"/>
                <w:sz w:val="24"/>
                <w:lang w:eastAsia="zh-CN"/>
              </w:rPr>
              <w:t>（</w:t>
            </w:r>
            <w:r>
              <w:rPr>
                <w:rFonts w:hint="default" w:ascii="Times New Roman" w:hAnsi="Times New Roman" w:eastAsia="宋体" w:cs="Times New Roman"/>
                <w:color w:val="auto"/>
                <w:sz w:val="24"/>
              </w:rPr>
              <w:t>A</w:t>
            </w:r>
            <w:r>
              <w:rPr>
                <w:rFonts w:hint="eastAsia" w:cs="Times New Roman"/>
                <w:color w:val="auto"/>
                <w:sz w:val="24"/>
                <w:lang w:eastAsia="zh-CN"/>
              </w:rPr>
              <w:t>）</w:t>
            </w:r>
            <w:r>
              <w:rPr>
                <w:rFonts w:hint="default" w:ascii="Times New Roman" w:hAnsi="Times New Roman" w:eastAsia="宋体" w:cs="Times New Roman"/>
                <w:color w:val="auto"/>
                <w:sz w:val="24"/>
              </w:rPr>
              <w:t>；</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 xml:space="preserve">      r ——预测点与声源的距离，m；</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 xml:space="preserve">      ro——监测设备噪声时的距离，m。</w:t>
            </w:r>
          </w:p>
          <w:p>
            <w:pPr>
              <w:keepNext w:val="0"/>
              <w:keepLines w:val="0"/>
              <w:suppressLineNumbers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3</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预测结果与评价</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sz w:val="24"/>
              </w:rPr>
              <w:t>主要施工机械在不同距离处的衰减值预测结果见</w:t>
            </w:r>
            <w:r>
              <w:rPr>
                <w:rFonts w:hint="eastAsia" w:ascii="Times New Roman" w:eastAsia="宋体" w:cs="Times New Roman"/>
                <w:color w:val="auto"/>
                <w:sz w:val="24"/>
                <w:lang w:val="en-US" w:eastAsia="zh-CN"/>
              </w:rPr>
              <w:t>下表</w:t>
            </w:r>
            <w:r>
              <w:rPr>
                <w:rFonts w:hint="default" w:ascii="Times New Roman" w:hAnsi="Times New Roman" w:eastAsia="宋体" w:cs="Times New Roman"/>
                <w:color w:val="auto"/>
                <w:sz w:val="24"/>
              </w:rPr>
              <w:t>。</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4</w:t>
            </w:r>
            <w:r>
              <w:rPr>
                <w:rFonts w:hint="default" w:ascii="Times New Roman" w:hAnsi="Times New Roman" w:eastAsia="宋体" w:cs="Times New Roman"/>
                <w:b/>
                <w:bCs/>
                <w:color w:val="auto"/>
                <w:sz w:val="24"/>
                <w:highlight w:val="none"/>
                <w:lang w:val="en-US" w:eastAsia="zh-CN"/>
              </w:rPr>
              <w:t xml:space="preserve">    </w:t>
            </w:r>
            <w:r>
              <w:rPr>
                <w:rFonts w:hint="default" w:ascii="Times New Roman" w:hAnsi="Times New Roman" w:eastAsia="宋体" w:cs="Times New Roman"/>
                <w:b/>
                <w:color w:val="auto"/>
                <w:sz w:val="24"/>
              </w:rPr>
              <w:t>距声源不同距离处的噪声预测值</w:t>
            </w:r>
            <w:r>
              <w:rPr>
                <w:rFonts w:hint="eastAsia" w:ascii="Times New Roman" w:hAnsi="Times New Roman" w:eastAsia="宋体" w:cs="Times New Roman"/>
                <w:b/>
                <w:color w:val="auto"/>
                <w:sz w:val="24"/>
              </w:rPr>
              <w:t xml:space="preserve">    </w:t>
            </w:r>
            <w:r>
              <w:rPr>
                <w:rFonts w:hint="eastAsia" w:ascii="Times New Roman" w:cs="Times New Roman"/>
                <w:b/>
                <w:color w:val="auto"/>
                <w:sz w:val="24"/>
                <w:lang w:val="en-US" w:eastAsia="zh-CN"/>
              </w:rPr>
              <w:t xml:space="preserve">     </w:t>
            </w:r>
            <w:r>
              <w:rPr>
                <w:rFonts w:hint="eastAsia" w:ascii="Times New Roman" w:hAnsi="Times New Roman" w:eastAsia="宋体" w:cs="Times New Roman"/>
                <w:b/>
                <w:color w:val="auto"/>
                <w:sz w:val="24"/>
              </w:rPr>
              <w:t xml:space="preserve">    </w:t>
            </w:r>
            <w:r>
              <w:rPr>
                <w:rFonts w:hint="default" w:ascii="Times New Roman" w:hAnsi="Times New Roman" w:eastAsia="宋体" w:cs="Times New Roman"/>
                <w:b/>
                <w:color w:val="auto"/>
                <w:sz w:val="24"/>
              </w:rPr>
              <w:t>单位：dB(A)</w:t>
            </w:r>
          </w:p>
          <w:tbl>
            <w:tblPr>
              <w:tblStyle w:val="32"/>
              <w:tblW w:w="49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818"/>
              <w:gridCol w:w="838"/>
              <w:gridCol w:w="840"/>
              <w:gridCol w:w="836"/>
              <w:gridCol w:w="833"/>
              <w:gridCol w:w="817"/>
              <w:gridCol w:w="783"/>
              <w:gridCol w:w="8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vMerge w:val="restart"/>
                  <w:tcBorders>
                    <w:top w:val="single" w:color="auto" w:sz="4" w:space="0"/>
                    <w:left w:val="single" w:color="auto" w:sz="4" w:space="0"/>
                    <w:bottom w:val="single" w:color="auto" w:sz="4" w:space="0"/>
                    <w:right w:val="single" w:color="auto" w:sz="4" w:space="0"/>
                    <w:tl2br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bookmarkStart w:id="46" w:name="_Hlk107246902"/>
                  <w:r>
                    <w:rPr>
                      <w:rFonts w:hint="default" w:ascii="Times New Roman" w:hAnsi="Times New Roman" w:eastAsia="宋体" w:cs="Times New Roman"/>
                      <w:color w:val="auto"/>
                      <w:sz w:val="21"/>
                      <w:szCs w:val="21"/>
                    </w:rPr>
                    <w:t>声级</w:t>
                  </w:r>
                </w:p>
                <w:p>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设备</w:t>
                  </w:r>
                </w:p>
              </w:tc>
              <w:tc>
                <w:tcPr>
                  <w:tcW w:w="4086"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exact"/>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测点声源距离</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913"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rPr>
                  </w:pPr>
                </w:p>
              </w:tc>
              <w:tc>
                <w:tcPr>
                  <w:tcW w:w="5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51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52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51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w:t>
                  </w:r>
                </w:p>
              </w:tc>
              <w:tc>
                <w:tcPr>
                  <w:tcW w:w="51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c>
                <w:tcPr>
                  <w:tcW w:w="5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w:t>
                  </w:r>
                </w:p>
              </w:tc>
              <w:tc>
                <w:tcPr>
                  <w:tcW w:w="48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51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105" w:leftChars="-50" w:right="-105" w:rightChars="-5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0"/>
                      <w:sz w:val="21"/>
                      <w:szCs w:val="21"/>
                      <w:highlight w:val="none"/>
                    </w:rPr>
                    <w:t>柴油发电机</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86.0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80.0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73.9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70.4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67.9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66.0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62.5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0"/>
                      <w:sz w:val="21"/>
                      <w:szCs w:val="21"/>
                      <w:highlight w:val="none"/>
                    </w:rPr>
                    <w:t>钻机</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94.0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88.0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81.9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78.4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75.9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74.0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70.5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pacing w:val="-10"/>
                      <w:sz w:val="21"/>
                      <w:szCs w:val="21"/>
                      <w:highlight w:val="none"/>
                    </w:rPr>
                    <w:t>泥浆泵</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89.0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83.0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76.9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73.4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70.9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69.0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65.5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0"/>
                      <w:sz w:val="21"/>
                      <w:szCs w:val="21"/>
                      <w:highlight w:val="none"/>
                    </w:rPr>
                    <w:t>泥浆泵</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89.0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83.0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76.9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73.4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70.9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69.0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65.5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0"/>
                      <w:sz w:val="21"/>
                      <w:szCs w:val="21"/>
                      <w:highlight w:val="none"/>
                    </w:rPr>
                    <w:t>泥浆泵</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89.0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83.0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76.9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73.4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70.9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69.0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65.5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0"/>
                      <w:sz w:val="21"/>
                      <w:szCs w:val="21"/>
                      <w:highlight w:val="none"/>
                    </w:rPr>
                    <w:t>压裂车</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94.0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88.0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81.9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78.4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75.9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74.0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70.5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highlight w:val="none"/>
                    </w:rPr>
                    <w:t>泥浆不落地系统</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74.0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68.0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61.9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58.4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55.9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54.0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50.5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highlight w:val="none"/>
                    </w:rPr>
                    <w:t>固液分离器</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74.0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68.0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61.9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58.4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55.9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54.0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50.5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锅炉风机</w:t>
                  </w:r>
                </w:p>
              </w:tc>
              <w:tc>
                <w:tcPr>
                  <w:tcW w:w="81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79.0</w:t>
                  </w:r>
                </w:p>
              </w:tc>
              <w:tc>
                <w:tcPr>
                  <w:tcW w:w="83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73.0</w:t>
                  </w:r>
                </w:p>
              </w:tc>
              <w:tc>
                <w:tcPr>
                  <w:tcW w:w="84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66.9</w:t>
                  </w:r>
                </w:p>
              </w:tc>
              <w:tc>
                <w:tcPr>
                  <w:tcW w:w="83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63.4</w:t>
                  </w:r>
                </w:p>
              </w:tc>
              <w:tc>
                <w:tcPr>
                  <w:tcW w:w="8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60.9</w:t>
                  </w:r>
                </w:p>
              </w:tc>
              <w:tc>
                <w:tcPr>
                  <w:tcW w:w="81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59.0</w:t>
                  </w:r>
                </w:p>
              </w:tc>
              <w:tc>
                <w:tcPr>
                  <w:tcW w:w="78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55.5</w:t>
                  </w:r>
                </w:p>
              </w:tc>
              <w:tc>
                <w:tcPr>
                  <w:tcW w:w="83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53.0</w:t>
                  </w:r>
                </w:p>
              </w:tc>
            </w:tr>
            <w:bookmarkEnd w:id="46"/>
          </w:tbl>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从上表可以看出，施工机械噪声在200m处昼间预测结果满足《建筑施工噪声排放标准》（GB12523-2025）相关标准限值，夜间预测结果不满足《建筑施工噪声排放标准》（GB12523-2025）场界噪声限值要求</w:t>
            </w:r>
            <w:r>
              <w:rPr>
                <w:rFonts w:hint="eastAsia" w:asci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rPr>
              <w:t>本项目位于</w:t>
            </w:r>
            <w:r>
              <w:rPr>
                <w:rFonts w:hint="eastAsia" w:ascii="Times New Roman" w:eastAsia="宋体" w:cs="Times New Roman"/>
                <w:color w:val="auto"/>
                <w:kern w:val="2"/>
                <w:sz w:val="24"/>
                <w:szCs w:val="24"/>
                <w:highlight w:val="none"/>
                <w:lang w:val="en-US" w:eastAsia="zh-CN"/>
              </w:rPr>
              <w:t>沙漠</w:t>
            </w:r>
            <w:r>
              <w:rPr>
                <w:rFonts w:hint="default" w:ascii="Times New Roman" w:hAnsi="Times New Roman" w:eastAsia="宋体" w:cs="Times New Roman"/>
                <w:color w:val="auto"/>
                <w:kern w:val="2"/>
                <w:sz w:val="24"/>
                <w:szCs w:val="24"/>
                <w:highlight w:val="none"/>
                <w:lang w:val="en-US" w:eastAsia="zh-CN"/>
              </w:rPr>
              <w:t>，井场周边及邻近区域无居民区、村庄等环境敏感点。施工期间通过采取对设备定期保养维护、基础减振等措施可减少噪声对周边环境的影响，且随着施工结束，对周边声环境影响将逐渐消失。</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钻井过程为连续作业过程，钻井噪声处理难度较大，在基础减振措施基础上，进一步提出以下噪声防治要求：对柴油发电机、泥浆泵、钻机、压裂车等高噪声设备安装减振基础，必要时加装隔声罩或消声器；合理布置设备位置，将高噪声设备尽量布置于井场中部、远离场界；夜间尽量避免高噪声作业。采取上述措施后，昼间可稳定达标；夜间虽仍有一定超标风险，但鉴于井场周边无敏感点，施工噪声对周边声环境影响总体可控，施工结束后影响即行消除。</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en-US" w:eastAsia="zh-CN"/>
              </w:rPr>
              <w:t>6、</w:t>
            </w:r>
            <w:r>
              <w:rPr>
                <w:rFonts w:hint="default" w:ascii="Times New Roman" w:hAnsi="Times New Roman" w:eastAsia="宋体" w:cs="Times New Roman"/>
                <w:b/>
                <w:color w:val="auto"/>
                <w:sz w:val="24"/>
                <w:szCs w:val="20"/>
                <w:highlight w:val="none"/>
                <w:lang w:val="zh-CN" w:eastAsia="zh-CN"/>
              </w:rPr>
              <w:t>施工期固体废物影响分析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bCs w:val="0"/>
                <w:color w:val="auto"/>
                <w:spacing w:val="0"/>
                <w:kern w:val="2"/>
                <w:sz w:val="24"/>
                <w:szCs w:val="24"/>
              </w:rPr>
            </w:pPr>
            <w:r>
              <w:rPr>
                <w:rFonts w:hint="default" w:ascii="Times New Roman" w:hAnsi="Times New Roman" w:eastAsia="宋体" w:cs="Times New Roman"/>
                <w:b/>
                <w:bCs w:val="0"/>
                <w:color w:val="auto"/>
                <w:spacing w:val="0"/>
                <w:kern w:val="2"/>
                <w:sz w:val="24"/>
                <w:szCs w:val="24"/>
              </w:rPr>
              <w:t>6.1固体废物产生及处置情况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zh-CN" w:eastAsia="zh-CN"/>
              </w:rPr>
              <w:t>（</w:t>
            </w:r>
            <w:r>
              <w:rPr>
                <w:rFonts w:hint="default" w:ascii="Times New Roman" w:hAnsi="Times New Roman" w:eastAsia="宋体" w:cs="Times New Roman"/>
                <w:b/>
                <w:color w:val="auto"/>
                <w:sz w:val="24"/>
                <w:szCs w:val="20"/>
                <w:highlight w:val="none"/>
                <w:lang w:val="en-US" w:eastAsia="zh-CN"/>
              </w:rPr>
              <w:t>1</w:t>
            </w:r>
            <w:r>
              <w:rPr>
                <w:rFonts w:hint="default" w:ascii="Times New Roman" w:hAnsi="Times New Roman" w:eastAsia="宋体" w:cs="Times New Roman"/>
                <w:b/>
                <w:color w:val="auto"/>
                <w:sz w:val="24"/>
                <w:szCs w:val="20"/>
                <w:highlight w:val="none"/>
                <w:lang w:val="zh-CN" w:eastAsia="zh-CN"/>
              </w:rPr>
              <w:t>）固体废物产生及处置情况</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完井与搬迁后要进行固体废弃物处理，整个钻井作业及测试放喷过程中产生的固体废弃物主要有泥浆、钻井岩屑、</w:t>
            </w:r>
            <w:r>
              <w:rPr>
                <w:rFonts w:hint="default" w:ascii="Times New Roman" w:hAnsi="Times New Roman" w:eastAsia="宋体" w:cs="Times New Roman"/>
                <w:color w:val="auto"/>
                <w:szCs w:val="21"/>
              </w:rPr>
              <w:t>锅炉灰渣、除尘灰、废布袋、</w:t>
            </w:r>
            <w:r>
              <w:rPr>
                <w:rFonts w:hint="default" w:ascii="Times New Roman" w:hAnsi="Times New Roman" w:eastAsia="宋体" w:cs="Times New Roman"/>
                <w:color w:val="auto"/>
                <w:kern w:val="2"/>
                <w:sz w:val="24"/>
                <w:szCs w:val="24"/>
                <w:highlight w:val="none"/>
                <w:lang w:val="en-US" w:eastAsia="zh-CN" w:bidi="ar-SA"/>
              </w:rPr>
              <w:t>生活垃圾、污水处理站污泥、建筑垃圾以及沾油废物、废烧碱包装袋、废防渗材料、废矿物油及其包装物等。一般固体废物执行《一般工业固体废物管理台账制定指南（试行）》，一般工业固体废物管理台账实施分级管理。如实记录产生工业固体废物的种类、数量、流向、贮存、利用、处置等信息，实现工业固体废物可追溯、可查询，并采取防治工业固体废物污染环境的措施。危险废物根据《危险废物贮存污染控制标准》（GB18597-2023</w:t>
            </w:r>
            <w:r>
              <w:rPr>
                <w:rFonts w:hint="eastAsia" w:ascii="Times New Roman" w:eastAsia="宋体" w:cs="Times New Roman"/>
                <w:color w:val="auto"/>
                <w:kern w:val="2"/>
                <w:sz w:val="24"/>
                <w:szCs w:val="24"/>
                <w:highlight w:val="none"/>
                <w:lang w:val="en-US" w:eastAsia="zh-CN" w:bidi="ar-SA"/>
              </w:rPr>
              <w:t>）和</w:t>
            </w:r>
            <w:r>
              <w:rPr>
                <w:rFonts w:hint="default" w:ascii="Times New Roman" w:hAnsi="Times New Roman" w:eastAsia="宋体" w:cs="Times New Roman"/>
                <w:color w:val="auto"/>
                <w:kern w:val="2"/>
                <w:sz w:val="24"/>
                <w:szCs w:val="24"/>
                <w:highlight w:val="none"/>
                <w:lang w:val="en-US" w:eastAsia="zh-CN" w:bidi="ar-SA"/>
              </w:rPr>
              <w:t>《危险废物环境管理指南 陆上石油天然气开采》（生态环境部公告 2021年 第74号）以及《石油天然气开采业固体废物污染控制技术规范（试行）》（HJ1461-2026）中相关管理要求，落实危险废物识别标志制度，对危险废物的容器和包装物以及收集、运输危险废物的设施设置危险废物识别标志。填写危险废物的收集记录、转运记录表，并将记录表作为危险废物管理的重要档案妥善保存</w:t>
            </w:r>
            <w:r>
              <w:rPr>
                <w:rFonts w:hint="default" w:ascii="Times New Roman" w:hAnsi="Times New Roman" w:eastAsia="宋体" w:cs="Times New Roman"/>
                <w:color w:val="auto"/>
                <w:kern w:val="0"/>
                <w:szCs w:val="21"/>
                <w:highlight w:val="none"/>
              </w:rPr>
              <w:t>。</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①泥浆</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泥浆采用“泥浆不落地”工艺收集，排入泥浆罐循环使用，完井后拉运至下一口井再利用。</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（2）废弃钻井泥浆及岩屑</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0000FF"/>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①废弃钻井泥浆</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废弃钻井泥浆是指在钻井过程中无法利用或钻井完工后剩余的泥浆，其产生量随井深和井径的不同而改变。钻井泥浆产生量可按照经验公式推算：</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1440" w:firstLineChars="60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position w:val="-28"/>
                <w:highlight w:val="none"/>
                <w:lang w:val="en-US" w:eastAsia="zh-CN"/>
              </w:rPr>
              <w:object>
                <v:shape id="_x0000_i1025" o:spt="75" type="#_x0000_t75" style="height:34pt;width:159pt;" o:ole="t" filled="f" o:preferrelative="t" stroked="f" coordsize="21600,21600">
                  <v:path/>
                  <v:fill on="f" focussize="0,0"/>
                  <v:stroke on="f"/>
                  <v:imagedata r:id="rId25" o:title=""/>
                  <o:lock v:ext="edit" aspectratio="t"/>
                  <w10:wrap type="none"/>
                  <w10:anchorlock/>
                </v:shape>
                <o:OLEObject Type="Embed" ProgID="Equation.KSEE3" ShapeID="_x0000_i1025" DrawAspect="Content" ObjectID="_1468075727" r:id="rId24">
                  <o:LockedField>false</o:LockedField>
                </o:OLEObject>
              </w:objec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式中：</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1200" w:firstLineChars="500"/>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2"/>
                <w:sz w:val="24"/>
                <w:szCs w:val="24"/>
                <w:highlight w:val="none"/>
                <w:lang w:val="en-US" w:eastAsia="zh-CN" w:bidi="ar-SA"/>
              </w:rPr>
              <w:t>V—废弃钻井泥浆产生量，m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1200" w:firstLineChars="5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D—钻井的直径，m；</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1200" w:firstLineChars="5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h—钻井的深度，m；</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pacing w:val="0"/>
                <w:kern w:val="2"/>
                <w:sz w:val="24"/>
                <w:szCs w:val="24"/>
              </w:rPr>
              <w:t>根据计算，本项目废弃钻井泥浆产生量为</w:t>
            </w:r>
            <w:r>
              <w:rPr>
                <w:rFonts w:hint="eastAsia" w:ascii="Times New Roman" w:eastAsia="宋体" w:cs="Times New Roman"/>
                <w:color w:val="auto"/>
                <w:spacing w:val="0"/>
                <w:kern w:val="2"/>
                <w:sz w:val="24"/>
                <w:szCs w:val="24"/>
                <w:lang w:val="en-US" w:eastAsia="zh-CN"/>
              </w:rPr>
              <w:t>1382.64</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，其中膨润土体系废弃泥浆产生量为</w:t>
            </w:r>
            <w:r>
              <w:rPr>
                <w:rFonts w:hint="eastAsia" w:ascii="Times New Roman" w:eastAsia="宋体" w:cs="Times New Roman"/>
                <w:color w:val="auto"/>
                <w:spacing w:val="0"/>
                <w:kern w:val="2"/>
                <w:sz w:val="24"/>
                <w:szCs w:val="24"/>
                <w:lang w:val="en-US" w:eastAsia="zh-CN"/>
              </w:rPr>
              <w:t>597.39</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，磺化体系废弃泥浆产生量为</w:t>
            </w:r>
            <w:r>
              <w:rPr>
                <w:rFonts w:hint="eastAsia" w:ascii="Times New Roman" w:eastAsia="宋体" w:cs="Times New Roman"/>
                <w:color w:val="auto"/>
                <w:spacing w:val="0"/>
                <w:kern w:val="2"/>
                <w:sz w:val="24"/>
                <w:szCs w:val="24"/>
                <w:lang w:val="en-US" w:eastAsia="zh-CN"/>
              </w:rPr>
              <w:t>785.25</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②废弃钻井岩屑</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钻井过程中钻头破坏岩层形成岩屑，后通过泥浆循环带出地面，其中混杂有泥浆、石油类物质。钻井岩屑产生量与井眼长度、井径及岩石密度有关，可用下式计算：</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rPr>
              <w:drawing>
                <wp:anchor distT="0" distB="0" distL="114300" distR="114300" simplePos="0" relativeHeight="251663360" behindDoc="0" locked="0" layoutInCell="1" allowOverlap="1">
                  <wp:simplePos x="0" y="0"/>
                  <wp:positionH relativeFrom="page">
                    <wp:posOffset>309245</wp:posOffset>
                  </wp:positionH>
                  <wp:positionV relativeFrom="paragraph">
                    <wp:posOffset>90170</wp:posOffset>
                  </wp:positionV>
                  <wp:extent cx="1562100" cy="346710"/>
                  <wp:effectExtent l="0" t="0" r="0" b="15240"/>
                  <wp:wrapSquare wrapText="bothSides"/>
                  <wp:docPr id="10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6"/>
                          <pic:cNvPicPr>
                            <a:picLocks noChangeAspect="1"/>
                          </pic:cNvPicPr>
                        </pic:nvPicPr>
                        <pic:blipFill>
                          <a:blip r:embed="rId26"/>
                          <a:stretch>
                            <a:fillRect/>
                          </a:stretch>
                        </pic:blipFill>
                        <pic:spPr>
                          <a:xfrm>
                            <a:off x="0" y="0"/>
                            <a:ext cx="1562100" cy="346710"/>
                          </a:xfrm>
                          <a:prstGeom prst="rect">
                            <a:avLst/>
                          </a:prstGeom>
                          <a:noFill/>
                          <a:ln>
                            <a:noFill/>
                          </a:ln>
                        </pic:spPr>
                      </pic:pic>
                    </a:graphicData>
                  </a:graphic>
                </wp:anchor>
              </w:drawing>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式中：W——废弃钻井岩屑排放量，m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；（水基钻井液体系膨胀系数取 2.2，岩屑密度为2.5g/cm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 xml:space="preserve">      D——井的直径，m；</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 xml:space="preserve">      h——井深，m；</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1205" w:firstLineChars="5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bCs/>
                <w:color w:val="auto"/>
                <w:sz w:val="24"/>
                <w:szCs w:val="21"/>
                <w:highlight w:val="none"/>
              </w:rPr>
              <w:t>α</w:t>
            </w:r>
            <w:r>
              <w:rPr>
                <w:rFonts w:hint="default" w:ascii="Times New Roman" w:hAnsi="Times New Roman" w:eastAsia="宋体" w:cs="Times New Roman"/>
                <w:color w:val="auto"/>
                <w:sz w:val="24"/>
                <w:szCs w:val="21"/>
                <w:highlight w:val="none"/>
                <w:lang w:val="en-US" w:eastAsia="zh-CN"/>
              </w:rPr>
              <w:t>--膨胀系数，水基为2.2</w:t>
            </w:r>
            <w:r>
              <w:rPr>
                <w:rFonts w:hint="default" w:ascii="Times New Roman" w:hAnsi="Times New Roman" w:eastAsia="宋体" w:cs="Times New Roman"/>
                <w:color w:val="auto"/>
                <w:kern w:val="2"/>
                <w:sz w:val="24"/>
                <w:szCs w:val="24"/>
                <w:highlight w:val="none"/>
                <w:lang w:val="en-US" w:eastAsia="zh-CN" w:bidi="ar-SA"/>
              </w:rPr>
              <w:t>。</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0000FF"/>
                <w:kern w:val="2"/>
                <w:sz w:val="24"/>
                <w:szCs w:val="24"/>
                <w:highlight w:val="none"/>
                <w:lang w:val="en-US" w:eastAsia="zh-CN" w:bidi="ar-SA"/>
              </w:rPr>
            </w:pPr>
            <w:r>
              <w:rPr>
                <w:rFonts w:hint="default" w:ascii="Times New Roman" w:hAnsi="Times New Roman" w:eastAsia="宋体" w:cs="Times New Roman"/>
                <w:color w:val="auto"/>
                <w:spacing w:val="0"/>
                <w:kern w:val="2"/>
                <w:sz w:val="24"/>
                <w:szCs w:val="24"/>
              </w:rPr>
              <w:t>根据不同孔径分段求和计算，本工程总岩屑产量为</w:t>
            </w:r>
            <w:r>
              <w:rPr>
                <w:rFonts w:hint="eastAsia" w:ascii="Times New Roman" w:eastAsia="宋体" w:cs="Times New Roman"/>
                <w:color w:val="auto"/>
                <w:spacing w:val="0"/>
                <w:kern w:val="2"/>
                <w:sz w:val="24"/>
                <w:szCs w:val="24"/>
                <w:lang w:val="en-US" w:eastAsia="zh-CN"/>
              </w:rPr>
              <w:t>2534.96</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。其中膨润土体系钻井岩屑产量为</w:t>
            </w:r>
            <w:r>
              <w:rPr>
                <w:rFonts w:hint="eastAsia" w:ascii="Times New Roman" w:eastAsia="宋体" w:cs="Times New Roman"/>
                <w:color w:val="auto"/>
                <w:spacing w:val="0"/>
                <w:kern w:val="2"/>
                <w:sz w:val="24"/>
                <w:szCs w:val="24"/>
                <w:lang w:val="en-US" w:eastAsia="zh-CN"/>
              </w:rPr>
              <w:t>1385.97</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排入膨润土岩屑池干化，经检测达到《油气田钻井固体废物综合利用污染控制要求》（DB65/T3997-2017）及《石油天然气开采业固体废物污染控制技术规范（试行）》（HJ1461-2026）标准后，用于井场平整；磺化泥浆钻井岩屑产生量为</w:t>
            </w:r>
            <w:r>
              <w:rPr>
                <w:rFonts w:hint="eastAsia" w:ascii="Times New Roman" w:eastAsia="宋体" w:cs="Times New Roman"/>
                <w:color w:val="auto"/>
                <w:spacing w:val="0"/>
                <w:kern w:val="2"/>
                <w:sz w:val="24"/>
                <w:szCs w:val="24"/>
                <w:lang w:val="en-US" w:eastAsia="zh-CN"/>
              </w:rPr>
              <w:t>1148.99</w:t>
            </w:r>
            <w:r>
              <w:rPr>
                <w:rFonts w:hint="default" w:ascii="Times New Roman" w:hAnsi="Times New Roman" w:eastAsia="宋体" w:cs="Times New Roman"/>
                <w:color w:val="auto"/>
                <w:spacing w:val="0"/>
                <w:kern w:val="2"/>
                <w:sz w:val="24"/>
                <w:szCs w:val="24"/>
              </w:rPr>
              <w:t>m</w:t>
            </w:r>
            <w:r>
              <w:rPr>
                <w:rFonts w:hint="default" w:ascii="Times New Roman" w:hAnsi="Times New Roman" w:eastAsia="宋体" w:cs="Times New Roman"/>
                <w:color w:val="auto"/>
                <w:spacing w:val="0"/>
                <w:kern w:val="2"/>
                <w:sz w:val="24"/>
                <w:szCs w:val="24"/>
                <w:vertAlign w:val="superscript"/>
              </w:rPr>
              <w:t>3</w:t>
            </w:r>
            <w:r>
              <w:rPr>
                <w:rFonts w:hint="default" w:ascii="Times New Roman" w:hAnsi="Times New Roman" w:eastAsia="宋体" w:cs="Times New Roman"/>
                <w:color w:val="auto"/>
                <w:spacing w:val="0"/>
                <w:kern w:val="2"/>
                <w:sz w:val="24"/>
                <w:szCs w:val="24"/>
              </w:rPr>
              <w:t>，井场环保罐暂存，定期转运至</w:t>
            </w:r>
            <w:r>
              <w:rPr>
                <w:rFonts w:hint="eastAsia" w:ascii="Times New Roman" w:eastAsia="宋体" w:cs="Times New Roman"/>
                <w:color w:val="auto"/>
                <w:spacing w:val="0"/>
                <w:kern w:val="2"/>
                <w:sz w:val="24"/>
                <w:szCs w:val="24"/>
                <w:lang w:val="en-US" w:eastAsia="zh-CN"/>
              </w:rPr>
              <w:t>塔中</w:t>
            </w:r>
            <w:r>
              <w:rPr>
                <w:rFonts w:hint="default" w:ascii="Times New Roman" w:hAnsi="Times New Roman" w:eastAsia="宋体" w:cs="Times New Roman"/>
                <w:color w:val="auto"/>
                <w:spacing w:val="0"/>
                <w:kern w:val="2"/>
                <w:sz w:val="24"/>
                <w:szCs w:val="24"/>
              </w:rPr>
              <w:t>钻试修废弃物环保处理站处置，处理达标后还原土用于铺垫油区内的井场、道路。</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（3）生活垃圾</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井队人数为60人，工程预计钻井施工期为</w:t>
            </w:r>
            <w:r>
              <w:rPr>
                <w:rFonts w:hint="eastAsia" w:ascii="Times New Roman" w:eastAsia="宋体" w:cs="Times New Roman"/>
                <w:color w:val="auto"/>
                <w:kern w:val="2"/>
                <w:sz w:val="24"/>
                <w:szCs w:val="24"/>
                <w:highlight w:val="none"/>
                <w:lang w:val="en-US" w:eastAsia="zh-CN" w:bidi="ar-SA"/>
              </w:rPr>
              <w:t>190</w:t>
            </w:r>
            <w:r>
              <w:rPr>
                <w:rFonts w:hint="default" w:ascii="Times New Roman" w:hAnsi="Times New Roman" w:eastAsia="宋体" w:cs="Times New Roman"/>
                <w:color w:val="auto"/>
                <w:kern w:val="2"/>
                <w:sz w:val="24"/>
                <w:szCs w:val="24"/>
                <w:highlight w:val="none"/>
                <w:lang w:val="en-US" w:eastAsia="zh-CN" w:bidi="ar-SA"/>
              </w:rPr>
              <w:t>天，按生活垃圾产生量每人1kg/d计，生活垃圾产生量</w:t>
            </w:r>
            <w:r>
              <w:rPr>
                <w:rFonts w:hint="eastAsia" w:ascii="Times New Roman" w:eastAsia="宋体" w:cs="Times New Roman"/>
                <w:color w:val="auto"/>
                <w:kern w:val="2"/>
                <w:sz w:val="24"/>
                <w:szCs w:val="24"/>
                <w:highlight w:val="none"/>
                <w:lang w:val="en-US" w:eastAsia="zh-CN" w:bidi="ar-SA"/>
              </w:rPr>
              <w:t>11.4</w:t>
            </w:r>
            <w:r>
              <w:rPr>
                <w:rFonts w:hint="default" w:ascii="Times New Roman" w:hAnsi="Times New Roman" w:eastAsia="宋体" w:cs="Times New Roman"/>
                <w:color w:val="auto"/>
                <w:kern w:val="2"/>
                <w:sz w:val="24"/>
                <w:szCs w:val="24"/>
                <w:highlight w:val="none"/>
                <w:lang w:val="en-US" w:eastAsia="zh-CN" w:bidi="ar-SA"/>
              </w:rPr>
              <w:t>t，收集后统一清运至</w:t>
            </w:r>
            <w:r>
              <w:rPr>
                <w:rFonts w:hint="eastAsia" w:ascii="Times New Roman" w:eastAsia="宋体" w:cs="Times New Roman"/>
                <w:color w:val="auto"/>
                <w:kern w:val="2"/>
                <w:sz w:val="24"/>
                <w:szCs w:val="24"/>
                <w:highlight w:val="none"/>
                <w:lang w:val="en-US" w:eastAsia="zh-CN" w:bidi="ar-SA"/>
              </w:rPr>
              <w:t>塔中镇生活垃圾填埋场处理</w:t>
            </w:r>
            <w:r>
              <w:rPr>
                <w:rFonts w:hint="default" w:ascii="Times New Roman" w:hAnsi="Times New Roman" w:eastAsia="宋体" w:cs="Times New Roman"/>
                <w:color w:val="auto"/>
                <w:kern w:val="2"/>
                <w:sz w:val="24"/>
                <w:szCs w:val="24"/>
                <w:highlight w:val="none"/>
                <w:lang w:val="en-US" w:eastAsia="zh-CN" w:bidi="ar-SA"/>
              </w:rPr>
              <w:t>。</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40" w:lineRule="exact"/>
              <w:ind w:left="0" w:leftChars="0" w:right="0" w:firstLine="480" w:firstLineChars="200"/>
              <w:jc w:val="both"/>
              <w:textAlignment w:val="baseline"/>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32"/>
                <w:highlight w:val="none"/>
                <w:lang w:val="en-US" w:eastAsia="zh-CN"/>
              </w:rPr>
              <w:t>（4）</w:t>
            </w:r>
            <w:r>
              <w:rPr>
                <w:rFonts w:hint="default" w:ascii="Times New Roman" w:hAnsi="Times New Roman" w:eastAsia="宋体" w:cs="Times New Roman"/>
                <w:color w:val="auto"/>
                <w:kern w:val="2"/>
                <w:sz w:val="24"/>
                <w:szCs w:val="24"/>
                <w:highlight w:val="none"/>
                <w:lang w:val="en-US" w:eastAsia="zh-CN" w:bidi="ar-SA"/>
              </w:rPr>
              <w:t>撬装式污水处理站产生污泥</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40" w:lineRule="exact"/>
              <w:ind w:left="0" w:leftChars="0" w:right="0" w:firstLine="480" w:firstLineChars="200"/>
              <w:jc w:val="both"/>
              <w:textAlignment w:val="baseline"/>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撬装式污水处理站污泥定期排入污泥池，通过泵打入小型叠螺式污泥脱水机，其脱水原理为污泥在浓缩部经过重力浓缩后，被运输到脱水部，在前进的过程中随着滤缝及螺距的逐渐变小，以及背压板的阻挡作用下，产生极大的内压，容积不断缩小，达到充分脱水的目的。经叠螺式污泥脱水机脱水后可确保污泥含水率低于60%，满足垃圾填埋场进场污泥含水率要求。</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40" w:lineRule="exact"/>
              <w:ind w:left="0" w:leftChars="0" w:right="0" w:firstLine="480" w:firstLineChars="200"/>
              <w:jc w:val="both"/>
              <w:textAlignment w:val="baseline"/>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撬装式污水处理站污泥经脱水装置脱水后，产生量为0.12t，收集、合规暂存，定期送至</w:t>
            </w:r>
            <w:r>
              <w:rPr>
                <w:rFonts w:hint="eastAsia" w:ascii="Times New Roman" w:cs="Times New Roman"/>
                <w:color w:val="auto"/>
                <w:kern w:val="2"/>
                <w:sz w:val="24"/>
                <w:szCs w:val="24"/>
                <w:highlight w:val="none"/>
                <w:lang w:val="en-US" w:eastAsia="zh-CN" w:bidi="ar-SA"/>
              </w:rPr>
              <w:t>塔中镇生活垃圾填埋场处理</w:t>
            </w:r>
            <w:r>
              <w:rPr>
                <w:rFonts w:hint="default" w:ascii="Times New Roman" w:hAnsi="Times New Roman" w:eastAsia="宋体" w:cs="Times New Roman"/>
                <w:color w:val="auto"/>
                <w:kern w:val="2"/>
                <w:sz w:val="24"/>
                <w:szCs w:val="24"/>
                <w:highlight w:val="none"/>
                <w:lang w:val="en-US" w:eastAsia="zh-CN" w:bidi="ar-SA"/>
              </w:rPr>
              <w:t>。</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）锅炉灰渣及除尘灰</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锅炉灰渣、除尘灰属于一般固体废物，锅炉灰渣根据《污染源源强核算技术指南 锅炉》（HJ991-2018）中8.1物料核算法计算：</w:t>
            </w:r>
          </w:p>
          <w:p>
            <w:pPr>
              <w:keepNext/>
              <w:keepLines w:val="0"/>
              <w:suppressLineNumbers w:val="0"/>
              <w:adjustRightInd w:val="0"/>
              <w:spacing w:before="0" w:beforeAutospacing="0" w:after="0" w:afterAutospacing="0" w:line="360" w:lineRule="auto"/>
              <w:ind w:left="0" w:right="0"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object>
                <v:shape id="_x0000_i1026" o:spt="75" type="#_x0000_t75" style="height:36pt;width:147pt;" o:ole="t" filled="f" o:preferrelative="t" stroked="f" coordsize="21600,21600">
                  <v:path/>
                  <v:fill on="f" focussize="0,0"/>
                  <v:stroke on="f"/>
                  <v:imagedata r:id="rId28" o:title=""/>
                  <o:lock v:ext="edit" aspectratio="t"/>
                  <w10:wrap type="none"/>
                  <w10:anchorlock/>
                </v:shape>
                <o:OLEObject Type="Embed" ProgID="Equation.KSEE3" ShapeID="_x0000_i1026" DrawAspect="Content" ObjectID="_1468075728" r:id="rId27">
                  <o:LockedField>false</o:LockedField>
                </o:OLEObject>
              </w:objec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式中：Ehc——核算时段内灰渣产生量，t，根据飞灰份额d</w:t>
            </w:r>
            <w:r>
              <w:rPr>
                <w:rFonts w:hint="default" w:ascii="Times New Roman" w:hAnsi="Times New Roman" w:eastAsia="宋体" w:cs="Times New Roman"/>
                <w:color w:val="auto"/>
                <w:sz w:val="24"/>
                <w:szCs w:val="24"/>
                <w:vertAlign w:val="subscript"/>
              </w:rPr>
              <w:t>fh</w:t>
            </w:r>
            <w:r>
              <w:rPr>
                <w:rFonts w:hint="default" w:ascii="Times New Roman" w:hAnsi="Times New Roman" w:eastAsia="宋体" w:cs="Times New Roman"/>
                <w:color w:val="auto"/>
                <w:sz w:val="24"/>
                <w:szCs w:val="24"/>
              </w:rPr>
              <w:t>可分别核算飞灰、炉渣产生量；</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R——核算时段内锅炉燃</w:t>
            </w:r>
            <w:r>
              <w:rPr>
                <w:rFonts w:hint="default" w:ascii="Times New Roman" w:hAnsi="Times New Roman" w:eastAsia="宋体" w:cs="Times New Roman"/>
                <w:color w:val="auto"/>
                <w:sz w:val="24"/>
                <w:szCs w:val="24"/>
                <w:lang w:eastAsia="zh-CN"/>
              </w:rPr>
              <w:t>料消</w:t>
            </w:r>
            <w:r>
              <w:rPr>
                <w:rFonts w:hint="default" w:ascii="Times New Roman" w:hAnsi="Times New Roman" w:eastAsia="宋体" w:cs="Times New Roman"/>
                <w:color w:val="auto"/>
                <w:sz w:val="24"/>
                <w:szCs w:val="24"/>
              </w:rPr>
              <w:t>耗量，t；本项目燃料使用量为</w:t>
            </w:r>
            <w:r>
              <w:rPr>
                <w:rFonts w:hint="eastAsia" w:ascii="Times New Roman" w:cs="Times New Roman"/>
                <w:color w:val="auto"/>
                <w:sz w:val="24"/>
                <w:szCs w:val="24"/>
                <w:lang w:val="en-US" w:eastAsia="zh-CN"/>
              </w:rPr>
              <w:t>1870</w:t>
            </w:r>
            <w:r>
              <w:rPr>
                <w:rFonts w:hint="default" w:ascii="Times New Roman" w:hAnsi="Times New Roman" w:eastAsia="宋体" w:cs="Times New Roman"/>
                <w:color w:val="auto"/>
                <w:sz w:val="24"/>
                <w:szCs w:val="24"/>
              </w:rPr>
              <w:t>t；</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w:t>
            </w:r>
            <w:r>
              <w:rPr>
                <w:rFonts w:hint="default" w:ascii="Times New Roman" w:hAnsi="Times New Roman" w:eastAsia="宋体" w:cs="Times New Roman"/>
                <w:color w:val="auto"/>
                <w:sz w:val="24"/>
                <w:szCs w:val="24"/>
                <w:vertAlign w:val="subscript"/>
              </w:rPr>
              <w:t>ar</w:t>
            </w:r>
            <w:r>
              <w:rPr>
                <w:rFonts w:hint="default" w:ascii="Times New Roman" w:hAnsi="Times New Roman" w:eastAsia="宋体" w:cs="Times New Roman"/>
                <w:color w:val="auto"/>
                <w:sz w:val="24"/>
                <w:szCs w:val="24"/>
              </w:rPr>
              <w:t>——收到基灰分的质量分数，%，本项目为7.22；</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q</w:t>
            </w:r>
            <w:r>
              <w:rPr>
                <w:rFonts w:hint="default" w:ascii="Times New Roman" w:hAnsi="Times New Roman" w:eastAsia="宋体" w:cs="Times New Roman"/>
                <w:color w:val="auto"/>
                <w:sz w:val="24"/>
                <w:szCs w:val="24"/>
                <w:vertAlign w:val="subscript"/>
              </w:rPr>
              <w:t>4</w:t>
            </w:r>
            <w:r>
              <w:rPr>
                <w:rFonts w:hint="default" w:ascii="Times New Roman" w:hAnsi="Times New Roman" w:eastAsia="宋体" w:cs="Times New Roman"/>
                <w:color w:val="auto"/>
                <w:sz w:val="24"/>
                <w:szCs w:val="24"/>
              </w:rPr>
              <w:t>——锅炉机械不完全燃烧热损失，%；本项目为10；</w:t>
            </w:r>
          </w:p>
          <w:p>
            <w:pPr>
              <w:keepNext/>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Q</w:t>
            </w:r>
            <w:r>
              <w:rPr>
                <w:rFonts w:hint="default" w:ascii="Times New Roman" w:hAnsi="Times New Roman" w:eastAsia="宋体" w:cs="Times New Roman"/>
                <w:color w:val="auto"/>
                <w:sz w:val="24"/>
                <w:szCs w:val="24"/>
                <w:vertAlign w:val="subscript"/>
              </w:rPr>
              <w:t>net，ar</w:t>
            </w:r>
            <w:r>
              <w:rPr>
                <w:rFonts w:hint="default" w:ascii="Times New Roman" w:hAnsi="Times New Roman" w:eastAsia="宋体" w:cs="Times New Roman"/>
                <w:color w:val="auto"/>
                <w:sz w:val="24"/>
                <w:szCs w:val="24"/>
              </w:rPr>
              <w:t>——收到基低位发热量，kJ/kg燃料热值为16.11MJ/kg；</w:t>
            </w:r>
          </w:p>
          <w:p>
            <w:pPr>
              <w:pStyle w:val="2"/>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leftChars="0" w:right="0" w:firstLine="482" w:firstLineChars="200"/>
              <w:textAlignment w:val="auto"/>
              <w:rPr>
                <w:rFonts w:hint="default" w:ascii="Times New Roman" w:hAnsi="Times New Roman" w:eastAsia="宋体" w:cs="Times New Roman"/>
                <w:color w:val="0000FF"/>
                <w:sz w:val="24"/>
                <w:szCs w:val="24"/>
              </w:rPr>
            </w:pPr>
            <w:r>
              <w:rPr>
                <w:rFonts w:hint="default" w:ascii="Times New Roman" w:hAnsi="Times New Roman" w:eastAsia="宋体" w:cs="Times New Roman"/>
                <w:color w:val="auto"/>
                <w:spacing w:val="0"/>
                <w:position w:val="0"/>
                <w:sz w:val="24"/>
                <w:szCs w:val="24"/>
              </w:rPr>
              <w:t>经计算得出灰渣产生量约为</w:t>
            </w:r>
            <w:r>
              <w:rPr>
                <w:rFonts w:hint="eastAsia" w:ascii="Times New Roman" w:hAnsi="Times New Roman" w:cs="Times New Roman"/>
                <w:color w:val="auto"/>
                <w:spacing w:val="0"/>
                <w:position w:val="0"/>
                <w:sz w:val="24"/>
                <w:szCs w:val="24"/>
                <w:lang w:val="en-US" w:eastAsia="zh-CN"/>
              </w:rPr>
              <w:t>223.96</w:t>
            </w:r>
            <w:r>
              <w:rPr>
                <w:rFonts w:hint="default" w:ascii="Times New Roman" w:hAnsi="Times New Roman" w:eastAsia="宋体" w:cs="Times New Roman"/>
                <w:color w:val="auto"/>
                <w:spacing w:val="0"/>
                <w:position w:val="0"/>
                <w:sz w:val="24"/>
                <w:szCs w:val="24"/>
              </w:rPr>
              <w:t>t/钻井期，除尘效率按99.7%计，除尘灰产生量约为</w:t>
            </w:r>
            <w:r>
              <w:rPr>
                <w:rFonts w:hint="eastAsia" w:ascii="Times New Roman" w:hAnsi="Times New Roman" w:cs="Times New Roman"/>
                <w:color w:val="auto"/>
                <w:spacing w:val="0"/>
                <w:position w:val="0"/>
                <w:sz w:val="24"/>
                <w:szCs w:val="24"/>
                <w:lang w:val="en-US" w:eastAsia="zh-CN"/>
              </w:rPr>
              <w:t>79.1</w:t>
            </w:r>
            <w:r>
              <w:rPr>
                <w:rFonts w:hint="default" w:ascii="Times New Roman" w:hAnsi="Times New Roman" w:eastAsia="宋体" w:cs="Times New Roman"/>
                <w:color w:val="auto"/>
                <w:spacing w:val="0"/>
                <w:position w:val="0"/>
                <w:sz w:val="24"/>
                <w:szCs w:val="24"/>
              </w:rPr>
              <w:t>t/钻井期，</w:t>
            </w:r>
            <w:r>
              <w:rPr>
                <w:rFonts w:hint="default" w:ascii="Times New Roman" w:hAnsi="Times New Roman" w:eastAsia="宋体" w:cs="Times New Roman"/>
                <w:color w:val="auto"/>
                <w:sz w:val="24"/>
                <w:szCs w:val="24"/>
              </w:rPr>
              <w:t>统一收集后送至周边固废填埋场处理。</w:t>
            </w:r>
          </w:p>
          <w:p>
            <w:pPr>
              <w:pStyle w:val="31"/>
              <w:keepLines w:val="0"/>
              <w:pageBreakBefore w:val="0"/>
              <w:widowControl w:val="0"/>
              <w:kinsoku/>
              <w:wordWrap/>
              <w:overflowPunct/>
              <w:topLinePunct w:val="0"/>
              <w:autoSpaceDE/>
              <w:autoSpaceDN/>
              <w:bidi w:val="0"/>
              <w:snapToGrid/>
              <w:spacing w:after="0" w:line="440" w:lineRule="exact"/>
              <w:ind w:left="0" w:leftChars="0" w:firstLine="480" w:firstLineChars="200"/>
              <w:textAlignment w:val="auto"/>
              <w:rPr>
                <w:rFonts w:hint="default" w:ascii="Times New Roman" w:hAnsi="Times New Roman" w:eastAsia="宋体" w:cs="Times New Roman"/>
                <w:color w:val="auto"/>
                <w:kern w:val="2"/>
                <w:sz w:val="24"/>
                <w:szCs w:val="24"/>
                <w:lang w:val="en-US" w:eastAsia="zh-CN"/>
              </w:rPr>
            </w:pPr>
            <w:r>
              <w:rPr>
                <w:rFonts w:hint="default" w:ascii="Times New Roman" w:hAnsi="Times New Roman" w:eastAsia="宋体" w:cs="Times New Roman"/>
                <w:color w:val="auto"/>
                <w:kern w:val="2"/>
                <w:sz w:val="24"/>
                <w:szCs w:val="24"/>
                <w:lang w:val="en-US" w:eastAsia="zh-CN"/>
              </w:rPr>
              <w:t>（6）废布袋</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用作颗粒物除尘的布袋除尘器破损时需更换布袋，产生量约为0.1t，产生后由厂家回收处理。</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jc w:val="both"/>
              <w:textAlignment w:val="auto"/>
              <w:rPr>
                <w:rFonts w:hint="default" w:ascii="Times New Roman" w:hAnsi="Times New Roman" w:eastAsia="宋体" w:cs="Times New Roman"/>
                <w:color w:val="auto"/>
                <w:spacing w:val="0"/>
                <w:kern w:val="0"/>
                <w:position w:val="0"/>
                <w:sz w:val="24"/>
                <w:szCs w:val="21"/>
                <w:highlight w:val="none"/>
                <w:lang w:val="en-US" w:eastAsia="zh-CN" w:bidi="ar-SA"/>
              </w:rPr>
            </w:pPr>
            <w:r>
              <w:rPr>
                <w:rFonts w:hint="default" w:ascii="Times New Roman" w:hAnsi="Times New Roman" w:eastAsia="宋体" w:cs="Times New Roman"/>
                <w:color w:val="auto"/>
                <w:spacing w:val="0"/>
                <w:kern w:val="2"/>
                <w:position w:val="0"/>
                <w:sz w:val="24"/>
                <w:szCs w:val="24"/>
                <w:highlight w:val="none"/>
                <w:lang w:val="en-US" w:eastAsia="zh-CN" w:bidi="ar-SA"/>
              </w:rPr>
              <w:t>（7）沾油废物</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pacing w:val="0"/>
                <w:kern w:val="2"/>
                <w:position w:val="0"/>
                <w:sz w:val="24"/>
                <w:szCs w:val="24"/>
                <w:highlight w:val="none"/>
                <w:lang w:val="en-US" w:eastAsia="zh-CN" w:bidi="ar-SA"/>
              </w:rPr>
              <w:t>本项目钻井期和测试放喷期间可能产生少量原油，由于非正常原因导致原油散落地面形成的油土混合物，含油污泥产生量约0.01t。按照《国家危险废物名录（2025年版）》，废油划分为废矿物油与含矿物油废物类，其危险废物编号为HW08，</w:t>
            </w:r>
            <w:r>
              <w:rPr>
                <w:rFonts w:hint="default" w:ascii="Times New Roman" w:hAnsi="Times New Roman" w:eastAsia="宋体" w:cs="Times New Roman"/>
                <w:color w:val="auto"/>
                <w:spacing w:val="0"/>
                <w:kern w:val="0"/>
                <w:position w:val="0"/>
                <w:sz w:val="24"/>
                <w:szCs w:val="21"/>
                <w:highlight w:val="none"/>
                <w:lang w:val="en-US" w:eastAsia="zh-CN" w:bidi="ar-SA"/>
              </w:rPr>
              <w:t>危险废物代码为900-249-08</w:t>
            </w:r>
            <w:r>
              <w:rPr>
                <w:rFonts w:hint="default" w:ascii="Times New Roman" w:hAnsi="Times New Roman" w:eastAsia="宋体" w:cs="Times New Roman"/>
                <w:color w:val="auto"/>
                <w:spacing w:val="0"/>
                <w:kern w:val="2"/>
                <w:position w:val="0"/>
                <w:sz w:val="24"/>
                <w:szCs w:val="24"/>
                <w:highlight w:val="none"/>
                <w:lang w:val="en-US" w:eastAsia="zh-CN" w:bidi="ar-SA"/>
              </w:rPr>
              <w:t>。</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含油污泥桶装收集后暂存于撬装式危废暂存间（8m</w:t>
            </w:r>
            <w:r>
              <w:rPr>
                <w:rFonts w:hint="default" w:ascii="Times New Roman" w:hAnsi="Times New Roman" w:eastAsia="宋体" w:cs="Times New Roman"/>
                <w:color w:val="auto"/>
                <w:kern w:val="2"/>
                <w:sz w:val="24"/>
                <w:szCs w:val="24"/>
                <w:highlight w:val="none"/>
                <w:vertAlign w:val="superscript"/>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）中，定期委托有资质的单位进行处理处置。根据油田公司环境保护管理制度规定，落地油要求100%回收，并且采取严格的防控措施，一般不会产生落地油。</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（9）废烧碱包装袋</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钻井施工过程中配制钻井泥浆时会产生少量烧碱等危险化学品废弃包装袋属于危险废物，根据《国家危险废物名录（2025年版）》，危险化学品废弃包装袋其危险废物编号为HW49，危险废物代码为900-04</w:t>
            </w:r>
            <w:r>
              <w:rPr>
                <w:rFonts w:hint="eastAsia" w:asci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-49。类比同类钻井工程，钻井期间产生的废包装袋约为0.1t/口，及时回收废包装袋，暂存于撬装式危废暂存间（8m</w:t>
            </w:r>
            <w:r>
              <w:rPr>
                <w:rFonts w:hint="default" w:ascii="Times New Roman" w:hAnsi="Times New Roman" w:eastAsia="宋体" w:cs="Times New Roman"/>
                <w:color w:val="auto"/>
                <w:kern w:val="2"/>
                <w:sz w:val="24"/>
                <w:szCs w:val="24"/>
                <w:highlight w:val="none"/>
                <w:vertAlign w:val="superscript"/>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）中，定期委托具有危废处置资质的单位接收处置。</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jc w:val="both"/>
              <w:textAlignment w:val="auto"/>
              <w:rPr>
                <w:rFonts w:hint="default" w:ascii="Times New Roman" w:hAnsi="Times New Roman" w:eastAsia="宋体" w:cs="Times New Roman"/>
                <w:color w:val="auto"/>
                <w:spacing w:val="0"/>
                <w:kern w:val="2"/>
                <w:position w:val="0"/>
                <w:sz w:val="24"/>
                <w:szCs w:val="24"/>
                <w:highlight w:val="none"/>
                <w:lang w:val="en-US" w:eastAsia="zh-CN" w:bidi="ar-SA"/>
              </w:rPr>
            </w:pPr>
            <w:r>
              <w:rPr>
                <w:rFonts w:hint="default" w:ascii="Times New Roman" w:hAnsi="Times New Roman" w:eastAsia="宋体" w:cs="Times New Roman"/>
                <w:color w:val="auto"/>
                <w:spacing w:val="0"/>
                <w:kern w:val="2"/>
                <w:position w:val="0"/>
                <w:sz w:val="24"/>
                <w:szCs w:val="24"/>
                <w:highlight w:val="none"/>
                <w:lang w:val="en-US" w:eastAsia="zh-CN" w:bidi="ar-SA"/>
              </w:rPr>
              <w:t>（10）废矿物油及其包装物</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color w:val="auto"/>
                <w:spacing w:val="0"/>
                <w:kern w:val="2"/>
                <w:position w:val="0"/>
                <w:sz w:val="24"/>
                <w:szCs w:val="24"/>
                <w:highlight w:val="none"/>
                <w:lang w:val="en-US" w:eastAsia="zh-CN" w:bidi="ar-SA"/>
              </w:rPr>
              <w:t>钻井期间使用的机械设备运行过程中需进行维护、保养、维修等工作，以使其能正常运转，此过程中将产生少量的废矿物油，如废液压油、废机油等，按照《国家危险废物名录（2025年版）》，废油划分为废矿物油与含矿物油废物类，其危险废物编号为HW08，危险废物代码为900-249-08。产生量约0.1t，采用专用容器盛装。废包装物为与矿物油同步产生，其危险废物编号为HW08，危险废物代码为900-249-08。产生量约0.02t。废矿物油、废包装物暂存于撬装式危废暂存间（8m</w:t>
            </w:r>
            <w:r>
              <w:rPr>
                <w:rFonts w:hint="default" w:ascii="Times New Roman" w:hAnsi="Times New Roman" w:eastAsia="宋体" w:cs="Times New Roman"/>
                <w:color w:val="auto"/>
                <w:spacing w:val="0"/>
                <w:kern w:val="2"/>
                <w:position w:val="0"/>
                <w:sz w:val="24"/>
                <w:szCs w:val="24"/>
                <w:highlight w:val="none"/>
                <w:vertAlign w:val="superscript"/>
                <w:lang w:val="en-US" w:eastAsia="zh-CN" w:bidi="ar-SA"/>
              </w:rPr>
              <w:t>2</w:t>
            </w:r>
            <w:r>
              <w:rPr>
                <w:rFonts w:hint="default" w:ascii="Times New Roman" w:hAnsi="Times New Roman" w:eastAsia="宋体" w:cs="Times New Roman"/>
                <w:color w:val="auto"/>
                <w:spacing w:val="0"/>
                <w:kern w:val="2"/>
                <w:position w:val="0"/>
                <w:sz w:val="24"/>
                <w:szCs w:val="24"/>
                <w:highlight w:val="none"/>
                <w:lang w:val="en-US" w:eastAsia="zh-CN" w:bidi="ar-SA"/>
              </w:rPr>
              <w:t>）中，定期委托具有危废处置资质的单位接收处置。</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根据《固体废物分类与代码目录》（生态环境部公告 2024年第4号）、《固体废物污染环境防治信息发布指南》（环办固体函〔2024〕37号）、《一般工业固体废物台账管理指南》《危险废物环境管理指南 陆上石油天然气开采》（生态环境部公告 2021年第74号）及《国家危险废物名录（2025年版）》，本项目固体废物类别及处置措施见表4-</w:t>
            </w:r>
            <w:r>
              <w:rPr>
                <w:rFonts w:hint="eastAsia" w:ascii="Times New Roman" w:eastAsia="宋体"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，危险废物类别及处置措施见表4-</w:t>
            </w:r>
            <w:r>
              <w:rPr>
                <w:rFonts w:hint="eastAsia" w:ascii="Times New Roman" w:eastAsia="宋体"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0000FF"/>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5</w:t>
            </w:r>
            <w:r>
              <w:rPr>
                <w:rFonts w:hint="default" w:ascii="Times New Roman" w:hAnsi="Times New Roman" w:eastAsia="宋体" w:cs="Times New Roman"/>
                <w:b/>
                <w:bCs/>
                <w:color w:val="auto"/>
                <w:sz w:val="24"/>
                <w:highlight w:val="none"/>
                <w:lang w:val="en-US" w:eastAsia="zh-CN"/>
              </w:rPr>
              <w:t xml:space="preserve">    工程固体废物产生、处置及防治措施情况一览表</w:t>
            </w:r>
          </w:p>
          <w:tbl>
            <w:tblPr>
              <w:tblStyle w:val="32"/>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03"/>
              <w:gridCol w:w="1176"/>
              <w:gridCol w:w="785"/>
              <w:gridCol w:w="796"/>
              <w:gridCol w:w="496"/>
              <w:gridCol w:w="312"/>
              <w:gridCol w:w="402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10"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属性</w:t>
                  </w:r>
                </w:p>
              </w:tc>
              <w:tc>
                <w:tcPr>
                  <w:tcW w:w="726"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废物代码</w:t>
                  </w:r>
                </w:p>
              </w:tc>
              <w:tc>
                <w:tcPr>
                  <w:tcW w:w="484"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固体废物名称</w:t>
                  </w:r>
                </w:p>
              </w:tc>
              <w:tc>
                <w:tcPr>
                  <w:tcW w:w="491"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产生</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环节</w:t>
                  </w:r>
                </w:p>
              </w:tc>
              <w:tc>
                <w:tcPr>
                  <w:tcW w:w="306"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产生量</w:t>
                  </w:r>
                </w:p>
              </w:tc>
              <w:tc>
                <w:tcPr>
                  <w:tcW w:w="19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单位</w:t>
                  </w:r>
                </w:p>
              </w:tc>
              <w:tc>
                <w:tcPr>
                  <w:tcW w:w="2487"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处理措施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10"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一般工业固体废物</w:t>
                  </w:r>
                </w:p>
              </w:tc>
              <w:tc>
                <w:tcPr>
                  <w:tcW w:w="72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SW12 071-001-S12</w:t>
                  </w:r>
                </w:p>
              </w:tc>
              <w:tc>
                <w:tcPr>
                  <w:tcW w:w="484"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废弃钻井泥浆及岩屑</w:t>
                  </w:r>
                </w:p>
              </w:tc>
              <w:tc>
                <w:tcPr>
                  <w:tcW w:w="491"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钻井过程</w:t>
                  </w:r>
                </w:p>
              </w:tc>
              <w:tc>
                <w:tcPr>
                  <w:tcW w:w="30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kern w:val="2"/>
                      <w:sz w:val="21"/>
                      <w:szCs w:val="21"/>
                      <w:highlight w:val="yellow"/>
                      <w:lang w:val="en-US" w:eastAsia="zh-CN" w:bidi="ar-SA"/>
                    </w:rPr>
                  </w:pPr>
                  <w:r>
                    <w:rPr>
                      <w:rFonts w:hint="eastAsia" w:ascii="Times New Roman" w:cs="Times New Roman"/>
                      <w:color w:val="auto"/>
                      <w:spacing w:val="0"/>
                      <w:position w:val="0"/>
                      <w:sz w:val="21"/>
                      <w:szCs w:val="21"/>
                      <w:highlight w:val="none"/>
                      <w:lang w:val="en-US" w:eastAsia="zh-CN"/>
                    </w:rPr>
                    <w:t>3917.6</w:t>
                  </w:r>
                </w:p>
              </w:tc>
              <w:tc>
                <w:tcPr>
                  <w:tcW w:w="19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p>
              </w:tc>
              <w:tc>
                <w:tcPr>
                  <w:tcW w:w="2487"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岩屑随钻井泥浆带出，泥浆排入泥浆罐循环使用，完井后拉运至下一口井再利用，膨润土体系废弃钻井岩屑排入膨润土岩屑池干化，达到《油气田钻井固体废物综合利用污染控制要求》（DB65/T 3997-2017）及《石油天然气开采业固体废物污染控制技术规范（试行）》（HJ1461-2026</w:t>
                  </w:r>
                  <w:r>
                    <w:rPr>
                      <w:rFonts w:hint="eastAsia" w:asci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标准</w:t>
                  </w:r>
                  <w:r>
                    <w:rPr>
                      <w:rFonts w:hint="eastAsia" w:ascii="Times New Roman" w:cs="Times New Roman"/>
                      <w:color w:val="auto"/>
                      <w:sz w:val="21"/>
                      <w:szCs w:val="21"/>
                      <w:highlight w:val="none"/>
                      <w:lang w:val="en-US" w:eastAsia="zh-CN"/>
                    </w:rPr>
                    <w:t>（</w:t>
                  </w:r>
                  <w:r>
                    <w:rPr>
                      <w:rFonts w:hint="eastAsia" w:ascii="Times New Roman" w:cs="Times New Roman"/>
                      <w:color w:val="auto"/>
                      <w:spacing w:val="-10"/>
                      <w:sz w:val="21"/>
                      <w:szCs w:val="21"/>
                      <w:highlight w:val="none"/>
                      <w:lang w:val="en-US" w:eastAsia="zh-CN"/>
                    </w:rPr>
                    <w:t>含水率＜60%、石油烃＜4500mg/kg</w:t>
                  </w:r>
                  <w:r>
                    <w:rPr>
                      <w:rFonts w:hint="eastAsia" w:asci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后，用于井场平整；</w:t>
                  </w:r>
                  <w:r>
                    <w:rPr>
                      <w:rFonts w:hint="eastAsia" w:ascii="Times New Roman" w:cs="Times New Roman"/>
                      <w:color w:val="auto"/>
                      <w:sz w:val="21"/>
                      <w:szCs w:val="21"/>
                      <w:highlight w:val="none"/>
                      <w:lang w:val="en-US" w:eastAsia="zh-CN"/>
                    </w:rPr>
                    <w:t>聚磺体系废弃钻井岩屑收集后拉运至塔中油田钻试修废弃物环保处理站处理</w:t>
                  </w:r>
                  <w:r>
                    <w:rPr>
                      <w:rFonts w:hint="default" w:ascii="Times New Roman" w:hAnsi="Times New Roman" w:eastAsia="宋体" w:cs="Times New Roman"/>
                      <w:color w:val="auto"/>
                      <w:sz w:val="21"/>
                      <w:szCs w:val="21"/>
                      <w:highlight w:val="none"/>
                      <w:lang w:val="en-US" w:eastAsia="zh-CN"/>
                    </w:rPr>
                    <w:t>，处理后</w:t>
                  </w:r>
                  <w:r>
                    <w:rPr>
                      <w:rFonts w:hint="eastAsia" w:ascii="Times New Roman" w:cs="Times New Roman"/>
                      <w:color w:val="auto"/>
                      <w:sz w:val="21"/>
                      <w:szCs w:val="21"/>
                      <w:highlight w:val="none"/>
                      <w:lang w:val="en-US" w:eastAsia="zh-CN"/>
                    </w:rPr>
                    <w:t>还原土</w:t>
                  </w:r>
                  <w:r>
                    <w:rPr>
                      <w:rFonts w:hint="default" w:ascii="Times New Roman" w:hAnsi="Times New Roman" w:eastAsia="宋体" w:cs="Times New Roman"/>
                      <w:color w:val="auto"/>
                      <w:sz w:val="21"/>
                      <w:szCs w:val="21"/>
                      <w:highlight w:val="none"/>
                      <w:lang w:val="en-US" w:eastAsia="zh-CN"/>
                    </w:rPr>
                    <w:t>用于铺垫油区内的井场、道路。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10"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0000FF"/>
                      <w:sz w:val="21"/>
                      <w:szCs w:val="21"/>
                      <w:highlight w:val="none"/>
                      <w:lang w:val="en-US" w:eastAsia="zh-CN"/>
                    </w:rPr>
                  </w:pPr>
                </w:p>
              </w:tc>
              <w:tc>
                <w:tcPr>
                  <w:tcW w:w="72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SW90 462-001-S90</w:t>
                  </w:r>
                </w:p>
              </w:tc>
              <w:tc>
                <w:tcPr>
                  <w:tcW w:w="484"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污水处理站污泥</w:t>
                  </w:r>
                </w:p>
              </w:tc>
              <w:tc>
                <w:tcPr>
                  <w:tcW w:w="491"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污水处理站</w:t>
                  </w:r>
                </w:p>
              </w:tc>
              <w:tc>
                <w:tcPr>
                  <w:tcW w:w="30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0"/>
                      <w:position w:val="0"/>
                      <w:sz w:val="21"/>
                      <w:szCs w:val="21"/>
                      <w:highlight w:val="none"/>
                      <w:lang w:val="en-US" w:eastAsia="zh-CN"/>
                    </w:rPr>
                    <w:t>0.12</w:t>
                  </w:r>
                </w:p>
              </w:tc>
              <w:tc>
                <w:tcPr>
                  <w:tcW w:w="19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t>
                  </w:r>
                </w:p>
              </w:tc>
              <w:tc>
                <w:tcPr>
                  <w:tcW w:w="2487"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定期送至</w:t>
                  </w:r>
                  <w:r>
                    <w:rPr>
                      <w:rFonts w:hint="eastAsia" w:ascii="Times New Roman" w:cs="Times New Roman"/>
                      <w:color w:val="auto"/>
                      <w:sz w:val="21"/>
                      <w:szCs w:val="21"/>
                      <w:highlight w:val="none"/>
                      <w:lang w:val="en-US" w:eastAsia="zh-CN"/>
                    </w:rPr>
                    <w:t>塔中镇生活垃圾填埋场处理</w:t>
                  </w:r>
                  <w:r>
                    <w:rPr>
                      <w:rFonts w:hint="default" w:ascii="Times New Roman" w:hAnsi="Times New Roman" w:eastAsia="宋体" w:cs="Times New Roman"/>
                      <w:color w:val="auto"/>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10"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0000FF"/>
                      <w:sz w:val="21"/>
                      <w:szCs w:val="21"/>
                      <w:highlight w:val="none"/>
                      <w:lang w:val="en-US" w:eastAsia="zh-CN"/>
                    </w:rPr>
                  </w:pPr>
                </w:p>
              </w:tc>
              <w:tc>
                <w:tcPr>
                  <w:tcW w:w="72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SW03</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900-001-S03</w:t>
                  </w:r>
                </w:p>
              </w:tc>
              <w:tc>
                <w:tcPr>
                  <w:tcW w:w="484"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锅炉灰渣</w:t>
                  </w:r>
                </w:p>
              </w:tc>
              <w:tc>
                <w:tcPr>
                  <w:tcW w:w="491"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供热</w:t>
                  </w:r>
                </w:p>
              </w:tc>
              <w:tc>
                <w:tcPr>
                  <w:tcW w:w="30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pacing w:val="0"/>
                      <w:kern w:val="2"/>
                      <w:position w:val="0"/>
                      <w:sz w:val="21"/>
                      <w:szCs w:val="21"/>
                      <w:highlight w:val="none"/>
                      <w:lang w:val="en-US" w:eastAsia="zh-CN" w:bidi="ar-SA"/>
                    </w:rPr>
                    <w:t>223.96</w:t>
                  </w:r>
                </w:p>
              </w:tc>
              <w:tc>
                <w:tcPr>
                  <w:tcW w:w="19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w:t>
                  </w:r>
                </w:p>
              </w:tc>
              <w:tc>
                <w:tcPr>
                  <w:tcW w:w="2487" w:type="pct"/>
                  <w:vMerge w:val="restar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统一收集后送至周边固废填埋场处理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10"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0000FF"/>
                      <w:sz w:val="21"/>
                      <w:szCs w:val="21"/>
                      <w:highlight w:val="none"/>
                      <w:lang w:val="en-US" w:eastAsia="zh-CN"/>
                    </w:rPr>
                  </w:pPr>
                </w:p>
              </w:tc>
              <w:tc>
                <w:tcPr>
                  <w:tcW w:w="72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SW02</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900-001-S02</w:t>
                  </w:r>
                </w:p>
              </w:tc>
              <w:tc>
                <w:tcPr>
                  <w:tcW w:w="484"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w:t>
                  </w:r>
                </w:p>
              </w:tc>
              <w:tc>
                <w:tcPr>
                  <w:tcW w:w="491"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供热</w:t>
                  </w:r>
                </w:p>
              </w:tc>
              <w:tc>
                <w:tcPr>
                  <w:tcW w:w="30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pacing w:val="0"/>
                      <w:kern w:val="2"/>
                      <w:position w:val="0"/>
                      <w:sz w:val="21"/>
                      <w:szCs w:val="21"/>
                      <w:highlight w:val="none"/>
                      <w:lang w:val="en-US" w:eastAsia="zh-CN" w:bidi="ar-SA"/>
                    </w:rPr>
                    <w:t>79.1</w:t>
                  </w:r>
                </w:p>
              </w:tc>
              <w:tc>
                <w:tcPr>
                  <w:tcW w:w="19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w:t>
                  </w:r>
                </w:p>
              </w:tc>
              <w:tc>
                <w:tcPr>
                  <w:tcW w:w="2487"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10" w:type="pct"/>
                  <w:vMerge w:val="continue"/>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0000FF"/>
                      <w:sz w:val="21"/>
                      <w:szCs w:val="21"/>
                      <w:highlight w:val="none"/>
                      <w:lang w:val="en-US" w:eastAsia="zh-CN"/>
                    </w:rPr>
                  </w:pPr>
                </w:p>
              </w:tc>
              <w:tc>
                <w:tcPr>
                  <w:tcW w:w="72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SW59</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900-099-S59</w:t>
                  </w:r>
                </w:p>
              </w:tc>
              <w:tc>
                <w:tcPr>
                  <w:tcW w:w="484"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废布袋</w:t>
                  </w:r>
                </w:p>
              </w:tc>
              <w:tc>
                <w:tcPr>
                  <w:tcW w:w="491"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废气处理</w:t>
                  </w:r>
                </w:p>
              </w:tc>
              <w:tc>
                <w:tcPr>
                  <w:tcW w:w="30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bidi="ar-SA"/>
                    </w:rPr>
                    <w:t>0.1</w:t>
                  </w:r>
                </w:p>
              </w:tc>
              <w:tc>
                <w:tcPr>
                  <w:tcW w:w="19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w:t>
                  </w:r>
                </w:p>
              </w:tc>
              <w:tc>
                <w:tcPr>
                  <w:tcW w:w="2487"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厂家回收处理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10"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生活垃圾</w:t>
                  </w:r>
                </w:p>
              </w:tc>
              <w:tc>
                <w:tcPr>
                  <w:tcW w:w="72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SW64 900-099-S64</w:t>
                  </w:r>
                </w:p>
              </w:tc>
              <w:tc>
                <w:tcPr>
                  <w:tcW w:w="484"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生活垃圾</w:t>
                  </w:r>
                </w:p>
              </w:tc>
              <w:tc>
                <w:tcPr>
                  <w:tcW w:w="491"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施工人员生活</w:t>
                  </w:r>
                </w:p>
              </w:tc>
              <w:tc>
                <w:tcPr>
                  <w:tcW w:w="306" w:type="pct"/>
                  <w:shd w:val="clear" w:color="auto" w:fill="auto"/>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11.4</w:t>
                  </w:r>
                </w:p>
              </w:tc>
              <w:tc>
                <w:tcPr>
                  <w:tcW w:w="192"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t>
                  </w:r>
                </w:p>
              </w:tc>
              <w:tc>
                <w:tcPr>
                  <w:tcW w:w="2487" w:type="pct"/>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定期送至</w:t>
                  </w:r>
                  <w:r>
                    <w:rPr>
                      <w:rFonts w:hint="eastAsia" w:ascii="Times New Roman" w:cs="Times New Roman"/>
                      <w:color w:val="auto"/>
                      <w:sz w:val="21"/>
                      <w:szCs w:val="21"/>
                      <w:highlight w:val="none"/>
                      <w:lang w:val="en-US" w:eastAsia="zh-CN"/>
                    </w:rPr>
                    <w:t>塔中镇生活垃圾填埋场处理</w:t>
                  </w:r>
                  <w:r>
                    <w:rPr>
                      <w:rFonts w:hint="default" w:ascii="Times New Roman" w:hAnsi="Times New Roman" w:eastAsia="宋体" w:cs="Times New Roman"/>
                      <w:color w:val="auto"/>
                      <w:sz w:val="21"/>
                      <w:szCs w:val="21"/>
                      <w:highlight w:val="none"/>
                      <w:lang w:val="en-US" w:eastAsia="zh-CN"/>
                    </w:rPr>
                    <w:t>。</w:t>
                  </w:r>
                </w:p>
              </w:tc>
            </w:tr>
          </w:tbl>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6</w:t>
            </w:r>
            <w:r>
              <w:rPr>
                <w:rFonts w:hint="default" w:ascii="Times New Roman" w:hAnsi="Times New Roman" w:eastAsia="宋体" w:cs="Times New Roman"/>
                <w:b/>
                <w:bCs/>
                <w:color w:val="auto"/>
                <w:sz w:val="24"/>
                <w:highlight w:val="none"/>
                <w:lang w:val="en-US" w:eastAsia="zh-CN"/>
              </w:rPr>
              <w:t xml:space="preserve">    工程危险废物产生、处置及防治措施情况一览表</w:t>
            </w:r>
          </w:p>
          <w:tbl>
            <w:tblPr>
              <w:tblStyle w:val="32"/>
              <w:tblW w:w="499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60"/>
              <w:gridCol w:w="461"/>
              <w:gridCol w:w="561"/>
              <w:gridCol w:w="1716"/>
              <w:gridCol w:w="915"/>
              <w:gridCol w:w="658"/>
              <w:gridCol w:w="401"/>
              <w:gridCol w:w="527"/>
              <w:gridCol w:w="598"/>
              <w:gridCol w:w="507"/>
              <w:gridCol w:w="541"/>
              <w:gridCol w:w="73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危险废物名称</w:t>
                  </w:r>
                </w:p>
              </w:tc>
              <w:tc>
                <w:tcPr>
                  <w:tcW w:w="285"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废物</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类别</w:t>
                  </w:r>
                </w:p>
              </w:tc>
              <w:tc>
                <w:tcPr>
                  <w:tcW w:w="347"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废物</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代码</w:t>
                  </w:r>
                </w:p>
              </w:tc>
              <w:tc>
                <w:tcPr>
                  <w:tcW w:w="1061"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危险废物</w:t>
                  </w:r>
                </w:p>
              </w:tc>
              <w:tc>
                <w:tcPr>
                  <w:tcW w:w="566"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产生量</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eastAsia" w:ascii="Times New Roman" w:eastAsia="宋体" w:cs="Times New Roman"/>
                      <w:color w:val="auto"/>
                      <w:spacing w:val="-10"/>
                      <w:kern w:val="2"/>
                      <w:sz w:val="21"/>
                      <w:szCs w:val="21"/>
                      <w:highlight w:val="none"/>
                      <w:lang w:val="en-US" w:eastAsia="zh-CN"/>
                    </w:rPr>
                    <w:t>（</w:t>
                  </w:r>
                  <w:r>
                    <w:rPr>
                      <w:rFonts w:hint="default" w:ascii="Times New Roman" w:hAnsi="Times New Roman" w:eastAsia="宋体" w:cs="Times New Roman"/>
                      <w:color w:val="auto"/>
                      <w:spacing w:val="-10"/>
                      <w:kern w:val="2"/>
                      <w:sz w:val="21"/>
                      <w:szCs w:val="21"/>
                      <w:highlight w:val="none"/>
                      <w:lang w:val="en-US" w:eastAsia="zh-CN"/>
                    </w:rPr>
                    <w:t>t/</w:t>
                  </w:r>
                  <w:r>
                    <w:rPr>
                      <w:rFonts w:hint="eastAsia" w:ascii="Times New Roman" w:eastAsia="宋体" w:cs="Times New Roman"/>
                      <w:color w:val="auto"/>
                      <w:spacing w:val="-10"/>
                      <w:kern w:val="2"/>
                      <w:sz w:val="21"/>
                      <w:szCs w:val="21"/>
                      <w:highlight w:val="none"/>
                      <w:lang w:val="en-US" w:eastAsia="zh-CN"/>
                    </w:rPr>
                    <w:t>钻井期）</w:t>
                  </w:r>
                </w:p>
              </w:tc>
              <w:tc>
                <w:tcPr>
                  <w:tcW w:w="407"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产生工序及装置</w:t>
                  </w:r>
                </w:p>
              </w:tc>
              <w:tc>
                <w:tcPr>
                  <w:tcW w:w="248"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形态</w:t>
                  </w:r>
                </w:p>
              </w:tc>
              <w:tc>
                <w:tcPr>
                  <w:tcW w:w="326"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主要成分</w:t>
                  </w:r>
                </w:p>
              </w:tc>
              <w:tc>
                <w:tcPr>
                  <w:tcW w:w="369"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有害</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成分</w:t>
                  </w:r>
                </w:p>
              </w:tc>
              <w:tc>
                <w:tcPr>
                  <w:tcW w:w="313"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产废周期</w:t>
                  </w:r>
                </w:p>
              </w:tc>
              <w:tc>
                <w:tcPr>
                  <w:tcW w:w="33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危废特性</w:t>
                  </w:r>
                </w:p>
              </w:tc>
              <w:tc>
                <w:tcPr>
                  <w:tcW w:w="455"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污染防治措施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废烧碱包装袋</w:t>
                  </w:r>
                </w:p>
              </w:tc>
              <w:tc>
                <w:tcPr>
                  <w:tcW w:w="285"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HW49</w:t>
                  </w:r>
                </w:p>
              </w:tc>
              <w:tc>
                <w:tcPr>
                  <w:tcW w:w="347"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900-04</w:t>
                  </w:r>
                  <w:r>
                    <w:rPr>
                      <w:rFonts w:hint="eastAsia" w:ascii="Times New Roman" w:eastAsia="宋体" w:cs="Times New Roman"/>
                      <w:color w:val="auto"/>
                      <w:spacing w:val="-10"/>
                      <w:kern w:val="2"/>
                      <w:sz w:val="21"/>
                      <w:szCs w:val="21"/>
                      <w:highlight w:val="none"/>
                      <w:lang w:val="en-US" w:eastAsia="zh-CN"/>
                    </w:rPr>
                    <w:t>1</w:t>
                  </w:r>
                  <w:r>
                    <w:rPr>
                      <w:rFonts w:hint="default" w:ascii="Times New Roman" w:hAnsi="Times New Roman" w:eastAsia="宋体" w:cs="Times New Roman"/>
                      <w:color w:val="auto"/>
                      <w:spacing w:val="-10"/>
                      <w:kern w:val="2"/>
                      <w:sz w:val="21"/>
                      <w:szCs w:val="21"/>
                      <w:highlight w:val="none"/>
                      <w:lang w:val="en-US" w:eastAsia="zh-CN"/>
                    </w:rPr>
                    <w:t>-49</w:t>
                  </w:r>
                </w:p>
              </w:tc>
              <w:tc>
                <w:tcPr>
                  <w:tcW w:w="1061"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含有或者沾染毒性、感染性危险废物的废弃的包装物、容器、过滤吸附介质</w:t>
                  </w:r>
                </w:p>
              </w:tc>
              <w:tc>
                <w:tcPr>
                  <w:tcW w:w="566" w:type="pct"/>
                  <w:noWrap w:val="0"/>
                  <w:tcMar>
                    <w:left w:w="28" w:type="dxa"/>
                    <w:right w:w="28" w:type="dxa"/>
                  </w:tcMar>
                  <w:vAlign w:val="center"/>
                </w:tcPr>
                <w:p>
                  <w:pPr>
                    <w:pStyle w:val="3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jc w:val="center"/>
                    <w:textAlignment w:val="auto"/>
                    <w:rPr>
                      <w:rFonts w:hint="default" w:ascii="Times New Roman" w:hAnsi="Times New Roman" w:eastAsia="宋体" w:cs="Times New Roman"/>
                      <w:snapToGrid w:val="0"/>
                      <w:color w:val="auto"/>
                      <w:spacing w:val="-10"/>
                      <w:sz w:val="21"/>
                      <w:szCs w:val="21"/>
                      <w:highlight w:val="none"/>
                      <w:lang w:val="en-US" w:eastAsia="zh-CN"/>
                    </w:rPr>
                  </w:pPr>
                  <w:r>
                    <w:rPr>
                      <w:rFonts w:hint="default" w:ascii="Times New Roman" w:hAnsi="Times New Roman" w:eastAsia="宋体" w:cs="Times New Roman"/>
                      <w:snapToGrid w:val="0"/>
                      <w:color w:val="auto"/>
                      <w:spacing w:val="-10"/>
                      <w:sz w:val="21"/>
                      <w:szCs w:val="21"/>
                      <w:highlight w:val="none"/>
                      <w:lang w:val="en-US" w:eastAsia="zh-CN"/>
                    </w:rPr>
                    <w:t>0.1</w:t>
                  </w:r>
                </w:p>
              </w:tc>
              <w:tc>
                <w:tcPr>
                  <w:tcW w:w="407"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使用烧碱过程对应产生</w:t>
                  </w:r>
                </w:p>
              </w:tc>
              <w:tc>
                <w:tcPr>
                  <w:tcW w:w="248"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固体</w:t>
                  </w:r>
                </w:p>
              </w:tc>
              <w:tc>
                <w:tcPr>
                  <w:tcW w:w="326"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NaOH</w:t>
                  </w:r>
                </w:p>
              </w:tc>
              <w:tc>
                <w:tcPr>
                  <w:tcW w:w="369"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NaOH</w:t>
                  </w:r>
                </w:p>
              </w:tc>
              <w:tc>
                <w:tcPr>
                  <w:tcW w:w="313"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w:t>
                  </w:r>
                </w:p>
              </w:tc>
              <w:tc>
                <w:tcPr>
                  <w:tcW w:w="33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T/C/I/R</w:t>
                  </w:r>
                </w:p>
              </w:tc>
              <w:tc>
                <w:tcPr>
                  <w:tcW w:w="455" w:type="pct"/>
                  <w:vMerge w:val="restar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收集后，由有危废处置资质单位接收处置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4" w:type="pct"/>
                  <w:shd w:val="clear" w:color="auto" w:fill="auto"/>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废矿物油</w:t>
                  </w:r>
                  <w:r>
                    <w:rPr>
                      <w:rFonts w:hint="eastAsia" w:ascii="Times New Roman" w:eastAsia="宋体" w:cs="Times New Roman"/>
                      <w:color w:val="auto"/>
                      <w:spacing w:val="-10"/>
                      <w:kern w:val="2"/>
                      <w:sz w:val="21"/>
                      <w:szCs w:val="21"/>
                      <w:highlight w:val="none"/>
                      <w:lang w:val="en-US" w:eastAsia="zh-CN"/>
                    </w:rPr>
                    <w:t>及其包装物</w:t>
                  </w:r>
                </w:p>
              </w:tc>
              <w:tc>
                <w:tcPr>
                  <w:tcW w:w="285" w:type="pct"/>
                  <w:vMerge w:val="restar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HW08</w:t>
                  </w:r>
                </w:p>
              </w:tc>
              <w:tc>
                <w:tcPr>
                  <w:tcW w:w="347" w:type="pct"/>
                  <w:vMerge w:val="restar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900-249-08</w:t>
                  </w:r>
                </w:p>
              </w:tc>
              <w:tc>
                <w:tcPr>
                  <w:tcW w:w="1061" w:type="pct"/>
                  <w:vMerge w:val="restar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0"/>
                      <w:kern w:val="2"/>
                      <w:position w:val="0"/>
                      <w:sz w:val="21"/>
                      <w:szCs w:val="21"/>
                      <w:highlight w:val="none"/>
                      <w:lang w:val="en-US" w:eastAsia="zh-CN"/>
                    </w:rPr>
                    <w:t>其他生产、销售、使用过程中产生的废矿物油及沾染矿物油的废弃包装物</w:t>
                  </w:r>
                </w:p>
              </w:tc>
              <w:tc>
                <w:tcPr>
                  <w:tcW w:w="566" w:type="pct"/>
                  <w:shd w:val="clear" w:color="auto" w:fill="auto"/>
                  <w:noWrap w:val="0"/>
                  <w:tcMar>
                    <w:left w:w="28" w:type="dxa"/>
                    <w:right w:w="28" w:type="dxa"/>
                  </w:tcMar>
                  <w:vAlign w:val="center"/>
                </w:tcPr>
                <w:p>
                  <w:pPr>
                    <w:pStyle w:val="31"/>
                    <w:keepNext w:val="0"/>
                    <w:keepLines w:val="0"/>
                    <w:pageBreakBefore w:val="0"/>
                    <w:widowControl w:val="0"/>
                    <w:kinsoku/>
                    <w:wordWrap/>
                    <w:overflowPunct/>
                    <w:topLinePunct w:val="0"/>
                    <w:autoSpaceDE/>
                    <w:autoSpaceDN/>
                    <w:bidi w:val="0"/>
                    <w:adjustRightInd/>
                    <w:snapToGrid/>
                    <w:spacing w:after="0" w:line="360" w:lineRule="exact"/>
                    <w:ind w:left="0" w:leftChars="0" w:right="0" w:rightChars="0" w:firstLine="0" w:firstLineChars="0"/>
                    <w:jc w:val="center"/>
                    <w:textAlignment w:val="auto"/>
                    <w:rPr>
                      <w:rFonts w:hint="default" w:ascii="Times New Roman" w:hAnsi="Times New Roman" w:eastAsia="宋体" w:cs="Times New Roman"/>
                      <w:snapToGrid w:val="0"/>
                      <w:color w:val="auto"/>
                      <w:spacing w:val="0"/>
                      <w:kern w:val="0"/>
                      <w:position w:val="0"/>
                      <w:sz w:val="21"/>
                      <w:szCs w:val="21"/>
                      <w:highlight w:val="none"/>
                      <w:lang w:val="en-US" w:eastAsia="zh-CN" w:bidi="ar-SA"/>
                    </w:rPr>
                  </w:pPr>
                  <w:r>
                    <w:rPr>
                      <w:rFonts w:hint="default" w:ascii="Times New Roman" w:hAnsi="Times New Roman" w:eastAsia="宋体" w:cs="Times New Roman"/>
                      <w:snapToGrid w:val="0"/>
                      <w:color w:val="auto"/>
                      <w:spacing w:val="0"/>
                      <w:position w:val="0"/>
                      <w:sz w:val="21"/>
                      <w:szCs w:val="21"/>
                      <w:highlight w:val="none"/>
                      <w:lang w:val="en-US" w:eastAsia="zh-CN"/>
                    </w:rPr>
                    <w:t>0.1</w:t>
                  </w:r>
                </w:p>
              </w:tc>
              <w:tc>
                <w:tcPr>
                  <w:tcW w:w="407" w:type="pct"/>
                  <w:shd w:val="clear" w:color="auto" w:fill="auto"/>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钻井过程</w:t>
                  </w:r>
                </w:p>
              </w:tc>
              <w:tc>
                <w:tcPr>
                  <w:tcW w:w="248" w:type="pct"/>
                  <w:shd w:val="clear" w:color="auto" w:fill="auto"/>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固态</w:t>
                  </w:r>
                </w:p>
              </w:tc>
              <w:tc>
                <w:tcPr>
                  <w:tcW w:w="326" w:type="pct"/>
                  <w:shd w:val="clear" w:color="auto" w:fill="auto"/>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废矿物油</w:t>
                  </w:r>
                </w:p>
              </w:tc>
              <w:tc>
                <w:tcPr>
                  <w:tcW w:w="369" w:type="pct"/>
                  <w:shd w:val="clear" w:color="auto" w:fill="auto"/>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rPr>
                  </w:pPr>
                  <w:r>
                    <w:rPr>
                      <w:rFonts w:hint="default" w:ascii="Times New Roman" w:hAnsi="Times New Roman" w:eastAsia="宋体" w:cs="Times New Roman"/>
                      <w:color w:val="auto"/>
                      <w:spacing w:val="0"/>
                      <w:kern w:val="2"/>
                      <w:position w:val="0"/>
                      <w:sz w:val="21"/>
                      <w:szCs w:val="21"/>
                      <w:highlight w:val="none"/>
                      <w:lang w:val="en-US" w:eastAsia="zh-CN"/>
                    </w:rPr>
                    <w:t>油类</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物质</w:t>
                  </w:r>
                </w:p>
              </w:tc>
              <w:tc>
                <w:tcPr>
                  <w:tcW w:w="313" w:type="pct"/>
                  <w:shd w:val="clear" w:color="auto" w:fill="auto"/>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w:t>
                  </w:r>
                </w:p>
              </w:tc>
              <w:tc>
                <w:tcPr>
                  <w:tcW w:w="334" w:type="pct"/>
                  <w:shd w:val="clear" w:color="auto" w:fill="auto"/>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T，I</w:t>
                  </w:r>
                </w:p>
              </w:tc>
              <w:tc>
                <w:tcPr>
                  <w:tcW w:w="455" w:type="pct"/>
                  <w:vMerge w:val="continue"/>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84" w:type="pct"/>
                  <w:shd w:val="clear" w:color="auto" w:fill="auto"/>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沾油废物</w:t>
                  </w:r>
                </w:p>
              </w:tc>
              <w:tc>
                <w:tcPr>
                  <w:tcW w:w="285" w:type="pct"/>
                  <w:vMerge w:val="continue"/>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p>
              </w:tc>
              <w:tc>
                <w:tcPr>
                  <w:tcW w:w="347" w:type="pct"/>
                  <w:vMerge w:val="continue"/>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p>
              </w:tc>
              <w:tc>
                <w:tcPr>
                  <w:tcW w:w="1061" w:type="pct"/>
                  <w:vMerge w:val="continue"/>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p>
              </w:tc>
              <w:tc>
                <w:tcPr>
                  <w:tcW w:w="566" w:type="pct"/>
                  <w:shd w:val="clear" w:color="auto" w:fill="auto"/>
                  <w:noWrap w:val="0"/>
                  <w:tcMar>
                    <w:left w:w="28" w:type="dxa"/>
                    <w:right w:w="28" w:type="dxa"/>
                  </w:tcMar>
                  <w:vAlign w:val="center"/>
                </w:tcPr>
                <w:p>
                  <w:pPr>
                    <w:pStyle w:val="31"/>
                    <w:keepNext w:val="0"/>
                    <w:keepLines w:val="0"/>
                    <w:pageBreakBefore w:val="0"/>
                    <w:widowControl w:val="0"/>
                    <w:kinsoku/>
                    <w:wordWrap/>
                    <w:overflowPunct/>
                    <w:topLinePunct w:val="0"/>
                    <w:autoSpaceDE/>
                    <w:autoSpaceDN/>
                    <w:bidi w:val="0"/>
                    <w:adjustRightInd/>
                    <w:snapToGrid/>
                    <w:spacing w:before="0" w:after="0" w:line="360" w:lineRule="exact"/>
                    <w:ind w:left="0" w:leftChars="0" w:right="0" w:rightChars="0" w:firstLine="0" w:firstLineChars="0"/>
                    <w:jc w:val="center"/>
                    <w:textAlignment w:val="auto"/>
                    <w:rPr>
                      <w:rFonts w:hint="default" w:ascii="Times New Roman" w:hAnsi="Times New Roman" w:eastAsia="宋体" w:cs="Times New Roman"/>
                      <w:snapToGrid w:val="0"/>
                      <w:color w:val="auto"/>
                      <w:spacing w:val="0"/>
                      <w:kern w:val="0"/>
                      <w:position w:val="0"/>
                      <w:sz w:val="21"/>
                      <w:szCs w:val="21"/>
                      <w:highlight w:val="none"/>
                      <w:lang w:val="en-US" w:eastAsia="zh-CN" w:bidi="ar-SA"/>
                    </w:rPr>
                  </w:pPr>
                  <w:r>
                    <w:rPr>
                      <w:rFonts w:hint="default" w:ascii="Times New Roman" w:hAnsi="Times New Roman" w:eastAsia="宋体" w:cs="Times New Roman"/>
                      <w:snapToGrid w:val="0"/>
                      <w:color w:val="auto"/>
                      <w:spacing w:val="0"/>
                      <w:position w:val="0"/>
                      <w:sz w:val="21"/>
                      <w:szCs w:val="21"/>
                      <w:highlight w:val="none"/>
                      <w:lang w:val="en-US" w:eastAsia="zh-CN"/>
                    </w:rPr>
                    <w:t>0.01</w:t>
                  </w:r>
                </w:p>
              </w:tc>
              <w:tc>
                <w:tcPr>
                  <w:tcW w:w="407" w:type="pct"/>
                  <w:shd w:val="clear" w:color="auto" w:fill="auto"/>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钻井过程</w:t>
                  </w:r>
                </w:p>
              </w:tc>
              <w:tc>
                <w:tcPr>
                  <w:tcW w:w="248" w:type="pct"/>
                  <w:shd w:val="clear" w:color="auto" w:fill="auto"/>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固态</w:t>
                  </w:r>
                </w:p>
              </w:tc>
              <w:tc>
                <w:tcPr>
                  <w:tcW w:w="326" w:type="pct"/>
                  <w:shd w:val="clear" w:color="auto" w:fill="auto"/>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废矿物油</w:t>
                  </w:r>
                </w:p>
              </w:tc>
              <w:tc>
                <w:tcPr>
                  <w:tcW w:w="369" w:type="pct"/>
                  <w:shd w:val="clear" w:color="auto" w:fill="auto"/>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rPr>
                  </w:pPr>
                  <w:r>
                    <w:rPr>
                      <w:rFonts w:hint="default" w:ascii="Times New Roman" w:hAnsi="Times New Roman" w:eastAsia="宋体" w:cs="Times New Roman"/>
                      <w:color w:val="auto"/>
                      <w:spacing w:val="0"/>
                      <w:kern w:val="2"/>
                      <w:position w:val="0"/>
                      <w:sz w:val="21"/>
                      <w:szCs w:val="21"/>
                      <w:highlight w:val="none"/>
                      <w:lang w:val="en-US" w:eastAsia="zh-CN"/>
                    </w:rPr>
                    <w:t>油类</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物质</w:t>
                  </w:r>
                </w:p>
              </w:tc>
              <w:tc>
                <w:tcPr>
                  <w:tcW w:w="313" w:type="pct"/>
                  <w:shd w:val="clear" w:color="auto" w:fill="auto"/>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w:t>
                  </w:r>
                </w:p>
              </w:tc>
              <w:tc>
                <w:tcPr>
                  <w:tcW w:w="334" w:type="pct"/>
                  <w:shd w:val="clear" w:color="auto" w:fill="auto"/>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kern w:val="2"/>
                      <w:position w:val="0"/>
                      <w:sz w:val="21"/>
                      <w:szCs w:val="21"/>
                      <w:highlight w:val="none"/>
                      <w:lang w:val="en-US" w:eastAsia="zh-CN"/>
                    </w:rPr>
                    <w:t>T,I</w:t>
                  </w:r>
                </w:p>
              </w:tc>
              <w:tc>
                <w:tcPr>
                  <w:tcW w:w="455" w:type="pct"/>
                  <w:vMerge w:val="continue"/>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p>
              </w:tc>
            </w:tr>
          </w:tbl>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zh-CN" w:eastAsia="zh-CN"/>
              </w:rPr>
            </w:pPr>
            <w:r>
              <w:rPr>
                <w:rFonts w:hint="default" w:ascii="Times New Roman" w:hAnsi="Times New Roman" w:eastAsia="宋体" w:cs="Times New Roman"/>
                <w:b/>
                <w:color w:val="auto"/>
                <w:sz w:val="24"/>
                <w:szCs w:val="20"/>
                <w:highlight w:val="none"/>
                <w:lang w:val="zh-CN" w:eastAsia="zh-CN"/>
              </w:rPr>
              <w:t>6.2固体废物污染控制要求</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根据《石油天然气开采业固体废物污染控制技术规范（试行）》（HJ1461-2026），本项目固体废物的收集、贮存、转移污染控制要求见</w:t>
            </w:r>
            <w:r>
              <w:rPr>
                <w:rFonts w:hint="eastAsia" w:ascii="Times New Roman" w:eastAsia="宋体" w:cs="Times New Roman"/>
                <w:color w:val="auto"/>
                <w:kern w:val="2"/>
                <w:sz w:val="24"/>
                <w:szCs w:val="24"/>
                <w:highlight w:val="none"/>
                <w:lang w:val="en-US" w:eastAsia="zh-CN" w:bidi="ar-SA"/>
              </w:rPr>
              <w:t>下表</w:t>
            </w:r>
            <w:r>
              <w:rPr>
                <w:rFonts w:hint="default" w:ascii="Times New Roman" w:hAnsi="Times New Roman" w:eastAsia="宋体" w:cs="Times New Roman"/>
                <w:color w:val="auto"/>
                <w:kern w:val="2"/>
                <w:sz w:val="24"/>
                <w:szCs w:val="24"/>
                <w:highlight w:val="none"/>
                <w:lang w:val="en-US" w:eastAsia="zh-CN" w:bidi="ar-SA"/>
              </w:rPr>
              <w:t>。</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7</w:t>
            </w:r>
            <w:r>
              <w:rPr>
                <w:rFonts w:hint="default" w:ascii="Times New Roman" w:hAnsi="Times New Roman" w:eastAsia="宋体" w:cs="Times New Roman"/>
                <w:b/>
                <w:bCs/>
                <w:color w:val="auto"/>
                <w:sz w:val="24"/>
                <w:highlight w:val="none"/>
                <w:lang w:val="en-US" w:eastAsia="zh-CN"/>
              </w:rPr>
              <w:t xml:space="preserve">    固体废物收集、贮存、转移污染控制要求</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3960"/>
              <w:gridCol w:w="3388"/>
              <w:gridCol w:w="75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96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收集、贮存、转移污染控制要求</w:t>
                  </w:r>
                </w:p>
              </w:tc>
              <w:tc>
                <w:tcPr>
                  <w:tcW w:w="3388"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eastAsia" w:ascii="Times New Roman" w:eastAsia="宋体" w:cs="Times New Roman"/>
                      <w:color w:val="auto"/>
                      <w:spacing w:val="-10"/>
                      <w:kern w:val="2"/>
                      <w:sz w:val="21"/>
                      <w:szCs w:val="21"/>
                      <w:highlight w:val="none"/>
                      <w:lang w:val="en-US" w:eastAsia="zh-CN"/>
                    </w:rPr>
                    <w:t>本项目情况</w:t>
                  </w:r>
                </w:p>
              </w:tc>
              <w:tc>
                <w:tcPr>
                  <w:tcW w:w="75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96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5.1 含油废物应与水基岩屑分开收集。水基岩屑中磺化钻井岩屑应单独收集处理，特殊工段（造斜井段和目的层井段）及非正常工况产生的聚合物岩屑应单独收集处理。</w:t>
                  </w:r>
                </w:p>
              </w:tc>
              <w:tc>
                <w:tcPr>
                  <w:tcW w:w="3388"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含油废物与水基岩屑分开收集。特殊工段</w:t>
                  </w:r>
                  <w:r>
                    <w:rPr>
                      <w:rFonts w:hint="eastAsia" w:ascii="Times New Roman" w:hAnsi="Times New Roman" w:eastAsia="宋体" w:cs="Times New Roman"/>
                      <w:color w:val="auto"/>
                      <w:spacing w:val="-10"/>
                      <w:kern w:val="2"/>
                      <w:sz w:val="21"/>
                      <w:szCs w:val="21"/>
                      <w:highlight w:val="none"/>
                      <w:lang w:val="en-US" w:eastAsia="zh-CN"/>
                    </w:rPr>
                    <w:t>及非正常工况产生</w:t>
                  </w:r>
                  <w:r>
                    <w:rPr>
                      <w:rFonts w:hint="default" w:ascii="Times New Roman" w:hAnsi="Times New Roman" w:eastAsia="宋体" w:cs="Times New Roman"/>
                      <w:color w:val="auto"/>
                      <w:spacing w:val="-10"/>
                      <w:kern w:val="2"/>
                      <w:sz w:val="21"/>
                      <w:szCs w:val="21"/>
                      <w:highlight w:val="none"/>
                      <w:lang w:val="en-US" w:eastAsia="zh-CN"/>
                    </w:rPr>
                    <w:t>膨润土体系废弃钻井岩屑</w:t>
                  </w:r>
                  <w:r>
                    <w:rPr>
                      <w:rFonts w:hint="eastAsia" w:ascii="Times New Roman" w:hAnsi="Times New Roman" w:eastAsia="宋体" w:cs="Times New Roman"/>
                      <w:color w:val="auto"/>
                      <w:spacing w:val="-10"/>
                      <w:kern w:val="2"/>
                      <w:sz w:val="21"/>
                      <w:szCs w:val="21"/>
                      <w:highlight w:val="none"/>
                      <w:lang w:val="en-US" w:eastAsia="zh-CN"/>
                    </w:rPr>
                    <w:t>分区</w:t>
                  </w:r>
                  <w:r>
                    <w:rPr>
                      <w:rFonts w:hint="default" w:ascii="Times New Roman" w:hAnsi="Times New Roman" w:eastAsia="宋体" w:cs="Times New Roman"/>
                      <w:color w:val="auto"/>
                      <w:spacing w:val="-10"/>
                      <w:kern w:val="2"/>
                      <w:sz w:val="21"/>
                      <w:szCs w:val="21"/>
                      <w:highlight w:val="none"/>
                      <w:lang w:val="en-US" w:eastAsia="zh-CN"/>
                    </w:rPr>
                    <w:t>排入防渗岩屑池干化，经检测达标后，用于井场平整；聚磺体系废弃钻井岩屑</w:t>
                  </w:r>
                  <w:r>
                    <w:rPr>
                      <w:rFonts w:hint="eastAsia" w:ascii="Times New Roman" w:hAnsi="Times New Roman" w:eastAsia="宋体" w:cs="Times New Roman"/>
                      <w:color w:val="auto"/>
                      <w:spacing w:val="-10"/>
                      <w:kern w:val="2"/>
                      <w:sz w:val="21"/>
                      <w:szCs w:val="21"/>
                      <w:highlight w:val="none"/>
                      <w:lang w:val="en-US" w:eastAsia="zh-CN"/>
                    </w:rPr>
                    <w:t>单独收集</w:t>
                  </w:r>
                  <w:r>
                    <w:rPr>
                      <w:rFonts w:hint="default" w:ascii="Times New Roman" w:hAnsi="Times New Roman" w:eastAsia="宋体" w:cs="Times New Roman"/>
                      <w:color w:val="auto"/>
                      <w:spacing w:val="-10"/>
                      <w:kern w:val="2"/>
                      <w:sz w:val="21"/>
                      <w:szCs w:val="21"/>
                      <w:highlight w:val="none"/>
                      <w:lang w:val="en-US" w:eastAsia="zh-CN"/>
                    </w:rPr>
                    <w:t>，定期</w:t>
                  </w:r>
                  <w:r>
                    <w:rPr>
                      <w:rFonts w:hint="eastAsia" w:ascii="Times New Roman" w:eastAsia="宋体" w:cs="Times New Roman"/>
                      <w:color w:val="auto"/>
                      <w:spacing w:val="-10"/>
                      <w:kern w:val="2"/>
                      <w:sz w:val="21"/>
                      <w:szCs w:val="21"/>
                      <w:highlight w:val="none"/>
                      <w:lang w:val="en-US" w:eastAsia="zh-CN"/>
                    </w:rPr>
                    <w:t>拉</w:t>
                  </w:r>
                  <w:r>
                    <w:rPr>
                      <w:rFonts w:hint="default" w:ascii="Times New Roman" w:hAnsi="Times New Roman" w:eastAsia="宋体" w:cs="Times New Roman"/>
                      <w:color w:val="auto"/>
                      <w:spacing w:val="-10"/>
                      <w:kern w:val="2"/>
                      <w:sz w:val="21"/>
                      <w:szCs w:val="21"/>
                      <w:highlight w:val="none"/>
                      <w:lang w:val="en-US" w:eastAsia="zh-CN"/>
                    </w:rPr>
                    <w:t>运至塔中钻试修废弃物环保处理站处置，处理达标后还原土用于铺垫油区内的井场、道路。</w:t>
                  </w:r>
                </w:p>
              </w:tc>
              <w:tc>
                <w:tcPr>
                  <w:tcW w:w="75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96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5.2 水基岩屑应随钻固液分离后收集，其中磺化钻井岩屑应脱胶脱稳和固液分离后收集，分离后的水基岩屑含水率宜小于60%。固液分离后的液相应优先在钻井现场循环利用；不能利用的，应收集处理。</w:t>
                  </w:r>
                </w:p>
              </w:tc>
              <w:tc>
                <w:tcPr>
                  <w:tcW w:w="3388"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岩屑随钻井泥浆带出，采用“泥浆不落地”工艺收集，泥浆排入泥浆罐循环使用，完井后拉运至下一口井再利用</w:t>
                  </w:r>
                  <w:r>
                    <w:rPr>
                      <w:rFonts w:hint="eastAsia" w:ascii="Times New Roman" w:hAnsi="Times New Roman" w:eastAsia="宋体" w:cs="Times New Roman"/>
                      <w:color w:val="auto"/>
                      <w:spacing w:val="-10"/>
                      <w:kern w:val="2"/>
                      <w:sz w:val="21"/>
                      <w:szCs w:val="21"/>
                      <w:highlight w:val="none"/>
                      <w:lang w:val="en-US" w:eastAsia="zh-CN"/>
                    </w:rPr>
                    <w:t>；</w:t>
                  </w:r>
                  <w:r>
                    <w:rPr>
                      <w:rFonts w:hint="default" w:ascii="Times New Roman" w:hAnsi="Times New Roman" w:eastAsia="宋体" w:cs="Times New Roman"/>
                      <w:color w:val="auto"/>
                      <w:spacing w:val="-10"/>
                      <w:kern w:val="2"/>
                      <w:sz w:val="21"/>
                      <w:szCs w:val="21"/>
                      <w:highlight w:val="none"/>
                      <w:lang w:val="en-US" w:eastAsia="zh-CN"/>
                    </w:rPr>
                    <w:t>“泥浆不落地”</w:t>
                  </w:r>
                  <w:r>
                    <w:rPr>
                      <w:rFonts w:hint="eastAsia" w:ascii="Times New Roman" w:hAnsi="Times New Roman" w:eastAsia="宋体" w:cs="Times New Roman"/>
                      <w:color w:val="auto"/>
                      <w:spacing w:val="-10"/>
                      <w:kern w:val="2"/>
                      <w:sz w:val="21"/>
                      <w:szCs w:val="21"/>
                      <w:highlight w:val="none"/>
                      <w:lang w:val="en-US" w:eastAsia="zh-CN"/>
                    </w:rPr>
                    <w:t>系统固液分离出的岩屑含水率小于60%，</w:t>
                  </w:r>
                  <w:r>
                    <w:rPr>
                      <w:rFonts w:hint="eastAsia" w:ascii="Times New Roman" w:eastAsia="宋体" w:cs="Times New Roman"/>
                      <w:color w:val="auto"/>
                      <w:spacing w:val="-10"/>
                      <w:kern w:val="2"/>
                      <w:sz w:val="21"/>
                      <w:szCs w:val="21"/>
                      <w:highlight w:val="none"/>
                      <w:lang w:val="en-US" w:eastAsia="zh-CN"/>
                    </w:rPr>
                    <w:t>原材料中</w:t>
                  </w:r>
                  <w:r>
                    <w:rPr>
                      <w:rFonts w:hint="default" w:ascii="Times New Roman" w:hAnsi="Times New Roman" w:eastAsia="宋体" w:cs="Times New Roman"/>
                      <w:color w:val="auto"/>
                      <w:spacing w:val="-10"/>
                      <w:kern w:val="2"/>
                      <w:sz w:val="21"/>
                      <w:szCs w:val="21"/>
                      <w:highlight w:val="none"/>
                      <w:lang w:val="en-US" w:eastAsia="zh-CN"/>
                    </w:rPr>
                    <w:t>破胶剂组分A210t</w:t>
                  </w:r>
                  <w:r>
                    <w:rPr>
                      <w:rFonts w:hint="eastAsia" w:ascii="Times New Roman" w:eastAsia="宋体" w:cs="Times New Roman"/>
                      <w:color w:val="auto"/>
                      <w:spacing w:val="-10"/>
                      <w:kern w:val="2"/>
                      <w:sz w:val="21"/>
                      <w:szCs w:val="21"/>
                      <w:highlight w:val="none"/>
                      <w:lang w:val="en-US" w:eastAsia="zh-CN"/>
                    </w:rPr>
                    <w:t>及</w:t>
                  </w:r>
                  <w:r>
                    <w:rPr>
                      <w:rFonts w:hint="default" w:ascii="Times New Roman" w:hAnsi="Times New Roman" w:eastAsia="宋体" w:cs="Times New Roman"/>
                      <w:color w:val="auto"/>
                      <w:spacing w:val="-10"/>
                      <w:kern w:val="2"/>
                      <w:sz w:val="21"/>
                      <w:szCs w:val="21"/>
                      <w:highlight w:val="none"/>
                      <w:lang w:val="en-US" w:eastAsia="zh-CN"/>
                    </w:rPr>
                    <w:t>组分B42t用于磺化泥浆及岩屑脱胶脱稳处理。</w:t>
                  </w:r>
                </w:p>
              </w:tc>
              <w:tc>
                <w:tcPr>
                  <w:tcW w:w="75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96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5.3 水基岩屑需要在作业现场临时贮存的，贮存场地的防渗性能应满足 GB18599 的要求。综合考虑降雨量、蒸发量等因素，因地制宜采取必要的防雨、防尘措施。转移过程中应采取防遗撒、防扬尘、防泄漏的措施。</w:t>
                  </w:r>
                </w:p>
              </w:tc>
              <w:tc>
                <w:tcPr>
                  <w:tcW w:w="3388"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岩屑池防渗要求满足GB18599 的要求，转移过程中采取防遗撒、防扬尘、防泄漏的措施。</w:t>
                  </w:r>
                </w:p>
              </w:tc>
              <w:tc>
                <w:tcPr>
                  <w:tcW w:w="75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96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5.4 含油废物的收集、贮存、转移等环节应采取防雨、防渗、防泄漏等措施，挥发性有机物无组织排放应符合 GB 37822 的相关要求。</w:t>
                  </w:r>
                </w:p>
              </w:tc>
              <w:tc>
                <w:tcPr>
                  <w:tcW w:w="3388"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危险废物贮存设施符合GB18597-2023相关要求。项目边界非甲烷总烃无组织排放满足符合GB 37822的相关要求</w:t>
                  </w:r>
                  <w:r>
                    <w:rPr>
                      <w:rFonts w:hint="eastAsia" w:ascii="Times New Roman" w:eastAsia="宋体" w:cs="Times New Roman"/>
                      <w:color w:val="auto"/>
                      <w:spacing w:val="-10"/>
                      <w:kern w:val="2"/>
                      <w:sz w:val="21"/>
                      <w:szCs w:val="21"/>
                      <w:highlight w:val="none"/>
                      <w:lang w:val="en-US" w:eastAsia="zh-CN"/>
                    </w:rPr>
                    <w:t>。</w:t>
                  </w:r>
                </w:p>
              </w:tc>
              <w:tc>
                <w:tcPr>
                  <w:tcW w:w="75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96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5.5 剩余固相的转移应采取防遗撒、防扬尘、防泄漏的措施。</w:t>
                  </w:r>
                </w:p>
              </w:tc>
              <w:tc>
                <w:tcPr>
                  <w:tcW w:w="3388"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采用专用容器盛装，并暂存于井场撬装化危废暂存间内。危险废物的收集、转移过程按照《危险废物收集 贮存 运输技术规范》（HJ2025-2012）中的相关要求进行。</w:t>
                  </w:r>
                </w:p>
              </w:tc>
              <w:tc>
                <w:tcPr>
                  <w:tcW w:w="75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96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eastAsia" w:ascii="Times New Roman" w:eastAsia="宋体" w:cs="Times New Roman"/>
                      <w:color w:val="auto"/>
                      <w:spacing w:val="-10"/>
                      <w:kern w:val="2"/>
                      <w:sz w:val="21"/>
                      <w:szCs w:val="21"/>
                      <w:highlight w:val="none"/>
                      <w:lang w:val="en-US" w:eastAsia="zh-CN"/>
                    </w:rPr>
                    <w:t xml:space="preserve">5.6 </w:t>
                  </w:r>
                  <w:r>
                    <w:rPr>
                      <w:rFonts w:hint="eastAsia" w:ascii="Times New Roman" w:hAnsi="Times New Roman" w:eastAsia="宋体" w:cs="Times New Roman"/>
                      <w:color w:val="auto"/>
                      <w:spacing w:val="-10"/>
                      <w:kern w:val="2"/>
                      <w:sz w:val="21"/>
                      <w:szCs w:val="21"/>
                      <w:highlight w:val="none"/>
                      <w:lang w:val="en-US" w:eastAsia="zh-CN"/>
                    </w:rPr>
                    <w:t>水基岩屑用于油气开采生产作业区的井场铺垫、道路铺设时，使用自然土、砂石等进行表面覆盖，覆盖层厚度在</w:t>
                  </w:r>
                  <w:r>
                    <w:rPr>
                      <w:rFonts w:hint="default" w:ascii="Times New Roman" w:hAnsi="Times New Roman" w:eastAsia="宋体" w:cs="Times New Roman"/>
                      <w:color w:val="auto"/>
                      <w:spacing w:val="-10"/>
                      <w:kern w:val="2"/>
                      <w:sz w:val="21"/>
                      <w:szCs w:val="21"/>
                      <w:highlight w:val="none"/>
                      <w:lang w:val="en-US" w:eastAsia="zh-CN"/>
                    </w:rPr>
                    <w:t>20 cm</w:t>
                  </w:r>
                  <w:r>
                    <w:rPr>
                      <w:rFonts w:hint="eastAsia" w:ascii="Times New Roman" w:hAnsi="Times New Roman" w:eastAsia="宋体" w:cs="Times New Roman"/>
                      <w:color w:val="auto"/>
                      <w:spacing w:val="-10"/>
                      <w:kern w:val="2"/>
                      <w:sz w:val="21"/>
                      <w:szCs w:val="21"/>
                      <w:highlight w:val="none"/>
                      <w:lang w:val="en-US" w:eastAsia="zh-CN"/>
                    </w:rPr>
                    <w:t>以上。当水基岩屑（不包括造斜井段和目的层井段等特殊工段以及非正常工况下产生的聚合物钻井岩屑）中石油烃含量小于4500mg/kg且满足以下要求时，可用于回填材料。</w:t>
                  </w:r>
                </w:p>
              </w:tc>
              <w:tc>
                <w:tcPr>
                  <w:tcW w:w="3388"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eastAsia" w:ascii="Times New Roman" w:hAnsi="Times New Roman" w:eastAsia="宋体" w:cs="Times New Roman"/>
                      <w:color w:val="auto"/>
                      <w:spacing w:val="-10"/>
                      <w:kern w:val="2"/>
                      <w:sz w:val="21"/>
                      <w:szCs w:val="21"/>
                      <w:highlight w:val="none"/>
                      <w:lang w:val="en-US" w:eastAsia="zh-CN"/>
                    </w:rPr>
                    <w:t>井场铺垫、道路铺设时，使用</w:t>
                  </w:r>
                  <w:r>
                    <w:rPr>
                      <w:rFonts w:hint="eastAsia" w:ascii="Times New Roman" w:eastAsia="宋体" w:cs="Times New Roman"/>
                      <w:color w:val="auto"/>
                      <w:spacing w:val="-10"/>
                      <w:kern w:val="2"/>
                      <w:sz w:val="21"/>
                      <w:szCs w:val="21"/>
                      <w:highlight w:val="none"/>
                      <w:lang w:val="en-US" w:eastAsia="zh-CN"/>
                    </w:rPr>
                    <w:t>自然土、</w:t>
                  </w:r>
                  <w:r>
                    <w:rPr>
                      <w:rFonts w:hint="eastAsia" w:ascii="Times New Roman" w:hAnsi="Times New Roman" w:eastAsia="宋体" w:cs="Times New Roman"/>
                      <w:color w:val="auto"/>
                      <w:spacing w:val="-10"/>
                      <w:kern w:val="2"/>
                      <w:sz w:val="21"/>
                      <w:szCs w:val="21"/>
                      <w:highlight w:val="none"/>
                      <w:lang w:val="en-US" w:eastAsia="zh-CN"/>
                    </w:rPr>
                    <w:t>砂石进行表面覆盖，覆盖层厚度在</w:t>
                  </w:r>
                  <w:r>
                    <w:rPr>
                      <w:rFonts w:hint="default" w:ascii="Times New Roman" w:hAnsi="Times New Roman" w:eastAsia="宋体" w:cs="Times New Roman"/>
                      <w:color w:val="auto"/>
                      <w:spacing w:val="-10"/>
                      <w:kern w:val="2"/>
                      <w:sz w:val="21"/>
                      <w:szCs w:val="21"/>
                      <w:highlight w:val="none"/>
                      <w:lang w:val="en-US" w:eastAsia="zh-CN"/>
                    </w:rPr>
                    <w:t>20 cm</w:t>
                  </w:r>
                  <w:r>
                    <w:rPr>
                      <w:rFonts w:hint="eastAsia" w:ascii="Times New Roman" w:hAnsi="Times New Roman" w:eastAsia="宋体" w:cs="Times New Roman"/>
                      <w:color w:val="auto"/>
                      <w:spacing w:val="-10"/>
                      <w:kern w:val="2"/>
                      <w:sz w:val="21"/>
                      <w:szCs w:val="21"/>
                      <w:highlight w:val="none"/>
                      <w:lang w:val="en-US" w:eastAsia="zh-CN"/>
                    </w:rPr>
                    <w:t>以上</w:t>
                  </w:r>
                  <w:r>
                    <w:rPr>
                      <w:rFonts w:hint="eastAsia" w:ascii="Times New Roman" w:eastAsia="宋体" w:cs="Times New Roman"/>
                      <w:color w:val="auto"/>
                      <w:spacing w:val="-10"/>
                      <w:kern w:val="2"/>
                      <w:sz w:val="21"/>
                      <w:szCs w:val="21"/>
                      <w:highlight w:val="none"/>
                      <w:lang w:val="en-US" w:eastAsia="zh-CN"/>
                    </w:rPr>
                    <w:t>。</w:t>
                  </w:r>
                  <w:r>
                    <w:rPr>
                      <w:rFonts w:hint="eastAsia" w:ascii="Times New Roman" w:hAnsi="Times New Roman" w:eastAsia="宋体" w:cs="Times New Roman"/>
                      <w:color w:val="auto"/>
                      <w:spacing w:val="-10"/>
                      <w:kern w:val="2"/>
                      <w:sz w:val="21"/>
                      <w:szCs w:val="21"/>
                      <w:highlight w:val="none"/>
                      <w:lang w:val="en-US" w:eastAsia="zh-CN"/>
                    </w:rPr>
                    <w:t>水基岩屑</w:t>
                  </w:r>
                  <w:r>
                    <w:rPr>
                      <w:rFonts w:hint="eastAsia" w:ascii="Times New Roman" w:eastAsia="宋体" w:cs="Times New Roman"/>
                      <w:color w:val="auto"/>
                      <w:spacing w:val="-10"/>
                      <w:kern w:val="2"/>
                      <w:sz w:val="21"/>
                      <w:szCs w:val="21"/>
                      <w:highlight w:val="none"/>
                      <w:lang w:val="en-US" w:eastAsia="zh-CN"/>
                    </w:rPr>
                    <w:t>回填石油烃含量小于4500mg/kg。</w:t>
                  </w:r>
                </w:p>
              </w:tc>
              <w:tc>
                <w:tcPr>
                  <w:tcW w:w="75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eastAsia" w:asci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96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5.</w:t>
                  </w:r>
                  <w:r>
                    <w:rPr>
                      <w:rFonts w:hint="eastAsia" w:ascii="Times New Roman" w:eastAsia="宋体" w:cs="Times New Roman"/>
                      <w:color w:val="auto"/>
                      <w:spacing w:val="-10"/>
                      <w:kern w:val="2"/>
                      <w:sz w:val="21"/>
                      <w:szCs w:val="21"/>
                      <w:highlight w:val="none"/>
                      <w:lang w:val="en-US" w:eastAsia="zh-CN"/>
                    </w:rPr>
                    <w:t>7</w:t>
                  </w:r>
                  <w:r>
                    <w:rPr>
                      <w:rFonts w:hint="default" w:ascii="Times New Roman" w:hAnsi="Times New Roman" w:eastAsia="宋体" w:cs="Times New Roman"/>
                      <w:color w:val="auto"/>
                      <w:spacing w:val="-10"/>
                      <w:kern w:val="2"/>
                      <w:sz w:val="21"/>
                      <w:szCs w:val="21"/>
                      <w:highlight w:val="none"/>
                      <w:lang w:val="en-US" w:eastAsia="zh-CN"/>
                    </w:rPr>
                    <w:t xml:space="preserve"> 剩余固相和回收的矿物油收集、贮存、转移过程的其他要求，应根据其管理属性分别执行相关环境保护规定和标准的要求。</w:t>
                  </w:r>
                </w:p>
              </w:tc>
              <w:tc>
                <w:tcPr>
                  <w:tcW w:w="3388"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采用专用容器盛装，并暂存于井场撬装化危险废物暂存间（危险废物贮存点）内。危险废物的收集、转移过程按照《危险废物收集 贮存 运输技术规范》（HJ2025-2012）中的相关要求进行。</w:t>
                  </w:r>
                </w:p>
              </w:tc>
              <w:tc>
                <w:tcPr>
                  <w:tcW w:w="75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96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eastAsia" w:ascii="Times New Roman" w:eastAsia="宋体" w:cs="Times New Roman"/>
                      <w:color w:val="auto"/>
                      <w:spacing w:val="-10"/>
                      <w:kern w:val="2"/>
                      <w:sz w:val="21"/>
                      <w:szCs w:val="21"/>
                      <w:highlight w:val="none"/>
                      <w:lang w:val="en-US" w:eastAsia="zh-CN"/>
                    </w:rPr>
                    <w:t xml:space="preserve">5.8 </w:t>
                  </w:r>
                  <w:r>
                    <w:rPr>
                      <w:rFonts w:hint="default" w:ascii="Times New Roman" w:hAnsi="Times New Roman" w:eastAsia="宋体" w:cs="Times New Roman"/>
                      <w:color w:val="auto"/>
                      <w:spacing w:val="-10"/>
                      <w:kern w:val="2"/>
                      <w:sz w:val="21"/>
                      <w:szCs w:val="21"/>
                      <w:highlight w:val="none"/>
                      <w:lang w:val="en-US" w:eastAsia="zh-CN"/>
                    </w:rPr>
                    <w:t>水基岩屑、剩余固相根据相关国家生态环境标准或技术文件等要求开展环境风险定量评价，评价结果为可接受时，可用于油气开采区内基础设施建设场地铺垫、管线覆盖土等其他利用方式。</w:t>
                  </w:r>
                </w:p>
              </w:tc>
              <w:tc>
                <w:tcPr>
                  <w:tcW w:w="3388"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yellow"/>
                      <w:lang w:val="en-US" w:eastAsia="zh-CN"/>
                    </w:rPr>
                  </w:pPr>
                  <w:r>
                    <w:rPr>
                      <w:rFonts w:hint="default" w:ascii="Times New Roman" w:hAnsi="Times New Roman" w:eastAsia="宋体" w:cs="Times New Roman"/>
                      <w:color w:val="auto"/>
                      <w:spacing w:val="-10"/>
                      <w:kern w:val="2"/>
                      <w:sz w:val="21"/>
                      <w:szCs w:val="21"/>
                      <w:highlight w:val="none"/>
                      <w:lang w:val="en-US" w:eastAsia="zh-CN"/>
                    </w:rPr>
                    <w:t>水基岩屑、剩余固相根据相关国家生态环境标准或技术文件等要求开展环境风险定量评价</w:t>
                  </w:r>
                  <w:r>
                    <w:rPr>
                      <w:rFonts w:hint="eastAsia" w:ascii="Times New Roman" w:eastAsia="宋体" w:cs="Times New Roman"/>
                      <w:color w:val="auto"/>
                      <w:spacing w:val="-10"/>
                      <w:kern w:val="2"/>
                      <w:sz w:val="21"/>
                      <w:szCs w:val="21"/>
                      <w:highlight w:val="none"/>
                      <w:lang w:val="en-US" w:eastAsia="zh-CN"/>
                    </w:rPr>
                    <w:t>，评价结果可接受。</w:t>
                  </w:r>
                </w:p>
              </w:tc>
              <w:tc>
                <w:tcPr>
                  <w:tcW w:w="750" w:type="dxa"/>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eastAsia" w:ascii="Times New Roman" w:eastAsia="宋体" w:cs="Times New Roman"/>
                      <w:color w:val="auto"/>
                      <w:spacing w:val="-10"/>
                      <w:kern w:val="2"/>
                      <w:sz w:val="21"/>
                      <w:szCs w:val="21"/>
                      <w:highlight w:val="none"/>
                      <w:lang w:val="en-US" w:eastAsia="zh-CN"/>
                    </w:rPr>
                    <w:t>符合</w:t>
                  </w:r>
                </w:p>
              </w:tc>
            </w:tr>
          </w:tbl>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综上所述，固体废物经妥善处理后，不会对周围环境产生不利影响。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6.2.1 一般工业固体废物影响分析</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（1）贮存场所选址分析</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一般工业固体废物贮存场所应满足《一般工业固体废物贮存和填埋污染控制标准》（GB 18599-2020）相关要求，相关选址要求符合性如下：</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8</w:t>
            </w:r>
            <w:r>
              <w:rPr>
                <w:rFonts w:hint="default" w:ascii="Times New Roman" w:hAnsi="Times New Roman" w:eastAsia="宋体" w:cs="Times New Roman"/>
                <w:b/>
                <w:bCs/>
                <w:color w:val="auto"/>
                <w:sz w:val="24"/>
                <w:highlight w:val="none"/>
                <w:lang w:val="en-US" w:eastAsia="zh-CN"/>
              </w:rPr>
              <w:t xml:space="preserve">    一般工业固体废物贮存场所选址分析</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3844"/>
              <w:gridCol w:w="3505"/>
              <w:gridCol w:w="74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7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选址要求</w:t>
                  </w:r>
                </w:p>
              </w:tc>
              <w:tc>
                <w:tcPr>
                  <w:tcW w:w="216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eastAsia" w:ascii="Times New Roman" w:eastAsia="宋体" w:cs="Times New Roman"/>
                      <w:color w:val="auto"/>
                      <w:spacing w:val="-10"/>
                      <w:kern w:val="2"/>
                      <w:sz w:val="21"/>
                      <w:szCs w:val="21"/>
                      <w:highlight w:val="none"/>
                      <w:lang w:val="en-US" w:eastAsia="zh-CN"/>
                    </w:rPr>
                    <w:t>本项目</w:t>
                  </w:r>
                  <w:r>
                    <w:rPr>
                      <w:rFonts w:hint="default" w:ascii="Times New Roman" w:hAnsi="Times New Roman" w:eastAsia="宋体" w:cs="Times New Roman"/>
                      <w:color w:val="auto"/>
                      <w:spacing w:val="-10"/>
                      <w:kern w:val="2"/>
                      <w:sz w:val="21"/>
                      <w:szCs w:val="21"/>
                      <w:highlight w:val="none"/>
                      <w:lang w:val="en-US" w:eastAsia="zh-CN"/>
                    </w:rPr>
                    <w:t>情况</w:t>
                  </w:r>
                </w:p>
              </w:tc>
              <w:tc>
                <w:tcPr>
                  <w:tcW w:w="463"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7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4.1一般工业固体废物贮存场、填埋场的选址应符合环境保护法律法规及相关法定规划要求。</w:t>
                  </w:r>
                </w:p>
              </w:tc>
              <w:tc>
                <w:tcPr>
                  <w:tcW w:w="216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本项目一般工业固体废物贮存场在井场，符合环境保护法律法规及相关法定规划要求。</w:t>
                  </w:r>
                </w:p>
              </w:tc>
              <w:tc>
                <w:tcPr>
                  <w:tcW w:w="463"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7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4.2 贮存场、填埋场的位置与周围居民区的距离应依据环境影响评价文件及审批意见确定。</w:t>
                  </w:r>
                </w:p>
              </w:tc>
              <w:tc>
                <w:tcPr>
                  <w:tcW w:w="216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井场周边及邻近区域无居民区、村庄等环境敏感点。</w:t>
                  </w:r>
                </w:p>
              </w:tc>
              <w:tc>
                <w:tcPr>
                  <w:tcW w:w="463"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7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4.3 贮存场、填埋场不得选在生态保护红线区域、永久基本农田集中区域和其他需要特别保护的区域内。</w:t>
                  </w:r>
                </w:p>
              </w:tc>
              <w:tc>
                <w:tcPr>
                  <w:tcW w:w="216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本项目不建设贮存场、填埋场。</w:t>
                  </w:r>
                </w:p>
              </w:tc>
              <w:tc>
                <w:tcPr>
                  <w:tcW w:w="463"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7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4.4 贮存场、填埋场应避开活动断层、溶洞区、天然滑坡或泥石流影响区以及湿地等区域。</w:t>
                  </w:r>
                </w:p>
              </w:tc>
              <w:tc>
                <w:tcPr>
                  <w:tcW w:w="216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本项目不在活动断层、溶洞区、天然滑坡、泥石流影响区以及湿地等区域。</w:t>
                  </w:r>
                </w:p>
              </w:tc>
              <w:tc>
                <w:tcPr>
                  <w:tcW w:w="463"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7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4.5 贮存场、填埋场不得选在江河、湖泊、运河、渠道、水库最高水位线以下的滩地和岸坡，以及国家和地方长远规划中的水库等人工蓄水设施的淹没区和保护区之内。</w:t>
                  </w:r>
                </w:p>
              </w:tc>
              <w:tc>
                <w:tcPr>
                  <w:tcW w:w="216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本项目不在江河、湖泊、运河、渠道、水库，以及规划水库的淹没区和保护区之内。</w:t>
                  </w:r>
                </w:p>
              </w:tc>
              <w:tc>
                <w:tcPr>
                  <w:tcW w:w="463"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7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4.6上述选址规定不适用于一般工业固体废物的充填和回填。</w:t>
                  </w:r>
                </w:p>
              </w:tc>
              <w:tc>
                <w:tcPr>
                  <w:tcW w:w="216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both"/>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本项目膨润土体系废弃钻井岩屑排入防渗岩屑池干化，经检测达标后，用于井场平整；</w:t>
                  </w:r>
                  <w:r>
                    <w:rPr>
                      <w:rFonts w:hint="eastAsia" w:ascii="Times New Roman" w:eastAsia="宋体" w:cs="Times New Roman"/>
                      <w:color w:val="auto"/>
                      <w:spacing w:val="-10"/>
                      <w:kern w:val="2"/>
                      <w:sz w:val="21"/>
                      <w:szCs w:val="21"/>
                      <w:highlight w:val="none"/>
                      <w:lang w:val="en-US" w:eastAsia="zh-CN"/>
                    </w:rPr>
                    <w:t>聚磺体系废弃钻井岩屑收集后拉运至塔中油田钻试修废弃物环保处理站处理</w:t>
                  </w:r>
                  <w:r>
                    <w:rPr>
                      <w:rFonts w:hint="default" w:ascii="Times New Roman" w:hAnsi="Times New Roman" w:eastAsia="宋体" w:cs="Times New Roman"/>
                      <w:color w:val="auto"/>
                      <w:spacing w:val="-10"/>
                      <w:kern w:val="2"/>
                      <w:sz w:val="21"/>
                      <w:szCs w:val="21"/>
                      <w:highlight w:val="none"/>
                      <w:lang w:val="en-US" w:eastAsia="zh-CN"/>
                    </w:rPr>
                    <w:t>，处理达标后还原土用于铺垫油区内的井场、道路。</w:t>
                  </w:r>
                </w:p>
              </w:tc>
              <w:tc>
                <w:tcPr>
                  <w:tcW w:w="463"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bl>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0000FF"/>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综上所述，固体废物贮存间选址符合《一般工业固体废物贮存和填埋污染控制标准》（GB18599-2020）相关要求。</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（2）储存能力分析</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0"/>
                <w:position w:val="0"/>
                <w:sz w:val="24"/>
                <w:szCs w:val="24"/>
                <w:highlight w:val="none"/>
              </w:rPr>
              <w:t>钻井期间产生的膨润土体系废弃钻井岩屑暂存在岩屑池（1</w:t>
            </w:r>
            <w:r>
              <w:rPr>
                <w:rFonts w:hint="eastAsia" w:ascii="Times New Roman" w:eastAsia="宋体" w:cs="Times New Roman"/>
                <w:color w:val="auto"/>
                <w:spacing w:val="0"/>
                <w:position w:val="0"/>
                <w:sz w:val="24"/>
                <w:szCs w:val="24"/>
                <w:highlight w:val="none"/>
                <w:lang w:val="en-US" w:eastAsia="zh-CN"/>
              </w:rPr>
              <w:t>5</w:t>
            </w:r>
            <w:r>
              <w:rPr>
                <w:rFonts w:hint="default" w:ascii="Times New Roman" w:hAnsi="Times New Roman" w:eastAsia="宋体" w:cs="Times New Roman"/>
                <w:color w:val="auto"/>
                <w:spacing w:val="0"/>
                <w:position w:val="0"/>
                <w:sz w:val="24"/>
                <w:szCs w:val="24"/>
                <w:highlight w:val="none"/>
              </w:rPr>
              <w:t>00m</w:t>
            </w:r>
            <w:r>
              <w:rPr>
                <w:rFonts w:hint="default" w:ascii="Times New Roman" w:hAnsi="Times New Roman" w:eastAsia="宋体" w:cs="Times New Roman"/>
                <w:color w:val="auto"/>
                <w:spacing w:val="0"/>
                <w:position w:val="0"/>
                <w:sz w:val="24"/>
                <w:szCs w:val="24"/>
                <w:highlight w:val="none"/>
                <w:vertAlign w:val="superscript"/>
              </w:rPr>
              <w:t>3</w:t>
            </w:r>
            <w:r>
              <w:rPr>
                <w:rFonts w:hint="default" w:ascii="Times New Roman" w:hAnsi="Times New Roman" w:eastAsia="宋体" w:cs="Times New Roman"/>
                <w:color w:val="auto"/>
                <w:spacing w:val="0"/>
                <w:position w:val="0"/>
                <w:sz w:val="24"/>
                <w:szCs w:val="24"/>
                <w:highlight w:val="none"/>
              </w:rPr>
              <w:t>），本项目膨润土体系废弃钻井岩屑产生量为</w:t>
            </w:r>
            <w:r>
              <w:rPr>
                <w:rFonts w:hint="eastAsia" w:ascii="Times New Roman" w:eastAsia="宋体" w:cs="Times New Roman"/>
                <w:color w:val="auto"/>
                <w:spacing w:val="0"/>
                <w:position w:val="0"/>
                <w:sz w:val="24"/>
                <w:szCs w:val="24"/>
                <w:highlight w:val="none"/>
                <w:lang w:val="en-US" w:eastAsia="zh-CN"/>
              </w:rPr>
              <w:t>1385.97</w:t>
            </w:r>
            <w:r>
              <w:rPr>
                <w:rFonts w:hint="default" w:ascii="Times New Roman" w:hAnsi="Times New Roman" w:eastAsia="宋体" w:cs="Times New Roman"/>
                <w:color w:val="auto"/>
                <w:spacing w:val="0"/>
                <w:position w:val="0"/>
                <w:sz w:val="24"/>
                <w:szCs w:val="24"/>
                <w:highlight w:val="none"/>
              </w:rPr>
              <w:t>m</w:t>
            </w:r>
            <w:r>
              <w:rPr>
                <w:rFonts w:hint="default" w:ascii="Times New Roman" w:hAnsi="Times New Roman" w:eastAsia="宋体" w:cs="Times New Roman"/>
                <w:color w:val="auto"/>
                <w:spacing w:val="0"/>
                <w:position w:val="0"/>
                <w:sz w:val="24"/>
                <w:szCs w:val="24"/>
                <w:highlight w:val="none"/>
                <w:vertAlign w:val="superscript"/>
              </w:rPr>
              <w:t>3</w:t>
            </w:r>
            <w:r>
              <w:rPr>
                <w:rFonts w:hint="default" w:ascii="Times New Roman" w:hAnsi="Times New Roman" w:eastAsia="宋体" w:cs="Times New Roman"/>
                <w:color w:val="auto"/>
                <w:spacing w:val="0"/>
                <w:position w:val="0"/>
                <w:sz w:val="24"/>
                <w:szCs w:val="24"/>
                <w:highlight w:val="none"/>
              </w:rPr>
              <w:t>，排入防渗岩屑池干化，</w:t>
            </w:r>
            <w:r>
              <w:rPr>
                <w:rFonts w:hint="default" w:ascii="Times New Roman" w:hAnsi="Times New Roman" w:eastAsia="宋体" w:cs="Times New Roman"/>
                <w:color w:val="auto"/>
                <w:spacing w:val="0"/>
                <w:position w:val="0"/>
                <w:sz w:val="24"/>
                <w:szCs w:val="21"/>
                <w:highlight w:val="none"/>
              </w:rPr>
              <w:t>检测</w:t>
            </w:r>
            <w:r>
              <w:rPr>
                <w:rFonts w:hint="default" w:ascii="Times New Roman" w:hAnsi="Times New Roman" w:eastAsia="宋体" w:cs="Times New Roman"/>
                <w:color w:val="auto"/>
                <w:spacing w:val="0"/>
                <w:position w:val="0"/>
                <w:sz w:val="24"/>
                <w:szCs w:val="21"/>
                <w:highlight w:val="none"/>
                <w:lang w:val="en-US" w:eastAsia="zh-CN"/>
              </w:rPr>
              <w:t>达到《油气田钻井固体废物综合利用污染控制要求》（DB65/T 3997-2017）及《石油天然气开采业固体废物污染控制技术规范（试行）》（HJ1461-2026）标准</w:t>
            </w:r>
            <w:r>
              <w:rPr>
                <w:rFonts w:hint="default" w:ascii="Times New Roman" w:hAnsi="Times New Roman" w:eastAsia="宋体" w:cs="Times New Roman"/>
                <w:color w:val="auto"/>
                <w:spacing w:val="0"/>
                <w:position w:val="0"/>
                <w:sz w:val="24"/>
                <w:szCs w:val="21"/>
                <w:highlight w:val="none"/>
              </w:rPr>
              <w:t>后，用于井场平整；</w:t>
            </w:r>
            <w:r>
              <w:rPr>
                <w:rFonts w:hint="default" w:ascii="Times New Roman" w:hAnsi="Times New Roman" w:eastAsia="宋体" w:cs="Times New Roman"/>
                <w:color w:val="auto"/>
                <w:spacing w:val="0"/>
                <w:kern w:val="2"/>
                <w:position w:val="0"/>
                <w:sz w:val="24"/>
                <w:szCs w:val="24"/>
                <w:highlight w:val="none"/>
                <w:lang w:val="en-US" w:eastAsia="zh-CN" w:bidi="ar-SA"/>
              </w:rPr>
              <w:t>磺化泥浆钻井岩屑产生量为</w:t>
            </w:r>
            <w:r>
              <w:rPr>
                <w:rFonts w:hint="eastAsia" w:ascii="Times New Roman" w:eastAsia="宋体" w:cs="Times New Roman"/>
                <w:color w:val="auto"/>
                <w:spacing w:val="0"/>
                <w:kern w:val="2"/>
                <w:position w:val="0"/>
                <w:sz w:val="24"/>
                <w:szCs w:val="24"/>
                <w:highlight w:val="none"/>
                <w:lang w:val="en-US" w:eastAsia="zh-CN" w:bidi="ar-SA"/>
              </w:rPr>
              <w:t>1148.99</w:t>
            </w:r>
            <w:r>
              <w:rPr>
                <w:rFonts w:hint="default" w:ascii="Times New Roman" w:hAnsi="Times New Roman" w:eastAsia="宋体" w:cs="Times New Roman"/>
                <w:color w:val="auto"/>
                <w:spacing w:val="0"/>
                <w:kern w:val="2"/>
                <w:position w:val="0"/>
                <w:sz w:val="24"/>
                <w:szCs w:val="24"/>
                <w:highlight w:val="none"/>
                <w:lang w:val="en-US" w:eastAsia="zh-CN" w:bidi="ar-SA"/>
              </w:rPr>
              <w:t>m</w:t>
            </w:r>
            <w:r>
              <w:rPr>
                <w:rFonts w:hint="default" w:ascii="Times New Roman" w:hAnsi="Times New Roman" w:eastAsia="宋体" w:cs="Times New Roman"/>
                <w:color w:val="auto"/>
                <w:spacing w:val="0"/>
                <w:kern w:val="2"/>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kern w:val="2"/>
                <w:position w:val="0"/>
                <w:sz w:val="24"/>
                <w:szCs w:val="24"/>
                <w:highlight w:val="none"/>
                <w:lang w:val="en-US" w:eastAsia="zh-CN" w:bidi="ar-SA"/>
              </w:rPr>
              <w:t>，</w:t>
            </w:r>
            <w:r>
              <w:rPr>
                <w:rFonts w:hint="eastAsia" w:ascii="Times New Roman" w:eastAsia="宋体" w:cs="Times New Roman"/>
                <w:color w:val="auto"/>
                <w:spacing w:val="0"/>
                <w:kern w:val="2"/>
                <w:position w:val="0"/>
                <w:sz w:val="24"/>
                <w:szCs w:val="24"/>
                <w:highlight w:val="none"/>
                <w:lang w:val="en-US" w:eastAsia="zh-CN" w:bidi="ar-SA"/>
              </w:rPr>
              <w:t>收集后拉运至塔中油田钻试修废弃物环保处理站处理</w:t>
            </w:r>
            <w:r>
              <w:rPr>
                <w:rFonts w:hint="default" w:ascii="Times New Roman" w:hAnsi="Times New Roman" w:eastAsia="宋体" w:cs="Times New Roman"/>
                <w:color w:val="auto"/>
                <w:spacing w:val="0"/>
                <w:kern w:val="2"/>
                <w:position w:val="0"/>
                <w:sz w:val="24"/>
                <w:szCs w:val="24"/>
                <w:highlight w:val="none"/>
                <w:lang w:val="en-US" w:eastAsia="zh-CN" w:bidi="ar-SA"/>
              </w:rPr>
              <w:t>，处理后用于铺垫油区内的井场、道路。</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（3）贮存环境影响分析</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钻井过程中产生的膨润土体系废弃钻井岩屑排入防渗岩屑池干化；磺化泥浆钻井岩屑收集后拉运至塔中油田钻试修废弃物环保处理站处理，处理后用于铺垫油区内的井场、道路。废弃钻井岩屑和泥浆暂存设施的建设应满足《一般工业固体废物贮存和填埋污染控制标准》（GB18599-2020）相关要求，贮存区采取防风、防雨措施，各类固废分类收集，贮存区按照《环境保护图形标志 固体废物贮存（处置）场》（GB15562.2-1995）的要求设置环保图形标志，指定专人进行日常管理，并按照相关要求建立工业固废管理台账妥善保存。</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（4）运输过程影响分析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过程中产生的一般工业固体废物按照相关要求，建立健全工业固体废物产生、收集、贮存、运输、利用、处置全过程的污染环境防治责任制度，建立工业固体废物管理台账，如实记录产生的工业固体废物的种类、数量、流向、贮存、利用、处置等信息，实现工业固体废物可追溯、可查询，并采取防治工业固体废物污染环境的措施。</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（5）一般固废处置的环境影响分析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1"/>
                <w:highlight w:val="none"/>
                <w:lang w:val="en-US" w:eastAsia="zh-CN"/>
              </w:rPr>
              <w:t>膨润土体系废弃钻井岩屑，排入防渗岩屑池干化，经检测达到《油气田钻井固体废物综合利用污染控制要求》（DB65/T 3997-2017）及《石油天然气开采业固体废物污染控制技术规范（试行）》（HJ1461-2026）标准后，用于井场平整；聚磺体系废弃钻井岩屑收集后拉运至塔中油田钻试修废弃物环保处理站处理，处理后用于铺垫油区内的井场、道路，对周边环境产生影响可防控。</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6.2.2危险废物影响分析</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（1）贮存场所选址分析</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危险废物收集后暂存于危险废物贮存间内，危险废物贮存间选址与《危险废物贮存污染控制标准》（GB18597-2023）相关选址要求符合性如下：</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w:t>
            </w:r>
            <w:r>
              <w:rPr>
                <w:rFonts w:hint="eastAsia" w:ascii="Times New Roman" w:cs="Times New Roman"/>
                <w:b/>
                <w:bCs/>
                <w:color w:val="auto"/>
                <w:sz w:val="24"/>
                <w:highlight w:val="none"/>
                <w:lang w:val="en-US" w:eastAsia="zh-CN"/>
              </w:rPr>
              <w:t>9</w:t>
            </w:r>
            <w:r>
              <w:rPr>
                <w:rFonts w:hint="default" w:ascii="Times New Roman" w:hAnsi="Times New Roman" w:eastAsia="宋体" w:cs="Times New Roman"/>
                <w:b/>
                <w:bCs/>
                <w:color w:val="auto"/>
                <w:sz w:val="24"/>
                <w:highlight w:val="none"/>
                <w:lang w:val="en-US" w:eastAsia="zh-CN"/>
              </w:rPr>
              <w:t xml:space="preserve">    危废贮存场所选址分析</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420"/>
              <w:gridCol w:w="2927"/>
              <w:gridCol w:w="75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8"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选址要求</w:t>
                  </w:r>
                </w:p>
              </w:tc>
              <w:tc>
                <w:tcPr>
                  <w:tcW w:w="1806"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eastAsia" w:ascii="Times New Roman" w:eastAsia="宋体" w:cs="Times New Roman"/>
                      <w:color w:val="auto"/>
                      <w:spacing w:val="-10"/>
                      <w:kern w:val="2"/>
                      <w:sz w:val="21"/>
                      <w:szCs w:val="21"/>
                      <w:highlight w:val="none"/>
                      <w:lang w:val="en-US" w:eastAsia="zh-CN"/>
                    </w:rPr>
                    <w:t>本项目</w:t>
                  </w:r>
                  <w:r>
                    <w:rPr>
                      <w:rFonts w:hint="default" w:ascii="Times New Roman" w:hAnsi="Times New Roman" w:eastAsia="宋体" w:cs="Times New Roman"/>
                      <w:color w:val="auto"/>
                      <w:spacing w:val="-10"/>
                      <w:kern w:val="2"/>
                      <w:sz w:val="21"/>
                      <w:szCs w:val="21"/>
                      <w:highlight w:val="none"/>
                      <w:lang w:val="en-US" w:eastAsia="zh-CN"/>
                    </w:rPr>
                    <w:t>情况</w:t>
                  </w:r>
                </w:p>
              </w:tc>
              <w:tc>
                <w:tcPr>
                  <w:tcW w:w="46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8"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贮存设施选址应满足生态环境保护法律法规、规划和“三线一单”生态环境分区管控的要求，建设项目应依法进行环境影响评价</w:t>
                  </w:r>
                </w:p>
              </w:tc>
              <w:tc>
                <w:tcPr>
                  <w:tcW w:w="1806"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本项目满足生态环境保护法律法规、规划和“三线一单”生态环境分区管控的要求。</w:t>
                  </w:r>
                </w:p>
              </w:tc>
              <w:tc>
                <w:tcPr>
                  <w:tcW w:w="46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8"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集中贮存设施不应选在生态保护红线区域、永久基本农田和其他需要特别保护的区域内，不应建在溶洞区或易遭受洪水、滑坡、泥石流、潮汐等严重自然灾害影响的地区。</w:t>
                  </w:r>
                </w:p>
              </w:tc>
              <w:tc>
                <w:tcPr>
                  <w:tcW w:w="1806"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本项目不在生态保护红线区域、永久基本农田和其他需要特别保护的区域内。不在易受严重自然灾害影响的地区。</w:t>
                  </w:r>
                </w:p>
              </w:tc>
              <w:tc>
                <w:tcPr>
                  <w:tcW w:w="46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8"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贮存设施不应选在江河、湖泊、运河、渠道、水库及其最高水位线以下的滩地和岸坡，以及法律法规规定禁止贮存危险废物的其他地点。</w:t>
                  </w:r>
                </w:p>
              </w:tc>
              <w:tc>
                <w:tcPr>
                  <w:tcW w:w="1806"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本项目不在江河、湖泊等最高水位线以下的滩地和岸坡。</w:t>
                  </w:r>
                </w:p>
              </w:tc>
              <w:tc>
                <w:tcPr>
                  <w:tcW w:w="46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728"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贮存设施场址的位置以及其与周围环境敏感目标的距离应依据环境影响评价文件确定</w:t>
                  </w:r>
                </w:p>
              </w:tc>
              <w:tc>
                <w:tcPr>
                  <w:tcW w:w="1806"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本项目施工期危险废物产生量较小，且距离环境敏感目标较远，要求项目危废暂存间采取重点防渗措施，避免对周围环境敏感目标产生污染影响。</w:t>
                  </w:r>
                </w:p>
              </w:tc>
              <w:tc>
                <w:tcPr>
                  <w:tcW w:w="464" w:type="pct"/>
                  <w:noWrap w:val="0"/>
                  <w:tcMar>
                    <w:left w:w="28" w:type="dxa"/>
                    <w:right w:w="2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kern w:val="2"/>
                      <w:sz w:val="21"/>
                      <w:szCs w:val="21"/>
                      <w:highlight w:val="none"/>
                      <w:lang w:val="en-US" w:eastAsia="zh-CN"/>
                    </w:rPr>
                  </w:pPr>
                  <w:r>
                    <w:rPr>
                      <w:rFonts w:hint="default" w:ascii="Times New Roman" w:hAnsi="Times New Roman" w:eastAsia="宋体" w:cs="Times New Roman"/>
                      <w:color w:val="auto"/>
                      <w:spacing w:val="-10"/>
                      <w:kern w:val="2"/>
                      <w:sz w:val="21"/>
                      <w:szCs w:val="21"/>
                      <w:highlight w:val="none"/>
                      <w:lang w:val="en-US" w:eastAsia="zh-CN"/>
                    </w:rPr>
                    <w:t>符合</w:t>
                  </w:r>
                </w:p>
              </w:tc>
            </w:tr>
          </w:tbl>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综上，危险废物贮存间选址符合《危险废物贮存污染控制标准》（GB18597-2023）相关要求。</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 xml:space="preserve">（2）危险废物储存能力分析 </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钻井期间产生的危险废物贮存在井场危险废物贮存间，占地面积8m</w:t>
            </w:r>
            <w:r>
              <w:rPr>
                <w:rFonts w:hint="default" w:ascii="Times New Roman" w:hAnsi="Times New Roman" w:eastAsia="宋体" w:cs="Times New Roman"/>
                <w:color w:val="auto"/>
                <w:kern w:val="2"/>
                <w:sz w:val="24"/>
                <w:szCs w:val="24"/>
                <w:highlight w:val="none"/>
                <w:vertAlign w:val="superscript"/>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，可满足钻井期间需求。</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本项目沾油废物、废烧碱包装袋、废矿物油及其包装物采用专门容器，贮存过程中挥发量较少，不会对环境空气产生明显影响；</w:t>
            </w:r>
            <w:r>
              <w:rPr>
                <w:rFonts w:hint="default" w:ascii="Times New Roman" w:hAnsi="Times New Roman" w:eastAsia="宋体" w:cs="Times New Roman"/>
                <w:color w:val="auto"/>
                <w:kern w:val="2"/>
                <w:sz w:val="24"/>
                <w:szCs w:val="24"/>
                <w:highlight w:val="none"/>
                <w:lang w:val="en-US" w:eastAsia="zh-CN" w:bidi="ar-SA"/>
              </w:rPr>
              <w:t>同时危险废物</w:t>
            </w:r>
            <w:r>
              <w:rPr>
                <w:rFonts w:hint="default" w:ascii="Times New Roman" w:hAnsi="Times New Roman" w:eastAsia="宋体" w:cs="Times New Roman"/>
                <w:color w:val="auto"/>
                <w:sz w:val="24"/>
                <w:szCs w:val="21"/>
                <w:highlight w:val="none"/>
                <w:lang w:val="en-US" w:eastAsia="zh-CN"/>
              </w:rPr>
              <w:t>按照《危险废物环境管理指南陆上石油天然气开采》（</w:t>
            </w:r>
            <w:bookmarkStart w:id="47" w:name="OLE_LINK112"/>
            <w:r>
              <w:rPr>
                <w:rFonts w:hint="default" w:ascii="Times New Roman" w:hAnsi="Times New Roman" w:eastAsia="宋体" w:cs="Times New Roman"/>
                <w:color w:val="auto"/>
                <w:sz w:val="24"/>
                <w:szCs w:val="21"/>
                <w:highlight w:val="none"/>
                <w:lang w:val="en-US" w:eastAsia="zh-CN"/>
              </w:rPr>
              <w:t>生态环境部公告2021年第74号）中相关管理要求，落实危险废物</w:t>
            </w:r>
            <w:bookmarkEnd w:id="47"/>
            <w:r>
              <w:rPr>
                <w:rFonts w:hint="default" w:ascii="Times New Roman" w:hAnsi="Times New Roman" w:eastAsia="宋体" w:cs="Times New Roman"/>
                <w:color w:val="auto"/>
                <w:sz w:val="24"/>
                <w:szCs w:val="21"/>
                <w:highlight w:val="none"/>
                <w:lang w:val="en-US" w:eastAsia="zh-CN"/>
              </w:rPr>
              <w:t>识别标志制度，对危险废物的容器和包装物以及收集、运输危险废物的设施设置危险废物识别标志。填写危险废物的收集记录、转运记录表，并将记录表作为危险废物管理的重要档案妥善保存。落实环境保护标准制度，按照国家有关规定和环境保护标准要求贮存、利用、处置危险废物，不得将其擅自倾倒处置。</w:t>
            </w:r>
            <w:bookmarkStart w:id="48" w:name="OLE_LINK114"/>
            <w:r>
              <w:rPr>
                <w:rFonts w:hint="default" w:ascii="Times New Roman" w:hAnsi="Times New Roman" w:eastAsia="宋体" w:cs="Times New Roman"/>
                <w:color w:val="auto"/>
                <w:sz w:val="24"/>
                <w:szCs w:val="21"/>
                <w:highlight w:val="none"/>
                <w:lang w:val="en-US" w:eastAsia="zh-CN"/>
              </w:rPr>
              <w:t>同时危险废物贮存间已按照《危险废物贮存污染控制标准》（GB18597-2023）的相关要求做好防风、防晒、防雨、防漏、防渗、防腐措施。可有效防止危险废物泄漏可能对地下水、地表水及土壤环境产生影响。</w:t>
            </w:r>
            <w:bookmarkEnd w:id="48"/>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收集危险废物的硬质桶应按要求设置明显的标明危险废物相关信息的标签，标签信息应填写完整</w:t>
            </w:r>
            <w:r>
              <w:rPr>
                <w:rFonts w:hint="eastAsia" w:ascii="Times New Roman" w:eastAsia="宋体" w:cs="Times New Roman"/>
                <w:color w:val="auto"/>
                <w:kern w:val="2"/>
                <w:sz w:val="24"/>
                <w:szCs w:val="24"/>
                <w:highlight w:val="none"/>
                <w:lang w:val="en-US" w:eastAsia="zh-CN" w:bidi="ar-SA"/>
              </w:rPr>
              <w:t>翔实</w:t>
            </w:r>
            <w:r>
              <w:rPr>
                <w:rFonts w:hint="default" w:ascii="Times New Roman" w:hAnsi="Times New Roman" w:eastAsia="宋体" w:cs="Times New Roman"/>
                <w:color w:val="auto"/>
                <w:kern w:val="2"/>
                <w:sz w:val="24"/>
                <w:szCs w:val="24"/>
                <w:highlight w:val="none"/>
                <w:lang w:val="en-US" w:eastAsia="zh-CN" w:bidi="ar-SA"/>
              </w:rPr>
              <w:t>。具体要求如下：</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a.危险废物标签规格颜色说明：规格：正方形，40×40cm；底色：醒目的橘黄色；字体：黑体字；字体颜色：黑色。</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b.危险废物特性警示类别：按危险废物种类选择，危险特性警示类别如图1所示；</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c.材料应坚固、耐用、抗风化、抗淋蚀。危险废物相关信息标签如图2所示；</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d.装载液体、固体的危险废物的硬质桶内必须留足够的空间，硬质桶顶部与液体表面之间保留100mm以上的空间。</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drawing>
                <wp:inline distT="0" distB="0" distL="114300" distR="114300">
                  <wp:extent cx="4709795" cy="3642360"/>
                  <wp:effectExtent l="0" t="0" r="14605" b="15240"/>
                  <wp:docPr id="4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6"/>
                          <pic:cNvPicPr>
                            <a:picLocks noChangeAspect="1"/>
                          </pic:cNvPicPr>
                        </pic:nvPicPr>
                        <pic:blipFill>
                          <a:blip r:embed="rId29"/>
                          <a:stretch>
                            <a:fillRect/>
                          </a:stretch>
                        </pic:blipFill>
                        <pic:spPr>
                          <a:xfrm>
                            <a:off x="0" y="0"/>
                            <a:ext cx="4709795" cy="3642360"/>
                          </a:xfrm>
                          <a:prstGeom prst="rect">
                            <a:avLst/>
                          </a:prstGeom>
                          <a:noFill/>
                          <a:ln>
                            <a:noFill/>
                          </a:ln>
                        </pic:spPr>
                      </pic:pic>
                    </a:graphicData>
                  </a:graphic>
                </wp:inline>
              </w:drawing>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图4-1    危险特性警示图</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drawing>
                <wp:inline distT="0" distB="0" distL="114300" distR="114300">
                  <wp:extent cx="4419600" cy="4406900"/>
                  <wp:effectExtent l="0" t="0" r="0" b="12700"/>
                  <wp:docPr id="4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3"/>
                          <pic:cNvPicPr>
                            <a:picLocks noChangeAspect="1"/>
                          </pic:cNvPicPr>
                        </pic:nvPicPr>
                        <pic:blipFill>
                          <a:blip r:embed="rId30"/>
                          <a:stretch>
                            <a:fillRect/>
                          </a:stretch>
                        </pic:blipFill>
                        <pic:spPr>
                          <a:xfrm>
                            <a:off x="0" y="0"/>
                            <a:ext cx="4419600" cy="4406900"/>
                          </a:xfrm>
                          <a:prstGeom prst="rect">
                            <a:avLst/>
                          </a:prstGeom>
                          <a:noFill/>
                          <a:ln>
                            <a:noFill/>
                          </a:ln>
                        </pic:spPr>
                      </pic:pic>
                    </a:graphicData>
                  </a:graphic>
                </wp:inline>
              </w:drawing>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图4-2    危险废物相关信息标签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（4）运输过程影响分析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钻井过程产生的危险废物应按照《危险废物环境管理指南 陆上石油天然气开采》（生态环境部公告 2021年 第74号）、《危险废物转移管理办法》（生态环境部令 第23号）中相关要求，运输危险废物，应当采取防止污染环境的措施，并遵守国家有关危险货物运输管理的规定；按照危险废物污染环境防治和危险货物运输相关规定运输危险废物，记录运输轨迹，防范危险废物丢失、包装破损、泄漏或者发生突发环境事件。</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40" w:lineRule="exact"/>
              <w:ind w:left="0" w:leftChars="0" w:right="0" w:firstLine="480" w:firstLineChars="200"/>
              <w:jc w:val="both"/>
              <w:textAlignment w:val="baseline"/>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本项目产生的危险废物桶装或袋装密闭收集后于危险废物贮存间贮存，危险废物在运输过程中全部采用密闭容器储存，</w:t>
            </w:r>
            <w:r>
              <w:rPr>
                <w:rFonts w:hint="default" w:ascii="Times New Roman" w:hAnsi="Times New Roman" w:eastAsia="宋体" w:cs="Times New Roman"/>
                <w:color w:val="auto"/>
                <w:kern w:val="2"/>
                <w:sz w:val="24"/>
                <w:szCs w:val="24"/>
                <w:highlight w:val="none"/>
                <w:lang w:val="en-US" w:eastAsia="zh-CN" w:bidi="ar-SA"/>
              </w:rPr>
              <w:t>正常情况下不会发生散落或泄漏，危险废物在运输过程中发生散落或泄漏时，及时清理，不会对周边环境产生明显影响。</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（5）委托处置的环境影响分析</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40" w:lineRule="exact"/>
              <w:ind w:left="0" w:leftChars="0" w:right="0" w:firstLine="480" w:firstLineChars="200"/>
              <w:jc w:val="both"/>
              <w:textAlignment w:val="baseline"/>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本项目产生的危险废物全部委托有相应资质的危险废物处置单位处理，不会对周边环境产生明显影响。</w:t>
            </w:r>
          </w:p>
          <w:p>
            <w:pPr>
              <w:keepNext w:val="0"/>
              <w:keepLines w:val="0"/>
              <w:pageBreakBefore w:val="0"/>
              <w:widowControl w:val="0"/>
              <w:suppressLineNumbers w:val="0"/>
              <w:kinsoku/>
              <w:wordWrap/>
              <w:overflowPunct/>
              <w:topLinePunct w:val="0"/>
              <w:autoSpaceDE w:val="0"/>
              <w:autoSpaceDN w:val="0"/>
              <w:bidi w:val="0"/>
              <w:adjustRightInd w:val="0"/>
              <w:spacing w:before="0" w:beforeAutospacing="0" w:after="0" w:afterAutospacing="0" w:line="440" w:lineRule="exact"/>
              <w:ind w:left="0" w:leftChars="0" w:right="0" w:firstLine="464" w:firstLineChars="200"/>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pacing w:val="-4"/>
                <w:sz w:val="24"/>
                <w:highlight w:val="none"/>
              </w:rPr>
              <w:t>综上所述，固体废弃物经妥善处理后，不会对当地土壤及地下水环境产生影响。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7、土壤环境影响分析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本项目属于《建设项目环境影响评价分类管理名录（2021年版）》中的“四十六、专业技术服务业 99.陆地矿产资源地质勘查（含油气资源勘探）”；参照《环境影响评价技术导则 土壤环境（试行）》（HJ964-2018）附录A土壤环境影响评价行业分类表，项目属于土壤Ⅳ类建设项目。根据《环境影响评价技术导则 土壤环境（试行）》（HJ964-2018</w:t>
            </w:r>
            <w:r>
              <w:rPr>
                <w:rFonts w:hint="eastAsia" w:asci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4.2.2，“Ⅳ类建设项目可不开展土壤环境影响评价”，基于钻井工程使用泥浆、钻井液等特点，本评价仅对项目建设提出相应的污染防治措施：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a.在污染区地面进行防渗处理，防止洒落地面的污染物渗入地下，并把滞留在地面的污染物收集起来，集中处理；末端控制采取分区防渗原则。</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b.实施覆盖生产区的生产监控系统，包括建立完善的生产监控制度、配备先进的检测仪器和设备，及时发现污染，及时控制。</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c.制定相应的突发环境事件应急预案，一旦发现污染事故，立即启动应急预案、采取应急措施控制土壤污染，并使污染得到治理。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d.钻井废水与钻井泥浆、岩屑一同进入不落地系统处理，泥浆采用“泥浆不落地”工艺收集，排入泥浆罐循环使用，完井后拉运至下一口井再利用；膨润土体系废弃钻井岩屑进入岩屑池暂存，干化后用于铺垫井场和道路；</w:t>
            </w:r>
            <w:r>
              <w:rPr>
                <w:rFonts w:hint="eastAsia" w:ascii="Times New Roman" w:cs="Times New Roman"/>
                <w:color w:val="auto"/>
                <w:sz w:val="24"/>
                <w:szCs w:val="24"/>
                <w:highlight w:val="none"/>
                <w:lang w:val="en-US" w:eastAsia="zh-CN"/>
              </w:rPr>
              <w:t>聚磺体系废弃钻井岩屑收集后拉运至塔中油田钻试修废弃物环保处理站处理</w:t>
            </w:r>
            <w:r>
              <w:rPr>
                <w:rFonts w:hint="default" w:ascii="Times New Roman" w:hAnsi="Times New Roman" w:eastAsia="宋体" w:cs="Times New Roman"/>
                <w:color w:val="auto"/>
                <w:sz w:val="24"/>
                <w:szCs w:val="24"/>
                <w:highlight w:val="none"/>
                <w:lang w:val="en-US" w:eastAsia="zh-CN"/>
              </w:rPr>
              <w:t>，处理达标后还原土用于铺垫油区内的井场、道路。</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项目施工期通过采取以上措施，在很大程度上减轻对土壤环境的影响，并在完井后回覆原有表土，基本可以恢复到原有使用功能，对土壤环境影响较小。</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8、环境风险影响分析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8.1风险调查</w:t>
            </w:r>
          </w:p>
          <w:p>
            <w:pPr>
              <w:keepNext w:val="0"/>
              <w:keepLines w:val="0"/>
              <w:pageBreakBefore w:val="0"/>
              <w:suppressLineNumbers w:val="0"/>
              <w:kinsoku/>
              <w:wordWrap/>
              <w:overflowPunct/>
              <w:topLinePunct w:val="0"/>
              <w:bidi w:val="0"/>
              <w:spacing w:before="0" w:beforeAutospacing="0" w:after="0" w:afterAutospacing="0" w:line="440" w:lineRule="exact"/>
              <w:ind w:left="0" w:right="0" w:firstLine="480" w:firstLineChars="200"/>
              <w:textAlignment w:val="baseline"/>
              <w:rPr>
                <w:rFonts w:hint="default" w:ascii="Times New Roman" w:hAnsi="Times New Roman" w:eastAsia="宋体" w:cs="Times New Roman"/>
                <w:b/>
                <w:bCs w:val="0"/>
                <w:color w:val="auto"/>
                <w:sz w:val="24"/>
                <w:highlight w:val="none"/>
              </w:rPr>
            </w:pPr>
            <w:r>
              <w:rPr>
                <w:rFonts w:hint="default" w:ascii="Times New Roman" w:hAnsi="Times New Roman" w:eastAsia="宋体" w:cs="Times New Roman"/>
                <w:b w:val="0"/>
                <w:bCs w:val="0"/>
                <w:color w:val="auto"/>
                <w:kern w:val="0"/>
                <w:sz w:val="24"/>
                <w:szCs w:val="21"/>
                <w:highlight w:val="none"/>
                <w:lang w:val="en-US" w:eastAsia="zh-CN"/>
              </w:rPr>
              <w:t>项目设置45m³柴油储罐3个，最大暂存量135m³，柴油密度0.85g/ml，最大存量90%，则项目柴油最大存量103t。项目设置有4个40m³</w:t>
            </w:r>
            <w:r>
              <w:rPr>
                <w:rFonts w:hint="eastAsia" w:ascii="Times New Roman" w:cs="Times New Roman"/>
                <w:b w:val="0"/>
                <w:bCs w:val="0"/>
                <w:color w:val="auto"/>
                <w:kern w:val="0"/>
                <w:sz w:val="24"/>
                <w:szCs w:val="21"/>
                <w:highlight w:val="none"/>
                <w:lang w:val="en-US" w:eastAsia="zh-CN"/>
              </w:rPr>
              <w:t>凝析油罐</w:t>
            </w:r>
            <w:r>
              <w:rPr>
                <w:rFonts w:hint="default" w:ascii="Times New Roman" w:hAnsi="Times New Roman" w:eastAsia="宋体" w:cs="Times New Roman"/>
                <w:b w:val="0"/>
                <w:bCs w:val="0"/>
                <w:color w:val="auto"/>
                <w:kern w:val="0"/>
                <w:sz w:val="24"/>
                <w:szCs w:val="21"/>
                <w:highlight w:val="none"/>
                <w:lang w:val="en-US" w:eastAsia="zh-CN"/>
              </w:rPr>
              <w:t>，原油最大存量114t。</w:t>
            </w:r>
            <w:r>
              <w:rPr>
                <w:rFonts w:hint="default" w:ascii="Times New Roman" w:hAnsi="Times New Roman" w:eastAsia="宋体" w:cs="Times New Roman"/>
                <w:b w:val="0"/>
                <w:bCs w:val="0"/>
                <w:color w:val="auto"/>
                <w:spacing w:val="0"/>
                <w:kern w:val="0"/>
                <w:position w:val="0"/>
                <w:sz w:val="24"/>
                <w:szCs w:val="21"/>
                <w:highlight w:val="none"/>
                <w:lang w:val="en-US" w:eastAsia="zh-CN"/>
              </w:rPr>
              <w:t>伴生气及硫化氢场区内不暂存。风险物质最大暂存量见风险调查。</w:t>
            </w:r>
          </w:p>
          <w:p>
            <w:pPr>
              <w:keepNext w:val="0"/>
              <w:keepLines w:val="0"/>
              <w:pageBreakBefore w:val="0"/>
              <w:suppressLineNumbers w:val="0"/>
              <w:kinsoku/>
              <w:wordWrap/>
              <w:overflowPunct/>
              <w:topLinePunct w:val="0"/>
              <w:bidi w:val="0"/>
              <w:spacing w:before="0" w:beforeAutospacing="0" w:after="0" w:afterAutospacing="0" w:line="440" w:lineRule="exact"/>
              <w:ind w:left="0" w:right="0" w:firstLine="482" w:firstLineChars="200"/>
              <w:textAlignment w:val="baseline"/>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bCs w:val="0"/>
                <w:color w:val="auto"/>
                <w:sz w:val="24"/>
                <w:highlight w:val="none"/>
              </w:rPr>
              <w:t>表4-</w:t>
            </w:r>
            <w:r>
              <w:rPr>
                <w:rFonts w:hint="eastAsia" w:ascii="Times New Roman" w:cs="Times New Roman"/>
                <w:b/>
                <w:bCs w:val="0"/>
                <w:color w:val="auto"/>
                <w:sz w:val="24"/>
                <w:highlight w:val="none"/>
                <w:lang w:val="en-US" w:eastAsia="zh-CN"/>
              </w:rPr>
              <w:t>10</w:t>
            </w:r>
            <w:r>
              <w:rPr>
                <w:rFonts w:hint="default" w:ascii="Times New Roman" w:hAnsi="Times New Roman" w:eastAsia="宋体" w:cs="Times New Roman"/>
                <w:b/>
                <w:bCs w:val="0"/>
                <w:color w:val="auto"/>
                <w:sz w:val="24"/>
                <w:highlight w:val="none"/>
                <w:lang w:val="en-US" w:eastAsia="zh-CN"/>
              </w:rPr>
              <w:t xml:space="preserve">    </w:t>
            </w:r>
            <w:r>
              <w:rPr>
                <w:rFonts w:hint="default" w:ascii="Times New Roman" w:hAnsi="Times New Roman" w:eastAsia="宋体" w:cs="Times New Roman"/>
                <w:b/>
                <w:bCs w:val="0"/>
                <w:color w:val="auto"/>
                <w:sz w:val="24"/>
                <w:highlight w:val="none"/>
              </w:rPr>
              <w:t>项目危险物质数量与临界量比值（Q）一览表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726"/>
              <w:gridCol w:w="1922"/>
              <w:gridCol w:w="1342"/>
              <w:gridCol w:w="1087"/>
              <w:gridCol w:w="1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70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序号</w:t>
                  </w:r>
                </w:p>
              </w:tc>
              <w:tc>
                <w:tcPr>
                  <w:tcW w:w="172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pacing w:val="-8"/>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危险物质</w:t>
                  </w:r>
                </w:p>
              </w:tc>
              <w:tc>
                <w:tcPr>
                  <w:tcW w:w="192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最大存在总量qn/t</w:t>
                  </w:r>
                </w:p>
              </w:tc>
              <w:tc>
                <w:tcPr>
                  <w:tcW w:w="134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临界量Qn/t</w:t>
                  </w:r>
                </w:p>
              </w:tc>
              <w:tc>
                <w:tcPr>
                  <w:tcW w:w="108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q/Q</w:t>
                  </w:r>
                  <w:r>
                    <w:rPr>
                      <w:rStyle w:val="93"/>
                      <w:rFonts w:hint="default" w:ascii="Times New Roman" w:hAnsi="Times New Roman" w:eastAsia="宋体" w:cs="Times New Roman"/>
                      <w:color w:val="auto"/>
                      <w:highlight w:val="none"/>
                      <w:lang w:val="en-US" w:eastAsia="zh-CN" w:bidi="ar"/>
                    </w:rPr>
                    <w:t>值</w:t>
                  </w:r>
                </w:p>
              </w:tc>
              <w:tc>
                <w:tcPr>
                  <w:tcW w:w="1325"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Q值划分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70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72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柴油</w:t>
                  </w:r>
                </w:p>
              </w:tc>
              <w:tc>
                <w:tcPr>
                  <w:tcW w:w="192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103</w:t>
                  </w:r>
                </w:p>
              </w:tc>
              <w:tc>
                <w:tcPr>
                  <w:tcW w:w="134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2500</w:t>
                  </w:r>
                </w:p>
              </w:tc>
              <w:tc>
                <w:tcPr>
                  <w:tcW w:w="108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0.0412</w:t>
                  </w:r>
                </w:p>
              </w:tc>
              <w:tc>
                <w:tcPr>
                  <w:tcW w:w="132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Q&lt;1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70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72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原油</w:t>
                  </w:r>
                </w:p>
              </w:tc>
              <w:tc>
                <w:tcPr>
                  <w:tcW w:w="192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114</w:t>
                  </w:r>
                </w:p>
              </w:tc>
              <w:tc>
                <w:tcPr>
                  <w:tcW w:w="134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2500</w:t>
                  </w:r>
                </w:p>
              </w:tc>
              <w:tc>
                <w:tcPr>
                  <w:tcW w:w="108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0.0456</w:t>
                  </w:r>
                </w:p>
              </w:tc>
              <w:tc>
                <w:tcPr>
                  <w:tcW w:w="132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70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72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cs="Times New Roman"/>
                      <w:i w:val="0"/>
                      <w:iCs w:val="0"/>
                      <w:color w:val="auto"/>
                      <w:kern w:val="0"/>
                      <w:sz w:val="21"/>
                      <w:szCs w:val="21"/>
                      <w:highlight w:val="none"/>
                      <w:u w:val="none"/>
                      <w:lang w:val="en-US" w:eastAsia="zh-CN" w:bidi="ar"/>
                    </w:rPr>
                    <w:t>沾油废物</w:t>
                  </w:r>
                </w:p>
              </w:tc>
              <w:tc>
                <w:tcPr>
                  <w:tcW w:w="192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0.01</w:t>
                  </w:r>
                </w:p>
              </w:tc>
              <w:tc>
                <w:tcPr>
                  <w:tcW w:w="134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2500</w:t>
                  </w:r>
                </w:p>
              </w:tc>
              <w:tc>
                <w:tcPr>
                  <w:tcW w:w="108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0.000004</w:t>
                  </w:r>
                </w:p>
              </w:tc>
              <w:tc>
                <w:tcPr>
                  <w:tcW w:w="132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70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726"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spacing w:val="0"/>
                      <w:kern w:val="0"/>
                      <w:position w:val="0"/>
                      <w:sz w:val="21"/>
                      <w:szCs w:val="21"/>
                      <w:highlight w:val="none"/>
                      <w:u w:val="none"/>
                      <w:lang w:val="en-US" w:eastAsia="zh-CN" w:bidi="ar"/>
                    </w:rPr>
                    <w:t>废矿物油及其包装物</w:t>
                  </w:r>
                </w:p>
              </w:tc>
              <w:tc>
                <w:tcPr>
                  <w:tcW w:w="192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spacing w:val="0"/>
                      <w:kern w:val="0"/>
                      <w:position w:val="0"/>
                      <w:sz w:val="21"/>
                      <w:szCs w:val="21"/>
                      <w:highlight w:val="none"/>
                      <w:u w:val="none"/>
                      <w:lang w:val="en-US" w:eastAsia="zh-CN" w:bidi="ar"/>
                    </w:rPr>
                    <w:t>0.1</w:t>
                  </w:r>
                </w:p>
              </w:tc>
              <w:tc>
                <w:tcPr>
                  <w:tcW w:w="134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2500</w:t>
                  </w:r>
                </w:p>
              </w:tc>
              <w:tc>
                <w:tcPr>
                  <w:tcW w:w="108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0.00004</w:t>
                  </w:r>
                </w:p>
              </w:tc>
              <w:tc>
                <w:tcPr>
                  <w:tcW w:w="132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0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72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废烧碱包装</w:t>
                  </w:r>
                  <w:r>
                    <w:rPr>
                      <w:rFonts w:hint="eastAsia" w:ascii="Times New Roman" w:cs="Times New Roman"/>
                      <w:i w:val="0"/>
                      <w:iCs w:val="0"/>
                      <w:color w:val="auto"/>
                      <w:kern w:val="0"/>
                      <w:sz w:val="21"/>
                      <w:szCs w:val="21"/>
                      <w:highlight w:val="none"/>
                      <w:u w:val="none"/>
                      <w:lang w:val="en-US" w:eastAsia="zh-CN" w:bidi="ar"/>
                    </w:rPr>
                    <w:t>袋</w:t>
                  </w:r>
                </w:p>
              </w:tc>
              <w:tc>
                <w:tcPr>
                  <w:tcW w:w="192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0.1</w:t>
                  </w:r>
                </w:p>
              </w:tc>
              <w:tc>
                <w:tcPr>
                  <w:tcW w:w="1342"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08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32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5696" w:type="dxa"/>
                  <w:gridSpan w:val="4"/>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项目Q</w:t>
                  </w:r>
                  <w:r>
                    <w:rPr>
                      <w:rStyle w:val="93"/>
                      <w:rFonts w:hint="default" w:ascii="Times New Roman" w:hAnsi="Times New Roman" w:eastAsia="宋体" w:cs="Times New Roman"/>
                      <w:color w:val="auto"/>
                      <w:highlight w:val="none"/>
                      <w:lang w:val="en-US" w:eastAsia="zh-CN" w:bidi="ar"/>
                    </w:rPr>
                    <w:t>值</w:t>
                  </w:r>
                  <w:r>
                    <w:rPr>
                      <w:rFonts w:hint="default" w:ascii="Times New Roman" w:hAnsi="Times New Roman" w:eastAsia="宋体" w:cs="Times New Roman"/>
                      <w:i w:val="0"/>
                      <w:iCs w:val="0"/>
                      <w:color w:val="auto"/>
                      <w:kern w:val="0"/>
                      <w:sz w:val="21"/>
                      <w:szCs w:val="21"/>
                      <w:highlight w:val="none"/>
                      <w:u w:val="none"/>
                      <w:lang w:val="en-US" w:eastAsia="zh-CN" w:bidi="ar"/>
                    </w:rPr>
                    <w:t>Σ</w:t>
                  </w:r>
                </w:p>
              </w:tc>
              <w:tc>
                <w:tcPr>
                  <w:tcW w:w="108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0.086844</w:t>
                  </w:r>
                </w:p>
              </w:tc>
              <w:tc>
                <w:tcPr>
                  <w:tcW w:w="132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根据上表可知，本项目Q值划分为Q＜1。</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（2）风险潜势初判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szCs w:val="20"/>
                <w:highlight w:val="none"/>
              </w:rPr>
            </w:pPr>
            <w:r>
              <w:rPr>
                <w:rFonts w:hint="default" w:ascii="Times New Roman" w:hAnsi="Times New Roman" w:eastAsia="宋体" w:cs="Times New Roman"/>
                <w:color w:val="auto"/>
                <w:sz w:val="24"/>
                <w:highlight w:val="none"/>
              </w:rPr>
              <w:t>根据《建设项目环境风险评价技术导则》（HJ169-2018）附录C.1.1，当Q＜1时，项目环境风险潜势为</w:t>
            </w:r>
            <w:r>
              <w:rPr>
                <w:rFonts w:hint="default" w:ascii="Times New Roman" w:hAnsi="Times New Roman" w:eastAsia="宋体" w:cs="Times New Roman"/>
                <w:bCs/>
                <w:snapToGrid w:val="0"/>
                <w:color w:val="auto"/>
                <w:sz w:val="24"/>
                <w:szCs w:val="20"/>
                <w:highlight w:val="none"/>
              </w:rPr>
              <w:t>Ⅰ，本项目危险物质数量与临界量比值</w:t>
            </w:r>
            <w:r>
              <w:rPr>
                <w:rFonts w:hint="default" w:ascii="Times New Roman" w:hAnsi="Times New Roman" w:eastAsia="宋体" w:cs="Times New Roman"/>
                <w:color w:val="auto"/>
                <w:sz w:val="24"/>
                <w:highlight w:val="none"/>
              </w:rPr>
              <w:t>Q=</w:t>
            </w:r>
            <w:r>
              <w:rPr>
                <w:rFonts w:hint="default" w:ascii="Times New Roman" w:hAnsi="Times New Roman" w:eastAsia="宋体" w:cs="Times New Roman"/>
                <w:color w:val="auto"/>
                <w:sz w:val="24"/>
                <w:highlight w:val="none"/>
                <w:lang w:val="en-US" w:eastAsia="zh-CN"/>
              </w:rPr>
              <w:t>0.086844</w:t>
            </w:r>
            <w:r>
              <w:rPr>
                <w:rFonts w:hint="default" w:ascii="Times New Roman" w:hAnsi="Times New Roman" w:eastAsia="宋体" w:cs="Times New Roman"/>
                <w:color w:val="auto"/>
                <w:sz w:val="24"/>
                <w:highlight w:val="none"/>
              </w:rPr>
              <w:t>＜1，</w:t>
            </w:r>
            <w:r>
              <w:rPr>
                <w:rFonts w:hint="default" w:ascii="Times New Roman" w:hAnsi="Times New Roman" w:eastAsia="宋体" w:cs="Times New Roman"/>
                <w:bCs/>
                <w:snapToGrid w:val="0"/>
                <w:color w:val="auto"/>
                <w:sz w:val="24"/>
                <w:szCs w:val="20"/>
                <w:highlight w:val="none"/>
              </w:rPr>
              <w:t>因此本项目环境风险潜势为Ⅰ。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（3）风险评价等级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0000FF"/>
                <w:spacing w:val="-4"/>
                <w:sz w:val="24"/>
                <w:highlight w:val="none"/>
              </w:rPr>
            </w:pPr>
            <w:r>
              <w:rPr>
                <w:rFonts w:hint="default" w:ascii="Times New Roman" w:hAnsi="Times New Roman" w:eastAsia="宋体" w:cs="Times New Roman"/>
                <w:color w:val="auto"/>
                <w:sz w:val="24"/>
                <w:highlight w:val="none"/>
              </w:rPr>
              <w:t>根据《建设项目环境风险评价技术导则》（HJ169-2018），</w:t>
            </w:r>
            <w:r>
              <w:rPr>
                <w:rFonts w:hint="default" w:ascii="Times New Roman" w:hAnsi="Times New Roman" w:eastAsia="宋体" w:cs="Times New Roman"/>
                <w:color w:val="auto"/>
                <w:spacing w:val="-4"/>
                <w:sz w:val="24"/>
                <w:highlight w:val="none"/>
              </w:rPr>
              <w:t>环境风险评价工作等级划分为一级、二级、三级。环境风险评价工作等级划分依据见</w:t>
            </w:r>
            <w:r>
              <w:rPr>
                <w:rFonts w:hint="eastAsia" w:ascii="Times New Roman" w:cs="Times New Roman"/>
                <w:color w:val="auto"/>
                <w:spacing w:val="-4"/>
                <w:sz w:val="24"/>
                <w:highlight w:val="none"/>
                <w:lang w:val="en-US" w:eastAsia="zh-CN"/>
              </w:rPr>
              <w:t>下表</w:t>
            </w:r>
            <w:r>
              <w:rPr>
                <w:rFonts w:hint="default" w:ascii="Times New Roman" w:hAnsi="Times New Roman" w:eastAsia="宋体" w:cs="Times New Roman"/>
                <w:color w:val="auto"/>
                <w:spacing w:val="-4"/>
                <w:sz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baseline"/>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表4-</w:t>
            </w:r>
            <w:r>
              <w:rPr>
                <w:rFonts w:hint="default" w:ascii="Times New Roman" w:hAnsi="Times New Roman" w:eastAsia="宋体" w:cs="Times New Roman"/>
                <w:b/>
                <w:color w:val="auto"/>
                <w:sz w:val="24"/>
                <w:highlight w:val="none"/>
                <w:lang w:val="en-US" w:eastAsia="zh-CN"/>
              </w:rPr>
              <w:t>1</w:t>
            </w:r>
            <w:r>
              <w:rPr>
                <w:rFonts w:hint="eastAsia" w:ascii="Times New Roman" w:cs="Times New Roman"/>
                <w:b/>
                <w:color w:val="auto"/>
                <w:sz w:val="24"/>
                <w:highlight w:val="none"/>
                <w:lang w:val="en-US" w:eastAsia="zh-CN"/>
              </w:rPr>
              <w:t>1</w:t>
            </w:r>
            <w:r>
              <w:rPr>
                <w:rFonts w:hint="default" w:ascii="Times New Roman" w:hAnsi="Times New Roman" w:eastAsia="宋体" w:cs="Times New Roman"/>
                <w:b/>
                <w:color w:val="auto"/>
                <w:sz w:val="24"/>
                <w:highlight w:val="none"/>
                <w:lang w:val="en-US" w:eastAsia="zh-CN"/>
              </w:rPr>
              <w:t xml:space="preserve">    </w:t>
            </w:r>
            <w:r>
              <w:rPr>
                <w:rFonts w:hint="default" w:ascii="Times New Roman" w:hAnsi="Times New Roman" w:eastAsia="宋体" w:cs="Times New Roman"/>
                <w:b/>
                <w:color w:val="auto"/>
                <w:sz w:val="24"/>
                <w:highlight w:val="none"/>
              </w:rPr>
              <w:t>环境风险评价工作等级划分依据表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04"/>
              <w:gridCol w:w="1658"/>
              <w:gridCol w:w="1519"/>
              <w:gridCol w:w="1604"/>
              <w:gridCol w:w="1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1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环境风险潜势</w:t>
                  </w:r>
                </w:p>
              </w:tc>
              <w:tc>
                <w:tcPr>
                  <w:tcW w:w="1023"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snapToGrid w:val="0"/>
                      <w:color w:val="auto"/>
                      <w:sz w:val="21"/>
                      <w:szCs w:val="21"/>
                      <w:highlight w:val="none"/>
                    </w:rPr>
                    <w:t>Ⅳ</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bCs/>
                      <w:snapToGrid w:val="0"/>
                      <w:color w:val="auto"/>
                      <w:sz w:val="21"/>
                      <w:szCs w:val="21"/>
                      <w:highlight w:val="none"/>
                    </w:rPr>
                    <w:t>Ⅳ</w:t>
                  </w:r>
                  <w:r>
                    <w:rPr>
                      <w:rFonts w:hint="default" w:ascii="Times New Roman" w:hAnsi="Times New Roman" w:eastAsia="宋体" w:cs="Times New Roman"/>
                      <w:color w:val="auto"/>
                      <w:sz w:val="21"/>
                      <w:szCs w:val="21"/>
                      <w:highlight w:val="none"/>
                      <w:vertAlign w:val="superscript"/>
                    </w:rPr>
                    <w:t>+</w:t>
                  </w:r>
                </w:p>
              </w:tc>
              <w:tc>
                <w:tcPr>
                  <w:tcW w:w="937"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snapToGrid w:val="0"/>
                      <w:color w:val="auto"/>
                      <w:sz w:val="21"/>
                      <w:szCs w:val="21"/>
                      <w:highlight w:val="none"/>
                    </w:rPr>
                    <w:t>Ⅲ</w:t>
                  </w:r>
                </w:p>
              </w:tc>
              <w:tc>
                <w:tcPr>
                  <w:tcW w:w="9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snapToGrid w:val="0"/>
                      <w:color w:val="auto"/>
                      <w:sz w:val="21"/>
                      <w:szCs w:val="21"/>
                      <w:highlight w:val="none"/>
                    </w:rPr>
                    <w:t>Ⅱ</w:t>
                  </w:r>
                </w:p>
              </w:tc>
              <w:tc>
                <w:tcPr>
                  <w:tcW w:w="93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snapToGrid w:val="0"/>
                      <w:color w:val="auto"/>
                      <w:sz w:val="21"/>
                      <w:szCs w:val="21"/>
                      <w:highlight w:val="none"/>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112"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vertAlign w:val="subscript"/>
                    </w:rPr>
                  </w:pPr>
                  <w:r>
                    <w:rPr>
                      <w:rFonts w:hint="default" w:ascii="Times New Roman" w:hAnsi="Times New Roman" w:eastAsia="宋体" w:cs="Times New Roman"/>
                      <w:color w:val="auto"/>
                      <w:sz w:val="21"/>
                      <w:szCs w:val="21"/>
                      <w:highlight w:val="none"/>
                    </w:rPr>
                    <w:t>评价工作等级</w:t>
                  </w:r>
                </w:p>
              </w:tc>
              <w:tc>
                <w:tcPr>
                  <w:tcW w:w="1023"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w:t>
                  </w:r>
                </w:p>
              </w:tc>
              <w:tc>
                <w:tcPr>
                  <w:tcW w:w="937"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w:t>
                  </w:r>
                </w:p>
              </w:tc>
              <w:tc>
                <w:tcPr>
                  <w:tcW w:w="98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w:t>
                  </w:r>
                </w:p>
              </w:tc>
              <w:tc>
                <w:tcPr>
                  <w:tcW w:w="939" w:type="pc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简单分析</w:t>
                  </w:r>
                  <w:r>
                    <w:rPr>
                      <w:rFonts w:hint="default" w:ascii="Times New Roman" w:hAnsi="Times New Roman" w:eastAsia="宋体" w:cs="Times New Roman"/>
                      <w:color w:val="auto"/>
                      <w:sz w:val="21"/>
                      <w:szCs w:val="21"/>
                      <w:highlight w:val="none"/>
                      <w:vertAlign w:val="superscript"/>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5"/>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vertAlign w:val="superscript"/>
                    </w:rPr>
                    <w:t>a</w:t>
                  </w:r>
                  <w:r>
                    <w:rPr>
                      <w:rFonts w:hint="default" w:ascii="Times New Roman" w:hAnsi="Times New Roman" w:eastAsia="宋体" w:cs="Times New Roman"/>
                      <w:color w:val="auto"/>
                      <w:sz w:val="21"/>
                      <w:szCs w:val="21"/>
                      <w:highlight w:val="none"/>
                    </w:rPr>
                    <w:t>是相对于详细评价工作内容而言，在描述危险物质、环境影响途径、环境危害后果、风险防范措施等方面给出定性的说明。见导则附录A。</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baseline"/>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本项目环境风险潜势为Ⅰ，本次评价对大气、地下水环境风险均进行简单分析，本项目无废水外排，故不对地表水环境风险进一步评价。</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8.2环境敏感目标概况</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本项目周边区域无环境敏感目标，将区域环境空气、调查评价范围内地下水作为环境风险保护目标。</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8.3环境风险识别</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（1）物质危险性识别</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结合工程分析和同类事故案例分析，本项目的主要危险物质是柴油，若在钻井过程中遇到部分地层压力异常且含有油气资源，发生井喷事故导致采出气在井口溢出原油，其主要物化、毒理性质、危险等级划分见</w:t>
            </w:r>
            <w:r>
              <w:rPr>
                <w:rFonts w:hint="eastAsia" w:ascii="Times New Roman" w:cs="Times New Roman"/>
                <w:bCs/>
                <w:color w:val="auto"/>
                <w:kern w:val="0"/>
                <w:sz w:val="24"/>
                <w:szCs w:val="24"/>
                <w:highlight w:val="none"/>
                <w:lang w:val="en-US" w:eastAsia="zh-CN"/>
              </w:rPr>
              <w:t>下表</w:t>
            </w:r>
            <w:r>
              <w:rPr>
                <w:rFonts w:hint="default" w:ascii="Times New Roman" w:hAnsi="Times New Roman" w:eastAsia="宋体" w:cs="Times New Roman"/>
                <w:bCs/>
                <w:color w:val="auto"/>
                <w:kern w:val="0"/>
                <w:sz w:val="24"/>
                <w:szCs w:val="24"/>
                <w:highlight w:val="none"/>
                <w:lang w:val="en-US" w:eastAsia="zh-CN"/>
              </w:rPr>
              <w:t>。</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表4-1</w:t>
            </w:r>
            <w:r>
              <w:rPr>
                <w:rFonts w:hint="eastAsia" w:ascii="Times New Roman"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lang w:val="en-US" w:eastAsia="zh-CN"/>
              </w:rPr>
              <w:t xml:space="preserve">    本项目物质危险性一览表</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06"/>
              <w:gridCol w:w="4426"/>
              <w:gridCol w:w="913"/>
              <w:gridCol w:w="1139"/>
              <w:gridCol w:w="91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705" w:type="dxa"/>
                  <w:vMerge w:val="restar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危险物质名称</w:t>
                  </w:r>
                </w:p>
              </w:tc>
              <w:tc>
                <w:tcPr>
                  <w:tcW w:w="7387" w:type="dxa"/>
                  <w:gridSpan w:val="4"/>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理化性质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705" w:type="dxa"/>
                  <w:vMerge w:val="continue"/>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p>
              </w:tc>
              <w:tc>
                <w:tcPr>
                  <w:tcW w:w="4424"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物   质   性   质</w:t>
                  </w:r>
                </w:p>
              </w:tc>
              <w:tc>
                <w:tcPr>
                  <w:tcW w:w="912"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判定结果</w:t>
                  </w:r>
                </w:p>
              </w:tc>
              <w:tc>
                <w:tcPr>
                  <w:tcW w:w="1138"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物质性质</w:t>
                  </w:r>
                </w:p>
              </w:tc>
              <w:tc>
                <w:tcPr>
                  <w:tcW w:w="913"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判定结果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705"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w:t>
                  </w:r>
                </w:p>
              </w:tc>
              <w:tc>
                <w:tcPr>
                  <w:tcW w:w="4424"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稍有黏性的棕色液体，爆炸极限1.5%～4.5%；沸点：200～350℃；闪点：45～55℃</w:t>
                  </w:r>
                  <w:r>
                    <w:rPr>
                      <w:rFonts w:hint="default" w:ascii="Times New Roman" w:hAnsi="Times New Roman" w:eastAsia="宋体" w:cs="Times New Roman"/>
                      <w:color w:val="auto"/>
                      <w:spacing w:val="-10"/>
                      <w:sz w:val="21"/>
                      <w:szCs w:val="21"/>
                      <w:highlight w:val="none"/>
                      <w:lang w:eastAsia="zh-CN"/>
                    </w:rPr>
                    <w:t>。</w:t>
                  </w:r>
                </w:p>
              </w:tc>
              <w:tc>
                <w:tcPr>
                  <w:tcW w:w="912"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可燃液体</w:t>
                  </w:r>
                </w:p>
              </w:tc>
              <w:tc>
                <w:tcPr>
                  <w:tcW w:w="1138"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LC</w:t>
                  </w:r>
                  <w:r>
                    <w:rPr>
                      <w:rFonts w:hint="default" w:ascii="Times New Roman" w:hAnsi="Times New Roman" w:eastAsia="宋体" w:cs="Times New Roman"/>
                      <w:color w:val="auto"/>
                      <w:spacing w:val="-10"/>
                      <w:sz w:val="21"/>
                      <w:szCs w:val="21"/>
                      <w:highlight w:val="none"/>
                      <w:vertAlign w:val="subscript"/>
                    </w:rPr>
                    <w:t>50</w:t>
                  </w:r>
                  <w:r>
                    <w:rPr>
                      <w:rFonts w:hint="default" w:ascii="Times New Roman" w:hAnsi="Times New Roman" w:eastAsia="宋体" w:cs="Times New Roman"/>
                      <w:color w:val="auto"/>
                      <w:spacing w:val="-10"/>
                      <w:sz w:val="21"/>
                      <w:szCs w:val="21"/>
                      <w:highlight w:val="none"/>
                    </w:rPr>
                    <w:t>：无资料</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LD</w:t>
                  </w:r>
                  <w:r>
                    <w:rPr>
                      <w:rFonts w:hint="default" w:ascii="Times New Roman" w:hAnsi="Times New Roman" w:eastAsia="宋体" w:cs="Times New Roman"/>
                      <w:color w:val="auto"/>
                      <w:spacing w:val="-10"/>
                      <w:sz w:val="21"/>
                      <w:szCs w:val="21"/>
                      <w:highlight w:val="none"/>
                      <w:vertAlign w:val="subscript"/>
                    </w:rPr>
                    <w:t>50</w:t>
                  </w:r>
                  <w:r>
                    <w:rPr>
                      <w:rFonts w:hint="default" w:ascii="Times New Roman" w:hAnsi="Times New Roman" w:eastAsia="宋体" w:cs="Times New Roman"/>
                      <w:color w:val="auto"/>
                      <w:spacing w:val="-10"/>
                      <w:sz w:val="21"/>
                      <w:szCs w:val="21"/>
                      <w:highlight w:val="none"/>
                    </w:rPr>
                    <w:t>：无资料</w:t>
                  </w:r>
                </w:p>
              </w:tc>
              <w:tc>
                <w:tcPr>
                  <w:tcW w:w="913"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705"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原油</w:t>
                  </w:r>
                </w:p>
              </w:tc>
              <w:tc>
                <w:tcPr>
                  <w:tcW w:w="4424"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有黏性的深棕色或黑液体，密度0.75～0.95之间，易燃，闪点：-40℃至40℃之间；具有爆炸性。当原油蒸气与空气混合并达到一定浓度时，会形成爆炸性混合物</w:t>
                  </w:r>
                  <w:r>
                    <w:rPr>
                      <w:rFonts w:hint="default" w:ascii="Times New Roman" w:hAnsi="Times New Roman" w:eastAsia="宋体" w:cs="Times New Roman"/>
                      <w:color w:val="auto"/>
                      <w:spacing w:val="-10"/>
                      <w:sz w:val="21"/>
                      <w:szCs w:val="21"/>
                      <w:highlight w:val="none"/>
                      <w:lang w:eastAsia="zh-CN"/>
                    </w:rPr>
                    <w:t>。</w:t>
                  </w:r>
                </w:p>
              </w:tc>
              <w:tc>
                <w:tcPr>
                  <w:tcW w:w="912"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可燃液体</w:t>
                  </w:r>
                </w:p>
              </w:tc>
              <w:tc>
                <w:tcPr>
                  <w:tcW w:w="1138"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LC</w:t>
                  </w:r>
                  <w:r>
                    <w:rPr>
                      <w:rFonts w:hint="default" w:ascii="Times New Roman" w:hAnsi="Times New Roman" w:eastAsia="宋体" w:cs="Times New Roman"/>
                      <w:color w:val="auto"/>
                      <w:spacing w:val="-10"/>
                      <w:sz w:val="21"/>
                      <w:szCs w:val="21"/>
                      <w:highlight w:val="none"/>
                      <w:vertAlign w:val="subscript"/>
                    </w:rPr>
                    <w:t>50</w:t>
                  </w:r>
                  <w:r>
                    <w:rPr>
                      <w:rFonts w:hint="default" w:ascii="Times New Roman" w:hAnsi="Times New Roman" w:eastAsia="宋体" w:cs="Times New Roman"/>
                      <w:color w:val="auto"/>
                      <w:spacing w:val="-10"/>
                      <w:sz w:val="21"/>
                      <w:szCs w:val="21"/>
                      <w:highlight w:val="none"/>
                    </w:rPr>
                    <w:t>：无资料</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LD</w:t>
                  </w:r>
                  <w:r>
                    <w:rPr>
                      <w:rFonts w:hint="default" w:ascii="Times New Roman" w:hAnsi="Times New Roman" w:eastAsia="宋体" w:cs="Times New Roman"/>
                      <w:color w:val="auto"/>
                      <w:spacing w:val="-10"/>
                      <w:sz w:val="21"/>
                      <w:szCs w:val="21"/>
                      <w:highlight w:val="none"/>
                      <w:vertAlign w:val="subscript"/>
                    </w:rPr>
                    <w:t>50</w:t>
                  </w:r>
                  <w:r>
                    <w:rPr>
                      <w:rFonts w:hint="default" w:ascii="Times New Roman" w:hAnsi="Times New Roman" w:eastAsia="宋体" w:cs="Times New Roman"/>
                      <w:color w:val="auto"/>
                      <w:spacing w:val="-10"/>
                      <w:sz w:val="21"/>
                      <w:szCs w:val="21"/>
                      <w:highlight w:val="none"/>
                    </w:rPr>
                    <w:t>：无资料</w:t>
                  </w:r>
                </w:p>
              </w:tc>
              <w:tc>
                <w:tcPr>
                  <w:tcW w:w="913"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705"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落地油</w:t>
                  </w:r>
                </w:p>
              </w:tc>
              <w:tc>
                <w:tcPr>
                  <w:tcW w:w="7387" w:type="dxa"/>
                  <w:gridSpan w:val="4"/>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z w:val="21"/>
                      <w:szCs w:val="21"/>
                      <w:highlight w:val="none"/>
                    </w:rPr>
                    <w:t>落地油通常呈现暗黄、棕色或绿黑色，这是由于其成分主要为碳氢化合物的混合物。落地油的密度在0.780-0.970之间，不溶于水，但可以与某些有机溶剂互溶。</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705" w:type="dxa"/>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伴生气</w:t>
                  </w:r>
                </w:p>
              </w:tc>
              <w:tc>
                <w:tcPr>
                  <w:tcW w:w="7387" w:type="dxa"/>
                  <w:gridSpan w:val="4"/>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无色无味气体，爆炸上限16%，爆炸下限4.8%，蒸汽压：53.32kPa</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-168.8℃</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，闪点：-188.8℃，熔点：-182.5℃，沸点：-161.5℃，相对密度0.42</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-164℃</w:t>
                  </w:r>
                  <w:r>
                    <w:rPr>
                      <w:rFonts w:hint="default" w:ascii="Times New Roman" w:hAnsi="Times New Roman" w:eastAsia="宋体" w:cs="Times New Roman"/>
                      <w:color w:val="auto"/>
                      <w:spacing w:val="-10"/>
                      <w:sz w:val="21"/>
                      <w:szCs w:val="21"/>
                      <w:highlight w:val="none"/>
                      <w:lang w:eastAsia="zh-CN"/>
                    </w:rPr>
                    <w:t>）。</w:t>
                  </w:r>
                </w:p>
              </w:tc>
            </w:tr>
          </w:tbl>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（2）危险物质分布情况</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本项目危险物质主要位于场区内油罐区域和井口。</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（3）可能影响环境的途径</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本项目可能存在的风险事故类型有火灾、爆炸和井喷事故。火灾、爆炸与物料含油率、烃类可燃气体的量等因素有关。本项目柴油罐泄漏发生火灾事故以及发生井喷后可能对周边环境造成影响。</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表4-1</w:t>
            </w:r>
            <w:r>
              <w:rPr>
                <w:rFonts w:hint="eastAsia" w:ascii="Times New Roman"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lang w:val="en-US" w:eastAsia="zh-CN"/>
              </w:rPr>
              <w:t xml:space="preserve">    本项目环境风险及环境影响途径识别表</w:t>
            </w:r>
          </w:p>
          <w:tbl>
            <w:tblPr>
              <w:tblStyle w:val="32"/>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1191"/>
              <w:gridCol w:w="1364"/>
              <w:gridCol w:w="1151"/>
              <w:gridCol w:w="3039"/>
              <w:gridCol w:w="135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危险物质</w:t>
                  </w:r>
                </w:p>
              </w:tc>
              <w:tc>
                <w:tcPr>
                  <w:tcW w:w="842"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风险单元</w:t>
                  </w:r>
                </w:p>
              </w:tc>
              <w:tc>
                <w:tcPr>
                  <w:tcW w:w="710"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作业特点</w:t>
                  </w:r>
                </w:p>
              </w:tc>
              <w:tc>
                <w:tcPr>
                  <w:tcW w:w="1877"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环境风险类型</w:t>
                  </w:r>
                </w:p>
              </w:tc>
              <w:tc>
                <w:tcPr>
                  <w:tcW w:w="8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环境影响途径</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37" w:hRule="atLeast"/>
                <w:jc w:val="center"/>
              </w:trPr>
              <w:tc>
                <w:tcPr>
                  <w:tcW w:w="73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柴油、原油</w:t>
                  </w:r>
                </w:p>
              </w:tc>
              <w:tc>
                <w:tcPr>
                  <w:tcW w:w="842"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w:t>
                  </w:r>
                  <w:r>
                    <w:rPr>
                      <w:rFonts w:hint="eastAsia" w:ascii="Times New Roman" w:cs="Times New Roman"/>
                      <w:color w:val="auto"/>
                      <w:spacing w:val="-10"/>
                      <w:sz w:val="21"/>
                      <w:szCs w:val="21"/>
                      <w:highlight w:val="none"/>
                      <w:lang w:val="en-US" w:eastAsia="zh-CN"/>
                    </w:rPr>
                    <w:t>罐</w:t>
                  </w:r>
                  <w:r>
                    <w:rPr>
                      <w:rFonts w:hint="default" w:ascii="Times New Roman" w:hAnsi="Times New Roman" w:eastAsia="宋体" w:cs="Times New Roman"/>
                      <w:color w:val="auto"/>
                      <w:spacing w:val="-10"/>
                      <w:sz w:val="21"/>
                      <w:szCs w:val="21"/>
                      <w:highlight w:val="none"/>
                    </w:rPr>
                    <w:t>、</w:t>
                  </w:r>
                  <w:r>
                    <w:rPr>
                      <w:rFonts w:hint="default" w:ascii="Times New Roman" w:hAnsi="Times New Roman" w:eastAsia="宋体" w:cs="Times New Roman"/>
                      <w:color w:val="auto"/>
                      <w:spacing w:val="-10"/>
                      <w:sz w:val="21"/>
                      <w:szCs w:val="21"/>
                      <w:highlight w:val="none"/>
                      <w:lang w:val="en-US" w:eastAsia="zh-CN"/>
                    </w:rPr>
                    <w:t>凝析油罐</w:t>
                  </w:r>
                </w:p>
              </w:tc>
              <w:tc>
                <w:tcPr>
                  <w:tcW w:w="710"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常温、常压</w:t>
                  </w:r>
                </w:p>
              </w:tc>
              <w:tc>
                <w:tcPr>
                  <w:tcW w:w="1877"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泄漏、火灾、次生污染物CO、大气污染</w:t>
                  </w:r>
                </w:p>
              </w:tc>
              <w:tc>
                <w:tcPr>
                  <w:tcW w:w="8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大气扩散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95" w:hRule="atLeast"/>
                <w:jc w:val="center"/>
              </w:trPr>
              <w:tc>
                <w:tcPr>
                  <w:tcW w:w="73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伴生天然气H</w:t>
                  </w:r>
                  <w:r>
                    <w:rPr>
                      <w:rFonts w:hint="default" w:ascii="Times New Roman" w:hAnsi="Times New Roman" w:eastAsia="宋体" w:cs="Times New Roman"/>
                      <w:color w:val="auto"/>
                      <w:spacing w:val="-10"/>
                      <w:sz w:val="21"/>
                      <w:szCs w:val="21"/>
                      <w:highlight w:val="none"/>
                      <w:vertAlign w:val="subscript"/>
                    </w:rPr>
                    <w:t>2</w:t>
                  </w:r>
                  <w:r>
                    <w:rPr>
                      <w:rFonts w:hint="default" w:ascii="Times New Roman" w:hAnsi="Times New Roman" w:eastAsia="宋体" w:cs="Times New Roman"/>
                      <w:color w:val="auto"/>
                      <w:spacing w:val="-10"/>
                      <w:sz w:val="21"/>
                      <w:szCs w:val="21"/>
                      <w:highlight w:val="none"/>
                    </w:rPr>
                    <w:t>S</w:t>
                  </w:r>
                </w:p>
              </w:tc>
              <w:tc>
                <w:tcPr>
                  <w:tcW w:w="842"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钻井区域</w:t>
                  </w:r>
                </w:p>
              </w:tc>
              <w:tc>
                <w:tcPr>
                  <w:tcW w:w="710"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常温、常压</w:t>
                  </w:r>
                </w:p>
              </w:tc>
              <w:tc>
                <w:tcPr>
                  <w:tcW w:w="1877"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井喷、井喷失控、泄漏、中毒、火灾、爆炸、大气污染</w:t>
                  </w:r>
                </w:p>
              </w:tc>
              <w:tc>
                <w:tcPr>
                  <w:tcW w:w="8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大气扩散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5" w:type="pct"/>
                  <w:noWrap w:val="0"/>
                  <w:tcMar>
                    <w:left w:w="28" w:type="dxa"/>
                    <w:right w:w="2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落地油</w:t>
                  </w:r>
                </w:p>
              </w:tc>
              <w:tc>
                <w:tcPr>
                  <w:tcW w:w="842"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危废暂存间</w:t>
                  </w:r>
                </w:p>
              </w:tc>
              <w:tc>
                <w:tcPr>
                  <w:tcW w:w="710"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常温、常压</w:t>
                  </w:r>
                </w:p>
              </w:tc>
              <w:tc>
                <w:tcPr>
                  <w:tcW w:w="1877"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泄漏、火灾、次生污染物CO、大气污染</w:t>
                  </w:r>
                </w:p>
              </w:tc>
              <w:tc>
                <w:tcPr>
                  <w:tcW w:w="834" w:type="pct"/>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1"/>
                      <w:sz w:val="21"/>
                      <w:szCs w:val="21"/>
                      <w:highlight w:val="none"/>
                    </w:rPr>
                  </w:pPr>
                  <w:r>
                    <w:rPr>
                      <w:rFonts w:hint="default" w:ascii="Times New Roman" w:hAnsi="Times New Roman" w:eastAsia="宋体" w:cs="Times New Roman"/>
                      <w:color w:val="auto"/>
                      <w:spacing w:val="-10"/>
                      <w:sz w:val="21"/>
                      <w:szCs w:val="21"/>
                      <w:highlight w:val="none"/>
                    </w:rPr>
                    <w:t>大气扩散</w:t>
                  </w:r>
                </w:p>
              </w:tc>
            </w:tr>
          </w:tbl>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（4）生产设施风险识别</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 xml:space="preserve">A.井喷事故风险 </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1"/>
                <w:szCs w:val="21"/>
                <w:highlight w:val="none"/>
              </w:rPr>
            </w:pPr>
            <w:r>
              <w:rPr>
                <w:rFonts w:hint="default" w:ascii="Times New Roman" w:hAnsi="Times New Roman" w:eastAsia="宋体" w:cs="Times New Roman"/>
                <w:color w:val="auto"/>
                <w:kern w:val="2"/>
                <w:sz w:val="24"/>
                <w:szCs w:val="24"/>
                <w:highlight w:val="none"/>
                <w:lang w:val="en-US" w:eastAsia="zh-CN"/>
              </w:rPr>
              <w:t>井喷为井场常见事故。钻井过程中遇到地下油、气、水层时，油、气或水窜进井内的钻井液里，加快了钻井液流动和循环的速度。如果井底压力小于地层压力，地层流体将进入井筒并推动钻井液外溢，即发生溢流。此时，如果对地下油、气压力平衡控制不当，不能及时控制溢流，会造成油、气、水或其他混合物迅速喷到地面，即发生井喷。井喷会引发油气泄漏及火灾爆炸，对空气环境、水环境及生态环境造成危害，致使人员伤亡、财产损失。</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 xml:space="preserve">B.井漏事故风险 </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钻井施工表层套管下入深度不够或固井质量不好可能引发污染地下水事故，如钻井液漏失造成地下水污染，油气上窜造成地下水污染等。</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1"/>
                <w:highlight w:val="none"/>
                <w:lang w:val="en-US" w:eastAsia="zh-CN"/>
              </w:rPr>
            </w:pPr>
            <w:r>
              <w:rPr>
                <w:rFonts w:hint="default" w:ascii="Times New Roman" w:hAnsi="Times New Roman" w:eastAsia="宋体" w:cs="Times New Roman"/>
                <w:color w:val="auto"/>
                <w:sz w:val="24"/>
                <w:szCs w:val="21"/>
                <w:highlight w:val="none"/>
                <w:lang w:val="en-US" w:eastAsia="zh-CN"/>
              </w:rPr>
              <w:t>C.物料运输风险</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sz w:val="24"/>
                <w:szCs w:val="21"/>
                <w:highlight w:val="none"/>
                <w:lang w:val="en-US" w:eastAsia="zh-CN"/>
              </w:rPr>
              <w:t>物料运输风险事故主要为原油、柴油、落地油等运输过程中产生的泄漏事故，泄漏后将污染井场土壤，造成土质恶化，影响井场及周边植被生长等。</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8.4环境风险分析</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8.4.1大气环境风险分析</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工程施工过程中风险类型主要为柴油罐泄漏导致的火灾以及爆炸事故等产生的次生污染物影响，以及在钻至含油地层遇到压力异常发生井喷事故导致气体进入大气。</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柴油罐泄漏时，遇明火燃烧，油品从裂口流出后立即燃烧，发生火灾爆炸事故，如果出现不完全燃烧，会产生一定量的一氧化碳。一旦储罐发生泄漏事故，应迅速进行封堵，并将泄漏物收集至铁桶等容器内，交由有资质单位处理。</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在钻至含油地层遇到压力异常超过设计压力发生井喷事故，井喷污染范围为200m，一般需要1～2天能得以控制。井喷事故状态下，局部大气中的烃类在短时间内剧增，使局部地区大气污染物在一定时间段内超标，发生井喷事故后，应及时控制井口放喷设施，将井喷泄漏物导入放喷池，若遇硫化氢采取点燃处理，通过采取及时疏散周边人员，对井喷物质进行点火和在周边进行检测，可最大程度降低对周边的影响。积极开展公众环境风险事故预防教育和应急知识培训，一旦发生火灾爆炸事故，及时疏散井场及周边人员，避免造成人员伤亡和财产损失。事故发生后，周边荒漠采用人工清理后进行重建，再加上生物演替过程，基本2～3年即可恢复。由于井场位于荒漠，在落实风险防范措施、应急预案后，其发生事故的概率较低，且周边区域空旷，扩散条件良好，柴油泄漏及井喷事故对周围环境空气的影响是可以接受的。</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color w:val="auto"/>
                <w:sz w:val="24"/>
                <w:szCs w:val="20"/>
                <w:highlight w:val="none"/>
                <w:lang w:val="en-US" w:eastAsia="zh-CN"/>
              </w:rPr>
              <w:t>8.4.2地表水环境风险分析</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柴油罐发生泄漏时，及时封堵，并将泄漏物收集后交由有资质单位处理；井喷事故可能会导致大量的石油、天然气或其他有害物质泄漏到环境中</w:t>
            </w:r>
            <w:r>
              <w:rPr>
                <w:rFonts w:hint="eastAsia" w:ascii="Times New Roman" w:eastAsia="宋体" w:cs="Times New Roman"/>
                <w:color w:val="auto"/>
                <w:kern w:val="2"/>
                <w:sz w:val="24"/>
                <w:szCs w:val="24"/>
                <w:highlight w:val="none"/>
                <w:lang w:val="en-US" w:eastAsia="zh-CN"/>
              </w:rPr>
              <w:t>；酸化压裂反排液转运、运输过程中因碰撞、翻车、罐体腐蚀或阀门失效发生泄漏时，高盐或含重金属的液体直接流周边环境中。</w:t>
            </w:r>
            <w:r>
              <w:rPr>
                <w:rFonts w:hint="default" w:ascii="Times New Roman" w:hAnsi="Times New Roman" w:eastAsia="宋体" w:cs="Times New Roman"/>
                <w:color w:val="auto"/>
                <w:kern w:val="2"/>
                <w:sz w:val="24"/>
                <w:szCs w:val="24"/>
                <w:highlight w:val="none"/>
                <w:lang w:val="en-US" w:eastAsia="zh-CN"/>
              </w:rPr>
              <w:t>本项目周边无地表水，发生井喷事故时，将放喷池作为一级污染控制措施，对井喷泄漏物进行收集，并将泄漏物收集后交由有资质单位处理</w:t>
            </w:r>
            <w:r>
              <w:rPr>
                <w:rFonts w:hint="eastAsia" w:ascii="Times New Roman" w:eastAsia="宋体" w:cs="Times New Roman"/>
                <w:color w:val="auto"/>
                <w:kern w:val="2"/>
                <w:sz w:val="24"/>
                <w:szCs w:val="24"/>
                <w:highlight w:val="none"/>
                <w:lang w:val="en-US" w:eastAsia="zh-CN"/>
              </w:rPr>
              <w:t>；酸化压裂反排液发生泄漏时，对泄漏物进行收集</w:t>
            </w:r>
            <w:r>
              <w:rPr>
                <w:rFonts w:hint="default" w:ascii="Times New Roman" w:hAnsi="Times New Roman" w:eastAsia="宋体" w:cs="Times New Roman"/>
                <w:color w:val="auto"/>
                <w:kern w:val="2"/>
                <w:sz w:val="24"/>
                <w:szCs w:val="24"/>
                <w:highlight w:val="none"/>
                <w:lang w:val="en-US" w:eastAsia="zh-CN"/>
              </w:rPr>
              <w:t>，并将泄漏物收集后交由有资质单位处理</w:t>
            </w:r>
            <w:r>
              <w:rPr>
                <w:rFonts w:hint="eastAsia"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rPr>
              <w:t>相关部门和企业应当采取有效的预防措施。</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为了减少井喷事故对地表水的影响，加强井控技术的研究和应用，提高应急响应能力，建立健全的环境保护法规和标准。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8.4.3地下水环境风险分析</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在发生柴油罐泄漏</w:t>
            </w:r>
            <w:r>
              <w:rPr>
                <w:rFonts w:hint="eastAsia" w:ascii="Times New Roman" w:eastAsia="宋体" w:cs="Times New Roman"/>
                <w:color w:val="auto"/>
                <w:kern w:val="2"/>
                <w:sz w:val="24"/>
                <w:szCs w:val="24"/>
                <w:highlight w:val="none"/>
                <w:lang w:val="en-US" w:eastAsia="zh-CN"/>
              </w:rPr>
              <w:t>、酸化液裂反排液泄漏</w:t>
            </w:r>
            <w:r>
              <w:rPr>
                <w:rFonts w:hint="default" w:ascii="Times New Roman" w:hAnsi="Times New Roman" w:eastAsia="宋体" w:cs="Times New Roman"/>
                <w:color w:val="auto"/>
                <w:kern w:val="2"/>
                <w:sz w:val="24"/>
                <w:szCs w:val="24"/>
                <w:highlight w:val="none"/>
                <w:lang w:val="en-US" w:eastAsia="zh-CN"/>
              </w:rPr>
              <w:t>等事故时，若泄漏</w:t>
            </w:r>
            <w:r>
              <w:rPr>
                <w:rFonts w:hint="eastAsia" w:ascii="Times New Roman" w:eastAsia="宋体" w:cs="Times New Roman"/>
                <w:color w:val="auto"/>
                <w:kern w:val="2"/>
                <w:sz w:val="24"/>
                <w:szCs w:val="24"/>
                <w:highlight w:val="none"/>
                <w:lang w:val="en-US" w:eastAsia="zh-CN"/>
              </w:rPr>
              <w:t>物</w:t>
            </w:r>
            <w:r>
              <w:rPr>
                <w:rFonts w:hint="default" w:ascii="Times New Roman" w:hAnsi="Times New Roman" w:eastAsia="宋体" w:cs="Times New Roman"/>
                <w:color w:val="auto"/>
                <w:kern w:val="2"/>
                <w:sz w:val="24"/>
                <w:szCs w:val="24"/>
                <w:highlight w:val="none"/>
                <w:lang w:val="en-US" w:eastAsia="zh-CN"/>
              </w:rPr>
              <w:t>长时间未得到处理，渗入地下可能污染地下水。为防止</w:t>
            </w:r>
            <w:r>
              <w:rPr>
                <w:rFonts w:hint="eastAsia" w:ascii="Times New Roman" w:eastAsia="宋体" w:cs="Times New Roman"/>
                <w:color w:val="auto"/>
                <w:kern w:val="2"/>
                <w:sz w:val="24"/>
                <w:szCs w:val="24"/>
                <w:highlight w:val="none"/>
                <w:lang w:val="en-US" w:eastAsia="zh-CN"/>
              </w:rPr>
              <w:t>泄漏物</w:t>
            </w:r>
            <w:r>
              <w:rPr>
                <w:rFonts w:hint="default" w:ascii="Times New Roman" w:hAnsi="Times New Roman" w:eastAsia="宋体" w:cs="Times New Roman"/>
                <w:color w:val="auto"/>
                <w:kern w:val="2"/>
                <w:sz w:val="24"/>
                <w:szCs w:val="24"/>
                <w:highlight w:val="none"/>
                <w:lang w:val="en-US" w:eastAsia="zh-CN"/>
              </w:rPr>
              <w:t>污染土壤和地下水，环评要求采取以下措施：</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①加强柴油罐</w:t>
            </w:r>
            <w:r>
              <w:rPr>
                <w:rFonts w:hint="eastAsia" w:ascii="Times New Roman" w:eastAsia="宋体" w:cs="Times New Roman"/>
                <w:color w:val="auto"/>
                <w:kern w:val="2"/>
                <w:sz w:val="24"/>
                <w:szCs w:val="24"/>
                <w:highlight w:val="none"/>
                <w:lang w:val="en-US" w:eastAsia="zh-CN"/>
              </w:rPr>
              <w:t>、酸化液裂反排液运输车辆</w:t>
            </w:r>
            <w:r>
              <w:rPr>
                <w:rFonts w:hint="default" w:ascii="Times New Roman" w:hAnsi="Times New Roman" w:eastAsia="宋体" w:cs="Times New Roman"/>
                <w:color w:val="auto"/>
                <w:kern w:val="2"/>
                <w:sz w:val="24"/>
                <w:szCs w:val="24"/>
                <w:highlight w:val="none"/>
                <w:lang w:val="en-US" w:eastAsia="zh-CN"/>
              </w:rPr>
              <w:t>的维护保养，避免泄漏事件的发生。对于易发生泄漏的部位实行定期的巡检制度，及时发现问题尽快解决。加强职工的安全教育，</w:t>
            </w:r>
            <w:r>
              <w:rPr>
                <w:rFonts w:hint="eastAsia" w:ascii="Times New Roman" w:hAnsi="Times New Roman" w:eastAsia="宋体" w:cs="Times New Roman"/>
                <w:color w:val="auto"/>
                <w:kern w:val="2"/>
                <w:sz w:val="24"/>
                <w:szCs w:val="24"/>
                <w:highlight w:val="none"/>
                <w:lang w:val="en-US" w:eastAsia="zh-CN"/>
              </w:rPr>
              <w:t>增强</w:t>
            </w:r>
            <w:r>
              <w:rPr>
                <w:rFonts w:hint="default" w:ascii="Times New Roman" w:hAnsi="Times New Roman" w:eastAsia="宋体" w:cs="Times New Roman"/>
                <w:color w:val="auto"/>
                <w:kern w:val="2"/>
                <w:sz w:val="24"/>
                <w:szCs w:val="24"/>
                <w:highlight w:val="none"/>
                <w:lang w:val="en-US" w:eastAsia="zh-CN"/>
              </w:rPr>
              <w:t>防范风险的意识。</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②在柴油罐底部采用防渗膜防渗，如发生油品泄漏，应及时把污染的部分收集在铁桶中，施工结束后交</w:t>
            </w:r>
            <w:r>
              <w:rPr>
                <w:rFonts w:hint="eastAsia" w:ascii="Times New Roman" w:hAnsi="Times New Roman" w:eastAsia="宋体" w:cs="Times New Roman"/>
                <w:color w:val="auto"/>
                <w:kern w:val="2"/>
                <w:sz w:val="24"/>
                <w:szCs w:val="24"/>
                <w:highlight w:val="none"/>
                <w:lang w:val="en-US" w:eastAsia="zh-CN"/>
              </w:rPr>
              <w:t>由</w:t>
            </w:r>
            <w:r>
              <w:rPr>
                <w:rFonts w:hint="default" w:ascii="Times New Roman" w:hAnsi="Times New Roman" w:eastAsia="宋体" w:cs="Times New Roman"/>
                <w:color w:val="auto"/>
                <w:kern w:val="2"/>
                <w:sz w:val="24"/>
                <w:szCs w:val="24"/>
                <w:highlight w:val="none"/>
                <w:lang w:val="en-US" w:eastAsia="zh-CN"/>
              </w:rPr>
              <w:t>有资质单位处置。</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eastAsia" w:ascii="Times New Roman" w:eastAsia="宋体" w:cs="Times New Roman"/>
                <w:color w:val="auto"/>
                <w:kern w:val="2"/>
                <w:sz w:val="24"/>
                <w:szCs w:val="24"/>
                <w:highlight w:val="none"/>
                <w:lang w:val="en-US" w:eastAsia="zh-CN"/>
              </w:rPr>
              <w:t>③加强酸化液裂反排液运输司机道路安全驾驶教育</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增强</w:t>
            </w:r>
            <w:r>
              <w:rPr>
                <w:rFonts w:hint="default" w:ascii="Times New Roman" w:hAnsi="Times New Roman" w:eastAsia="宋体" w:cs="Times New Roman"/>
                <w:color w:val="auto"/>
                <w:kern w:val="2"/>
                <w:sz w:val="24"/>
                <w:szCs w:val="24"/>
                <w:highlight w:val="none"/>
                <w:lang w:val="en-US" w:eastAsia="zh-CN"/>
              </w:rPr>
              <w:t>防范风险的意识。</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采取以上防渗措施后，地下水环境风险可防控。</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8.4.4套管破损风险分析</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套管破损可能导致油气泄漏，这些泄漏物可能渗透到土壤中，污染地下水和土壤。油品和其他有害物质可能会渗入土壤，影响土壤的物理和化学性质，甚至破坏土壤生态系统。</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套管破损可能导致井壁稳定性下降，进而影响土壤结构。在某些情况下，这可能导致地面下沉或地层压实，改变土壤的承载能力和稳定性。</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油气泄漏和土壤污染可能对土壤中的微生物群落和植物生长产生负面影响，破坏生态平衡。长期的污染还可能导致土壤退化，影响土地可持续利用。</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综上所述，套管破损不仅会影响油气开采的效率和安全性，还可能对土壤环境造成严重影响。因此，在油气勘探过程中，应采取有效的预防和修复措施，以减少套管破损对土壤的影响。</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30" w:lineRule="exact"/>
              <w:ind w:left="0" w:leftChars="0" w:right="0" w:firstLine="420"/>
              <w:textAlignment w:val="auto"/>
              <w:rPr>
                <w:rFonts w:hint="default" w:ascii="Times New Roman" w:hAnsi="Times New Roman" w:eastAsia="宋体" w:cs="Times New Roman"/>
                <w:color w:val="0000FF"/>
                <w:kern w:val="2"/>
                <w:sz w:val="24"/>
                <w:szCs w:val="24"/>
                <w:highlight w:val="none"/>
                <w:lang w:val="en-US" w:eastAsia="zh-CN"/>
              </w:rPr>
            </w:pPr>
            <w:bookmarkStart w:id="49" w:name="OLE_LINK6"/>
            <w:r>
              <w:rPr>
                <w:rFonts w:hint="default" w:ascii="Times New Roman" w:hAnsi="Times New Roman" w:eastAsia="宋体" w:cs="Times New Roman"/>
                <w:color w:val="auto"/>
                <w:kern w:val="2"/>
                <w:sz w:val="24"/>
                <w:szCs w:val="24"/>
                <w:highlight w:val="none"/>
                <w:lang w:val="en-US" w:eastAsia="zh-CN"/>
              </w:rPr>
              <w:t>钻井过程中主要环境风险是可能发生的井喷、储罐泄漏等事故，做好风险防范工作，防止对周围环境、工作人员人身安全造成危害。本项目的环境风险防范措施及制定的预案切实可行、有效。在落实风险防范措施、应急预案后，其发生事故的概率较低，其环境危害也是较小的，环境风险水平可接受</w:t>
            </w:r>
            <w:bookmarkStart w:id="50" w:name="OLE_LINK42"/>
            <w:r>
              <w:rPr>
                <w:rFonts w:hint="default" w:ascii="Times New Roman" w:hAnsi="Times New Roman" w:eastAsia="宋体" w:cs="Times New Roman"/>
                <w:color w:val="auto"/>
                <w:kern w:val="2"/>
                <w:sz w:val="24"/>
                <w:szCs w:val="24"/>
                <w:highlight w:val="none"/>
                <w:lang w:val="en-US" w:eastAsia="zh-CN"/>
              </w:rPr>
              <w:t>。</w:t>
            </w:r>
            <w:bookmarkEnd w:id="49"/>
            <w:bookmarkEnd w:id="50"/>
          </w:p>
        </w:tc>
      </w:tr>
      <w:bookmarkEnd w:id="45"/>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445" w:hRule="atLeast"/>
          <w:jc w:val="center"/>
        </w:trPr>
        <w:tc>
          <w:tcPr>
            <w:tcW w:w="749" w:type="dxa"/>
            <w:noWrap w:val="0"/>
            <w:tcMar>
              <w:left w:w="108" w:type="dxa"/>
              <w:right w:w="10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bCs/>
                <w:color w:val="auto"/>
                <w:kern w:val="2"/>
                <w:sz w:val="21"/>
                <w:szCs w:val="21"/>
                <w:highlight w:val="none"/>
                <w:lang w:val="en-US" w:eastAsia="zh-CN"/>
              </w:rPr>
            </w:pPr>
            <w:r>
              <w:rPr>
                <w:rFonts w:hint="default" w:ascii="Times New Roman" w:hAnsi="Times New Roman" w:eastAsia="宋体" w:cs="Times New Roman"/>
                <w:color w:val="auto"/>
                <w:sz w:val="24"/>
                <w:szCs w:val="24"/>
                <w:highlight w:val="none"/>
                <w:lang w:val="en-US" w:eastAsia="zh-CN"/>
              </w:rPr>
              <w:t>运营期生态环境影响分析</w:t>
            </w:r>
          </w:p>
        </w:tc>
        <w:tc>
          <w:tcPr>
            <w:tcW w:w="8334" w:type="dxa"/>
            <w:noWrap w:val="0"/>
            <w:tcMar>
              <w:left w:w="108" w:type="dxa"/>
              <w:right w:w="108" w:type="dxa"/>
            </w:tcMar>
            <w:vAlign w:val="center"/>
          </w:tcPr>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jc w:val="both"/>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本项目不涉及运营期。</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jc w:val="both"/>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完钻测试放喷后，如在测试放喷过程中发现油气资源具有开采价值，则安装采油树，结合区块开发规划，在适当时间滚动开发，按照要求再进行区块开发、地面工程建设环境影响评价。如发现该井不具开发价值或目的层不含油气，则进行封井、设备搬迁，井场恢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8805" w:hRule="atLeast"/>
          <w:jc w:val="center"/>
        </w:trPr>
        <w:tc>
          <w:tcPr>
            <w:tcW w:w="749" w:type="dxa"/>
            <w:noWrap w:val="0"/>
            <w:tcMar>
              <w:left w:w="108" w:type="dxa"/>
              <w:right w:w="10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bCs/>
                <w:color w:val="auto"/>
                <w:kern w:val="2"/>
                <w:sz w:val="21"/>
                <w:szCs w:val="21"/>
                <w:highlight w:val="none"/>
                <w:lang w:val="en-US" w:eastAsia="zh-CN"/>
              </w:rPr>
            </w:pPr>
            <w:r>
              <w:rPr>
                <w:rFonts w:hint="default" w:ascii="Times New Roman" w:hAnsi="Times New Roman" w:eastAsia="宋体" w:cs="Times New Roman"/>
                <w:color w:val="auto"/>
                <w:sz w:val="24"/>
                <w:szCs w:val="24"/>
                <w:highlight w:val="none"/>
                <w:lang w:val="en-US" w:eastAsia="zh-CN"/>
              </w:rPr>
              <w:t>选址选线环境合理性分析</w:t>
            </w:r>
          </w:p>
        </w:tc>
        <w:tc>
          <w:tcPr>
            <w:tcW w:w="8334" w:type="dxa"/>
            <w:noWrap w:val="0"/>
            <w:tcMar>
              <w:left w:w="108" w:type="dxa"/>
              <w:right w:w="108" w:type="dxa"/>
            </w:tcMar>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1、环境制约因素</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工程选址位于新疆维吾尔自治区巴音郭楞蒙古自治州</w:t>
            </w:r>
            <w:r>
              <w:rPr>
                <w:rFonts w:hint="eastAsia" w:ascii="Times New Roman" w:eastAsia="宋体" w:cs="Times New Roman"/>
                <w:color w:val="auto"/>
                <w:kern w:val="2"/>
                <w:sz w:val="24"/>
                <w:szCs w:val="24"/>
                <w:highlight w:val="none"/>
                <w:lang w:val="en-US" w:eastAsia="zh-CN"/>
              </w:rPr>
              <w:t>且末县塔中镇东北侧15.8km处</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项目</w:t>
            </w:r>
            <w:r>
              <w:rPr>
                <w:rFonts w:hint="eastAsia" w:ascii="Times New Roman" w:eastAsia="宋体" w:cs="Times New Roman"/>
                <w:color w:val="auto"/>
                <w:kern w:val="2"/>
                <w:sz w:val="24"/>
                <w:szCs w:val="24"/>
                <w:highlight w:val="none"/>
                <w:lang w:val="en-US" w:eastAsia="zh-CN"/>
              </w:rPr>
              <w:t>西南</w:t>
            </w:r>
            <w:r>
              <w:rPr>
                <w:rFonts w:hint="default" w:ascii="Times New Roman" w:hAnsi="Times New Roman" w:eastAsia="宋体" w:cs="Times New Roman"/>
                <w:color w:val="auto"/>
                <w:kern w:val="2"/>
                <w:sz w:val="24"/>
                <w:szCs w:val="24"/>
                <w:highlight w:val="none"/>
                <w:lang w:val="en-US" w:eastAsia="zh-CN"/>
              </w:rPr>
              <w:t>距</w:t>
            </w:r>
            <w:r>
              <w:rPr>
                <w:rFonts w:hint="eastAsia" w:ascii="Times New Roman" w:eastAsia="宋体" w:cs="Times New Roman"/>
                <w:color w:val="auto"/>
                <w:kern w:val="2"/>
                <w:sz w:val="24"/>
                <w:szCs w:val="24"/>
                <w:highlight w:val="none"/>
                <w:lang w:val="en-US" w:eastAsia="zh-CN"/>
              </w:rPr>
              <w:t>塔里木盆地南缘土地沙化防控生态保护红线区122.9</w:t>
            </w:r>
            <w:r>
              <w:rPr>
                <w:rFonts w:hint="default" w:ascii="Times New Roman" w:hAnsi="Times New Roman" w:eastAsia="宋体" w:cs="Times New Roman"/>
                <w:color w:val="auto"/>
                <w:kern w:val="2"/>
                <w:sz w:val="24"/>
                <w:szCs w:val="24"/>
                <w:highlight w:val="none"/>
                <w:lang w:val="en-US" w:eastAsia="zh-CN"/>
              </w:rPr>
              <w:t>km，工程选址区域不涉及自然保护区、风景名胜区和其他需要特殊保护的区域，井场选址满足《钻前工程及井场布置技术要求》（SY/T5466-2013）要求，项目占地为</w:t>
            </w:r>
            <w:r>
              <w:rPr>
                <w:rFonts w:hint="eastAsia" w:ascii="Times New Roman" w:eastAsia="宋体" w:cs="Times New Roman"/>
                <w:color w:val="auto"/>
                <w:kern w:val="2"/>
                <w:sz w:val="24"/>
                <w:szCs w:val="24"/>
                <w:highlight w:val="none"/>
                <w:lang w:val="en-US" w:eastAsia="zh-CN"/>
              </w:rPr>
              <w:t>沙地</w:t>
            </w:r>
            <w:r>
              <w:rPr>
                <w:rFonts w:hint="default" w:ascii="Times New Roman" w:hAnsi="Times New Roman" w:eastAsia="宋体" w:cs="Times New Roman"/>
                <w:color w:val="auto"/>
                <w:kern w:val="2"/>
                <w:sz w:val="24"/>
                <w:szCs w:val="24"/>
                <w:highlight w:val="none"/>
                <w:lang w:val="en-US" w:eastAsia="zh-CN"/>
              </w:rPr>
              <w:t>，且位于塔里木油田分公司探矿许可开采范围内，工程选址合理。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2、环境影响程度</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本项目为勘探项目，施工期包括钻前工程、钻井工程、储层改造工程、钻后工程，各个环节产生生态破坏和环境污染影响较小，环境风险可防控。</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本项目选址主要由地下气层所在位置决定地面，选址无相关比选方案。</w:t>
            </w:r>
          </w:p>
          <w:p>
            <w:pPr>
              <w:pStyle w:val="6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综上所述，本项目选址合理</w:t>
            </w:r>
            <w:r>
              <w:rPr>
                <w:rFonts w:hint="eastAsia" w:ascii="Times New Roman" w:eastAsia="宋体" w:cs="Times New Roman"/>
                <w:color w:val="auto"/>
                <w:kern w:val="2"/>
                <w:sz w:val="24"/>
                <w:szCs w:val="24"/>
                <w:highlight w:val="none"/>
                <w:lang w:val="en-US" w:eastAsia="zh-CN"/>
              </w:rPr>
              <w:t>。</w:t>
            </w:r>
          </w:p>
        </w:tc>
      </w:tr>
    </w:tbl>
    <w:p>
      <w:pPr>
        <w:pStyle w:val="29"/>
        <w:jc w:val="center"/>
        <w:outlineLvl w:val="0"/>
        <w:rPr>
          <w:rFonts w:hint="default" w:ascii="Times New Roman" w:hAnsi="Times New Roman" w:eastAsia="宋体" w:cs="Times New Roman"/>
          <w:b/>
          <w:bCs/>
          <w:snapToGrid w:val="0"/>
          <w:color w:val="0000FF"/>
          <w:sz w:val="30"/>
          <w:szCs w:val="30"/>
          <w:highlight w:val="none"/>
        </w:rPr>
      </w:pPr>
      <w:r>
        <w:rPr>
          <w:rFonts w:hint="default" w:ascii="Times New Roman" w:hAnsi="Times New Roman" w:eastAsia="宋体" w:cs="Times New Roman"/>
          <w:snapToGrid w:val="0"/>
          <w:color w:val="0000FF"/>
          <w:sz w:val="30"/>
          <w:szCs w:val="30"/>
          <w:highlight w:val="none"/>
        </w:rPr>
        <w:br w:type="page"/>
      </w:r>
      <w:bookmarkStart w:id="51" w:name="_Toc17717"/>
      <w:r>
        <w:rPr>
          <w:rFonts w:hint="default" w:ascii="Times New Roman" w:hAnsi="Times New Roman" w:eastAsia="宋体" w:cs="Times New Roman"/>
          <w:b/>
          <w:bCs/>
          <w:snapToGrid w:val="0"/>
          <w:color w:val="auto"/>
          <w:sz w:val="30"/>
          <w:szCs w:val="30"/>
          <w:highlight w:val="none"/>
        </w:rPr>
        <w:t>五、主要生态环境保护措施</w:t>
      </w:r>
      <w:bookmarkEnd w:id="51"/>
    </w:p>
    <w:tbl>
      <w:tblPr>
        <w:tblStyle w:val="32"/>
        <w:tblW w:w="908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99"/>
        <w:gridCol w:w="818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noWrap w:val="0"/>
            <w:tcMar>
              <w:left w:w="108" w:type="dxa"/>
              <w:right w:w="108" w:type="dxa"/>
            </w:tcMar>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sz w:val="24"/>
                <w:szCs w:val="24"/>
                <w:highlight w:val="none"/>
                <w:lang w:val="en-US" w:eastAsia="zh-CN"/>
              </w:rPr>
              <w:t>施工期生态环境保护措施</w:t>
            </w:r>
          </w:p>
        </w:tc>
        <w:tc>
          <w:tcPr>
            <w:tcW w:w="8187" w:type="dxa"/>
            <w:noWrap w:val="0"/>
            <w:tcMar>
              <w:left w:w="108" w:type="dxa"/>
              <w:right w:w="108" w:type="dxa"/>
            </w:tcMar>
            <w:vAlign w:val="top"/>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1、施工期生态环境保护措施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（1）生态治理措施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项目所在区域生态较脆弱，为保护区域生态环境，在施工过程和钻井结束后，应采取以下生态保护措施：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①井场严格按设计方案减少占地；生活区、放喷池等设施选在井场周边未利用地，减少占地。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②对临时性占地合理规划，严格控制临时占地面积，对规划占地范围外的区域严禁机械及车辆进入、占用，禁止乱轧乱碾，减少扰动范围。单井井场施工临时性占地控制在100m×140m范围内。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③项目占用沙地，开工前办理用地审批，经批准可临时占地，不超过两年，在试采和取得采矿权后转为开采井的，办理永久占地手续。</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④施工期充分利用现有周边的道路，施工机械和车辆不得在道路以外行驶和作业，保持地表不被扰动，不得随意取弃土。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⑤在井场设置“保护生态环境、保护野生动物”等警示牌，加强对施工人员的教育，强化保护野生动物的观念，不得捕猎。车辆行驶过程中不得鸣笛惊吓野生动物。确保各类废弃物妥善处理，井场采用围栏加以防护，避免野生动物误入而危及生命。降低风险概率，避免事故泄漏和火灾爆炸事故对野生动物产生影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⑥施工结束后及时清理施工现场，做到“工完、料净、场地清”。工程结束后，建设单位应承担恢复生态的责任，并及时对临时占地区域进行平整、恢复原貌，使占地造成的影响逐步得以恢复。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pacing w:val="0"/>
                <w:kern w:val="2"/>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rPr>
              <w:t>⑦结合《石油天然气项目土地复垦与生态修复技术规范》（GB/T 43936-2024），对各设施临时占地进行恢复。</w:t>
            </w:r>
          </w:p>
          <w:p>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bCs/>
                <w:color w:val="auto"/>
                <w:kern w:val="2"/>
                <w:sz w:val="24"/>
                <w:szCs w:val="24"/>
                <w:highlight w:val="none"/>
                <w:lang w:val="en-US" w:eastAsia="zh-CN" w:bidi="ar-SA"/>
              </w:rPr>
              <w:t>（2）</w:t>
            </w:r>
            <w:r>
              <w:rPr>
                <w:rFonts w:hint="default" w:ascii="Times New Roman" w:hAnsi="Times New Roman" w:eastAsia="宋体" w:cs="Times New Roman"/>
                <w:color w:val="auto"/>
                <w:kern w:val="0"/>
                <w:sz w:val="24"/>
                <w:szCs w:val="24"/>
                <w:highlight w:val="none"/>
                <w:lang w:val="en-US" w:eastAsia="zh-CN" w:bidi="ar-SA"/>
              </w:rPr>
              <w:t>对野生动物的保护措施</w:t>
            </w:r>
          </w:p>
          <w:p>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①区域动物现状调查</w:t>
            </w:r>
          </w:p>
          <w:p>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在油田开发区域，因石油开发建设活动早已开展，人类活动频繁，使得对人类活动敏感的野生动物早已离去，已难见大中型的野生动物，野生动物主要是一些爬行动物沙蜥、沙鼠等。项目区范围内无大型哺乳类动物分布。根据现场调查，本项目占地范围内无野生保护动物活动。</w:t>
            </w:r>
          </w:p>
          <w:p>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40" w:lineRule="exact"/>
              <w:ind w:left="0" w:right="0"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②对野生动物的保护措施</w:t>
            </w:r>
          </w:p>
          <w:p>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1"/>
                <w:sz w:val="24"/>
                <w:szCs w:val="24"/>
                <w:highlight w:val="none"/>
                <w:lang w:eastAsia="zh-CN"/>
              </w:rPr>
              <w:t>项目</w:t>
            </w:r>
            <w:r>
              <w:rPr>
                <w:rFonts w:hint="default" w:ascii="Times New Roman" w:hAnsi="Times New Roman" w:eastAsia="宋体" w:cs="Times New Roman"/>
                <w:color w:val="auto"/>
                <w:kern w:val="1"/>
                <w:sz w:val="24"/>
                <w:szCs w:val="24"/>
                <w:highlight w:val="none"/>
              </w:rPr>
              <w:t>在施工过程中应加强对施工人员活动的控制，减少对</w:t>
            </w:r>
            <w:r>
              <w:rPr>
                <w:rFonts w:hint="default" w:ascii="Times New Roman" w:hAnsi="Times New Roman" w:eastAsia="宋体" w:cs="Times New Roman"/>
                <w:color w:val="auto"/>
                <w:kern w:val="0"/>
                <w:sz w:val="24"/>
                <w:szCs w:val="24"/>
                <w:highlight w:val="none"/>
              </w:rPr>
              <w:t>野生动物</w:t>
            </w:r>
            <w:r>
              <w:rPr>
                <w:rFonts w:hint="default" w:ascii="Times New Roman" w:hAnsi="Times New Roman" w:eastAsia="宋体" w:cs="Times New Roman"/>
                <w:color w:val="auto"/>
                <w:kern w:val="1"/>
                <w:sz w:val="24"/>
                <w:szCs w:val="24"/>
                <w:highlight w:val="none"/>
              </w:rPr>
              <w:t>的干扰，</w:t>
            </w:r>
            <w:r>
              <w:rPr>
                <w:rFonts w:hint="default" w:ascii="Times New Roman" w:hAnsi="Times New Roman" w:eastAsia="宋体" w:cs="Times New Roman"/>
                <w:color w:val="auto"/>
                <w:kern w:val="1"/>
                <w:sz w:val="24"/>
                <w:szCs w:val="24"/>
                <w:highlight w:val="none"/>
                <w:lang w:val="en-US" w:eastAsia="zh-CN"/>
              </w:rPr>
              <w:t>在</w:t>
            </w:r>
            <w:r>
              <w:rPr>
                <w:rFonts w:hint="default" w:ascii="Times New Roman" w:hAnsi="Times New Roman" w:eastAsia="宋体" w:cs="Times New Roman"/>
                <w:color w:val="auto"/>
                <w:kern w:val="1"/>
                <w:sz w:val="24"/>
                <w:szCs w:val="24"/>
                <w:highlight w:val="none"/>
              </w:rPr>
              <w:t>夜间尽量减少活动；合理安排施工时间，在</w:t>
            </w:r>
            <w:r>
              <w:rPr>
                <w:rFonts w:hint="default" w:ascii="Times New Roman" w:hAnsi="Times New Roman" w:eastAsia="宋体" w:cs="Times New Roman"/>
                <w:color w:val="auto"/>
                <w:kern w:val="0"/>
                <w:sz w:val="24"/>
                <w:szCs w:val="24"/>
                <w:highlight w:val="none"/>
              </w:rPr>
              <w:t>野生动物</w:t>
            </w:r>
            <w:r>
              <w:rPr>
                <w:rFonts w:hint="default" w:ascii="Times New Roman" w:hAnsi="Times New Roman" w:eastAsia="宋体" w:cs="Times New Roman"/>
                <w:color w:val="auto"/>
                <w:kern w:val="1"/>
                <w:sz w:val="24"/>
                <w:szCs w:val="24"/>
                <w:highlight w:val="none"/>
              </w:rPr>
              <w:t>繁殖季节停止施工，减少工程建设对</w:t>
            </w:r>
            <w:r>
              <w:rPr>
                <w:rFonts w:hint="default" w:ascii="Times New Roman" w:hAnsi="Times New Roman" w:eastAsia="宋体" w:cs="Times New Roman"/>
                <w:color w:val="auto"/>
                <w:kern w:val="0"/>
                <w:sz w:val="24"/>
                <w:szCs w:val="24"/>
                <w:highlight w:val="none"/>
              </w:rPr>
              <w:t>野生动物</w:t>
            </w:r>
            <w:r>
              <w:rPr>
                <w:rFonts w:hint="default" w:ascii="Times New Roman" w:hAnsi="Times New Roman" w:eastAsia="宋体" w:cs="Times New Roman"/>
                <w:color w:val="auto"/>
                <w:kern w:val="1"/>
                <w:sz w:val="24"/>
                <w:szCs w:val="24"/>
                <w:highlight w:val="none"/>
              </w:rPr>
              <w:t>繁殖的影响。项目施工期短暂，施工结束后，</w:t>
            </w:r>
            <w:r>
              <w:rPr>
                <w:rFonts w:hint="default" w:ascii="Times New Roman" w:hAnsi="Times New Roman" w:eastAsia="宋体" w:cs="Times New Roman"/>
                <w:color w:val="auto"/>
                <w:kern w:val="0"/>
                <w:sz w:val="24"/>
                <w:szCs w:val="24"/>
                <w:highlight w:val="none"/>
              </w:rPr>
              <w:t>野生动物</w:t>
            </w:r>
            <w:r>
              <w:rPr>
                <w:rFonts w:hint="default" w:ascii="Times New Roman" w:hAnsi="Times New Roman" w:eastAsia="宋体" w:cs="Times New Roman"/>
                <w:color w:val="auto"/>
                <w:kern w:val="1"/>
                <w:sz w:val="24"/>
                <w:szCs w:val="24"/>
                <w:highlight w:val="none"/>
              </w:rPr>
              <w:t>生活环境</w:t>
            </w:r>
            <w:r>
              <w:rPr>
                <w:rFonts w:hint="default" w:ascii="Times New Roman" w:hAnsi="Times New Roman" w:eastAsia="宋体" w:cs="Times New Roman"/>
                <w:color w:val="auto"/>
                <w:kern w:val="1"/>
                <w:sz w:val="24"/>
                <w:szCs w:val="24"/>
                <w:highlight w:val="none"/>
                <w:lang w:eastAsia="zh-CN"/>
              </w:rPr>
              <w:t>很快</w:t>
            </w:r>
            <w:r>
              <w:rPr>
                <w:rFonts w:hint="default" w:ascii="Times New Roman" w:hAnsi="Times New Roman" w:eastAsia="宋体" w:cs="Times New Roman"/>
                <w:color w:val="auto"/>
                <w:kern w:val="1"/>
                <w:sz w:val="24"/>
                <w:szCs w:val="24"/>
                <w:highlight w:val="none"/>
              </w:rPr>
              <w:t>得到恢复。</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水土流失防治</w:t>
            </w:r>
            <w:r>
              <w:rPr>
                <w:rFonts w:hint="default" w:ascii="Times New Roman" w:hAnsi="Times New Roman" w:eastAsia="宋体" w:cs="Times New Roman"/>
                <w:color w:val="auto"/>
                <w:sz w:val="24"/>
                <w:szCs w:val="24"/>
                <w:highlight w:val="none"/>
              </w:rPr>
              <w:t>措施</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①</w:t>
            </w:r>
            <w:r>
              <w:rPr>
                <w:rFonts w:hint="default" w:ascii="Times New Roman" w:hAnsi="Times New Roman" w:eastAsia="宋体" w:cs="Times New Roman"/>
                <w:color w:val="auto"/>
                <w:sz w:val="24"/>
                <w:szCs w:val="24"/>
                <w:highlight w:val="none"/>
              </w:rPr>
              <w:t>井场平整、池体开挖后需先进行严格的整治，开挖及回填时应保证地面相对平整，压实度较高的采用推土机的松土器进行耙松。精细平整过程中不仅要保证土地再塑，而且要稳坡固表，对施工场地定期洒水降尘，防止水土流失。</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②</w:t>
            </w:r>
            <w:r>
              <w:rPr>
                <w:rFonts w:hint="default" w:ascii="Times New Roman" w:hAnsi="Times New Roman" w:eastAsia="宋体" w:cs="Times New Roman"/>
                <w:color w:val="auto"/>
                <w:sz w:val="24"/>
                <w:szCs w:val="24"/>
                <w:highlight w:val="none"/>
              </w:rPr>
              <w:t>施工活动开始之前，应制定详细的施工方案，限定施工人员的活动区域，尽量控制施工动土范围，以保持原生生态系统的稳定性和完整性；要求施工单位保护好施工场地周边的植被及野生动物，不得随意破坏植被。</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③</w:t>
            </w:r>
            <w:r>
              <w:rPr>
                <w:rFonts w:hint="default" w:ascii="Times New Roman" w:hAnsi="Times New Roman" w:eastAsia="宋体" w:cs="Times New Roman"/>
                <w:color w:val="auto"/>
                <w:sz w:val="24"/>
                <w:szCs w:val="24"/>
                <w:highlight w:val="none"/>
              </w:rPr>
              <w:t>施工中严格限定施工的工作范围，规定运输车辆行驶路线，不得乱压乱碾，不得随意取弃土，施工结</w:t>
            </w:r>
            <w:r>
              <w:rPr>
                <w:rFonts w:hint="eastAsia" w:ascii="Times New Roman" w:cs="Times New Roman"/>
                <w:color w:val="auto"/>
                <w:sz w:val="24"/>
                <w:szCs w:val="24"/>
                <w:highlight w:val="none"/>
                <w:lang w:eastAsia="zh-CN"/>
              </w:rPr>
              <w:t>束后</w:t>
            </w:r>
            <w:r>
              <w:rPr>
                <w:rFonts w:hint="default" w:ascii="Times New Roman" w:hAnsi="Times New Roman" w:eastAsia="宋体" w:cs="Times New Roman"/>
                <w:color w:val="auto"/>
                <w:sz w:val="24"/>
                <w:szCs w:val="24"/>
                <w:highlight w:val="none"/>
              </w:rPr>
              <w:t>一律平整土地，清除用地范围内的固体废弃物。</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④</w:t>
            </w:r>
            <w:r>
              <w:rPr>
                <w:rFonts w:hint="default" w:ascii="Times New Roman" w:hAnsi="Times New Roman" w:eastAsia="宋体" w:cs="Times New Roman"/>
                <w:color w:val="auto"/>
                <w:sz w:val="24"/>
                <w:szCs w:val="24"/>
                <w:highlight w:val="none"/>
              </w:rPr>
              <w:t>本项目建设过程中，要减少地面扰动，划定施工活动范围，严格控制和管理车辆及重型机械的行驶范围，避免并行开辟新路，以减少风蚀沙化活动的范围。</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⑤</w:t>
            </w:r>
            <w:r>
              <w:rPr>
                <w:rFonts w:hint="default" w:ascii="Times New Roman" w:hAnsi="Times New Roman" w:eastAsia="宋体" w:cs="Times New Roman"/>
                <w:color w:val="auto"/>
                <w:sz w:val="24"/>
                <w:szCs w:val="24"/>
                <w:highlight w:val="none"/>
              </w:rPr>
              <w:t>施工后期，及时做好施工迹地的清理工作。工程施工结束后，应对井场临时占地进行平整，恢复原有地貌。</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防沙治沙措施</w:t>
            </w:r>
          </w:p>
          <w:p>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①</w:t>
            </w:r>
            <w:r>
              <w:rPr>
                <w:rFonts w:hint="default" w:ascii="Times New Roman" w:hAnsi="Times New Roman" w:eastAsia="宋体" w:cs="Times New Roman"/>
                <w:color w:val="auto"/>
                <w:sz w:val="24"/>
                <w:szCs w:val="24"/>
                <w:highlight w:val="none"/>
              </w:rPr>
              <w:t>工程措施（物理、化学固沙及其他机械固沙措施）</w:t>
            </w:r>
          </w:p>
          <w:p>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近年来，塔里木油田统筹推进节能降碳与生态扩绿，同步加速“沙戈荒”新能源基地建设。通过创新“光伏+治沙”模式，利用光伏组件遮挡日照以减少水分蒸发，结合板下草方格固沙技术固定植被种子；同时，利用清洗光伏板的水促进植被萌芽生长，实现“板上发电、板下治沙”的协同效益。</w:t>
            </w:r>
            <w:bookmarkStart w:id="52" w:name="OLE_LINK23"/>
            <w:r>
              <w:rPr>
                <w:rFonts w:hint="default" w:ascii="Times New Roman" w:hAnsi="Times New Roman" w:eastAsia="宋体" w:cs="Times New Roman"/>
                <w:color w:val="auto"/>
                <w:sz w:val="24"/>
                <w:szCs w:val="24"/>
                <w:highlight w:val="none"/>
                <w:lang w:val="en-US" w:eastAsia="zh-CN"/>
              </w:rPr>
              <w:t>且末县10万千瓦光伏项目是塔克拉玛干沙漠腹地最大的集中式光伏电站，通过围扎芦苇草方格沙障，有效固沙4000亩。本项目融合塔里木油田“光伏+治沙”成熟经验，结合塔中区块钻井井场防沙治沙措施落实情况，拟采取以下工程措施：</w:t>
            </w:r>
          </w:p>
          <w:bookmarkEnd w:id="52"/>
          <w:p>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A.砾石压盖防蚀：</w:t>
            </w:r>
            <w:r>
              <w:rPr>
                <w:rFonts w:hint="default" w:ascii="Times New Roman" w:hAnsi="Times New Roman" w:eastAsia="宋体" w:cs="Times New Roman"/>
                <w:color w:val="auto"/>
                <w:sz w:val="24"/>
                <w:szCs w:val="24"/>
                <w:highlight w:val="none"/>
              </w:rPr>
              <w:t>对井场地表</w:t>
            </w:r>
            <w:r>
              <w:rPr>
                <w:rFonts w:hint="default" w:ascii="Times New Roman" w:hAnsi="Times New Roman" w:eastAsia="宋体" w:cs="Times New Roman"/>
                <w:color w:val="auto"/>
                <w:sz w:val="24"/>
                <w:szCs w:val="24"/>
                <w:highlight w:val="none"/>
                <w:lang w:val="en-US" w:eastAsia="zh-CN"/>
              </w:rPr>
              <w:t>实施100%</w:t>
            </w:r>
            <w:r>
              <w:rPr>
                <w:rFonts w:hint="default" w:ascii="Times New Roman" w:hAnsi="Times New Roman" w:eastAsia="宋体" w:cs="Times New Roman"/>
                <w:color w:val="auto"/>
                <w:sz w:val="24"/>
                <w:szCs w:val="24"/>
                <w:highlight w:val="none"/>
              </w:rPr>
              <w:t>砾石压盖，</w:t>
            </w:r>
            <w:r>
              <w:rPr>
                <w:rFonts w:hint="default" w:ascii="Times New Roman" w:hAnsi="Times New Roman" w:eastAsia="宋体" w:cs="Times New Roman"/>
                <w:color w:val="auto"/>
                <w:sz w:val="24"/>
                <w:szCs w:val="24"/>
                <w:highlight w:val="none"/>
                <w:lang w:val="en-US" w:eastAsia="zh-CN"/>
              </w:rPr>
              <w:t>抑制风蚀</w:t>
            </w:r>
            <w:r>
              <w:rPr>
                <w:rFonts w:hint="default" w:ascii="Times New Roman" w:hAnsi="Times New Roman" w:eastAsia="宋体" w:cs="Times New Roman"/>
                <w:color w:val="auto"/>
                <w:sz w:val="24"/>
                <w:szCs w:val="24"/>
                <w:highlight w:val="none"/>
              </w:rPr>
              <w:t>。</w:t>
            </w:r>
          </w:p>
          <w:p>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B.草方格固沙：</w:t>
            </w:r>
            <w:r>
              <w:rPr>
                <w:rFonts w:hint="default" w:ascii="Times New Roman" w:hAnsi="Times New Roman" w:eastAsia="宋体" w:cs="Times New Roman"/>
                <w:color w:val="auto"/>
                <w:sz w:val="24"/>
                <w:szCs w:val="24"/>
                <w:highlight w:val="none"/>
              </w:rPr>
              <w:t>井场</w:t>
            </w:r>
            <w:r>
              <w:rPr>
                <w:rFonts w:hint="default" w:ascii="Times New Roman" w:hAnsi="Times New Roman" w:eastAsia="宋体" w:cs="Times New Roman"/>
                <w:color w:val="auto"/>
                <w:sz w:val="24"/>
                <w:szCs w:val="24"/>
                <w:highlight w:val="none"/>
                <w:lang w:val="en-US" w:eastAsia="zh-CN"/>
              </w:rPr>
              <w:t>外围</w:t>
            </w:r>
            <w:r>
              <w:rPr>
                <w:rFonts w:hint="default" w:ascii="Times New Roman" w:hAnsi="Times New Roman" w:eastAsia="宋体" w:cs="Times New Roman"/>
                <w:color w:val="auto"/>
                <w:sz w:val="24"/>
                <w:szCs w:val="24"/>
                <w:highlight w:val="none"/>
              </w:rPr>
              <w:t>设草方格</w:t>
            </w:r>
            <w:r>
              <w:rPr>
                <w:rFonts w:hint="default" w:ascii="Times New Roman" w:hAnsi="Times New Roman" w:eastAsia="宋体" w:cs="Times New Roman"/>
                <w:color w:val="auto"/>
                <w:sz w:val="24"/>
                <w:szCs w:val="24"/>
                <w:highlight w:val="none"/>
                <w:lang w:val="en-US" w:eastAsia="zh-CN"/>
              </w:rPr>
              <w:t>沙障</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以减缓沙丘流动。</w:t>
            </w:r>
          </w:p>
          <w:p>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②管理措施</w:t>
            </w:r>
          </w:p>
          <w:p>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施工期间应划定施工活动范围，严格控制和管理运输车辆及重型机械的运行线路和范围，不得离开运输道路随意行驶</w:t>
            </w:r>
            <w:r>
              <w:rPr>
                <w:rFonts w:hint="default" w:ascii="Times New Roman" w:hAnsi="Times New Roman" w:eastAsia="宋体" w:cs="Times New Roman"/>
                <w:color w:val="auto"/>
                <w:sz w:val="24"/>
                <w:szCs w:val="24"/>
                <w:highlight w:val="none"/>
                <w:lang w:eastAsia="zh-CN"/>
              </w:rPr>
              <w:t>。</w:t>
            </w:r>
          </w:p>
          <w:p>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③</w:t>
            </w:r>
            <w:r>
              <w:rPr>
                <w:rFonts w:hint="default" w:ascii="Times New Roman" w:hAnsi="Times New Roman" w:eastAsia="宋体" w:cs="Times New Roman"/>
                <w:color w:val="auto"/>
                <w:sz w:val="24"/>
                <w:szCs w:val="24"/>
                <w:highlight w:val="none"/>
              </w:rPr>
              <w:t>方案实施保障措施</w:t>
            </w:r>
          </w:p>
          <w:p>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A.</w:t>
            </w:r>
            <w:r>
              <w:rPr>
                <w:rFonts w:hint="default" w:ascii="Times New Roman" w:hAnsi="Times New Roman" w:eastAsia="宋体" w:cs="Times New Roman"/>
                <w:color w:val="auto"/>
                <w:sz w:val="24"/>
                <w:szCs w:val="24"/>
                <w:highlight w:val="none"/>
              </w:rPr>
              <w:t>组织领导措施</w:t>
            </w:r>
          </w:p>
          <w:p>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防沙治沙是维护生态安全，促进经济发展和人与自然和谐相处的重要举措。本项目防沙治沙工程塔里木油田分公司为第一责任人，钻井队、施工队作为措施落实方，属于主要责任人。塔里木油田分公司应在钻井队、施工队施工过程中，提出具体的目标及要求，并落实到具体人员。</w:t>
            </w:r>
          </w:p>
          <w:p>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B.</w:t>
            </w:r>
            <w:r>
              <w:rPr>
                <w:rFonts w:hint="default" w:ascii="Times New Roman" w:hAnsi="Times New Roman" w:eastAsia="宋体" w:cs="Times New Roman"/>
                <w:color w:val="auto"/>
                <w:sz w:val="24"/>
                <w:szCs w:val="24"/>
                <w:highlight w:val="none"/>
              </w:rPr>
              <w:t>技术保证措施</w:t>
            </w:r>
          </w:p>
          <w:p>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a</w:t>
            </w:r>
            <w:r>
              <w:rPr>
                <w:rFonts w:hint="default" w:ascii="Times New Roman" w:hAnsi="Times New Roman" w:eastAsia="宋体" w:cs="Times New Roman"/>
                <w:color w:val="auto"/>
                <w:sz w:val="24"/>
                <w:szCs w:val="24"/>
                <w:highlight w:val="none"/>
              </w:rPr>
              <w:t>加强参与防沙治沙工程的人员的培训工作，使其掌握防沙治沙工程建设、管理的基本技术要求，增强人员主动参与防沙治沙能力和积极性。</w:t>
            </w:r>
          </w:p>
          <w:p>
            <w:pPr>
              <w:pStyle w:val="7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b</w:t>
            </w:r>
            <w:r>
              <w:rPr>
                <w:rFonts w:hint="default" w:ascii="Times New Roman" w:hAnsi="Times New Roman" w:eastAsia="宋体" w:cs="Times New Roman"/>
                <w:color w:val="auto"/>
                <w:sz w:val="24"/>
                <w:szCs w:val="24"/>
                <w:highlight w:val="none"/>
              </w:rPr>
              <w:t>工程建设的各个环节过程中，加强人员的节水意识，避免铺张浪费，提高水的重复利用性。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）生态环境综合整治后效果</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0000FF"/>
                <w:spacing w:val="0"/>
                <w:kern w:val="2"/>
                <w:sz w:val="24"/>
                <w:szCs w:val="24"/>
                <w:highlight w:val="none"/>
                <w:lang w:val="en-US" w:eastAsia="zh-CN"/>
              </w:rPr>
            </w:pPr>
            <w:r>
              <w:rPr>
                <w:rFonts w:hint="default" w:ascii="Times New Roman" w:hAnsi="Times New Roman" w:eastAsia="宋体" w:cs="Times New Roman"/>
                <w:color w:val="auto"/>
                <w:sz w:val="24"/>
                <w:szCs w:val="24"/>
                <w:highlight w:val="none"/>
              </w:rPr>
              <w:t>由工程分析和影响分析可知，工程建设对生态环境的影响主要表现在对局部土壤环境等的影响。本项目主要为临时占地，钻井结束后，对临时占用的土地进行</w:t>
            </w:r>
            <w:r>
              <w:rPr>
                <w:rFonts w:hint="default" w:ascii="Times New Roman" w:hAnsi="Times New Roman" w:eastAsia="宋体" w:cs="Times New Roman"/>
                <w:color w:val="auto"/>
                <w:sz w:val="24"/>
                <w:szCs w:val="24"/>
                <w:highlight w:val="none"/>
                <w:lang w:val="en-US" w:eastAsia="zh-CN"/>
              </w:rPr>
              <w:t>原貌</w:t>
            </w:r>
            <w:r>
              <w:rPr>
                <w:rFonts w:hint="default" w:ascii="Times New Roman" w:hAnsi="Times New Roman" w:eastAsia="宋体" w:cs="Times New Roman"/>
                <w:color w:val="auto"/>
                <w:sz w:val="24"/>
                <w:szCs w:val="24"/>
                <w:highlight w:val="none"/>
              </w:rPr>
              <w:t>恢复。</w:t>
            </w:r>
            <w:r>
              <w:rPr>
                <w:rFonts w:hint="default" w:ascii="Times New Roman" w:hAnsi="Times New Roman" w:eastAsia="宋体" w:cs="Times New Roman"/>
                <w:bCs/>
                <w:color w:val="auto"/>
                <w:sz w:val="24"/>
                <w:highlight w:val="none"/>
              </w:rPr>
              <w:t>通过类比调查同类探井项目土地的恢复情况可知，不会破坏生态系统的结构和稳定性。</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2、施工期废气治理措施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cs="Times New Roman"/>
                <w:color w:val="auto"/>
                <w:sz w:val="24"/>
                <w:szCs w:val="24"/>
                <w:highlight w:val="none"/>
                <w:lang w:val="en-US" w:eastAsia="zh-CN"/>
              </w:rPr>
              <w:t>施工期施工场地周边设置围挡，</w:t>
            </w:r>
            <w:r>
              <w:rPr>
                <w:rFonts w:hint="default" w:ascii="Times New Roman" w:hAnsi="Times New Roman" w:eastAsia="宋体" w:cs="Times New Roman"/>
                <w:color w:val="auto"/>
                <w:sz w:val="24"/>
                <w:szCs w:val="24"/>
                <w:highlight w:val="none"/>
                <w:lang w:val="en-US" w:eastAsia="zh-CN"/>
              </w:rPr>
              <w:t>定期进行洒水降尘，以降低钻井和井场建设过程中产生的扬尘对施工人员影响</w:t>
            </w:r>
            <w:r>
              <w:rPr>
                <w:rFonts w:hint="eastAsia" w:ascii="Times New Roman" w:cs="Times New Roman"/>
                <w:color w:val="auto"/>
                <w:sz w:val="24"/>
                <w:szCs w:val="24"/>
                <w:highlight w:val="none"/>
                <w:lang w:val="en-US" w:eastAsia="zh-CN"/>
              </w:rPr>
              <w:t>；对施工区域采取砂砾石硬化，以减少区域风蚀扬尘</w:t>
            </w:r>
            <w:r>
              <w:rPr>
                <w:rFonts w:hint="default" w:ascii="Times New Roman" w:hAnsi="Times New Roman" w:eastAsia="宋体" w:cs="Times New Roman"/>
                <w:color w:val="auto"/>
                <w:sz w:val="24"/>
                <w:szCs w:val="24"/>
                <w:highlight w:val="none"/>
                <w:lang w:val="en-US" w:eastAsia="zh-CN"/>
              </w:rPr>
              <w:t>。</w:t>
            </w:r>
            <w:r>
              <w:rPr>
                <w:rFonts w:hint="eastAsia" w:ascii="Times New Roman" w:cs="Times New Roman"/>
                <w:color w:val="auto"/>
                <w:sz w:val="24"/>
                <w:szCs w:val="24"/>
                <w:highlight w:val="none"/>
                <w:lang w:val="en-US" w:eastAsia="zh-CN"/>
              </w:rPr>
              <w:t>对</w:t>
            </w:r>
            <w:r>
              <w:rPr>
                <w:rFonts w:hint="default" w:ascii="Times New Roman" w:hAnsi="Times New Roman" w:eastAsia="宋体" w:cs="Times New Roman"/>
                <w:color w:val="auto"/>
                <w:sz w:val="24"/>
                <w:szCs w:val="24"/>
                <w:highlight w:val="none"/>
                <w:lang w:val="en-US" w:eastAsia="zh-CN"/>
              </w:rPr>
              <w:t>运输车辆</w:t>
            </w:r>
            <w:r>
              <w:rPr>
                <w:rFonts w:hint="eastAsia" w:ascii="Times New Roman" w:cs="Times New Roman"/>
                <w:color w:val="auto"/>
                <w:sz w:val="24"/>
                <w:szCs w:val="24"/>
                <w:highlight w:val="none"/>
                <w:lang w:val="en-US" w:eastAsia="zh-CN"/>
              </w:rPr>
              <w:t>进行冲洗，以减少运输过程中</w:t>
            </w:r>
            <w:r>
              <w:rPr>
                <w:rFonts w:hint="default" w:ascii="Times New Roman" w:hAnsi="Times New Roman" w:eastAsia="宋体" w:cs="Times New Roman"/>
                <w:color w:val="auto"/>
                <w:sz w:val="24"/>
                <w:szCs w:val="24"/>
                <w:highlight w:val="none"/>
                <w:lang w:val="en-US" w:eastAsia="zh-CN"/>
              </w:rPr>
              <w:t>产生的扬尘。运输车辆减速行驶，为减少道路扬尘影响。做到文明施工，防止水泥等的洒落与飘散；避开大风天气进行作业。钻井作业期间应对车辆进行适当的苫盖，以降低扬尘的影响。油气测试期间天然气通过放喷管线燃烧后放空，加强放喷管线、放喷池的运营维护，定期检查气体燃烧放空设备，确保天然气充分燃烧，减少污染物的产生；柴油发电机定期检修，运行良好，燃用符合质量标准的燃料；施工期井场采用密闭储罐；检修设备和车辆，保证设备正常稳定运行，燃用合格的燃料，设备和车辆不超负荷运行，本项目生物质蒸汽锅炉采用生物质成型燃料，废气经低氮燃烧技术+布袋除尘器处理后经</w:t>
            </w:r>
            <w:r>
              <w:rPr>
                <w:rFonts w:hint="eastAsia" w:ascii="Times New Roman"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lang w:val="en-US" w:eastAsia="zh-CN"/>
              </w:rPr>
              <w:t>m排气筒（可拆卸）排放；减少污染物的产生。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为有效控制施工期间的扬尘影响，结合建设单位实际情况，本评价要求建设单位严格执行《中华人民共和国生态环境法典》《新疆维吾尔自治区大气污染防治条例》《工业料堆场扬尘整治规范（DB65/T4061-2017）》等相关文件要求，同时结合《建筑工程施工现场扬尘污染防治标准》等采取的抑尘措施，对工程施工提出以下扬尘控制要求。通过采取以下抑尘措施后，可较大限度</w:t>
            </w:r>
            <w:r>
              <w:rPr>
                <w:rFonts w:hint="eastAsia" w:ascii="Times New Roman" w:cs="Times New Roman"/>
                <w:color w:val="auto"/>
                <w:sz w:val="24"/>
                <w:szCs w:val="24"/>
                <w:highlight w:val="none"/>
                <w:lang w:val="en-US" w:eastAsia="zh-CN"/>
              </w:rPr>
              <w:t>地</w:t>
            </w:r>
            <w:r>
              <w:rPr>
                <w:rFonts w:hint="default" w:ascii="Times New Roman" w:hAnsi="Times New Roman" w:eastAsia="宋体" w:cs="Times New Roman"/>
                <w:color w:val="auto"/>
                <w:sz w:val="24"/>
                <w:szCs w:val="24"/>
                <w:highlight w:val="none"/>
                <w:lang w:val="en-US" w:eastAsia="zh-CN"/>
              </w:rPr>
              <w:t>降低施工扬尘对周围环境的影响。</w:t>
            </w:r>
          </w:p>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表5-1    施工期扬尘污染防治措施一览表</w:t>
            </w:r>
          </w:p>
          <w:tbl>
            <w:tblPr>
              <w:tblStyle w:val="3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466"/>
              <w:gridCol w:w="998"/>
              <w:gridCol w:w="2297"/>
              <w:gridCol w:w="2965"/>
              <w:gridCol w:w="122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序号</w:t>
                  </w:r>
                </w:p>
              </w:tc>
              <w:tc>
                <w:tcPr>
                  <w:tcW w:w="62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防治措施</w:t>
                  </w:r>
                </w:p>
              </w:tc>
              <w:tc>
                <w:tcPr>
                  <w:tcW w:w="3309"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具体要求</w:t>
                  </w:r>
                </w:p>
              </w:tc>
              <w:tc>
                <w:tcPr>
                  <w:tcW w:w="770"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依据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62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施工现场公示牌</w:t>
                  </w:r>
                </w:p>
              </w:tc>
              <w:tc>
                <w:tcPr>
                  <w:tcW w:w="3309"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在施工现场出入口明显位置设置公示牌，公示施工现场负责人、环保监督员、防尘措施、扬尘监督管理部门、举报投诉电话等信息；</w:t>
                  </w:r>
                </w:p>
              </w:tc>
              <w:tc>
                <w:tcPr>
                  <w:tcW w:w="770"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《建筑工程施工现场扬尘污染防治标准》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w:t>
                  </w:r>
                </w:p>
              </w:tc>
              <w:tc>
                <w:tcPr>
                  <w:tcW w:w="62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密闭苫盖</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措施</w:t>
                  </w:r>
                </w:p>
              </w:tc>
              <w:tc>
                <w:tcPr>
                  <w:tcW w:w="3309"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①建筑材料采用密闭存储、设置围挡、采用防尘布苫盖等措施；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②建筑垃圾采用防尘网、定期喷洒抑尘剂、定期喷水压尘等措施；</w:t>
                  </w:r>
                </w:p>
              </w:tc>
              <w:tc>
                <w:tcPr>
                  <w:tcW w:w="7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2"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3</w:t>
                  </w:r>
                </w:p>
              </w:tc>
              <w:tc>
                <w:tcPr>
                  <w:tcW w:w="627"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物料运输车辆密闭措施</w:t>
                  </w:r>
                </w:p>
              </w:tc>
              <w:tc>
                <w:tcPr>
                  <w:tcW w:w="3309"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进出工地的物料、渣土、垃圾运输车辆，应尽可能采用密闭车斗，并保证物料不遗撒外漏。若无密闭车斗，物料、垃圾、渣土的装载高度不得超过车辆槽帮上沿，车斗应用苫布遮盖严实；</w:t>
                  </w:r>
                </w:p>
              </w:tc>
              <w:tc>
                <w:tcPr>
                  <w:tcW w:w="7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2"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4</w:t>
                  </w:r>
                </w:p>
              </w:tc>
              <w:tc>
                <w:tcPr>
                  <w:tcW w:w="627"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洒水抑尘</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措施</w:t>
                  </w:r>
                </w:p>
              </w:tc>
              <w:tc>
                <w:tcPr>
                  <w:tcW w:w="3309"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遇到干燥、易起尘的土方工程作业时，应辅以洒水压尘，尽量缩短起尘操作时间，遇到四级及四级以上大风天气，应停止土方作业，同时作业处覆以防尘网；</w:t>
                  </w:r>
                </w:p>
              </w:tc>
              <w:tc>
                <w:tcPr>
                  <w:tcW w:w="7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2"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627"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3309" w:type="pct"/>
                  <w:gridSpan w:val="2"/>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施工现场必须建立洒水清扫抑尘制度，配备洒水设备。非冰冻期每天洒水不少于2次，并有专人负责。重污染天气时相应增加洒水频次；</w:t>
                  </w:r>
                </w:p>
              </w:tc>
              <w:tc>
                <w:tcPr>
                  <w:tcW w:w="7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2"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序号</w:t>
                  </w:r>
                </w:p>
              </w:tc>
              <w:tc>
                <w:tcPr>
                  <w:tcW w:w="627"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工业料堆场类型</w:t>
                  </w:r>
                </w:p>
              </w:tc>
              <w:tc>
                <w:tcPr>
                  <w:tcW w:w="3309" w:type="pct"/>
                  <w:gridSpan w:val="2"/>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方案</w:t>
                  </w:r>
                </w:p>
              </w:tc>
              <w:tc>
                <w:tcPr>
                  <w:tcW w:w="770" w:type="pc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依据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2" w:type="pct"/>
                  <w:vMerge w:val="restar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1</w:t>
                  </w:r>
                </w:p>
              </w:tc>
              <w:tc>
                <w:tcPr>
                  <w:tcW w:w="627" w:type="pct"/>
                  <w:vMerge w:val="restar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Ⅲ类料</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堆场</w:t>
                  </w:r>
                </w:p>
              </w:tc>
              <w:tc>
                <w:tcPr>
                  <w:tcW w:w="1444"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覆盖</w:t>
                  </w:r>
                </w:p>
              </w:tc>
              <w:tc>
                <w:tcPr>
                  <w:tcW w:w="1864"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喷水、洒水</w:t>
                  </w:r>
                </w:p>
              </w:tc>
              <w:tc>
                <w:tcPr>
                  <w:tcW w:w="770" w:type="pct"/>
                  <w:vMerge w:val="restart"/>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kern w:val="0"/>
                      <w:sz w:val="21"/>
                      <w:szCs w:val="21"/>
                      <w:highlight w:val="none"/>
                      <w:lang w:bidi="ar"/>
                    </w:rPr>
                    <w:t>《</w:t>
                  </w:r>
                  <w:r>
                    <w:rPr>
                      <w:rFonts w:hint="default" w:ascii="Times New Roman" w:hAnsi="Times New Roman" w:eastAsia="宋体" w:cs="Times New Roman"/>
                      <w:color w:val="auto"/>
                      <w:spacing w:val="-10"/>
                      <w:kern w:val="0"/>
                      <w:sz w:val="21"/>
                      <w:szCs w:val="21"/>
                      <w:highlight w:val="none"/>
                      <w:lang w:eastAsia="zh-CN" w:bidi="ar"/>
                    </w:rPr>
                    <w:t>工业料堆场扬尘整治规范</w:t>
                  </w:r>
                  <w:r>
                    <w:rPr>
                      <w:rFonts w:hint="default" w:ascii="Times New Roman" w:hAnsi="Times New Roman" w:eastAsia="宋体" w:cs="Times New Roman"/>
                      <w:color w:val="auto"/>
                      <w:spacing w:val="-10"/>
                      <w:kern w:val="0"/>
                      <w:sz w:val="21"/>
                      <w:szCs w:val="21"/>
                      <w:highlight w:val="none"/>
                      <w:lang w:bidi="ar"/>
                    </w:rPr>
                    <w:t>》</w:t>
                  </w:r>
                  <w:r>
                    <w:rPr>
                      <w:rFonts w:hint="default" w:ascii="Times New Roman" w:hAnsi="Times New Roman" w:eastAsia="宋体" w:cs="Times New Roman"/>
                      <w:color w:val="auto"/>
                      <w:spacing w:val="-10"/>
                      <w:kern w:val="0"/>
                      <w:sz w:val="21"/>
                      <w:szCs w:val="21"/>
                      <w:highlight w:val="none"/>
                      <w:lang w:eastAsia="zh-CN" w:bidi="ar"/>
                    </w:rPr>
                    <w:t>（</w:t>
                  </w:r>
                  <w:r>
                    <w:rPr>
                      <w:rFonts w:hint="default" w:ascii="Times New Roman" w:hAnsi="Times New Roman" w:eastAsia="宋体" w:cs="Times New Roman"/>
                      <w:color w:val="auto"/>
                      <w:spacing w:val="-10"/>
                      <w:kern w:val="0"/>
                      <w:sz w:val="21"/>
                      <w:szCs w:val="21"/>
                      <w:highlight w:val="none"/>
                      <w:lang w:bidi="ar"/>
                    </w:rPr>
                    <w:t>DB65/T4061</w:t>
                  </w:r>
                  <w:r>
                    <w:rPr>
                      <w:rFonts w:hint="default" w:ascii="Times New Roman" w:hAnsi="Times New Roman" w:eastAsia="宋体" w:cs="Times New Roman"/>
                      <w:color w:val="auto"/>
                      <w:spacing w:val="-10"/>
                      <w:kern w:val="0"/>
                      <w:sz w:val="21"/>
                      <w:szCs w:val="21"/>
                      <w:highlight w:val="none"/>
                      <w:lang w:val="en-US" w:eastAsia="zh-CN" w:bidi="ar"/>
                    </w:rPr>
                    <w:t>-</w:t>
                  </w:r>
                  <w:r>
                    <w:rPr>
                      <w:rFonts w:hint="default" w:ascii="Times New Roman" w:hAnsi="Times New Roman" w:eastAsia="宋体" w:cs="Times New Roman"/>
                      <w:color w:val="auto"/>
                      <w:spacing w:val="-10"/>
                      <w:kern w:val="0"/>
                      <w:sz w:val="21"/>
                      <w:szCs w:val="21"/>
                      <w:highlight w:val="none"/>
                      <w:lang w:bidi="ar"/>
                    </w:rPr>
                    <w:t>2017</w:t>
                  </w:r>
                  <w:r>
                    <w:rPr>
                      <w:rFonts w:hint="eastAsia" w:ascii="Times New Roman" w:cs="Times New Roman"/>
                      <w:color w:val="auto"/>
                      <w:spacing w:val="-10"/>
                      <w:kern w:val="0"/>
                      <w:sz w:val="21"/>
                      <w:szCs w:val="21"/>
                      <w:highlight w:val="none"/>
                      <w:lang w:eastAsia="zh-CN"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2"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627"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c>
                <w:tcPr>
                  <w:tcW w:w="1444"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对易产生扬尘的工业料堆场，可采用防尘网和防尘布覆盖</w:t>
                  </w:r>
                  <w:r>
                    <w:rPr>
                      <w:rFonts w:hint="default" w:ascii="Times New Roman" w:hAnsi="Times New Roman" w:eastAsia="宋体" w:cs="Times New Roman"/>
                      <w:color w:val="auto"/>
                      <w:spacing w:val="-10"/>
                      <w:sz w:val="21"/>
                      <w:szCs w:val="21"/>
                      <w:highlight w:val="none"/>
                      <w:lang w:eastAsia="zh-CN"/>
                    </w:rPr>
                    <w:t>。</w:t>
                  </w:r>
                </w:p>
              </w:tc>
              <w:tc>
                <w:tcPr>
                  <w:tcW w:w="1864" w:type="pct"/>
                  <w:noWrap w:val="0"/>
                  <w:tcMar>
                    <w:left w:w="28" w:type="dxa"/>
                    <w:right w:w="2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对易产生扬尘的工业料堆场，采用喷水、洒水进行扬尘防治时，堆场表面含水率应大于堆场扬尘的极限值</w:t>
                  </w:r>
                  <w:r>
                    <w:rPr>
                      <w:rFonts w:hint="default" w:ascii="Times New Roman" w:hAnsi="Times New Roman" w:eastAsia="宋体" w:cs="Times New Roman"/>
                      <w:color w:val="auto"/>
                      <w:spacing w:val="-10"/>
                      <w:sz w:val="21"/>
                      <w:szCs w:val="21"/>
                      <w:highlight w:val="none"/>
                      <w:lang w:eastAsia="zh-CN"/>
                    </w:rPr>
                    <w:t>。</w:t>
                  </w:r>
                </w:p>
              </w:tc>
              <w:tc>
                <w:tcPr>
                  <w:tcW w:w="770" w:type="pct"/>
                  <w:vMerge w:val="continue"/>
                  <w:noWrap w:val="0"/>
                  <w:tcMar>
                    <w:left w:w="28" w:type="dxa"/>
                    <w:right w:w="2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10"/>
                      <w:sz w:val="21"/>
                      <w:szCs w:val="21"/>
                      <w:highlight w:val="none"/>
                    </w:rPr>
                  </w:pP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 w:val="0"/>
                <w:bCs/>
                <w:color w:val="auto"/>
                <w:sz w:val="24"/>
                <w:szCs w:val="20"/>
                <w:highlight w:val="none"/>
                <w:lang w:val="en-US" w:eastAsia="zh-CN"/>
              </w:rPr>
            </w:pPr>
            <w:r>
              <w:rPr>
                <w:rFonts w:hint="default" w:ascii="Times New Roman" w:hAnsi="Times New Roman" w:eastAsia="宋体" w:cs="Times New Roman"/>
                <w:b w:val="0"/>
                <w:bCs/>
                <w:color w:val="auto"/>
                <w:sz w:val="24"/>
                <w:szCs w:val="20"/>
                <w:highlight w:val="none"/>
                <w:lang w:val="en-US" w:eastAsia="zh-CN"/>
              </w:rPr>
              <w:t>（2）挥发性有机物处理措施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
                <w:color w:val="0000FF"/>
                <w:sz w:val="24"/>
                <w:szCs w:val="20"/>
                <w:highlight w:val="none"/>
                <w:lang w:val="en-US" w:eastAsia="zh-CN"/>
              </w:rPr>
            </w:pPr>
            <w:r>
              <w:rPr>
                <w:rFonts w:hint="default" w:ascii="Times New Roman" w:hAnsi="Times New Roman" w:eastAsia="宋体" w:cs="Times New Roman"/>
                <w:b w:val="0"/>
                <w:bCs/>
                <w:color w:val="auto"/>
                <w:sz w:val="24"/>
                <w:szCs w:val="20"/>
                <w:highlight w:val="none"/>
                <w:lang w:val="en-US" w:eastAsia="zh-CN"/>
              </w:rPr>
              <w:t>项目柴油周转量少，试井时间短，油罐呼吸废气非甲烷总烃产生量少，且项目周边扩散条件较好，经类比该地区其他勘探井监测数据，项目边界非甲烷总烃无组织排放满足《陆上石油天然气开采工业大气污染物排放标准》（GB39728-2020）相关要求。</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3、施工废水治理措施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工程钻井过程中产生的废水有钻井废水、酸化压裂返排液、锅炉排污水和生活污水。</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（1）钻井废水</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钻井废水与钻井泥浆、岩屑一同进入不落地系统处理，处理后的液相全部回用于钻井液配制，完井后拉运至下一口井再利用，不外排。</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（2）酸化压裂返排液</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①</w:t>
            </w:r>
            <w:r>
              <w:rPr>
                <w:rFonts w:hint="default" w:ascii="Times New Roman" w:hAnsi="Times New Roman" w:eastAsia="宋体" w:cs="Times New Roman"/>
                <w:color w:val="auto"/>
                <w:sz w:val="24"/>
                <w:szCs w:val="24"/>
                <w:highlight w:val="none"/>
                <w:lang w:val="en-US" w:eastAsia="zh-CN"/>
              </w:rPr>
              <w:t>处理措施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压入地层的酸液会在排液测试阶段从井底返排出来，即为酸化压裂返排液。项目产生的酸化压裂返排液总量约</w:t>
            </w:r>
            <w:r>
              <w:rPr>
                <w:rFonts w:hint="eastAsia" w:asci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000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。酸化压裂返排液收集在专用废液收集罐，</w:t>
            </w:r>
            <w:r>
              <w:rPr>
                <w:rFonts w:hint="default" w:ascii="Times New Roman" w:hAnsi="Times New Roman" w:eastAsia="宋体" w:cs="Times New Roman"/>
                <w:color w:val="auto"/>
                <w:sz w:val="24"/>
                <w:szCs w:val="24"/>
                <w:highlight w:val="none"/>
                <w:lang w:val="en-US" w:eastAsia="zh-CN"/>
              </w:rPr>
              <w:t>定期</w:t>
            </w:r>
            <w:r>
              <w:rPr>
                <w:rFonts w:hint="default" w:ascii="Times New Roman" w:hAnsi="Times New Roman" w:eastAsia="宋体" w:cs="Times New Roman"/>
                <w:color w:val="auto"/>
                <w:sz w:val="24"/>
                <w:szCs w:val="24"/>
                <w:highlight w:val="none"/>
              </w:rPr>
              <w:t>委托</w:t>
            </w:r>
            <w:r>
              <w:rPr>
                <w:rFonts w:hint="default" w:ascii="Times New Roman" w:hAnsi="Times New Roman" w:eastAsia="宋体" w:cs="Times New Roman"/>
                <w:color w:val="auto"/>
                <w:sz w:val="24"/>
                <w:szCs w:val="24"/>
                <w:highlight w:val="none"/>
                <w:lang w:eastAsia="zh-CN"/>
              </w:rPr>
              <w:t>塔里木油田富源7环保处理站</w:t>
            </w:r>
            <w:r>
              <w:rPr>
                <w:rFonts w:hint="default" w:ascii="Times New Roman" w:hAnsi="Times New Roman" w:eastAsia="宋体" w:cs="Times New Roman"/>
                <w:color w:val="auto"/>
                <w:sz w:val="24"/>
                <w:szCs w:val="24"/>
                <w:highlight w:val="none"/>
              </w:rPr>
              <w:t>进行处理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压裂作业期较短，暂存在专用废液收集罐中，定期转运，确保有暂存余量时进行压裂作业，确保废液有效收集不外溢，罐体为专用废液收集罐，密闭转运，不会对土壤、地下水造成污染</w:t>
            </w:r>
            <w:r>
              <w:rPr>
                <w:rFonts w:hint="default" w:ascii="Times New Roman" w:hAnsi="Times New Roman" w:eastAsia="宋体" w:cs="Times New Roman"/>
                <w:color w:val="auto"/>
                <w:sz w:val="24"/>
                <w:szCs w:val="24"/>
                <w:highlight w:val="none"/>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②依托可行性分析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富源7井环保处理站位于尉犁县，收集周边区域钻试修过程中产生的固废及废液，设施的中心坐标为北纬40°54′27.339″，东经84°8′23.748″。于2022年10月27日以勘探井名义获得巴州生态环境局批复，井型为定向井，于2022年12月31日开钻，于2023年5月24日钻井完井，目的层为奥陶系一间房组。2023年10月，塔里木油田分公司对该井进行了自主验收。富源7环保处理站（简称“环保站”）钻试修废水处理规模720m</w:t>
            </w:r>
            <w:r>
              <w:rPr>
                <w:rFonts w:hint="default" w:ascii="Times New Roman" w:hAnsi="Times New Roman" w:eastAsia="宋体" w:cs="Times New Roman"/>
                <w:color w:val="auto"/>
                <w:sz w:val="24"/>
                <w:szCs w:val="32"/>
                <w:highlight w:val="none"/>
                <w:vertAlign w:val="superscript"/>
                <w:lang w:val="en-US" w:eastAsia="zh-CN"/>
              </w:rPr>
              <w:t>3</w:t>
            </w:r>
            <w:r>
              <w:rPr>
                <w:rFonts w:hint="default" w:ascii="Times New Roman" w:hAnsi="Times New Roman" w:eastAsia="宋体" w:cs="Times New Roman"/>
                <w:color w:val="auto"/>
                <w:sz w:val="24"/>
                <w:szCs w:val="32"/>
                <w:highlight w:val="none"/>
                <w:lang w:val="en-US" w:eastAsia="zh-CN"/>
              </w:rPr>
              <w:t>/d，环保站钻试修废水处理工艺简介如下：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lang w:val="en-US" w:eastAsia="zh-CN"/>
              </w:rPr>
              <w:t>环保站采取氧化破胶+混凝调质+气浮分离+多级过滤工艺对废水进行净化处理，即主要通过物理分离作用，将废水中的油类物质、悬浮物、SRB菌等去除，从而达到水质净化的目的，处置后的废水可满足石油天然气行业标准《碎屑岩油藏注水水质指标技术要求及分析方法》（SY/T5329-2022）的指标要求，用于油田油层回注用水。废水处理工艺主要包括氧化破胶+混凝调质+气浮分离+多级过滤等工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500" w:firstLineChars="200"/>
              <w:textAlignment w:val="auto"/>
              <w:outlineLvl w:val="9"/>
              <w:rPr>
                <w:rFonts w:hint="default" w:ascii="Times New Roman" w:hAnsi="Times New Roman" w:eastAsia="宋体" w:cs="Times New Roman"/>
                <w:b/>
                <w:bCs/>
                <w:color w:val="auto"/>
                <w:sz w:val="24"/>
                <w:szCs w:val="32"/>
                <w:highlight w:val="none"/>
                <w:lang w:val="en-US" w:eastAsia="zh-CN"/>
              </w:rPr>
            </w:pPr>
            <w:r>
              <w:rPr>
                <w:rFonts w:hint="default" w:ascii="Times New Roman" w:hAnsi="Times New Roman" w:eastAsia="宋体" w:cs="Times New Roman"/>
                <w:color w:val="auto"/>
                <w:kern w:val="0"/>
                <w:sz w:val="25"/>
                <w:szCs w:val="24"/>
                <w:highlight w:val="none"/>
                <w:lang w:val="en-US" w:eastAsia="zh-CN" w:bidi="ar-SA"/>
              </w:rPr>
              <w:drawing>
                <wp:anchor distT="0" distB="0" distL="114300" distR="114300" simplePos="0" relativeHeight="251664384" behindDoc="0" locked="0" layoutInCell="1" allowOverlap="1">
                  <wp:simplePos x="0" y="0"/>
                  <wp:positionH relativeFrom="column">
                    <wp:posOffset>69850</wp:posOffset>
                  </wp:positionH>
                  <wp:positionV relativeFrom="paragraph">
                    <wp:posOffset>52070</wp:posOffset>
                  </wp:positionV>
                  <wp:extent cx="4867910" cy="1645920"/>
                  <wp:effectExtent l="0" t="0" r="8890" b="1905"/>
                  <wp:wrapNone/>
                  <wp:docPr id="6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
                          <pic:cNvPicPr>
                            <a:picLocks noChangeAspect="1"/>
                          </pic:cNvPicPr>
                        </pic:nvPicPr>
                        <pic:blipFill>
                          <a:blip r:embed="rId31"/>
                          <a:stretch>
                            <a:fillRect/>
                          </a:stretch>
                        </pic:blipFill>
                        <pic:spPr>
                          <a:xfrm>
                            <a:off x="0" y="0"/>
                            <a:ext cx="4867910" cy="1645920"/>
                          </a:xfrm>
                          <a:prstGeom prst="rect">
                            <a:avLst/>
                          </a:prstGeom>
                          <a:noFill/>
                          <a:ln>
                            <a:noFill/>
                          </a:ln>
                        </pic:spPr>
                      </pic:pic>
                    </a:graphicData>
                  </a:graphic>
                </wp:anchor>
              </w:drawing>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bCs/>
                <w:color w:val="auto"/>
                <w:sz w:val="24"/>
                <w:szCs w:val="32"/>
                <w:highlight w:val="none"/>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bCs/>
                <w:color w:val="auto"/>
                <w:sz w:val="24"/>
                <w:szCs w:val="32"/>
                <w:highlight w:val="none"/>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bCs/>
                <w:color w:val="auto"/>
                <w:sz w:val="24"/>
                <w:szCs w:val="32"/>
                <w:highlight w:val="none"/>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bCs/>
                <w:color w:val="auto"/>
                <w:sz w:val="24"/>
                <w:szCs w:val="32"/>
                <w:highlight w:val="none"/>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bCs/>
                <w:color w:val="auto"/>
                <w:sz w:val="24"/>
                <w:szCs w:val="32"/>
                <w:highlight w:val="none"/>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32"/>
                <w:highlight w:val="none"/>
                <w:lang w:val="en-US" w:eastAsia="zh-CN"/>
              </w:rPr>
              <w:t>图5-1    富源区块钻试修环保站钻试修废水处理工艺流程图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sz w:val="24"/>
                <w:szCs w:val="24"/>
                <w:highlight w:val="none"/>
                <w:lang w:eastAsia="zh-CN"/>
              </w:rPr>
              <w:t>塔里木油田富源7环保处理站目前已建成，正在调试过程中。富源7环保处理站钻试修废水处理规模720m</w:t>
            </w:r>
            <w:r>
              <w:rPr>
                <w:rFonts w:hint="default" w:ascii="Times New Roman" w:hAnsi="Times New Roman" w:eastAsia="宋体" w:cs="Times New Roman"/>
                <w:bCs/>
                <w:color w:val="auto"/>
                <w:sz w:val="24"/>
                <w:szCs w:val="24"/>
                <w:highlight w:val="none"/>
                <w:vertAlign w:val="superscript"/>
                <w:lang w:eastAsia="zh-CN"/>
              </w:rPr>
              <w:t>3</w:t>
            </w:r>
            <w:r>
              <w:rPr>
                <w:rFonts w:hint="default" w:ascii="Times New Roman" w:hAnsi="Times New Roman" w:eastAsia="宋体" w:cs="Times New Roman"/>
                <w:bCs/>
                <w:color w:val="auto"/>
                <w:sz w:val="24"/>
                <w:szCs w:val="24"/>
                <w:highlight w:val="none"/>
                <w:lang w:eastAsia="zh-CN"/>
              </w:rPr>
              <w:t>/d，本项目酸化压裂返排液产生量为日最大产生量为300m</w:t>
            </w:r>
            <w:r>
              <w:rPr>
                <w:rFonts w:hint="default" w:ascii="Times New Roman" w:hAnsi="Times New Roman" w:eastAsia="宋体" w:cs="Times New Roman"/>
                <w:bCs/>
                <w:color w:val="auto"/>
                <w:sz w:val="24"/>
                <w:szCs w:val="24"/>
                <w:highlight w:val="none"/>
                <w:vertAlign w:val="superscript"/>
                <w:lang w:eastAsia="zh-CN"/>
              </w:rPr>
              <w:t>3</w:t>
            </w:r>
            <w:r>
              <w:rPr>
                <w:rFonts w:hint="default" w:ascii="Times New Roman" w:hAnsi="Times New Roman" w:eastAsia="宋体" w:cs="Times New Roman"/>
                <w:bCs/>
                <w:color w:val="auto"/>
                <w:sz w:val="24"/>
                <w:szCs w:val="24"/>
                <w:highlight w:val="none"/>
                <w:lang w:eastAsia="zh-CN"/>
              </w:rPr>
              <w:t>/d（</w:t>
            </w:r>
            <w:r>
              <w:rPr>
                <w:rFonts w:hint="eastAsia" w:ascii="Times New Roman" w:cs="Times New Roman"/>
                <w:bCs/>
                <w:color w:val="auto"/>
                <w:sz w:val="24"/>
                <w:szCs w:val="24"/>
                <w:highlight w:val="none"/>
                <w:lang w:val="en-US" w:eastAsia="zh-CN"/>
              </w:rPr>
              <w:t>1</w:t>
            </w:r>
            <w:r>
              <w:rPr>
                <w:rFonts w:hint="default" w:ascii="Times New Roman" w:hAnsi="Times New Roman" w:eastAsia="宋体" w:cs="Times New Roman"/>
                <w:bCs/>
                <w:color w:val="auto"/>
                <w:sz w:val="24"/>
                <w:szCs w:val="24"/>
                <w:highlight w:val="none"/>
                <w:lang w:eastAsia="zh-CN"/>
              </w:rPr>
              <w:t>000m</w:t>
            </w:r>
            <w:r>
              <w:rPr>
                <w:rFonts w:hint="default" w:ascii="Times New Roman" w:hAnsi="Times New Roman" w:eastAsia="宋体" w:cs="Times New Roman"/>
                <w:bCs/>
                <w:color w:val="auto"/>
                <w:sz w:val="24"/>
                <w:szCs w:val="24"/>
                <w:highlight w:val="none"/>
                <w:vertAlign w:val="superscript"/>
                <w:lang w:eastAsia="zh-CN"/>
              </w:rPr>
              <w:t>3</w:t>
            </w:r>
            <w:r>
              <w:rPr>
                <w:rFonts w:hint="default" w:ascii="Times New Roman" w:hAnsi="Times New Roman" w:eastAsia="宋体" w:cs="Times New Roman"/>
                <w:bCs/>
                <w:color w:val="auto"/>
                <w:sz w:val="24"/>
                <w:szCs w:val="24"/>
                <w:highlight w:val="none"/>
                <w:lang w:eastAsia="zh-CN"/>
              </w:rPr>
              <w:t>/钻井期），可依托富源区块钻试修环保站处理</w:t>
            </w:r>
            <w:r>
              <w:rPr>
                <w:rFonts w:hint="default" w:ascii="Times New Roman" w:hAnsi="Times New Roman" w:eastAsia="宋体" w:cs="Times New Roman"/>
                <w:bCs/>
                <w:color w:val="auto"/>
                <w:kern w:val="0"/>
                <w:sz w:val="24"/>
                <w:szCs w:val="24"/>
                <w:highlight w:val="none"/>
                <w:lang w:val="en-US"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（3）生活污水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井场人员为</w:t>
            </w:r>
            <w:r>
              <w:rPr>
                <w:rFonts w:hint="default" w:ascii="Times New Roman" w:hAnsi="Times New Roman" w:eastAsia="宋体" w:cs="Times New Roman"/>
                <w:color w:val="auto"/>
                <w:sz w:val="24"/>
                <w:szCs w:val="24"/>
                <w:highlight w:val="none"/>
                <w:lang w:val="en-US" w:eastAsia="zh-CN"/>
              </w:rPr>
              <w:t>60人</w:t>
            </w:r>
            <w:r>
              <w:rPr>
                <w:rFonts w:hint="default" w:ascii="Times New Roman" w:hAnsi="Times New Roman" w:eastAsia="宋体" w:cs="Times New Roman"/>
                <w:color w:val="auto"/>
                <w:sz w:val="24"/>
                <w:szCs w:val="24"/>
                <w:highlight w:val="none"/>
              </w:rPr>
              <w:t>，钻井作业期为</w:t>
            </w:r>
            <w:r>
              <w:rPr>
                <w:rFonts w:hint="eastAsia" w:ascii="Times New Roman" w:cs="Times New Roman"/>
                <w:color w:val="auto"/>
                <w:sz w:val="24"/>
                <w:szCs w:val="24"/>
                <w:highlight w:val="none"/>
                <w:lang w:val="en-US" w:eastAsia="zh-CN"/>
              </w:rPr>
              <w:t>190</w:t>
            </w:r>
            <w:r>
              <w:rPr>
                <w:rFonts w:hint="default" w:ascii="Times New Roman" w:hAnsi="Times New Roman" w:eastAsia="宋体" w:cs="Times New Roman"/>
                <w:color w:val="auto"/>
                <w:sz w:val="24"/>
                <w:szCs w:val="24"/>
                <w:highlight w:val="none"/>
              </w:rPr>
              <w:t>天，</w:t>
            </w:r>
            <w:r>
              <w:rPr>
                <w:rFonts w:hint="default" w:ascii="Times New Roman" w:hAnsi="Times New Roman" w:eastAsia="宋体" w:cs="Times New Roman"/>
                <w:color w:val="auto"/>
                <w:sz w:val="24"/>
                <w:szCs w:val="24"/>
                <w:highlight w:val="none"/>
                <w:lang w:val="en-US" w:eastAsia="zh-CN"/>
              </w:rPr>
              <w:t>生活污水</w:t>
            </w:r>
            <w:r>
              <w:rPr>
                <w:rFonts w:hint="default" w:ascii="Times New Roman" w:hAnsi="Times New Roman" w:eastAsia="宋体" w:cs="Times New Roman"/>
                <w:color w:val="auto"/>
                <w:sz w:val="24"/>
                <w:szCs w:val="24"/>
                <w:highlight w:val="none"/>
              </w:rPr>
              <w:t>经井场撬装式污水处理装置处理后，水质达到《农村生活污水处理排放标准》（DB65</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4275-2019）表2的</w:t>
            </w:r>
            <w:r>
              <w:rPr>
                <w:rFonts w:hint="default" w:ascii="Times New Roman" w:hAnsi="Times New Roman" w:eastAsia="宋体" w:cs="Times New Roman"/>
                <w:color w:val="auto"/>
                <w:sz w:val="24"/>
                <w:szCs w:val="24"/>
                <w:highlight w:val="none"/>
                <w:lang w:val="en-US" w:eastAsia="zh-CN"/>
              </w:rPr>
              <w:t>B</w:t>
            </w:r>
            <w:r>
              <w:rPr>
                <w:rFonts w:hint="default" w:ascii="Times New Roman" w:hAnsi="Times New Roman" w:eastAsia="宋体" w:cs="Times New Roman"/>
                <w:color w:val="auto"/>
                <w:sz w:val="24"/>
                <w:szCs w:val="24"/>
                <w:highlight w:val="none"/>
              </w:rPr>
              <w:t>级标准，用于荒漠生态恢复。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生活污水处理措施可行性分析：</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钻井队临时生活区建设一座撬装化污水处理站，采用“A/O+MBR”工艺，即“化粪池+调节池+厌氧池+生物接触氧化池+MBR膜池+清水”处理工艺（见下图），该工艺结合了膜分离和生化技术，并强化了生化处理效果。根据《排污许可证申请与核发技术规范 水处理通用工序》（HJ1120-2020），生活污水采用“A/O+MBR”工艺符合规范中“4、采矿类排污单位——4.1.5污染治理设施”的要求。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40" w:lineRule="exact"/>
              <w:ind w:left="0" w:right="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color w:val="auto"/>
                <w:sz w:val="24"/>
                <w:szCs w:val="24"/>
                <w:highlight w:val="none"/>
              </w:rPr>
              <w:drawing>
                <wp:anchor distT="0" distB="0" distL="114300" distR="114300" simplePos="0" relativeHeight="251665408" behindDoc="0" locked="0" layoutInCell="1" allowOverlap="1">
                  <wp:simplePos x="0" y="0"/>
                  <wp:positionH relativeFrom="column">
                    <wp:posOffset>521970</wp:posOffset>
                  </wp:positionH>
                  <wp:positionV relativeFrom="paragraph">
                    <wp:posOffset>118110</wp:posOffset>
                  </wp:positionV>
                  <wp:extent cx="3977005" cy="3745865"/>
                  <wp:effectExtent l="0" t="0" r="4445" b="6985"/>
                  <wp:wrapTopAndBottom/>
                  <wp:docPr id="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
                          <pic:cNvPicPr>
                            <a:picLocks noChangeAspect="1"/>
                          </pic:cNvPicPr>
                        </pic:nvPicPr>
                        <pic:blipFill>
                          <a:blip r:embed="rId32"/>
                          <a:stretch>
                            <a:fillRect/>
                          </a:stretch>
                        </pic:blipFill>
                        <pic:spPr>
                          <a:xfrm>
                            <a:off x="0" y="0"/>
                            <a:ext cx="3977005" cy="3745865"/>
                          </a:xfrm>
                          <a:prstGeom prst="rect">
                            <a:avLst/>
                          </a:prstGeom>
                          <a:noFill/>
                          <a:ln>
                            <a:noFill/>
                          </a:ln>
                        </pic:spPr>
                      </pic:pic>
                    </a:graphicData>
                  </a:graphic>
                </wp:anchor>
              </w:drawing>
            </w:r>
            <w:r>
              <w:rPr>
                <w:rFonts w:hint="default" w:ascii="Times New Roman" w:hAnsi="Times New Roman" w:eastAsia="宋体" w:cs="Times New Roman"/>
                <w:b/>
                <w:bCs/>
                <w:color w:val="auto"/>
                <w:sz w:val="24"/>
                <w:szCs w:val="24"/>
                <w:highlight w:val="none"/>
              </w:rPr>
              <w:t>图</w:t>
            </w:r>
            <w:r>
              <w:rPr>
                <w:rFonts w:hint="default" w:ascii="Times New Roman" w:hAnsi="Times New Roman" w:eastAsia="宋体" w:cs="Times New Roman"/>
                <w:b/>
                <w:bCs/>
                <w:color w:val="auto"/>
                <w:sz w:val="24"/>
                <w:szCs w:val="24"/>
                <w:highlight w:val="none"/>
                <w:lang w:val="en-US" w:eastAsia="zh-CN"/>
              </w:rPr>
              <w:t xml:space="preserve">5-2   </w:t>
            </w:r>
            <w:r>
              <w:rPr>
                <w:rFonts w:hint="default" w:ascii="Times New Roman" w:hAnsi="Times New Roman" w:eastAsia="宋体" w:cs="Times New Roman"/>
                <w:b/>
                <w:bCs/>
                <w:color w:val="auto"/>
                <w:sz w:val="24"/>
                <w:szCs w:val="24"/>
                <w:highlight w:val="none"/>
              </w:rPr>
              <w:t xml:space="preserve"> 撬装化污水处理站</w:t>
            </w:r>
            <w:r>
              <w:rPr>
                <w:rFonts w:hint="default" w:ascii="Times New Roman" w:hAnsi="Times New Roman" w:eastAsia="宋体" w:cs="Times New Roman"/>
                <w:b/>
                <w:bCs/>
                <w:color w:val="auto"/>
                <w:sz w:val="24"/>
                <w:szCs w:val="24"/>
                <w:highlight w:val="none"/>
                <w:lang w:val="en-US" w:eastAsia="zh-CN"/>
              </w:rPr>
              <w:t>工艺流程示意图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根据</w:t>
            </w:r>
            <w:r>
              <w:rPr>
                <w:rFonts w:hint="default" w:ascii="Times New Roman" w:hAnsi="Times New Roman" w:eastAsia="宋体" w:cs="Times New Roman"/>
                <w:color w:val="auto"/>
                <w:sz w:val="24"/>
                <w:szCs w:val="24"/>
                <w:highlight w:val="none"/>
                <w:lang w:val="en-US" w:eastAsia="zh-CN"/>
              </w:rPr>
              <w:t>企业</w:t>
            </w:r>
            <w:r>
              <w:rPr>
                <w:rFonts w:hint="default" w:ascii="Times New Roman" w:hAnsi="Times New Roman" w:eastAsia="宋体" w:cs="Times New Roman"/>
                <w:color w:val="auto"/>
                <w:sz w:val="24"/>
                <w:szCs w:val="24"/>
                <w:highlight w:val="none"/>
              </w:rPr>
              <w:t>提供的技术资料及撬装化污水处理站运行效果调查，该工艺对COD、氨氮、总氮去除效果均佳，对悬浮物（SS）、有机物去除效率高，而且可以去除细菌等。生活污水经过该污水处理装置处理后，出水水质COD≤180mg/L、SS≤90mg/L、粪大肠菌群≤</w:t>
            </w:r>
            <w:r>
              <w:rPr>
                <w:rFonts w:hint="eastAsia" w:ascii="Times New Roman"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0000MPN/L、蛔虫卵个数≤2个/L，处理后水质达到《农村生活污水处理排放标准》（DB65</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4275-2019）表2的</w:t>
            </w:r>
            <w:r>
              <w:rPr>
                <w:rFonts w:hint="default" w:ascii="Times New Roman" w:hAnsi="Times New Roman" w:eastAsia="宋体" w:cs="Times New Roman"/>
                <w:color w:val="auto"/>
                <w:sz w:val="24"/>
                <w:szCs w:val="24"/>
                <w:highlight w:val="none"/>
                <w:lang w:val="en-US" w:eastAsia="zh-CN"/>
              </w:rPr>
              <w:t>B</w:t>
            </w:r>
            <w:r>
              <w:rPr>
                <w:rFonts w:hint="default" w:ascii="Times New Roman" w:hAnsi="Times New Roman" w:eastAsia="宋体" w:cs="Times New Roman"/>
                <w:color w:val="auto"/>
                <w:sz w:val="24"/>
                <w:szCs w:val="24"/>
                <w:highlight w:val="none"/>
              </w:rPr>
              <w:t>级标准。本项目所在区域为荒漠，主要生长荒漠植被，可用于荒漠生态恢复。</w:t>
            </w:r>
            <w:r>
              <w:rPr>
                <w:rFonts w:hint="default" w:ascii="Times New Roman" w:hAnsi="Times New Roman" w:eastAsia="宋体" w:cs="Times New Roman"/>
                <w:color w:val="auto"/>
                <w:sz w:val="24"/>
                <w:szCs w:val="24"/>
                <w:highlight w:val="none"/>
                <w:lang w:val="en-US" w:eastAsia="zh-CN"/>
              </w:rPr>
              <w:t>项目采取罐车拉运，在井场周围有植被区域采用喷灌方式对荒漠植被进行灌溉。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撬装化污水处理站设计处理规模</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0m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/d，单座井场污水产生规模</w:t>
            </w:r>
            <w:r>
              <w:rPr>
                <w:rFonts w:hint="default" w:ascii="Times New Roman" w:hAnsi="Times New Roman" w:eastAsia="宋体" w:cs="Times New Roman"/>
                <w:color w:val="auto"/>
                <w:sz w:val="24"/>
                <w:szCs w:val="24"/>
                <w:highlight w:val="none"/>
                <w:lang w:val="en-US" w:eastAsia="zh-CN"/>
              </w:rPr>
              <w:t>4.8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/d，可满足井场生活污水处理需求。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（4）锅炉排污水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拟建工程锅炉排污水水量为0.3m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/d，水质简单，污染物主要为SS、COD及含盐量，用于井区周边洒水抑尘。</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color w:val="auto"/>
                <w:sz w:val="24"/>
                <w:szCs w:val="24"/>
                <w:highlight w:val="none"/>
              </w:rPr>
              <w:t>综上，本项目产生的废水均得到妥善处理，故本项目实施对地表水环境产生的影响</w:t>
            </w:r>
            <w:r>
              <w:rPr>
                <w:rFonts w:hint="default" w:ascii="Times New Roman" w:hAnsi="Times New Roman" w:eastAsia="宋体" w:cs="Times New Roman"/>
                <w:color w:val="auto"/>
                <w:sz w:val="24"/>
                <w:szCs w:val="24"/>
                <w:highlight w:val="none"/>
                <w:lang w:val="en-US" w:eastAsia="zh-CN"/>
              </w:rPr>
              <w:t>可以</w:t>
            </w:r>
            <w:r>
              <w:rPr>
                <w:rFonts w:hint="default" w:ascii="Times New Roman" w:hAnsi="Times New Roman" w:eastAsia="宋体" w:cs="Times New Roman"/>
                <w:color w:val="auto"/>
                <w:sz w:val="24"/>
                <w:szCs w:val="24"/>
                <w:highlight w:val="none"/>
              </w:rPr>
              <w:t>接受</w:t>
            </w:r>
            <w:r>
              <w:rPr>
                <w:rFonts w:hint="default" w:ascii="Times New Roman" w:hAnsi="Times New Roman" w:eastAsia="宋体" w:cs="Times New Roman"/>
                <w:bCs/>
                <w:color w:val="auto"/>
                <w:kern w:val="0"/>
                <w:sz w:val="24"/>
                <w:szCs w:val="24"/>
                <w:highlight w:val="none"/>
                <w:lang w:val="en-US"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4、地下水环境保护措施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地下水环境保护措施与对策应符合《中华人民共和国生态环境法典</w:t>
            </w:r>
            <w:r>
              <w:rPr>
                <w:rFonts w:hint="eastAsia" w:ascii="Times New Roman" w:cs="Times New Roman"/>
                <w:bCs/>
                <w:color w:val="auto"/>
                <w:kern w:val="0"/>
                <w:sz w:val="24"/>
                <w:szCs w:val="24"/>
                <w:highlight w:val="none"/>
                <w:lang w:val="en-US" w:eastAsia="zh-CN"/>
              </w:rPr>
              <w:t>》和</w:t>
            </w:r>
            <w:r>
              <w:rPr>
                <w:rFonts w:hint="default" w:ascii="Times New Roman" w:hAnsi="Times New Roman" w:eastAsia="宋体" w:cs="Times New Roman"/>
                <w:bCs/>
                <w:color w:val="auto"/>
                <w:kern w:val="0"/>
                <w:sz w:val="24"/>
                <w:szCs w:val="24"/>
                <w:highlight w:val="none"/>
                <w:lang w:val="en-US" w:eastAsia="zh-CN"/>
              </w:rPr>
              <w:t>《地下水管理条例》的相关规定，做到源头控制、污染监控和应急响应。</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①源头控制措施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工程在施工过程中采用下套管注水泥固井完井方式进行了水泥固井，对含水层进行了封固处理；同时井场区域放喷池等池体，采用“整体型钢板池”及“环保防渗膜池”；酸化压裂返排液在井场加烧碱中和后</w:t>
            </w:r>
            <w:r>
              <w:rPr>
                <w:rFonts w:hint="eastAsia" w:ascii="Times New Roman" w:cs="Times New Roman"/>
                <w:bCs/>
                <w:color w:val="auto"/>
                <w:kern w:val="0"/>
                <w:sz w:val="24"/>
                <w:szCs w:val="24"/>
                <w:highlight w:val="none"/>
                <w:lang w:val="en-US" w:eastAsia="zh-CN"/>
              </w:rPr>
              <w:t>，</w:t>
            </w:r>
            <w:r>
              <w:rPr>
                <w:rFonts w:hint="default" w:ascii="Times New Roman" w:hAnsi="Times New Roman" w:eastAsia="宋体" w:cs="Times New Roman"/>
                <w:bCs/>
                <w:color w:val="auto"/>
                <w:kern w:val="0"/>
                <w:sz w:val="24"/>
                <w:szCs w:val="24"/>
                <w:highlight w:val="none"/>
                <w:lang w:val="en-US" w:eastAsia="zh-CN"/>
              </w:rPr>
              <w:t>暂存在</w:t>
            </w:r>
            <w:r>
              <w:rPr>
                <w:rFonts w:hint="eastAsia" w:ascii="Times New Roman" w:cs="Times New Roman"/>
                <w:bCs/>
                <w:color w:val="auto"/>
                <w:kern w:val="0"/>
                <w:sz w:val="24"/>
                <w:szCs w:val="24"/>
                <w:highlight w:val="none"/>
                <w:lang w:val="en-US" w:eastAsia="zh-CN"/>
              </w:rPr>
              <w:t>废液</w:t>
            </w:r>
            <w:r>
              <w:rPr>
                <w:rFonts w:hint="default" w:ascii="Times New Roman" w:hAnsi="Times New Roman" w:eastAsia="宋体" w:cs="Times New Roman"/>
                <w:bCs/>
                <w:color w:val="auto"/>
                <w:kern w:val="0"/>
                <w:sz w:val="24"/>
                <w:szCs w:val="24"/>
                <w:highlight w:val="none"/>
                <w:lang w:val="en-US" w:eastAsia="zh-CN"/>
              </w:rPr>
              <w:t>收集罐，运至富源7环保处理站处置，可有效减轻对地下水的影响。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②分区防控措施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Cs/>
                <w:color w:val="auto"/>
                <w:kern w:val="0"/>
                <w:sz w:val="24"/>
                <w:szCs w:val="24"/>
                <w:highlight w:val="none"/>
                <w:lang w:val="en-US" w:eastAsia="zh-CN"/>
              </w:rPr>
              <w:t>为防止污染地下水，针对井场施工期间工程特点，参照《环境影响评价技术导则 地下水环境》（HJ610-2016），将钻井期井场进行分区防渗，其中柴油罐区、柴油发电机区、危废暂存间（8m</w:t>
            </w:r>
            <w:r>
              <w:rPr>
                <w:rFonts w:hint="default" w:ascii="Times New Roman" w:hAnsi="Times New Roman" w:eastAsia="宋体" w:cs="Times New Roman"/>
                <w:bCs/>
                <w:color w:val="auto"/>
                <w:kern w:val="0"/>
                <w:sz w:val="24"/>
                <w:szCs w:val="24"/>
                <w:highlight w:val="none"/>
                <w:vertAlign w:val="superscript"/>
                <w:lang w:val="en-US" w:eastAsia="zh-CN"/>
              </w:rPr>
              <w:t>2</w:t>
            </w:r>
            <w:r>
              <w:rPr>
                <w:rFonts w:hint="default" w:ascii="Times New Roman" w:hAnsi="Times New Roman" w:eastAsia="宋体" w:cs="Times New Roman"/>
                <w:bCs/>
                <w:color w:val="auto"/>
                <w:kern w:val="0"/>
                <w:sz w:val="24"/>
                <w:szCs w:val="24"/>
                <w:highlight w:val="none"/>
                <w:vertAlign w:val="baseline"/>
                <w:lang w:val="en-US" w:eastAsia="zh-CN"/>
              </w:rPr>
              <w:t>）</w:t>
            </w:r>
            <w:r>
              <w:rPr>
                <w:rFonts w:hint="default" w:ascii="Times New Roman" w:hAnsi="Times New Roman" w:eastAsia="宋体" w:cs="Times New Roman"/>
                <w:bCs/>
                <w:color w:val="auto"/>
                <w:kern w:val="0"/>
                <w:sz w:val="24"/>
                <w:szCs w:val="24"/>
                <w:highlight w:val="none"/>
                <w:lang w:val="en-US" w:eastAsia="zh-CN"/>
              </w:rPr>
              <w:t>、放喷池、钻井平台、不落地收集装置等划分为重点防渗区；泥浆泵区及泥浆罐区、膨润土岩屑池等划分为一般防渗区</w:t>
            </w:r>
            <w:r>
              <w:rPr>
                <w:rFonts w:hint="default" w:ascii="Times New Roman" w:hAnsi="Times New Roman" w:eastAsia="宋体" w:cs="Times New Roman"/>
                <w:b w:val="0"/>
                <w:color w:val="auto"/>
                <w:kern w:val="2"/>
                <w:sz w:val="24"/>
                <w:szCs w:val="21"/>
                <w:highlight w:val="none"/>
                <w:lang w:val="en-US" w:eastAsia="zh-CN"/>
              </w:rPr>
              <w:t>，</w:t>
            </w:r>
            <w:r>
              <w:rPr>
                <w:rFonts w:hint="default" w:ascii="Times New Roman" w:hAnsi="Times New Roman" w:eastAsia="宋体" w:cs="Times New Roman"/>
                <w:color w:val="auto"/>
                <w:sz w:val="24"/>
                <w:szCs w:val="24"/>
              </w:rPr>
              <w:t>其余区域划分为简单防渗区</w:t>
            </w:r>
            <w:r>
              <w:rPr>
                <w:rFonts w:hint="default" w:ascii="Times New Roman" w:hAnsi="Times New Roman" w:eastAsia="宋体" w:cs="Times New Roman"/>
                <w:bCs/>
                <w:color w:val="auto"/>
                <w:kern w:val="0"/>
                <w:sz w:val="24"/>
                <w:szCs w:val="24"/>
                <w:highlight w:val="none"/>
                <w:lang w:val="en-US" w:eastAsia="zh-CN"/>
              </w:rPr>
              <w:t>，油罐下设防渗，泥浆罐等采用金属材料，可有效避免发生渗漏事故。</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b w:val="0"/>
                <w:color w:val="auto"/>
                <w:kern w:val="2"/>
                <w:sz w:val="24"/>
                <w:szCs w:val="21"/>
                <w:highlight w:val="none"/>
                <w:lang w:val="en-US" w:eastAsia="zh-CN"/>
              </w:rPr>
            </w:pPr>
            <w:r>
              <w:rPr>
                <w:rFonts w:hint="default" w:ascii="Times New Roman" w:hAnsi="Times New Roman" w:eastAsia="宋体" w:cs="Times New Roman"/>
                <w:b w:val="0"/>
                <w:color w:val="auto"/>
                <w:kern w:val="2"/>
                <w:sz w:val="24"/>
                <w:szCs w:val="21"/>
                <w:highlight w:val="none"/>
                <w:lang w:val="en-US" w:eastAsia="zh-CN"/>
              </w:rPr>
              <w:t>试油期将</w:t>
            </w:r>
            <w:r>
              <w:rPr>
                <w:rFonts w:hint="eastAsia" w:ascii="Times New Roman" w:eastAsia="宋体" w:cs="Times New Roman"/>
                <w:b w:val="0"/>
                <w:color w:val="auto"/>
                <w:kern w:val="2"/>
                <w:sz w:val="24"/>
                <w:szCs w:val="21"/>
                <w:highlight w:val="none"/>
                <w:lang w:val="en-US" w:eastAsia="zh-CN"/>
              </w:rPr>
              <w:t>凝析油罐</w:t>
            </w:r>
            <w:r>
              <w:rPr>
                <w:rFonts w:hint="default" w:ascii="Times New Roman" w:hAnsi="Times New Roman" w:eastAsia="宋体" w:cs="Times New Roman"/>
                <w:b w:val="0"/>
                <w:color w:val="auto"/>
                <w:kern w:val="2"/>
                <w:sz w:val="24"/>
                <w:szCs w:val="21"/>
                <w:highlight w:val="none"/>
                <w:lang w:val="en-US" w:eastAsia="zh-CN"/>
              </w:rPr>
              <w:t>区，试油区和放喷池作为重点防渗区，其他区域为简单防渗区。</w:t>
            </w:r>
            <w:r>
              <w:rPr>
                <w:rFonts w:hint="default" w:ascii="Times New Roman" w:hAnsi="Times New Roman" w:eastAsia="宋体" w:cs="Times New Roman"/>
                <w:color w:val="auto"/>
                <w:kern w:val="0"/>
                <w:sz w:val="24"/>
                <w:szCs w:val="24"/>
                <w:highlight w:val="none"/>
              </w:rPr>
              <w:t>本项目</w:t>
            </w:r>
            <w:r>
              <w:rPr>
                <w:rFonts w:hint="default" w:ascii="Times New Roman" w:hAnsi="Times New Roman" w:eastAsia="宋体" w:cs="Times New Roman"/>
                <w:color w:val="auto"/>
                <w:kern w:val="0"/>
                <w:sz w:val="24"/>
                <w:szCs w:val="24"/>
                <w:highlight w:val="none"/>
                <w:lang w:val="en-US" w:eastAsia="zh-CN"/>
              </w:rPr>
              <w:t>钻进期</w:t>
            </w:r>
            <w:r>
              <w:rPr>
                <w:rFonts w:hint="default" w:ascii="Times New Roman" w:hAnsi="Times New Roman" w:eastAsia="宋体" w:cs="Times New Roman"/>
                <w:color w:val="auto"/>
                <w:kern w:val="0"/>
                <w:sz w:val="24"/>
                <w:szCs w:val="24"/>
                <w:highlight w:val="none"/>
              </w:rPr>
              <w:t>区防渗图见图</w:t>
            </w:r>
            <w:r>
              <w:rPr>
                <w:rFonts w:hint="default" w:ascii="Times New Roman" w:hAnsi="Times New Roman" w:eastAsia="宋体" w:cs="Times New Roman"/>
                <w:color w:val="auto"/>
                <w:kern w:val="0"/>
                <w:sz w:val="24"/>
                <w:szCs w:val="24"/>
                <w:highlight w:val="none"/>
                <w:lang w:val="en-US" w:eastAsia="zh-CN"/>
              </w:rPr>
              <w:t>5-3，试油期分区防渗图见5-4</w:t>
            </w:r>
            <w:r>
              <w:rPr>
                <w:rFonts w:hint="default" w:ascii="Times New Roman" w:hAnsi="Times New Roman" w:eastAsia="宋体" w:cs="Times New Roman"/>
                <w:color w:val="auto"/>
                <w:kern w:val="0"/>
                <w:sz w:val="24"/>
                <w:szCs w:val="24"/>
                <w:highlight w:val="none"/>
              </w:rPr>
              <w:t>。</w:t>
            </w:r>
          </w:p>
          <w:p>
            <w:pPr>
              <w:pStyle w:val="3"/>
              <w:keepNext w:val="0"/>
              <w:keepLines w:val="0"/>
              <w:pageBreakBefore w:val="0"/>
              <w:widowControl w:val="0"/>
              <w:suppressLineNumbers w:val="0"/>
              <w:kinsoku/>
              <w:wordWrap/>
              <w:overflowPunct/>
              <w:topLinePunct w:val="0"/>
              <w:autoSpaceDE/>
              <w:autoSpaceDN/>
              <w:bidi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 w:val="0"/>
                <w:color w:val="auto"/>
                <w:sz w:val="24"/>
                <w:szCs w:val="21"/>
                <w:highlight w:val="none"/>
                <w:lang w:val="en-US" w:eastAsia="zh-CN"/>
              </w:rPr>
            </w:pPr>
            <w:r>
              <w:rPr>
                <w:rFonts w:hint="default" w:ascii="Times New Roman" w:hAnsi="Times New Roman" w:eastAsia="宋体" w:cs="Times New Roman"/>
                <w:b w:val="0"/>
                <w:color w:val="auto"/>
                <w:kern w:val="2"/>
                <w:sz w:val="24"/>
                <w:szCs w:val="21"/>
                <w:highlight w:val="none"/>
                <w:lang w:val="en-US" w:eastAsia="zh-CN"/>
              </w:rPr>
              <w:t>本项目重点防渗区等效黏土防渗层Mb≥6.0m，K≤1×10</w:t>
            </w:r>
            <w:r>
              <w:rPr>
                <w:rFonts w:hint="default" w:ascii="Times New Roman" w:hAnsi="Times New Roman" w:eastAsia="宋体" w:cs="Times New Roman"/>
                <w:b w:val="0"/>
                <w:color w:val="auto"/>
                <w:kern w:val="2"/>
                <w:sz w:val="24"/>
                <w:szCs w:val="21"/>
                <w:highlight w:val="none"/>
                <w:vertAlign w:val="superscript"/>
                <w:lang w:val="en-US" w:eastAsia="zh-CN"/>
              </w:rPr>
              <w:t>-7</w:t>
            </w:r>
            <w:r>
              <w:rPr>
                <w:rFonts w:hint="default" w:ascii="Times New Roman" w:hAnsi="Times New Roman" w:eastAsia="宋体" w:cs="Times New Roman"/>
                <w:b w:val="0"/>
                <w:color w:val="auto"/>
                <w:kern w:val="2"/>
                <w:sz w:val="24"/>
                <w:szCs w:val="21"/>
                <w:highlight w:val="none"/>
                <w:lang w:val="en-US" w:eastAsia="zh-CN"/>
              </w:rPr>
              <w:t>cm/s，或参照GB18598执行；一般防渗区等效黏土防渗层Mb≥1.5m，K≤1×10</w:t>
            </w:r>
            <w:r>
              <w:rPr>
                <w:rFonts w:hint="default" w:ascii="Times New Roman" w:hAnsi="Times New Roman" w:eastAsia="宋体" w:cs="Times New Roman"/>
                <w:b w:val="0"/>
                <w:color w:val="auto"/>
                <w:kern w:val="2"/>
                <w:sz w:val="24"/>
                <w:szCs w:val="21"/>
                <w:highlight w:val="none"/>
                <w:vertAlign w:val="superscript"/>
                <w:lang w:val="en-US" w:eastAsia="zh-CN"/>
              </w:rPr>
              <w:t>-7</w:t>
            </w:r>
            <w:r>
              <w:rPr>
                <w:rFonts w:hint="default" w:ascii="Times New Roman" w:hAnsi="Times New Roman" w:eastAsia="宋体" w:cs="Times New Roman"/>
                <w:b w:val="0"/>
                <w:color w:val="auto"/>
                <w:kern w:val="2"/>
                <w:sz w:val="24"/>
                <w:szCs w:val="21"/>
                <w:highlight w:val="none"/>
                <w:lang w:val="en-US" w:eastAsia="zh-CN"/>
              </w:rPr>
              <w:t>cm/s；</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0000FF"/>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在制定油田环保管理体制的基础上，制定专门的地下水污染事故的应急措施，并与其它应急预案相协调。</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0000FF"/>
                <w:kern w:val="0"/>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0000FF"/>
                <w:kern w:val="0"/>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0000FF"/>
                <w:kern w:val="0"/>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0000FF"/>
                <w:kern w:val="0"/>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0000FF"/>
                <w:kern w:val="0"/>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0000FF"/>
                <w:kern w:val="0"/>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0000FF"/>
                <w:kern w:val="0"/>
                <w:sz w:val="24"/>
                <w:szCs w:val="24"/>
                <w:highlight w:val="none"/>
                <w:lang w:val="en-US" w:eastAsia="zh-CN"/>
              </w:rPr>
            </w:pP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rPr>
                <w:rFonts w:hint="default" w:ascii="Times New Roman" w:hAnsi="Times New Roman" w:eastAsia="宋体" w:cs="Times New Roman"/>
                <w:color w:val="0000FF"/>
                <w:kern w:val="0"/>
                <w:sz w:val="24"/>
                <w:szCs w:val="24"/>
                <w:highlight w:val="none"/>
                <w:lang w:val="en-US" w:eastAsia="zh-CN"/>
              </w:rPr>
            </w:pPr>
          </w:p>
          <w:p>
            <w:pPr>
              <w:pStyle w:val="63"/>
              <w:keepNext w:val="0"/>
              <w:keepLines w:val="0"/>
              <w:suppressLineNumbers w:val="0"/>
              <w:snapToGrid/>
              <w:spacing w:before="0" w:beforeAutospacing="0" w:after="0" w:afterAutospacing="0" w:line="360" w:lineRule="auto"/>
              <w:ind w:left="0" w:leftChars="0" w:right="0" w:firstLine="0" w:firstLineChars="0"/>
              <w:rPr>
                <w:rFonts w:hint="default" w:ascii="Times New Roman" w:hAnsi="Times New Roman" w:eastAsia="宋体" w:cs="Times New Roman"/>
                <w:color w:val="0000FF"/>
                <w:kern w:val="2"/>
                <w:sz w:val="21"/>
                <w:szCs w:val="21"/>
                <w:highlight w:val="none"/>
                <w:lang w:val="en-US" w:eastAsia="zh-CN"/>
              </w:rPr>
            </w:pPr>
            <w:r>
              <w:rPr>
                <w:rFonts w:hint="default" w:ascii="Times New Roman" w:hAnsi="Times New Roman" w:eastAsia="宋体" w:cs="Times New Roman"/>
                <w:color w:val="0000FF"/>
                <w:highlight w:val="none"/>
              </w:rPr>
              <mc:AlternateContent>
                <mc:Choice Requires="wpg">
                  <w:drawing>
                    <wp:inline distT="0" distB="0" distL="114300" distR="114300">
                      <wp:extent cx="5083175" cy="5837555"/>
                      <wp:effectExtent l="9525" t="0" r="12700" b="10795"/>
                      <wp:docPr id="1" name="组合 152"/>
                      <wp:cNvGraphicFramePr/>
                      <a:graphic xmlns:a="http://schemas.openxmlformats.org/drawingml/2006/main">
                        <a:graphicData uri="http://schemas.microsoft.com/office/word/2010/wordprocessingGroup">
                          <wpg:wgp>
                            <wpg:cNvGrpSpPr/>
                            <wpg:grpSpPr>
                              <a:xfrm>
                                <a:off x="0" y="0"/>
                                <a:ext cx="5083175" cy="5837555"/>
                                <a:chOff x="6867" y="1641074"/>
                                <a:chExt cx="8385" cy="9193"/>
                              </a:xfrm>
                            </wpg:grpSpPr>
                            <wpg:grpSp>
                              <wpg:cNvPr id="11" name="组合 153"/>
                              <wpg:cNvGrpSpPr/>
                              <wpg:grpSpPr>
                                <a:xfrm>
                                  <a:off x="8183" y="1649383"/>
                                  <a:ext cx="1312" cy="884"/>
                                  <a:chOff x="6791" y="620433"/>
                                  <a:chExt cx="1312" cy="884"/>
                                </a:xfrm>
                              </wpg:grpSpPr>
                              <wps:wsp>
                                <wps:cNvPr id="36" name="文本框 9"/>
                                <wps:cNvSpPr txBox="1"/>
                                <wps:spPr>
                                  <a:xfrm>
                                    <a:off x="6791" y="620433"/>
                                    <a:ext cx="1313" cy="88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360" w:lineRule="auto"/>
                                        <w:jc w:val="center"/>
                                        <w:rPr>
                                          <w:rFonts w:hint="eastAsia" w:ascii="黑体" w:eastAsia="黑体"/>
                                          <w:sz w:val="15"/>
                                          <w:szCs w:val="15"/>
                                        </w:rPr>
                                      </w:pPr>
                                      <w:r>
                                        <w:rPr>
                                          <w:rFonts w:hint="eastAsia" w:ascii="黑体" w:eastAsia="黑体"/>
                                          <w:sz w:val="15"/>
                                          <w:szCs w:val="15"/>
                                        </w:rPr>
                                        <w:t>图  例</w:t>
                                      </w:r>
                                    </w:p>
                                    <w:p>
                                      <w:pPr>
                                        <w:spacing w:line="360" w:lineRule="auto"/>
                                        <w:rPr>
                                          <w:rFonts w:ascii="Times New Roman"/>
                                          <w:sz w:val="13"/>
                                          <w:szCs w:val="13"/>
                                        </w:rPr>
                                      </w:pPr>
                                      <w:r>
                                        <w:rPr>
                                          <w:rFonts w:hint="eastAsia" w:ascii="Times New Roman"/>
                                          <w:sz w:val="11"/>
                                          <w:szCs w:val="11"/>
                                        </w:rPr>
                                        <w:t xml:space="preserve">   </w:t>
                                      </w:r>
                                      <w:r>
                                        <w:rPr>
                                          <w:rFonts w:ascii="Times New Roman"/>
                                          <w:sz w:val="11"/>
                                          <w:szCs w:val="11"/>
                                        </w:rPr>
                                        <w:t xml:space="preserve"> </w:t>
                                      </w:r>
                                      <w:r>
                                        <w:rPr>
                                          <w:rFonts w:hint="eastAsia" w:ascii="Times New Roman"/>
                                          <w:sz w:val="13"/>
                                          <w:szCs w:val="13"/>
                                        </w:rPr>
                                        <w:t>重点防渗区</w:t>
                                      </w:r>
                                    </w:p>
                                    <w:p>
                                      <w:pPr>
                                        <w:spacing w:line="360" w:lineRule="auto"/>
                                        <w:ind w:firstLine="260" w:firstLineChars="200"/>
                                        <w:rPr>
                                          <w:rFonts w:ascii="Times New Roman"/>
                                          <w:sz w:val="15"/>
                                          <w:szCs w:val="15"/>
                                        </w:rPr>
                                      </w:pPr>
                                      <w:r>
                                        <w:rPr>
                                          <w:rFonts w:hint="eastAsia" w:ascii="Times New Roman"/>
                                          <w:sz w:val="13"/>
                                          <w:szCs w:val="13"/>
                                        </w:rPr>
                                        <w:t>一般防渗区</w:t>
                                      </w:r>
                                    </w:p>
                                  </w:txbxContent>
                                </wps:txbx>
                                <wps:bodyPr upright="1"/>
                              </wps:wsp>
                              <wps:wsp>
                                <wps:cNvPr id="37" name="矩形 14"/>
                                <wps:cNvSpPr/>
                                <wps:spPr>
                                  <a:xfrm>
                                    <a:off x="6886" y="620823"/>
                                    <a:ext cx="227" cy="113"/>
                                  </a:xfrm>
                                  <a:prstGeom prst="rect">
                                    <a:avLst/>
                                  </a:prstGeom>
                                  <a:solidFill>
                                    <a:srgbClr val="FF0000">
                                      <a:alpha val="50000"/>
                                    </a:srgbClr>
                                  </a:solidFill>
                                  <a:ln w="3175" cap="flat" cmpd="sng">
                                    <a:solidFill>
                                      <a:srgbClr val="000000"/>
                                    </a:solidFill>
                                    <a:prstDash val="solid"/>
                                    <a:miter/>
                                    <a:headEnd type="none" w="med" len="med"/>
                                    <a:tailEnd type="none" w="med" len="med"/>
                                  </a:ln>
                                </wps:spPr>
                                <wps:bodyPr upright="1"/>
                              </wps:wsp>
                              <wps:wsp>
                                <wps:cNvPr id="46" name="矩形 15"/>
                                <wps:cNvSpPr/>
                                <wps:spPr>
                                  <a:xfrm>
                                    <a:off x="6886" y="621070"/>
                                    <a:ext cx="227" cy="113"/>
                                  </a:xfrm>
                                  <a:prstGeom prst="rect">
                                    <a:avLst/>
                                  </a:prstGeom>
                                  <a:solidFill>
                                    <a:srgbClr val="FFFF00">
                                      <a:alpha val="50000"/>
                                    </a:srgbClr>
                                  </a:solidFill>
                                  <a:ln w="3175" cap="flat" cmpd="sng">
                                    <a:solidFill>
                                      <a:srgbClr val="000000"/>
                                    </a:solidFill>
                                    <a:prstDash val="solid"/>
                                    <a:miter/>
                                    <a:headEnd type="none" w="med" len="med"/>
                                    <a:tailEnd type="none" w="med" len="med"/>
                                  </a:ln>
                                </wps:spPr>
                                <wps:bodyPr upright="1"/>
                              </wps:wsp>
                            </wpg:grpSp>
                            <wpg:grpSp>
                              <wpg:cNvPr id="12" name="组合 157"/>
                              <wpg:cNvGrpSpPr/>
                              <wpg:grpSpPr>
                                <a:xfrm>
                                  <a:off x="6867" y="1641074"/>
                                  <a:ext cx="8385" cy="9144"/>
                                  <a:chOff x="17726" y="790364"/>
                                  <a:chExt cx="8385" cy="9144"/>
                                </a:xfrm>
                              </wpg:grpSpPr>
                              <pic:pic xmlns:pic="http://schemas.openxmlformats.org/drawingml/2006/picture">
                                <pic:nvPicPr>
                                  <pic:cNvPr id="49" name="Object 101"/>
                                  <pic:cNvPicPr/>
                                </pic:nvPicPr>
                                <pic:blipFill>
                                  <a:blip r:embed="rId33"/>
                                  <a:stretch>
                                    <a:fillRect/>
                                  </a:stretch>
                                </pic:blipFill>
                                <pic:spPr>
                                  <a:xfrm>
                                    <a:off x="18011" y="790364"/>
                                    <a:ext cx="8100" cy="9144"/>
                                  </a:xfrm>
                                  <a:prstGeom prst="rect">
                                    <a:avLst/>
                                  </a:prstGeom>
                                  <a:noFill/>
                                  <a:ln>
                                    <a:noFill/>
                                  </a:ln>
                                </pic:spPr>
                              </pic:pic>
                              <pic:pic xmlns:pic="http://schemas.openxmlformats.org/drawingml/2006/picture">
                                <pic:nvPicPr>
                                  <pic:cNvPr id="50" name="图片 28"/>
                                  <pic:cNvPicPr>
                                    <a:picLocks noChangeAspect="1"/>
                                  </pic:cNvPicPr>
                                </pic:nvPicPr>
                                <pic:blipFill>
                                  <a:blip r:embed="rId19"/>
                                  <a:srcRect b="1816"/>
                                  <a:stretch>
                                    <a:fillRect/>
                                  </a:stretch>
                                </pic:blipFill>
                                <pic:spPr>
                                  <a:xfrm>
                                    <a:off x="17726" y="790402"/>
                                    <a:ext cx="1417" cy="1406"/>
                                  </a:xfrm>
                                  <a:prstGeom prst="rect">
                                    <a:avLst/>
                                  </a:prstGeom>
                                  <a:noFill/>
                                  <a:ln w="6350" cap="flat" cmpd="sng">
                                    <a:solidFill>
                                      <a:srgbClr val="000000"/>
                                    </a:solidFill>
                                    <a:prstDash val="solid"/>
                                    <a:round/>
                                    <a:headEnd type="none" w="med" len="med"/>
                                    <a:tailEnd type="none" w="med" len="med"/>
                                  </a:ln>
                                </pic:spPr>
                              </pic:pic>
                            </wpg:grpSp>
                            <wps:wsp>
                              <wps:cNvPr id="52" name="矩形 160"/>
                              <wps:cNvSpPr/>
                              <wps:spPr>
                                <a:xfrm>
                                  <a:off x="13110" y="1644038"/>
                                  <a:ext cx="724" cy="945"/>
                                </a:xfrm>
                                <a:prstGeom prst="rect">
                                  <a:avLst/>
                                </a:prstGeom>
                                <a:solidFill>
                                  <a:srgbClr val="FFFFFF"/>
                                </a:solidFill>
                                <a:ln>
                                  <a:noFill/>
                                </a:ln>
                              </wps:spPr>
                              <wps:bodyPr upright="1"/>
                            </wps:wsp>
                          </wpg:wgp>
                        </a:graphicData>
                      </a:graphic>
                    </wp:inline>
                  </w:drawing>
                </mc:Choice>
                <mc:Fallback>
                  <w:pict>
                    <v:group id="组合 152" o:spid="_x0000_s1026" o:spt="203" style="height:459.65pt;width:400.25pt;" coordorigin="6867,1641074" coordsize="8385,9193" o:gfxdata="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">
                      <o:lock v:ext="edit" aspectratio="f"/>
                      <v:group id="组合 153" o:spid="_x0000_s1026" o:spt="203" style="position:absolute;left:8183;top:1649383;height:884;width:1312;" coordorigin="6791,620433" coordsize="1312,884"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shape id="文本框 9" o:spid="_x0000_s1026" o:spt="202" type="#_x0000_t202" style="position:absolute;left:6791;top:620433;height:884;width:1313;" fillcolor="#FFFFFF" filled="t" stroked="t" coordsize="21600,21600" o:gfxdata="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lS+V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spacing w:line="360" w:lineRule="auto"/>
                                  <w:jc w:val="center"/>
                                  <w:rPr>
                                    <w:rFonts w:hint="eastAsia" w:ascii="黑体" w:eastAsia="黑体"/>
                                    <w:sz w:val="15"/>
                                    <w:szCs w:val="15"/>
                                  </w:rPr>
                                </w:pPr>
                                <w:r>
                                  <w:rPr>
                                    <w:rFonts w:hint="eastAsia" w:ascii="黑体" w:eastAsia="黑体"/>
                                    <w:sz w:val="15"/>
                                    <w:szCs w:val="15"/>
                                  </w:rPr>
                                  <w:t>图  例</w:t>
                                </w:r>
                              </w:p>
                              <w:p>
                                <w:pPr>
                                  <w:spacing w:line="360" w:lineRule="auto"/>
                                  <w:rPr>
                                    <w:rFonts w:ascii="Times New Roman"/>
                                    <w:sz w:val="13"/>
                                    <w:szCs w:val="13"/>
                                  </w:rPr>
                                </w:pPr>
                                <w:r>
                                  <w:rPr>
                                    <w:rFonts w:hint="eastAsia" w:ascii="Times New Roman"/>
                                    <w:sz w:val="11"/>
                                    <w:szCs w:val="11"/>
                                  </w:rPr>
                                  <w:t xml:space="preserve">   </w:t>
                                </w:r>
                                <w:r>
                                  <w:rPr>
                                    <w:rFonts w:ascii="Times New Roman"/>
                                    <w:sz w:val="11"/>
                                    <w:szCs w:val="11"/>
                                  </w:rPr>
                                  <w:t xml:space="preserve"> </w:t>
                                </w:r>
                                <w:r>
                                  <w:rPr>
                                    <w:rFonts w:hint="eastAsia" w:ascii="Times New Roman"/>
                                    <w:sz w:val="13"/>
                                    <w:szCs w:val="13"/>
                                  </w:rPr>
                                  <w:t>重点防渗区</w:t>
                                </w:r>
                              </w:p>
                              <w:p>
                                <w:pPr>
                                  <w:spacing w:line="360" w:lineRule="auto"/>
                                  <w:ind w:firstLine="260" w:firstLineChars="200"/>
                                  <w:rPr>
                                    <w:rFonts w:ascii="Times New Roman"/>
                                    <w:sz w:val="15"/>
                                    <w:szCs w:val="15"/>
                                  </w:rPr>
                                </w:pPr>
                                <w:r>
                                  <w:rPr>
                                    <w:rFonts w:hint="eastAsia" w:ascii="Times New Roman"/>
                                    <w:sz w:val="13"/>
                                    <w:szCs w:val="13"/>
                                  </w:rPr>
                                  <w:t>一般防渗区</w:t>
                                </w:r>
                              </w:p>
                            </w:txbxContent>
                          </v:textbox>
                        </v:shape>
                        <v:rect id="矩形 14" o:spid="_x0000_s1026" o:spt="1" style="position:absolute;left:6886;top:620823;height:113;width:227;" fillcolor="#FF0000" filled="t" stroked="t" coordsize="21600,21600" o:gfxdata="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kM7rvQAA&#10;ANsAAAAPAAAAAAAAAAEAIAAAACIAAABkcnMvZG93bnJldi54bWxQSwECFAAUAAAACACHTuJAMy8F&#10;njsAAAA5AAAAEAAAAAAAAAABACAAAAAMAQAAZHJzL3NoYXBleG1sLnhtbFBLBQYAAAAABgAGAFsB&#10;AAC2AwAAAAA=&#10;">
                          <v:fill on="t" opacity="32768f" focussize="0,0"/>
                          <v:stroke weight="0.25pt" color="#000000" joinstyle="miter"/>
                          <v:imagedata o:title=""/>
                          <o:lock v:ext="edit" aspectratio="f"/>
                        </v:rect>
                        <v:rect id="矩形 15" o:spid="_x0000_s1026" o:spt="1" style="position:absolute;left:6886;top:621070;height:113;width:227;" fillcolor="#FFFF00" filled="t" stroked="t" coordsize="21600,21600" o:gfxdata="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x0StvQAA&#10;ANsAAAAPAAAAAAAAAAEAIAAAACIAAABkcnMvZG93bnJldi54bWxQSwECFAAUAAAACACHTuJAMy8F&#10;njsAAAA5AAAAEAAAAAAAAAABACAAAAAMAQAAZHJzL3NoYXBleG1sLnhtbFBLBQYAAAAABgAGAFsB&#10;AAC2AwAAAAA=&#10;">
                          <v:fill on="t" opacity="32768f" focussize="0,0"/>
                          <v:stroke weight="0.25pt" color="#000000" joinstyle="miter"/>
                          <v:imagedata o:title=""/>
                          <o:lock v:ext="edit" aspectratio="f"/>
                        </v:rect>
                      </v:group>
                      <v:group id="组合 157" o:spid="_x0000_s1026" o:spt="203" style="position:absolute;left:6867;top:1641074;height:9144;width:8385;" coordorigin="17726,790364" coordsize="8385,9144" o:gfxdata="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kKr5vAAAANsAAAAPAAAAAAAAAAEAIAAAACIAAABkcnMvZG93bnJldi54bWxQ&#10;SwECFAAUAAAACACHTuJAMy8FnjsAAAA5AAAAFQAAAAAAAAABACAAAAALAQAAZHJzL2dyb3Vwc2hh&#10;cGV4bWwueG1sUEsFBgAAAAAGAAYAYAEAAMgDAAAAAA==&#10;">
                        <o:lock v:ext="edit" aspectratio="f"/>
                        <v:shape id="Object 101" o:spid="_x0000_s1026" o:spt="75" type="#_x0000_t75" style="position:absolute;left:18011;top:790364;height:9144;width:8100;" filled="f" o:preferrelative="t" stroked="f" coordsize="21600,21600" o:gfxdata="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6LwW74A&#10;AADbAAAADwAAAAAAAAABACAAAAAiAAAAZHJzL2Rvd25yZXYueG1sUEsBAhQAFAAAAAgAh07iQDMv&#10;BZ47AAAAOQAAABAAAAAAAAAAAQAgAAAADQEAAGRycy9zaGFwZXhtbC54bWxQSwUGAAAAAAYABgBb&#10;AQAAtwMAAAAA&#10;">
                          <v:fill on="f" focussize="0,0"/>
                          <v:stroke on="f"/>
                          <v:imagedata r:id="rId33" o:title=""/>
                          <o:lock v:ext="edit" aspectratio="f"/>
                        </v:shape>
                        <v:shape id="图片 28" o:spid="_x0000_s1026" o:spt="75" type="#_x0000_t75" style="position:absolute;left:17726;top:790402;height:1406;width:1417;" filled="f" o:preferrelative="t" stroked="t" coordsize="21600,21600" o:gfxdata="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kk8JugAAANsA&#10;AAAPAAAAAAAAAAEAIAAAACIAAABkcnMvZG93bnJldi54bWxQSwECFAAUAAAACACHTuJAMy8FnjsA&#10;AAA5AAAAEAAAAAAAAAABACAAAAAJAQAAZHJzL3NoYXBleG1sLnhtbFBLBQYAAAAABgAGAFsBAACz&#10;AwAAAAA=&#10;">
                          <v:fill on="f" focussize="0,0"/>
                          <v:stroke weight="0.5pt" color="#000000" joinstyle="round"/>
                          <v:imagedata r:id="rId19" cropbottom="1190f" o:title=""/>
                          <o:lock v:ext="edit" aspectratio="t"/>
                        </v:shape>
                      </v:group>
                      <v:rect id="矩形 160" o:spid="_x0000_s1026" o:spt="1" style="position:absolute;left:13110;top:1644038;height:945;width:724;" fillcolor="#FFFFFF" filled="t" stroked="f" coordsize="21600,21600" o:gfxdata="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y9KBb4A&#10;AADbAAAADwAAAAAAAAABACAAAAAiAAAAZHJzL2Rvd25yZXYueG1sUEsBAhQAFAAAAAgAh07iQDMv&#10;BZ47AAAAOQAAABAAAAAAAAAAAQAgAAAADQEAAGRycy9zaGFwZXhtbC54bWxQSwUGAAAAAAYABgBb&#10;AQAAtwMAAAAA&#10;">
                        <v:fill on="t" focussize="0,0"/>
                        <v:stroke on="f"/>
                        <v:imagedata o:title=""/>
                        <o:lock v:ext="edit" aspectratio="f"/>
                      </v:rect>
                      <w10:wrap type="none"/>
                      <w10:anchorlock/>
                    </v:group>
                  </w:pict>
                </mc:Fallback>
              </mc:AlternateConten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图5-3    钻井期间分区防渗图</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FF"/>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FF"/>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FF"/>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FF"/>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FF"/>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FF"/>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FF"/>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FF"/>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FF"/>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FF"/>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FF"/>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FF"/>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0000FF"/>
                <w:kern w:val="2"/>
                <w:sz w:val="24"/>
                <w:szCs w:val="24"/>
                <w:highlight w:val="none"/>
                <w:lang w:val="en-US" w:eastAsia="zh-CN" w:bidi="ar-SA"/>
              </w:rPr>
            </w:pP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color w:val="0000FF"/>
              </w:rPr>
              <w:drawing>
                <wp:inline distT="0" distB="0" distL="114300" distR="114300">
                  <wp:extent cx="5059680" cy="4620895"/>
                  <wp:effectExtent l="0" t="0" r="7620"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4"/>
                          <a:stretch>
                            <a:fillRect/>
                          </a:stretch>
                        </pic:blipFill>
                        <pic:spPr>
                          <a:xfrm>
                            <a:off x="0" y="0"/>
                            <a:ext cx="5059680" cy="4620895"/>
                          </a:xfrm>
                          <a:prstGeom prst="rect">
                            <a:avLst/>
                          </a:prstGeom>
                          <a:noFill/>
                          <a:ln>
                            <a:noFill/>
                          </a:ln>
                        </pic:spPr>
                      </pic:pic>
                    </a:graphicData>
                  </a:graphic>
                </wp:inline>
              </w:drawing>
            </w:r>
            <w:r>
              <w:rPr>
                <w:rFonts w:hint="default" w:ascii="Times New Roman" w:hAnsi="Times New Roman" w:eastAsia="宋体" w:cs="Times New Roman"/>
                <w:b/>
                <w:bCs/>
                <w:color w:val="auto"/>
                <w:kern w:val="2"/>
                <w:sz w:val="24"/>
                <w:szCs w:val="24"/>
                <w:highlight w:val="none"/>
                <w:lang w:val="en-US" w:eastAsia="zh-CN" w:bidi="ar-SA"/>
              </w:rPr>
              <w:t>图5-4    试油期间分区防渗图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b/>
                <w:color w:val="auto"/>
                <w:sz w:val="24"/>
                <w:szCs w:val="24"/>
                <w:highlight w:val="none"/>
                <w:lang w:val="en-US" w:eastAsia="zh-CN"/>
              </w:rPr>
              <w:t>5、施工噪声污染防治措施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为最大限度避免和减轻施工对周围其他声环境的不利影响，本评价对施工期噪声控制提出以下要求和建议：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（1）合理安排施工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①根据</w:t>
            </w:r>
            <w:r>
              <w:rPr>
                <w:rFonts w:hint="default"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sz w:val="24"/>
                <w:szCs w:val="24"/>
                <w:highlight w:val="none"/>
              </w:rPr>
              <w:t>建筑施工噪声排放标准》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GB12523-20</w:t>
            </w:r>
            <w:r>
              <w:rPr>
                <w:rFonts w:hint="default"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bCs/>
                <w:color w:val="auto"/>
                <w:sz w:val="24"/>
                <w:szCs w:val="24"/>
                <w:highlight w:val="none"/>
                <w:lang w:val="en-US" w:eastAsia="zh-CN"/>
              </w:rPr>
              <w:t>确定工程施工场界，合理科学地布局施工现场；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②施工运输车辆在驶经声敏感点时控制车速、禁鸣，加强车辆维护，来减轻噪声对周围声环境的影响。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（2）合理安排施工时间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一般可采取控制施工时间，缓解、避免强噪声设备集中施工。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（3）采取噪声控制措施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施工单位应尽量选用低噪声、低振动的施工机械设备，减少对周围声环境的影响。钻井期间设备安装隔声垫和基础减振。加强施工机械的保养维护，使其处于良好的运行状态，倡导科学管理和文明施工。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采取以上措施后，施工噪声不会对声环境产生明显影响。且施工活动分布在区块内，呈现出阶段性和散点状分布，噪声影响是短期的、暂时的，噪声影响将随着施工活动的结束而消除，不会对周围声环境产生明显影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6、施工固废污染防治措施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（1）泥浆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泥浆采用“泥浆不落地”工艺收集，排入泥浆罐循环使用，完井后拉运至下一口井再利用。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（2）废弃钻井岩屑</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膨润土体系废弃钻井岩屑排入防渗岩屑池干化，经检测</w:t>
            </w:r>
            <w:r>
              <w:rPr>
                <w:rFonts w:hint="default" w:ascii="Times New Roman" w:hAnsi="Times New Roman" w:eastAsia="宋体" w:cs="Times New Roman"/>
                <w:color w:val="auto"/>
                <w:sz w:val="24"/>
                <w:szCs w:val="21"/>
                <w:highlight w:val="none"/>
                <w:lang w:val="en-US" w:eastAsia="zh-CN"/>
              </w:rPr>
              <w:t>达到《油气田钻井固体废物综合利用污染控制要求》（DB65/T 3997-2017）及《石油天然气开采业固体废物污染控制技术规范（试行）》（HJ1461-2026）标准后，</w:t>
            </w:r>
            <w:r>
              <w:rPr>
                <w:rFonts w:hint="default" w:ascii="Times New Roman" w:hAnsi="Times New Roman" w:eastAsia="宋体" w:cs="Times New Roman"/>
                <w:bCs/>
                <w:color w:val="auto"/>
                <w:sz w:val="24"/>
                <w:szCs w:val="24"/>
                <w:highlight w:val="none"/>
                <w:lang w:val="en-US" w:eastAsia="zh-CN"/>
              </w:rPr>
              <w:t>用于井场平整；</w:t>
            </w:r>
            <w:r>
              <w:rPr>
                <w:rFonts w:hint="eastAsia" w:ascii="Times New Roman" w:cs="Times New Roman"/>
                <w:bCs/>
                <w:color w:val="auto"/>
                <w:sz w:val="24"/>
                <w:szCs w:val="24"/>
                <w:highlight w:val="none"/>
                <w:lang w:val="en-US" w:eastAsia="zh-CN"/>
              </w:rPr>
              <w:t>聚磺体系废弃钻井岩屑收集后拉运至塔中油田钻试修废弃物环保处理站处理</w:t>
            </w:r>
            <w:r>
              <w:rPr>
                <w:rFonts w:hint="default" w:ascii="Times New Roman" w:hAnsi="Times New Roman" w:eastAsia="宋体" w:cs="Times New Roman"/>
                <w:bCs/>
                <w:color w:val="auto"/>
                <w:sz w:val="24"/>
                <w:szCs w:val="24"/>
                <w:highlight w:val="none"/>
                <w:lang w:val="en-US" w:eastAsia="zh-CN"/>
              </w:rPr>
              <w:t>，处理达标后还原土用于铺垫油区内的井场、道路。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（3）生活垃圾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szCs w:val="24"/>
                <w:highlight w:val="none"/>
                <w:lang w:val="en-US" w:eastAsia="zh-CN"/>
              </w:rPr>
              <w:t>井队人数为60人，工程预计钻井施工期为</w:t>
            </w:r>
            <w:r>
              <w:rPr>
                <w:rFonts w:hint="eastAsia" w:ascii="Times New Roman" w:cs="Times New Roman"/>
                <w:bCs/>
                <w:color w:val="auto"/>
                <w:sz w:val="24"/>
                <w:szCs w:val="24"/>
                <w:highlight w:val="none"/>
                <w:lang w:val="en-US" w:eastAsia="zh-CN"/>
              </w:rPr>
              <w:t>190</w:t>
            </w:r>
            <w:r>
              <w:rPr>
                <w:rFonts w:hint="default" w:ascii="Times New Roman" w:hAnsi="Times New Roman" w:eastAsia="宋体" w:cs="Times New Roman"/>
                <w:bCs/>
                <w:color w:val="auto"/>
                <w:sz w:val="24"/>
                <w:szCs w:val="24"/>
                <w:highlight w:val="none"/>
                <w:lang w:val="en-US" w:eastAsia="zh-CN"/>
              </w:rPr>
              <w:t>天，按生活垃圾产生量每人1kg/d计，生活垃圾产生量</w:t>
            </w:r>
            <w:r>
              <w:rPr>
                <w:rFonts w:hint="eastAsia" w:ascii="Times New Roman" w:cs="Times New Roman"/>
                <w:bCs/>
                <w:color w:val="auto"/>
                <w:sz w:val="24"/>
                <w:highlight w:val="none"/>
                <w:lang w:val="en-US" w:eastAsia="zh-CN"/>
              </w:rPr>
              <w:t>11</w:t>
            </w:r>
            <w:r>
              <w:rPr>
                <w:rFonts w:hint="default" w:ascii="Times New Roman" w:hAnsi="Times New Roman" w:eastAsia="宋体" w:cs="Times New Roman"/>
                <w:bCs/>
                <w:color w:val="auto"/>
                <w:sz w:val="24"/>
                <w:highlight w:val="none"/>
                <w:lang w:val="en-US" w:eastAsia="zh-CN"/>
              </w:rPr>
              <w:t>.4t，集中收集后，定期送至</w:t>
            </w:r>
            <w:r>
              <w:rPr>
                <w:rFonts w:hint="eastAsia" w:ascii="Times New Roman" w:cs="Times New Roman"/>
                <w:bCs/>
                <w:color w:val="auto"/>
                <w:sz w:val="24"/>
                <w:highlight w:val="none"/>
                <w:lang w:val="en-US" w:eastAsia="zh-CN"/>
              </w:rPr>
              <w:t>塔中镇生活垃圾填埋场处理</w:t>
            </w:r>
            <w:r>
              <w:rPr>
                <w:rFonts w:hint="default" w:ascii="Times New Roman" w:hAnsi="Times New Roman" w:eastAsia="宋体" w:cs="Times New Roman"/>
                <w:bCs/>
                <w:color w:val="auto"/>
                <w:sz w:val="24"/>
                <w:highlight w:val="none"/>
                <w:lang w:val="en-US"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（4）锅炉灰渣及除尘灰</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锅炉灰渣与除尘灰统一收集后送至周边固废填埋场处理。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pacing w:val="0"/>
                <w:sz w:val="24"/>
                <w:highlight w:val="none"/>
                <w:lang w:val="en-US" w:eastAsia="zh-CN"/>
              </w:rPr>
            </w:pPr>
            <w:r>
              <w:rPr>
                <w:rFonts w:hint="default" w:ascii="Times New Roman" w:hAnsi="Times New Roman" w:eastAsia="宋体" w:cs="Times New Roman"/>
                <w:bCs/>
                <w:color w:val="auto"/>
                <w:spacing w:val="0"/>
                <w:sz w:val="24"/>
                <w:highlight w:val="none"/>
                <w:lang w:val="en-US" w:eastAsia="zh-CN"/>
              </w:rPr>
              <w:t>（5）废布袋</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pacing w:val="0"/>
                <w:sz w:val="24"/>
                <w:highlight w:val="none"/>
                <w:lang w:val="en-US" w:eastAsia="zh-CN"/>
              </w:rPr>
            </w:pPr>
            <w:r>
              <w:rPr>
                <w:rFonts w:hint="default" w:ascii="Times New Roman" w:hAnsi="Times New Roman" w:eastAsia="宋体" w:cs="Times New Roman"/>
                <w:bCs/>
                <w:color w:val="auto"/>
                <w:spacing w:val="0"/>
                <w:sz w:val="24"/>
                <w:highlight w:val="none"/>
                <w:lang w:val="en-US" w:eastAsia="zh-CN"/>
              </w:rPr>
              <w:t>袋式除尘器更换后的废布袋产生后由厂家回收处理。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pacing w:val="0"/>
                <w:sz w:val="24"/>
                <w:highlight w:val="none"/>
                <w:lang w:val="en-US" w:eastAsia="zh-CN"/>
              </w:rPr>
            </w:pPr>
            <w:r>
              <w:rPr>
                <w:rFonts w:hint="default" w:ascii="Times New Roman" w:hAnsi="Times New Roman" w:eastAsia="宋体" w:cs="Times New Roman"/>
                <w:bCs/>
                <w:color w:val="auto"/>
                <w:spacing w:val="0"/>
                <w:sz w:val="24"/>
                <w:highlight w:val="none"/>
                <w:lang w:val="en-US" w:eastAsia="zh-CN"/>
              </w:rPr>
              <w:t>（6）撬装式污水处理站产生污泥</w:t>
            </w:r>
          </w:p>
          <w:p>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40" w:lineRule="exact"/>
              <w:ind w:left="0" w:leftChars="0" w:right="0" w:firstLine="480" w:firstLineChars="200"/>
              <w:jc w:val="both"/>
              <w:textAlignment w:val="baseline"/>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kern w:val="2"/>
                <w:sz w:val="24"/>
                <w:szCs w:val="24"/>
                <w:highlight w:val="none"/>
                <w:lang w:val="en-US" w:eastAsia="zh-CN" w:bidi="ar-SA"/>
              </w:rPr>
              <w:t>撬装式污水处理站污泥定期排入污泥池，通过泵打入小型叠螺式污泥脱水机，其脱水原理为污泥在浓缩部经过重力浓缩后，被运输到脱水部，在前进的过程中随着滤缝及螺距的逐渐变小，以及背压板的阻挡作用下，产生极大的内压，容积不断缩小，达到充分脱水的目的。经叠螺式污泥脱水机脱水后可确保污泥含水率低于60%，满足垃圾填埋场进场污泥含水率要求。</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kern w:val="2"/>
                <w:sz w:val="24"/>
                <w:szCs w:val="24"/>
                <w:highlight w:val="none"/>
                <w:lang w:val="en-US" w:eastAsia="zh-CN" w:bidi="ar-SA"/>
              </w:rPr>
              <w:t>撬装式污水处理站污泥经脱水装置脱水后，产生量为0.12t，收集、合规暂存，</w:t>
            </w:r>
            <w:r>
              <w:rPr>
                <w:rFonts w:hint="default" w:ascii="Times New Roman" w:hAnsi="Times New Roman" w:eastAsia="宋体" w:cs="Times New Roman"/>
                <w:bCs/>
                <w:color w:val="auto"/>
                <w:spacing w:val="0"/>
                <w:sz w:val="24"/>
                <w:highlight w:val="none"/>
                <w:lang w:val="en-US" w:eastAsia="zh-CN"/>
              </w:rPr>
              <w:t>定期送至</w:t>
            </w:r>
            <w:r>
              <w:rPr>
                <w:rFonts w:hint="eastAsia" w:ascii="Times New Roman" w:cs="Times New Roman"/>
                <w:bCs/>
                <w:color w:val="auto"/>
                <w:spacing w:val="0"/>
                <w:sz w:val="24"/>
                <w:highlight w:val="none"/>
                <w:lang w:val="en-US" w:eastAsia="zh-CN"/>
              </w:rPr>
              <w:t>塔中镇生活垃圾填埋场处理</w:t>
            </w:r>
            <w:r>
              <w:rPr>
                <w:rFonts w:hint="default" w:ascii="Times New Roman" w:hAnsi="Times New Roman" w:eastAsia="宋体" w:cs="Times New Roman"/>
                <w:color w:val="auto"/>
                <w:spacing w:val="0"/>
                <w:kern w:val="2"/>
                <w:sz w:val="24"/>
                <w:szCs w:val="24"/>
                <w:highlight w:val="none"/>
                <w:lang w:val="en-US" w:eastAsia="zh-CN" w:bidi="ar-SA"/>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pacing w:val="0"/>
                <w:sz w:val="24"/>
                <w:highlight w:val="none"/>
                <w:lang w:val="en-US" w:eastAsia="zh-CN"/>
              </w:rPr>
            </w:pPr>
            <w:r>
              <w:rPr>
                <w:rFonts w:hint="default" w:ascii="Times New Roman" w:hAnsi="Times New Roman" w:eastAsia="宋体" w:cs="Times New Roman"/>
                <w:bCs/>
                <w:color w:val="auto"/>
                <w:spacing w:val="0"/>
                <w:sz w:val="24"/>
                <w:highlight w:val="none"/>
                <w:lang w:val="en-US" w:eastAsia="zh-CN"/>
              </w:rPr>
              <w:t>（7）废烧碱包装袋</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pacing w:val="0"/>
                <w:sz w:val="24"/>
                <w:highlight w:val="none"/>
                <w:lang w:val="en-US" w:eastAsia="zh-CN"/>
              </w:rPr>
            </w:pPr>
            <w:r>
              <w:rPr>
                <w:rFonts w:hint="default" w:ascii="Times New Roman" w:hAnsi="Times New Roman" w:eastAsia="宋体" w:cs="Times New Roman"/>
                <w:bCs/>
                <w:color w:val="auto"/>
                <w:spacing w:val="0"/>
                <w:sz w:val="24"/>
                <w:highlight w:val="none"/>
                <w:lang w:val="en-US" w:eastAsia="zh-CN"/>
              </w:rPr>
              <w:t>废烧碱包装袋暂存于撬装式危废暂存间（8m</w:t>
            </w:r>
            <w:r>
              <w:rPr>
                <w:rFonts w:hint="default" w:ascii="Times New Roman" w:hAnsi="Times New Roman" w:eastAsia="宋体" w:cs="Times New Roman"/>
                <w:bCs/>
                <w:color w:val="auto"/>
                <w:spacing w:val="0"/>
                <w:sz w:val="24"/>
                <w:highlight w:val="none"/>
                <w:vertAlign w:val="superscript"/>
                <w:lang w:val="en-US" w:eastAsia="zh-CN"/>
              </w:rPr>
              <w:t>2</w:t>
            </w:r>
            <w:r>
              <w:rPr>
                <w:rFonts w:hint="default" w:ascii="Times New Roman" w:hAnsi="Times New Roman" w:eastAsia="宋体" w:cs="Times New Roman"/>
                <w:bCs/>
                <w:color w:val="auto"/>
                <w:spacing w:val="0"/>
                <w:sz w:val="24"/>
                <w:highlight w:val="none"/>
                <w:vertAlign w:val="baseline"/>
                <w:lang w:val="en-US" w:eastAsia="zh-CN"/>
              </w:rPr>
              <w:t>）</w:t>
            </w:r>
            <w:r>
              <w:rPr>
                <w:rFonts w:hint="default" w:ascii="Times New Roman" w:hAnsi="Times New Roman" w:eastAsia="宋体" w:cs="Times New Roman"/>
                <w:bCs/>
                <w:color w:val="auto"/>
                <w:spacing w:val="0"/>
                <w:sz w:val="24"/>
                <w:highlight w:val="none"/>
                <w:lang w:val="en-US" w:eastAsia="zh-CN"/>
              </w:rPr>
              <w:t>中，定期委托具有危废处置资质的单位接收处置。</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pacing w:val="0"/>
                <w:sz w:val="24"/>
                <w:szCs w:val="24"/>
                <w:highlight w:val="none"/>
                <w:lang w:eastAsia="zh-CN"/>
              </w:rPr>
            </w:pPr>
            <w:r>
              <w:rPr>
                <w:rFonts w:hint="default" w:ascii="Times New Roman" w:hAnsi="Times New Roman" w:eastAsia="宋体" w:cs="Times New Roman"/>
                <w:bCs/>
                <w:color w:val="auto"/>
                <w:spacing w:val="0"/>
                <w:sz w:val="24"/>
                <w:highlight w:val="none"/>
                <w:lang w:val="en-US" w:eastAsia="zh-CN"/>
              </w:rPr>
              <w:t>（8）</w:t>
            </w:r>
            <w:r>
              <w:rPr>
                <w:rFonts w:hint="default" w:ascii="Times New Roman" w:hAnsi="Times New Roman" w:eastAsia="宋体" w:cs="Times New Roman"/>
                <w:color w:val="auto"/>
                <w:spacing w:val="0"/>
                <w:sz w:val="24"/>
                <w:szCs w:val="24"/>
                <w:highlight w:val="none"/>
              </w:rPr>
              <w:t>废矿物油及其包装物</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废</w:t>
            </w:r>
            <w:r>
              <w:rPr>
                <w:rFonts w:hint="default" w:ascii="Times New Roman" w:hAnsi="Times New Roman" w:eastAsia="宋体" w:cs="Times New Roman"/>
                <w:color w:val="auto"/>
                <w:spacing w:val="0"/>
                <w:sz w:val="24"/>
                <w:szCs w:val="24"/>
                <w:highlight w:val="none"/>
                <w:lang w:val="en-US" w:eastAsia="zh-CN"/>
              </w:rPr>
              <w:t>矿物油</w:t>
            </w:r>
            <w:r>
              <w:rPr>
                <w:rFonts w:hint="default" w:ascii="Times New Roman" w:hAnsi="Times New Roman" w:eastAsia="宋体" w:cs="Times New Roman"/>
                <w:color w:val="auto"/>
                <w:spacing w:val="0"/>
                <w:sz w:val="24"/>
                <w:szCs w:val="24"/>
                <w:highlight w:val="none"/>
              </w:rPr>
              <w:t>采用专用容器盛装，暂存于撬装式</w:t>
            </w:r>
            <w:r>
              <w:rPr>
                <w:rFonts w:hint="default" w:ascii="Times New Roman" w:hAnsi="Times New Roman" w:eastAsia="宋体" w:cs="Times New Roman"/>
                <w:color w:val="auto"/>
                <w:spacing w:val="0"/>
                <w:sz w:val="24"/>
                <w:szCs w:val="24"/>
                <w:highlight w:val="none"/>
                <w:lang w:eastAsia="zh-CN"/>
              </w:rPr>
              <w:t>危废暂存间（</w:t>
            </w:r>
            <w:r>
              <w:rPr>
                <w:rFonts w:hint="default" w:ascii="Times New Roman" w:hAnsi="Times New Roman" w:eastAsia="宋体" w:cs="Times New Roman"/>
                <w:color w:val="auto"/>
                <w:spacing w:val="0"/>
                <w:sz w:val="24"/>
                <w:szCs w:val="24"/>
                <w:highlight w:val="none"/>
              </w:rPr>
              <w:t>8m</w:t>
            </w:r>
            <w:r>
              <w:rPr>
                <w:rFonts w:hint="default" w:ascii="Times New Roman" w:hAnsi="Times New Roman" w:eastAsia="宋体" w:cs="Times New Roman"/>
                <w:color w:val="auto"/>
                <w:spacing w:val="0"/>
                <w:sz w:val="24"/>
                <w:szCs w:val="24"/>
                <w:highlight w:val="none"/>
                <w:vertAlign w:val="superscript"/>
              </w:rPr>
              <w:t>2</w:t>
            </w:r>
            <w:r>
              <w:rPr>
                <w:rFonts w:hint="default" w:ascii="Times New Roman" w:hAnsi="Times New Roman" w:eastAsia="宋体" w:cs="Times New Roman"/>
                <w:color w:val="auto"/>
                <w:spacing w:val="0"/>
                <w:sz w:val="24"/>
                <w:szCs w:val="24"/>
                <w:highlight w:val="none"/>
                <w:vertAlign w:val="baseline"/>
                <w:lang w:eastAsia="zh-CN"/>
              </w:rPr>
              <w:t>）</w:t>
            </w:r>
            <w:r>
              <w:rPr>
                <w:rFonts w:hint="default" w:ascii="Times New Roman" w:hAnsi="Times New Roman" w:eastAsia="宋体" w:cs="Times New Roman"/>
                <w:color w:val="auto"/>
                <w:spacing w:val="0"/>
                <w:sz w:val="24"/>
                <w:szCs w:val="24"/>
                <w:highlight w:val="none"/>
              </w:rPr>
              <w:t>中，定期委托具有危废处置资质的单位接收处置。</w:t>
            </w:r>
          </w:p>
          <w:p>
            <w:pPr>
              <w:keepNext w:val="0"/>
              <w:keepLines w:val="0"/>
              <w:pageBreakBefore w:val="0"/>
              <w:widowControl w:val="0"/>
              <w:suppressLineNumbers w:val="0"/>
              <w:kinsoku/>
              <w:wordWrap/>
              <w:overflowPunct/>
              <w:topLinePunct w:val="0"/>
              <w:autoSpaceDE/>
              <w:autoSpaceDN/>
              <w:bidi w:val="0"/>
              <w:adjustRightInd w:val="0"/>
              <w:spacing w:before="0" w:beforeAutospacing="0" w:after="0" w:afterAutospacing="0" w:line="440" w:lineRule="exact"/>
              <w:ind w:left="0" w:right="0" w:firstLine="480" w:firstLineChars="200"/>
              <w:textAlignment w:val="auto"/>
              <w:rPr>
                <w:rFonts w:hint="default" w:ascii="Times New Roman" w:hAnsi="Times New Roman" w:eastAsia="宋体" w:cs="Times New Roman"/>
                <w:b w:val="0"/>
                <w:color w:val="auto"/>
                <w:spacing w:val="0"/>
                <w:sz w:val="24"/>
                <w:szCs w:val="21"/>
                <w:highlight w:val="none"/>
                <w:lang w:val="en-US" w:eastAsia="zh-CN"/>
              </w:rPr>
            </w:pPr>
            <w:r>
              <w:rPr>
                <w:rFonts w:hint="default" w:ascii="Times New Roman" w:hAnsi="Times New Roman" w:eastAsia="宋体" w:cs="Times New Roman"/>
                <w:color w:val="auto"/>
                <w:spacing w:val="0"/>
                <w:sz w:val="24"/>
                <w:szCs w:val="24"/>
                <w:highlight w:val="none"/>
              </w:rPr>
              <w:t>（</w:t>
            </w:r>
            <w:r>
              <w:rPr>
                <w:rFonts w:hint="default" w:ascii="Times New Roman" w:hAnsi="Times New Roman" w:eastAsia="宋体" w:cs="Times New Roman"/>
                <w:color w:val="auto"/>
                <w:spacing w:val="0"/>
                <w:sz w:val="24"/>
                <w:szCs w:val="24"/>
                <w:highlight w:val="none"/>
                <w:lang w:val="en-US" w:eastAsia="zh-CN"/>
              </w:rPr>
              <w:t>10</w:t>
            </w:r>
            <w:r>
              <w:rPr>
                <w:rFonts w:hint="default" w:ascii="Times New Roman" w:hAnsi="Times New Roman" w:eastAsia="宋体" w:cs="Times New Roman"/>
                <w:color w:val="auto"/>
                <w:spacing w:val="0"/>
                <w:sz w:val="24"/>
                <w:szCs w:val="24"/>
                <w:highlight w:val="none"/>
              </w:rPr>
              <w:t>）</w:t>
            </w:r>
            <w:r>
              <w:rPr>
                <w:rFonts w:hint="default" w:ascii="Times New Roman" w:hAnsi="Times New Roman" w:eastAsia="宋体" w:cs="Times New Roman"/>
                <w:b w:val="0"/>
                <w:color w:val="auto"/>
                <w:spacing w:val="0"/>
                <w:sz w:val="24"/>
                <w:szCs w:val="21"/>
                <w:highlight w:val="none"/>
                <w:lang w:val="en-US" w:eastAsia="zh-CN"/>
              </w:rPr>
              <w:t>沾油废物</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color w:val="auto"/>
                <w:spacing w:val="0"/>
                <w:sz w:val="24"/>
                <w:szCs w:val="21"/>
                <w:highlight w:val="none"/>
                <w:lang w:val="en-US" w:eastAsia="zh-CN"/>
              </w:rPr>
              <w:t>沾油废物采用专用容器</w:t>
            </w:r>
            <w:r>
              <w:rPr>
                <w:rFonts w:hint="default" w:ascii="Times New Roman" w:hAnsi="Times New Roman" w:eastAsia="宋体" w:cs="Times New Roman"/>
                <w:b w:val="0"/>
                <w:color w:val="auto"/>
                <w:spacing w:val="0"/>
                <w:sz w:val="24"/>
                <w:szCs w:val="21"/>
                <w:highlight w:val="none"/>
              </w:rPr>
              <w:t>盛装，暂存于撬装式</w:t>
            </w:r>
            <w:r>
              <w:rPr>
                <w:rFonts w:hint="default" w:ascii="Times New Roman" w:hAnsi="Times New Roman" w:eastAsia="宋体" w:cs="Times New Roman"/>
                <w:b w:val="0"/>
                <w:color w:val="auto"/>
                <w:spacing w:val="0"/>
                <w:sz w:val="24"/>
                <w:szCs w:val="21"/>
                <w:highlight w:val="none"/>
                <w:lang w:eastAsia="zh-CN"/>
              </w:rPr>
              <w:t>危废暂存间（</w:t>
            </w:r>
            <w:r>
              <w:rPr>
                <w:rFonts w:hint="default" w:ascii="Times New Roman" w:hAnsi="Times New Roman" w:eastAsia="宋体" w:cs="Times New Roman"/>
                <w:b w:val="0"/>
                <w:color w:val="auto"/>
                <w:spacing w:val="0"/>
                <w:sz w:val="24"/>
                <w:szCs w:val="21"/>
                <w:highlight w:val="none"/>
              </w:rPr>
              <w:t>8m</w:t>
            </w:r>
            <w:r>
              <w:rPr>
                <w:rFonts w:hint="default" w:ascii="Times New Roman" w:hAnsi="Times New Roman" w:eastAsia="宋体" w:cs="Times New Roman"/>
                <w:b w:val="0"/>
                <w:color w:val="auto"/>
                <w:spacing w:val="0"/>
                <w:sz w:val="24"/>
                <w:szCs w:val="21"/>
                <w:highlight w:val="none"/>
                <w:vertAlign w:val="superscript"/>
              </w:rPr>
              <w:t>2</w:t>
            </w:r>
            <w:r>
              <w:rPr>
                <w:rFonts w:hint="default" w:ascii="Times New Roman" w:hAnsi="Times New Roman" w:eastAsia="宋体" w:cs="Times New Roman"/>
                <w:b w:val="0"/>
                <w:color w:val="auto"/>
                <w:spacing w:val="0"/>
                <w:sz w:val="24"/>
                <w:szCs w:val="21"/>
                <w:highlight w:val="none"/>
                <w:vertAlign w:val="baseline"/>
                <w:lang w:eastAsia="zh-CN"/>
              </w:rPr>
              <w:t>）</w:t>
            </w:r>
            <w:r>
              <w:rPr>
                <w:rFonts w:hint="default" w:ascii="Times New Roman" w:hAnsi="Times New Roman" w:eastAsia="宋体" w:cs="Times New Roman"/>
                <w:b w:val="0"/>
                <w:color w:val="auto"/>
                <w:spacing w:val="0"/>
                <w:sz w:val="24"/>
                <w:szCs w:val="21"/>
                <w:highlight w:val="none"/>
              </w:rPr>
              <w:t>中，定期委托具有危废处置资质的单位接收处置。施工车带罐作业，且在作业井场地面铺设膜，回收防渗膜的同时实现落地油100%回收。</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6.1 固体废物管理要求</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一般工业固体废物暂存设施的建设应满足《一般工业固体废物贮存和填埋污染控制标准》（GB 18599-2020）相关要求，贮存区采取防风、防雨措施，各类固废分类收集，贮存区按照《环境保护图形标志 固体废物贮存（处置）场》（GB 15562.2-1995）的要求设置环保图形标志，指定专人进行日常管理，并按照《一般工业固体废物管理台账制定指南（试行）》等相关要求建立工业固废管理台账妥善保存。</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本项目产生的危险废物桶装或袋装密闭收集后于危废暂存间（8m</w:t>
            </w:r>
            <w:r>
              <w:rPr>
                <w:rFonts w:hint="default" w:ascii="Times New Roman" w:hAnsi="Times New Roman" w:eastAsia="宋体" w:cs="Times New Roman"/>
                <w:bCs/>
                <w:color w:val="auto"/>
                <w:sz w:val="24"/>
                <w:highlight w:val="none"/>
                <w:vertAlign w:val="superscript"/>
                <w:lang w:val="en-US" w:eastAsia="zh-CN"/>
              </w:rPr>
              <w:t>2</w:t>
            </w:r>
            <w:r>
              <w:rPr>
                <w:rFonts w:hint="default" w:ascii="Times New Roman" w:hAnsi="Times New Roman" w:eastAsia="宋体" w:cs="Times New Roman"/>
                <w:bCs/>
                <w:color w:val="auto"/>
                <w:sz w:val="24"/>
                <w:highlight w:val="none"/>
                <w:lang w:val="en-US" w:eastAsia="zh-CN"/>
              </w:rPr>
              <w:t>）贮存，危废暂存间属于危废贮存点，按照《危险废物贮存污染控制标准》（GB18597-2023）要求，贮存点</w:t>
            </w:r>
            <w:r>
              <w:rPr>
                <w:rFonts w:hint="default" w:ascii="Times New Roman" w:hAnsi="Times New Roman" w:eastAsia="宋体" w:cs="Times New Roman"/>
                <w:color w:val="auto"/>
                <w:sz w:val="24"/>
                <w:szCs w:val="24"/>
              </w:rPr>
              <w:t>贮存</w:t>
            </w:r>
            <w:r>
              <w:rPr>
                <w:rFonts w:hint="default" w:ascii="Times New Roman" w:hAnsi="Times New Roman" w:eastAsia="宋体" w:cs="Times New Roman"/>
                <w:color w:val="auto"/>
                <w:sz w:val="24"/>
                <w:szCs w:val="24"/>
                <w:lang w:eastAsia="zh-CN"/>
              </w:rPr>
              <w:t>的</w:t>
            </w:r>
            <w:r>
              <w:rPr>
                <w:rFonts w:hint="default" w:ascii="Times New Roman" w:hAnsi="Times New Roman" w:eastAsia="宋体" w:cs="Times New Roman"/>
                <w:color w:val="auto"/>
                <w:sz w:val="24"/>
                <w:szCs w:val="24"/>
              </w:rPr>
              <w:t>危险废物应置于容器或包装物中，不应直接散堆</w:t>
            </w:r>
            <w:r>
              <w:rPr>
                <w:rFonts w:hint="default" w:ascii="Times New Roman" w:hAnsi="Times New Roman" w:eastAsia="宋体" w:cs="Times New Roman"/>
                <w:bCs/>
                <w:color w:val="auto"/>
                <w:sz w:val="24"/>
                <w:highlight w:val="none"/>
                <w:lang w:val="en-US" w:eastAsia="zh-CN"/>
              </w:rPr>
              <w:t>，及时清运贮存的危险废</w:t>
            </w:r>
            <w:r>
              <w:rPr>
                <w:rFonts w:hint="default" w:ascii="Times New Roman" w:hAnsi="Times New Roman" w:eastAsia="宋体" w:cs="Times New Roman"/>
                <w:color w:val="auto"/>
                <w:sz w:val="24"/>
                <w:szCs w:val="24"/>
                <w:lang w:val="en-US" w:eastAsia="zh-CN"/>
              </w:rPr>
              <w:t>物，实时贮存量不应超过3吨。按照《</w:t>
            </w:r>
            <w:r>
              <w:rPr>
                <w:rFonts w:hint="default" w:ascii="Times New Roman" w:hAnsi="Times New Roman" w:eastAsia="宋体" w:cs="Times New Roman"/>
                <w:color w:val="auto"/>
                <w:sz w:val="24"/>
                <w:szCs w:val="24"/>
              </w:rPr>
              <w:t>危险废物收集</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贮存 运输技术规范</w:t>
            </w:r>
            <w:r>
              <w:rPr>
                <w:rFonts w:hint="default" w:ascii="Times New Roman" w:hAnsi="Times New Roman" w:eastAsia="宋体" w:cs="Times New Roman"/>
                <w:color w:val="auto"/>
                <w:sz w:val="24"/>
                <w:szCs w:val="24"/>
                <w:lang w:val="en-US" w:eastAsia="zh-CN"/>
              </w:rPr>
              <w:t>》（HJ 2025-2012）要求，项目贮存点应配备通讯设备、照明设施和消防设施。</w:t>
            </w:r>
            <w:r>
              <w:rPr>
                <w:rFonts w:hint="default" w:ascii="Times New Roman" w:hAnsi="Times New Roman" w:eastAsia="宋体" w:cs="Times New Roman"/>
                <w:bCs/>
                <w:color w:val="auto"/>
                <w:sz w:val="24"/>
                <w:highlight w:val="none"/>
                <w:lang w:val="en-US" w:eastAsia="zh-CN"/>
              </w:rPr>
              <w:t>危险废物运输应由持有危险废物经营许可证的单位按照其许可证的经营范围组织实施，承担危险废物运输的单位应获得交通运输部门颁发的危险货物运输资质。危险废物公路运输应按照《道路危险货物运输管理规定》（交通部令〔2005年〕第9号）、JT617以及JT618 执行。危险废物运输过程中全部采用密闭容器储存，正常情况下不会发生散落或泄漏，危险废物在运输过程中发生散落或泄漏时，及时清理，危险废物转移过程中应采取防扬散、防流失、防渗漏措施，不得擅自倾倒、堆放、丢弃、遗撒；《危险废物管理计划和管理台账制定技术导则》（HJ1259-2022）制定危险废物突发环境事件的防范措施和应急预案</w:t>
            </w:r>
            <w:r>
              <w:rPr>
                <w:rFonts w:hint="eastAsia" w:ascii="Times New Roman" w:cs="Times New Roman"/>
                <w:bCs/>
                <w:color w:val="auto"/>
                <w:sz w:val="24"/>
                <w:highlight w:val="none"/>
                <w:lang w:val="en-US" w:eastAsia="zh-CN"/>
              </w:rPr>
              <w:t>，在</w:t>
            </w:r>
            <w:r>
              <w:rPr>
                <w:rFonts w:hint="default" w:ascii="Times New Roman" w:hAnsi="Times New Roman" w:eastAsia="宋体" w:cs="Times New Roman"/>
                <w:bCs/>
                <w:color w:val="auto"/>
                <w:sz w:val="24"/>
                <w:highlight w:val="none"/>
                <w:lang w:val="en-US" w:eastAsia="zh-CN"/>
              </w:rPr>
              <w:t>发生危险废物突发环境事件时，采取有效措施消除或者减轻对环境的污染危害；制定危险废物管理计划，结合自身的实际情况，与生产记录相衔接，建立危险废物管理台账记录，如实记载产生危险废物的种类、数量、流向、贮存、利用处置等信息，并填写、运行危险废物转移联单。</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本项目产生的危险废物全部委托有相应资质的危险废物处置单位处理，不会对周边环境产生明显影响。</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6.2 危险废物管理要求</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本工程严格落实《中华人民共和国固体废物污染环境防治法</w:t>
            </w:r>
            <w:r>
              <w:rPr>
                <w:rFonts w:hint="eastAsia" w:ascii="Times New Roman" w:cs="Times New Roman"/>
                <w:bCs/>
                <w:color w:val="auto"/>
                <w:sz w:val="24"/>
                <w:highlight w:val="none"/>
                <w:lang w:val="en-US" w:eastAsia="zh-CN"/>
              </w:rPr>
              <w:t>》等</w:t>
            </w:r>
            <w:r>
              <w:rPr>
                <w:rFonts w:hint="default" w:ascii="Times New Roman" w:hAnsi="Times New Roman" w:eastAsia="宋体" w:cs="Times New Roman"/>
                <w:bCs/>
                <w:color w:val="auto"/>
                <w:sz w:val="24"/>
                <w:highlight w:val="none"/>
                <w:lang w:val="en-US" w:eastAsia="zh-CN"/>
              </w:rPr>
              <w:t>有关规定，建设单位作为钻井固体废物的管理责任主体。同时油气田各类制度和环境保护要求由各基层单位负责向各承包单位传达，并监督其实施。</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本工程产生的危险废物主要管理要求如下：</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（1）废防渗材料等危险废物，储存、处置要严格执行国家和地方生态环境主管部门的环保规定。</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（2）主要管理职责</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①危险废物产生单位为危险废物管理责任主体，负责日常管理工作。</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②危险废物产生单位应建立交接制度，填写交接单，标明危险废物产生原因、回收数量和地点，负责与危险废物处置单位签订合同，明确双方安全环保权利、义务和责任。</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（3）监督管理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①危险废物产生和处置单位应建立健全危险废物管理制度，制定管理计划，健全资料台账。</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②合格土满足《油气田钻井固体废物综合利用污染控制要求》（DB65/T3997-2017），去向明确，满足政府环保部门要求，不准随意抛弃、堆放。</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③危险废物产生和处置单位制定相关应急预案，报当地生态环境主管部门和公司安全环保处备案。</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④废防渗材料等危险废物在收集、贮存、运送、处置过程中，产生单位于每月底将转移数量报送当地县级以上政府生态环境主管部门及公司安全环保处备案。</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⑤公司质量安全环保部会同相关部门不定期检查危险废物收集、贮存、运送、处置过程，将结果纳入HSE管理考核内容。</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⑥禁止将危险废物混入非危险废物进行贮存和处置；非危险废物被危险废物污染的，均按照危险废物进行管理和处置；废弃物经固液分离后产生的废水应严格执行废水的相关标准进行处理和管理。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（4）贮存、运输、处置主要管理规定</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危险废物由专用运输车辆进行运输、转移，并严格按照《危险废物转移管理办法》，实施危险废物全过程管理。</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①危险废物贮存设施必须满足具备防渗、防外溢、防泄漏等基本要求，按照《环境保护图形标志—固体废物贮存（处置）场》危险废物标志牌式样设置明显标志。</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②危险废物临时贮存场所要严格按照《危险废物贮存污染控制标准》中的有关规范进行设计和管理。井下作业时带罐作业，落地油100%回收。危险废物贮存场所必须按照《石油化工工程防渗技术规范》（GB/T50934-2013）中的相关要求进行分区和防渗。</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③危险废物处置单位采用专用车辆到指定地点收集运输危险废物，运输过程中不准设置中转储存点，严禁偷排、洒落、泄漏和随意倾倒等。</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④产生单位向处置单位转移危险废物时，交接数量必须与生态环境主管部门批准的转移量相符。</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危险废物贮存设施退役前应妥善处理处置贮存设施内的危险废物，并对贮存设施进行清理，并依据《中华人民共和国生态环境法典》等相关法律法规加强场地环境风险防控。</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7、土壤污染防治措施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（1）为保护工程区土壤，采取以下防治措施：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①源头控制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设备检修期间，采用专用收集罐收集废油；油罐下设防渗；泥浆材料区铺设土工布；钻井期间泥浆、岩屑不落地；采用</w:t>
            </w:r>
            <w:r>
              <w:rPr>
                <w:rFonts w:hint="eastAsia" w:ascii="Times New Roman" w:cs="Times New Roman"/>
                <w:bCs/>
                <w:color w:val="auto"/>
                <w:sz w:val="24"/>
                <w:highlight w:val="none"/>
                <w:lang w:val="en-US" w:eastAsia="zh-CN"/>
              </w:rPr>
              <w:t>凝析油罐</w:t>
            </w:r>
            <w:r>
              <w:rPr>
                <w:rFonts w:hint="default" w:ascii="Times New Roman" w:hAnsi="Times New Roman" w:eastAsia="宋体" w:cs="Times New Roman"/>
                <w:bCs/>
                <w:color w:val="auto"/>
                <w:sz w:val="24"/>
                <w:highlight w:val="none"/>
                <w:lang w:val="en-US" w:eastAsia="zh-CN"/>
              </w:rPr>
              <w:t>回收原油；施工车带罐作业，实现落地油100%回收。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②过程防控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增强施工人员环保意识，禁止随意倾倒废弃物；加强日常管理，并制定完善的作业制度，如定期检查储罐罐体、施工车带罐作业等，避免形成落地油；发生土壤污染事件，及时对受污染土壤进行收集处理。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③跟踪监测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本工程可不制定跟踪监测计划，但在施工过程中应严格按照规章制度进行作业，避免发生土壤污染事件，施工结束后做到工完、料净、场地清，杜绝泥浆材料遗留现场。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（2）为保护工程区土壤，采取以下保护措施：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①应严格控制施工期临时占地面积，按设计及规划的施工范围进行施工作业，减少土壤扰动。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②施工机械及运输车辆应按规定的道路行驶，减少对土壤的碾压，减少碾压造成的土壤紧实度增加及养分流失。</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③施工产生的建筑垃圾不得随意</w:t>
            </w:r>
            <w:r>
              <w:rPr>
                <w:rFonts w:hint="eastAsia" w:ascii="Times New Roman" w:cs="Times New Roman"/>
                <w:bCs/>
                <w:color w:val="auto"/>
                <w:sz w:val="24"/>
                <w:highlight w:val="none"/>
                <w:lang w:val="en-US" w:eastAsia="zh-CN"/>
              </w:rPr>
              <w:t>抛洒</w:t>
            </w:r>
            <w:r>
              <w:rPr>
                <w:rFonts w:hint="default" w:ascii="Times New Roman" w:hAnsi="Times New Roman" w:eastAsia="宋体" w:cs="Times New Roman"/>
                <w:bCs/>
                <w:color w:val="auto"/>
                <w:sz w:val="24"/>
                <w:highlight w:val="none"/>
                <w:lang w:val="en-US" w:eastAsia="zh-CN"/>
              </w:rPr>
              <w:t>，应集中收集并及时清运，防止污染物进入土壤环境造成污染。</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④确保</w:t>
            </w:r>
            <w:r>
              <w:rPr>
                <w:rFonts w:hint="eastAsia" w:ascii="Times New Roman" w:cs="Times New Roman"/>
                <w:bCs/>
                <w:color w:val="auto"/>
                <w:sz w:val="24"/>
                <w:highlight w:val="none"/>
                <w:lang w:val="en-US" w:eastAsia="zh-CN"/>
              </w:rPr>
              <w:t>各项</w:t>
            </w:r>
            <w:r>
              <w:rPr>
                <w:rFonts w:hint="default" w:ascii="Times New Roman" w:hAnsi="Times New Roman" w:eastAsia="宋体" w:cs="Times New Roman"/>
                <w:bCs/>
                <w:color w:val="auto"/>
                <w:sz w:val="24"/>
                <w:highlight w:val="none"/>
                <w:lang w:val="en-US" w:eastAsia="zh-CN"/>
              </w:rPr>
              <w:t>环保设施正常运行，污水进罐、落地油回收等，避免各种污染物对土壤环境的影响。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综上所述，正常情况下，钻井工程不会污染土壤环境，非正常情况下，采取有效措施后可减轻对土壤环境的影响。在做好源头控制、过程防控等措施的前提下，工程实施对土壤环境产生的影响可接受。</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outlineLvl w:val="9"/>
              <w:rPr>
                <w:rFonts w:hint="default" w:ascii="Times New Roman" w:hAnsi="Times New Roman" w:eastAsia="宋体" w:cs="Times New Roman"/>
                <w:b/>
                <w:color w:val="auto"/>
                <w:kern w:val="2"/>
                <w:sz w:val="24"/>
                <w:szCs w:val="20"/>
                <w:highlight w:val="none"/>
                <w:lang w:val="en-US" w:eastAsia="zh-CN" w:bidi="ar-SA"/>
              </w:rPr>
            </w:pPr>
            <w:r>
              <w:rPr>
                <w:rFonts w:hint="default" w:ascii="Times New Roman" w:hAnsi="Times New Roman" w:eastAsia="宋体" w:cs="Times New Roman"/>
                <w:b/>
                <w:color w:val="auto"/>
                <w:kern w:val="2"/>
                <w:sz w:val="24"/>
                <w:szCs w:val="20"/>
                <w:highlight w:val="none"/>
                <w:lang w:val="en-US" w:eastAsia="zh-CN" w:bidi="ar-SA"/>
              </w:rPr>
              <w:t>8、施工期环境风险防范措施</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outlineLvl w:val="9"/>
              <w:rPr>
                <w:rFonts w:hint="default" w:ascii="Times New Roman" w:hAnsi="Times New Roman" w:eastAsia="宋体" w:cs="Times New Roman"/>
                <w:b/>
                <w:color w:val="auto"/>
                <w:kern w:val="2"/>
                <w:sz w:val="24"/>
                <w:szCs w:val="20"/>
                <w:highlight w:val="none"/>
                <w:lang w:val="en-US" w:eastAsia="zh-CN" w:bidi="ar-SA"/>
              </w:rPr>
            </w:pPr>
            <w:r>
              <w:rPr>
                <w:rFonts w:hint="default" w:ascii="Times New Roman" w:hAnsi="Times New Roman" w:eastAsia="宋体" w:cs="Times New Roman"/>
                <w:b/>
                <w:color w:val="auto"/>
                <w:kern w:val="2"/>
                <w:sz w:val="24"/>
                <w:szCs w:val="20"/>
                <w:highlight w:val="none"/>
                <w:lang w:val="en-US" w:eastAsia="zh-CN" w:bidi="ar-SA"/>
              </w:rPr>
              <w:t>8.1 风险防范措施</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 w:val="0"/>
                <w:bCs w:val="0"/>
                <w:color w:val="auto"/>
                <w:sz w:val="24"/>
                <w:szCs w:val="21"/>
                <w:highlight w:val="none"/>
                <w:lang w:val="en-US" w:eastAsia="zh-CN"/>
              </w:rPr>
              <w:t>本项目环境风险主要为</w:t>
            </w:r>
            <w:r>
              <w:rPr>
                <w:rFonts w:hint="default" w:ascii="Times New Roman" w:hAnsi="Times New Roman" w:eastAsia="宋体" w:cs="Times New Roman"/>
                <w:b w:val="0"/>
                <w:bCs w:val="0"/>
                <w:color w:val="auto"/>
                <w:sz w:val="24"/>
                <w:szCs w:val="21"/>
                <w:highlight w:val="none"/>
              </w:rPr>
              <w:t>井喷</w:t>
            </w:r>
            <w:r>
              <w:rPr>
                <w:rFonts w:hint="default" w:ascii="Times New Roman" w:hAnsi="Times New Roman" w:eastAsia="宋体" w:cs="Times New Roman"/>
                <w:b w:val="0"/>
                <w:bCs w:val="0"/>
                <w:color w:val="auto"/>
                <w:sz w:val="24"/>
                <w:szCs w:val="21"/>
                <w:highlight w:val="none"/>
                <w:lang w:val="en-US" w:eastAsia="zh-CN"/>
              </w:rPr>
              <w:t>事故，</w:t>
            </w:r>
            <w:r>
              <w:rPr>
                <w:rFonts w:hint="default" w:ascii="Times New Roman" w:hAnsi="Times New Roman" w:eastAsia="宋体" w:cs="Times New Roman"/>
                <w:b w:val="0"/>
                <w:bCs w:val="0"/>
                <w:color w:val="auto"/>
                <w:sz w:val="24"/>
                <w:szCs w:val="21"/>
                <w:highlight w:val="none"/>
              </w:rPr>
              <w:t>钻井作业及安装放喷装置</w:t>
            </w:r>
            <w:r>
              <w:rPr>
                <w:rFonts w:hint="default" w:ascii="Times New Roman" w:hAnsi="Times New Roman" w:eastAsia="宋体" w:cs="Times New Roman"/>
                <w:b w:val="0"/>
                <w:bCs w:val="0"/>
                <w:color w:val="auto"/>
                <w:sz w:val="24"/>
                <w:szCs w:val="21"/>
                <w:highlight w:val="none"/>
                <w:lang w:val="en-US" w:eastAsia="zh-CN"/>
              </w:rPr>
              <w:t>过程中发生井喷事故可能性大，因此，井喷</w:t>
            </w:r>
            <w:r>
              <w:rPr>
                <w:rFonts w:hint="default" w:ascii="Times New Roman" w:hAnsi="Times New Roman" w:eastAsia="宋体" w:cs="Times New Roman"/>
                <w:b w:val="0"/>
                <w:bCs w:val="0"/>
                <w:color w:val="auto"/>
                <w:sz w:val="24"/>
                <w:szCs w:val="21"/>
                <w:highlight w:val="none"/>
              </w:rPr>
              <w:t>防范措施主要</w:t>
            </w:r>
            <w:r>
              <w:rPr>
                <w:rFonts w:hint="default" w:ascii="Times New Roman" w:hAnsi="Times New Roman" w:eastAsia="宋体" w:cs="Times New Roman"/>
                <w:b w:val="0"/>
                <w:bCs w:val="0"/>
                <w:color w:val="auto"/>
                <w:sz w:val="24"/>
                <w:szCs w:val="21"/>
                <w:highlight w:val="none"/>
                <w:lang w:val="en-US" w:eastAsia="zh-CN"/>
              </w:rPr>
              <w:t>从</w:t>
            </w:r>
            <w:r>
              <w:rPr>
                <w:rFonts w:hint="default" w:ascii="Times New Roman" w:hAnsi="Times New Roman" w:eastAsia="宋体" w:cs="Times New Roman"/>
                <w:b w:val="0"/>
                <w:bCs w:val="0"/>
                <w:color w:val="auto"/>
                <w:sz w:val="24"/>
                <w:szCs w:val="21"/>
                <w:highlight w:val="none"/>
              </w:rPr>
              <w:t>施工设计、钻井作业及安装放喷装置三个方面进行。</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outlineLvl w:val="9"/>
              <w:rPr>
                <w:rFonts w:hint="default" w:ascii="Times New Roman" w:hAnsi="Times New Roman" w:eastAsia="宋体" w:cs="Times New Roman"/>
                <w:b/>
                <w:color w:val="auto"/>
                <w:kern w:val="2"/>
                <w:sz w:val="24"/>
                <w:szCs w:val="20"/>
                <w:highlight w:val="none"/>
                <w:lang w:val="en-US" w:eastAsia="zh-CN" w:bidi="ar-SA"/>
              </w:rPr>
            </w:pPr>
            <w:r>
              <w:rPr>
                <w:rFonts w:hint="default" w:ascii="Times New Roman" w:hAnsi="Times New Roman" w:eastAsia="宋体" w:cs="Times New Roman"/>
                <w:b/>
                <w:color w:val="auto"/>
                <w:kern w:val="2"/>
                <w:sz w:val="24"/>
                <w:szCs w:val="20"/>
                <w:highlight w:val="none"/>
                <w:lang w:val="en-US" w:eastAsia="zh-CN" w:bidi="ar-SA"/>
              </w:rPr>
              <w:t>8.1.1 施工设计中的防井喷措施</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 w:val="0"/>
                <w:color w:val="auto"/>
                <w:sz w:val="24"/>
                <w:szCs w:val="21"/>
                <w:highlight w:val="none"/>
              </w:rPr>
            </w:pPr>
            <w:r>
              <w:rPr>
                <w:rFonts w:hint="default" w:ascii="Times New Roman" w:hAnsi="Times New Roman" w:eastAsia="宋体" w:cs="Times New Roman"/>
                <w:b w:val="0"/>
                <w:color w:val="auto"/>
                <w:sz w:val="24"/>
                <w:szCs w:val="21"/>
                <w:highlight w:val="none"/>
              </w:rPr>
              <w:t>根据井场的具体</w:t>
            </w:r>
            <w:r>
              <w:rPr>
                <w:rFonts w:hint="default" w:ascii="Times New Roman" w:hAnsi="Times New Roman" w:eastAsia="宋体" w:cs="Times New Roman"/>
                <w:b w:val="0"/>
                <w:color w:val="auto"/>
                <w:sz w:val="24"/>
                <w:szCs w:val="21"/>
                <w:highlight w:val="none"/>
                <w:lang w:val="en-US" w:eastAsia="zh-CN"/>
              </w:rPr>
              <w:t>分布</w:t>
            </w:r>
            <w:r>
              <w:rPr>
                <w:rFonts w:hint="default" w:ascii="Times New Roman" w:hAnsi="Times New Roman" w:eastAsia="宋体" w:cs="Times New Roman"/>
                <w:b w:val="0"/>
                <w:color w:val="auto"/>
                <w:sz w:val="24"/>
                <w:szCs w:val="21"/>
                <w:highlight w:val="none"/>
              </w:rPr>
              <w:t>情况，</w:t>
            </w:r>
            <w:r>
              <w:rPr>
                <w:rFonts w:hint="default" w:ascii="Times New Roman" w:hAnsi="Times New Roman" w:eastAsia="宋体" w:cs="Times New Roman"/>
                <w:b w:val="0"/>
                <w:color w:val="auto"/>
                <w:sz w:val="24"/>
                <w:szCs w:val="21"/>
                <w:highlight w:val="none"/>
                <w:lang w:val="en-US" w:eastAsia="zh-CN"/>
              </w:rPr>
              <w:t>为避免井喷事故发生，</w:t>
            </w:r>
            <w:r>
              <w:rPr>
                <w:rFonts w:hint="default" w:ascii="Times New Roman" w:hAnsi="Times New Roman" w:eastAsia="宋体" w:cs="Times New Roman"/>
                <w:b w:val="0"/>
                <w:color w:val="auto"/>
                <w:sz w:val="24"/>
                <w:szCs w:val="21"/>
                <w:highlight w:val="none"/>
              </w:rPr>
              <w:t>在施工设计中应做好防井喷措施：</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b w:val="0"/>
                <w:color w:val="auto"/>
                <w:kern w:val="2"/>
                <w:sz w:val="24"/>
                <w:szCs w:val="21"/>
                <w:highlight w:val="none"/>
                <w:lang w:val="en-US" w:eastAsia="zh-CN"/>
              </w:rPr>
            </w:pPr>
            <w:r>
              <w:rPr>
                <w:rFonts w:hint="default" w:ascii="Times New Roman" w:hAnsi="Times New Roman" w:eastAsia="宋体" w:cs="Times New Roman"/>
                <w:b w:val="0"/>
                <w:color w:val="auto"/>
                <w:kern w:val="2"/>
                <w:sz w:val="24"/>
                <w:szCs w:val="21"/>
                <w:highlight w:val="none"/>
                <w:lang w:val="en-US" w:eastAsia="zh-CN"/>
              </w:rPr>
              <w:t>（1）</w:t>
            </w:r>
            <w:r>
              <w:rPr>
                <w:rFonts w:hint="default" w:ascii="Times New Roman" w:hAnsi="Times New Roman" w:eastAsia="宋体" w:cs="Times New Roman"/>
                <w:color w:val="auto"/>
                <w:sz w:val="24"/>
                <w:szCs w:val="24"/>
              </w:rPr>
              <w:t>项目总平面布置中，应充分考虑总体布置的安全性，生产装置区内外道路保持通畅，便于消防及安全疏散。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（2）选择合理的压井液。测试放喷施工应参照钻穿油、气层时钻井泥浆性能，认真选择合理的压井液，避免因压井液性能达不到施工要求而造成井喷污染；</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0000FF"/>
                <w:sz w:val="24"/>
                <w:highlight w:val="none"/>
                <w:lang w:val="en-US" w:eastAsia="zh-CN"/>
              </w:rPr>
            </w:pPr>
            <w:r>
              <w:rPr>
                <w:rFonts w:hint="default" w:ascii="Times New Roman" w:hAnsi="Times New Roman" w:eastAsia="宋体" w:cs="Times New Roman"/>
                <w:bCs/>
                <w:color w:val="auto"/>
                <w:sz w:val="24"/>
                <w:highlight w:val="none"/>
                <w:lang w:val="en-US" w:eastAsia="zh-CN"/>
              </w:rPr>
              <w:t>（3）选择合理的射孔方式；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（4）规定上提钻具的速度。井内下有大直径工具（工具外径超过油层套管内径80%以上）的井，严禁高速起钻，防止因高速起钻引起抽汲作用造成井喷事故；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（5）对放喷装置的配备要有明确要求；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（6）选择使用有利于防止和控制井喷的井下管柱和工具，以适应突发事故的处理和补救措施的需要。</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outlineLvl w:val="9"/>
              <w:rPr>
                <w:rFonts w:hint="default" w:ascii="Times New Roman" w:hAnsi="Times New Roman" w:eastAsia="宋体" w:cs="Times New Roman"/>
                <w:b/>
                <w:color w:val="0000FF"/>
                <w:kern w:val="2"/>
                <w:sz w:val="24"/>
                <w:szCs w:val="20"/>
                <w:highlight w:val="none"/>
                <w:lang w:val="en-US" w:eastAsia="zh-CN" w:bidi="ar-SA"/>
              </w:rPr>
            </w:pPr>
            <w:r>
              <w:rPr>
                <w:rFonts w:hint="default" w:ascii="Times New Roman" w:hAnsi="Times New Roman" w:eastAsia="宋体" w:cs="Times New Roman"/>
                <w:b/>
                <w:color w:val="auto"/>
                <w:kern w:val="2"/>
                <w:sz w:val="24"/>
                <w:szCs w:val="20"/>
                <w:highlight w:val="none"/>
                <w:lang w:val="en-US" w:eastAsia="zh-CN" w:bidi="ar-SA"/>
              </w:rPr>
              <w:t>8.1.2 钻井作业中的井喷防范措施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施工单位应严格执行石油天然气钻井HSE管理体系及井控技术标准和规范中的相关规定，并针对工程情况制定具体的可操作的实施方案，主要包括：</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（1）开钻前向全队职工、钻井现场的所有工作人员进行地质、工程、钻井液和井控装备等方面的技术交底，并提出具体要求。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（2）严格执行井控工作管理制度，落实溢流监测岗位、关井操作岗位和钻井队干部24h值班制度，井控准备工作及应急预案必须经验收合格后，方可钻开油气层。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（3）气层钻进中，必须在近钻头位置安装钻具回压阀，同时钻台上配备一只与钻具尺寸相符的回压阀，且备有相应的抢接工具，在大门坡道上准备一根放喷单根（钻杆下部有与钻铤扣相符的配合接头）。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（4）按班组进行放喷演习，并达到规定要求。</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5）严格落实坐岗制度，无论钻进还是起下钻，或其它辅助作业，钻井班落实专人坐岗观察钻井液池液面变化和钻井液出口情况，录井人员除了在仪表上观察外，还对钻井液池液面变化和钻井液出口进行定时观察，定时测量进出口钻井液性能，两个岗都必须做好真实准确记录，值班干部必须对上述两个岗位工作情况进行定时和不定时检查，并当班签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（6）认真搞好地层压力的监测工作，发现地层压力异常、溢流、井涌等情况，应及时关井并调整钻井液密度，同时上报有关部门。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（7）严格控制起下钻速度，起钻必须按规定灌满钻井液。</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（8）钻井中遇到钻速突然加快、放空、井漏、气测及油气水显示异常等情况，应立即停钻观察，如发生溢流要按规定及时发出报警信号，并按正确的关井程序及时关井，关井求压后迅速实施压井作业。</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（9）发生溢流后，根据关井压力，尽快在井口、地层和套管安全条件下压井，待井内平稳后才恢复钻进。</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（10）关井压力不得超过井口装置的工作压力、套管抗内压强度的80%和地层破裂压力。</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
                <w:bCs w:val="0"/>
                <w:color w:val="auto"/>
                <w:sz w:val="24"/>
                <w:highlight w:val="none"/>
                <w:lang w:val="en-US" w:eastAsia="zh-CN"/>
              </w:rPr>
              <w:t>8.1.3安装放喷装置防井喷措施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1</w:t>
            </w: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以半封和全封防喷器为主体的防喷装置，包括高压闸门、自封、四通、套管头、过渡法兰等；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2</w:t>
            </w: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以节流管汇为主体的井控管汇，包括放喷管线、压井管线等；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3</w:t>
            </w: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井下管柱防喷工具，包括钻具、防喷单流阀等；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4</w:t>
            </w: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具有净化、加大密度、原料储备及自动调配、自动灌装等功能的压井液储备系统；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highlight w:val="none"/>
                <w:lang w:val="en-US" w:eastAsia="zh-CN"/>
              </w:rPr>
            </w:pP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5</w:t>
            </w:r>
            <w:r>
              <w:rPr>
                <w:rFonts w:hint="eastAsia" w:ascii="Times New Roman"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防止井喷失控的专用设备、设施，包括高压自封、不压井起下管柱装置等。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color w:val="auto"/>
                <w:kern w:val="2"/>
                <w:sz w:val="24"/>
                <w:szCs w:val="20"/>
                <w:highlight w:val="none"/>
                <w:lang w:val="en-US" w:eastAsia="zh-CN" w:bidi="ar-SA"/>
              </w:rPr>
            </w:pPr>
            <w:r>
              <w:rPr>
                <w:rFonts w:hint="default" w:ascii="Times New Roman" w:hAnsi="Times New Roman" w:eastAsia="宋体" w:cs="Times New Roman"/>
                <w:b/>
                <w:color w:val="auto"/>
                <w:kern w:val="2"/>
                <w:sz w:val="24"/>
                <w:szCs w:val="20"/>
                <w:highlight w:val="none"/>
                <w:lang w:val="en-US" w:eastAsia="zh-CN" w:bidi="ar-SA"/>
              </w:rPr>
              <w:t>8.1.4硫化氢泄漏的监控与预防措施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1）硫化氢监测与安全防护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硫化氢监测与安全防护应按照《硫化氢环境人身防护规范》（SY/T 6277-2017）和《硫化氢环境天然气采集与处理安全规范》（SY/T6137-2024）要求进行。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①作业人员巡检时应携带硫化氢监测仪（第1级预警阈值应设置为15mg/m</w:t>
            </w:r>
            <w:r>
              <w:rPr>
                <w:rFonts w:hint="default" w:ascii="Times New Roman" w:hAnsi="Times New Roman" w:eastAsia="宋体" w:cs="Times New Roman"/>
                <w:color w:val="auto"/>
                <w:kern w:val="21"/>
                <w:sz w:val="24"/>
                <w:szCs w:val="24"/>
                <w:highlight w:val="none"/>
                <w:vertAlign w:val="superscript"/>
              </w:rPr>
              <w:t>3</w:t>
            </w:r>
            <w:r>
              <w:rPr>
                <w:rFonts w:hint="default" w:ascii="Times New Roman" w:hAnsi="Times New Roman" w:eastAsia="宋体" w:cs="Times New Roman"/>
                <w:color w:val="auto"/>
                <w:kern w:val="21"/>
                <w:sz w:val="24"/>
                <w:szCs w:val="24"/>
                <w:highlight w:val="none"/>
              </w:rPr>
              <w:t>（或10ppm），第2级报警阈值应设置为30mg/m</w:t>
            </w:r>
            <w:r>
              <w:rPr>
                <w:rFonts w:hint="default" w:ascii="Times New Roman" w:hAnsi="Times New Roman" w:eastAsia="宋体" w:cs="Times New Roman"/>
                <w:color w:val="auto"/>
                <w:kern w:val="21"/>
                <w:sz w:val="24"/>
                <w:szCs w:val="24"/>
                <w:highlight w:val="none"/>
                <w:vertAlign w:val="superscript"/>
              </w:rPr>
              <w:t>3</w:t>
            </w:r>
            <w:r>
              <w:rPr>
                <w:rFonts w:hint="default" w:ascii="Times New Roman" w:hAnsi="Times New Roman" w:eastAsia="宋体" w:cs="Times New Roman"/>
                <w:color w:val="auto"/>
                <w:kern w:val="21"/>
                <w:sz w:val="24"/>
                <w:szCs w:val="24"/>
                <w:highlight w:val="none"/>
              </w:rPr>
              <w:t>（或20ppm），进入上述区域应注意是否有报警信号。</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②作业人员在检修和抢险作业时应</w:t>
            </w:r>
            <w:r>
              <w:rPr>
                <w:rFonts w:hint="default" w:ascii="Times New Roman" w:hAnsi="Times New Roman" w:eastAsia="宋体" w:cs="Times New Roman"/>
                <w:color w:val="auto"/>
                <w:kern w:val="21"/>
                <w:sz w:val="24"/>
                <w:szCs w:val="24"/>
                <w:highlight w:val="none"/>
                <w:lang w:eastAsia="zh-CN"/>
              </w:rPr>
              <w:t>携带</w:t>
            </w:r>
            <w:r>
              <w:rPr>
                <w:rFonts w:hint="default" w:ascii="Times New Roman" w:hAnsi="Times New Roman" w:eastAsia="宋体" w:cs="Times New Roman"/>
                <w:color w:val="auto"/>
                <w:kern w:val="21"/>
                <w:sz w:val="24"/>
                <w:szCs w:val="24"/>
                <w:highlight w:val="none"/>
              </w:rPr>
              <w:t>硫化氢监测仪和正压式空气呼吸器。</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③当监测到空气中硫化氢的浓度达到15mg/m</w:t>
            </w:r>
            <w:r>
              <w:rPr>
                <w:rFonts w:hint="default" w:ascii="Times New Roman" w:hAnsi="Times New Roman" w:eastAsia="宋体" w:cs="Times New Roman"/>
                <w:color w:val="auto"/>
                <w:kern w:val="21"/>
                <w:sz w:val="24"/>
                <w:szCs w:val="24"/>
                <w:highlight w:val="none"/>
                <w:vertAlign w:val="superscript"/>
              </w:rPr>
              <w:t>3</w:t>
            </w:r>
            <w:r>
              <w:rPr>
                <w:rFonts w:hint="default" w:ascii="Times New Roman" w:hAnsi="Times New Roman" w:eastAsia="宋体" w:cs="Times New Roman"/>
                <w:color w:val="auto"/>
                <w:kern w:val="21"/>
                <w:sz w:val="24"/>
                <w:szCs w:val="24"/>
                <w:highlight w:val="none"/>
              </w:rPr>
              <w:t>（或10ppm）时，作业人员应检查泄漏点，准备防护用具实施应急程序。</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④当监测到空气中硫化氢的浓度达到30mg/m</w:t>
            </w:r>
            <w:r>
              <w:rPr>
                <w:rFonts w:hint="default" w:ascii="Times New Roman" w:hAnsi="Times New Roman" w:eastAsia="宋体" w:cs="Times New Roman"/>
                <w:color w:val="auto"/>
                <w:kern w:val="21"/>
                <w:sz w:val="24"/>
                <w:szCs w:val="24"/>
                <w:highlight w:val="none"/>
                <w:vertAlign w:val="superscript"/>
              </w:rPr>
              <w:t>3</w:t>
            </w:r>
            <w:r>
              <w:rPr>
                <w:rFonts w:hint="default" w:ascii="Times New Roman" w:hAnsi="Times New Roman" w:eastAsia="宋体" w:cs="Times New Roman"/>
                <w:color w:val="auto"/>
                <w:kern w:val="21"/>
                <w:sz w:val="24"/>
                <w:szCs w:val="24"/>
                <w:highlight w:val="none"/>
              </w:rPr>
              <w:t>（或20ppm）时，作业人员应该迅速打开排风扇，疏散人员。作业人员应戴上防护用具，进入紧急状态，立即实施应急方案。</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⑤当监测到空气中硫化氢浓度达到150mg/m</w:t>
            </w:r>
            <w:r>
              <w:rPr>
                <w:rFonts w:hint="default" w:ascii="Times New Roman" w:hAnsi="Times New Roman" w:eastAsia="宋体" w:cs="Times New Roman"/>
                <w:color w:val="auto"/>
                <w:kern w:val="21"/>
                <w:sz w:val="24"/>
                <w:szCs w:val="24"/>
                <w:highlight w:val="none"/>
                <w:vertAlign w:val="superscript"/>
              </w:rPr>
              <w:t>3</w:t>
            </w:r>
            <w:r>
              <w:rPr>
                <w:rFonts w:hint="default" w:ascii="Times New Roman" w:hAnsi="Times New Roman" w:eastAsia="宋体" w:cs="Times New Roman"/>
                <w:color w:val="auto"/>
                <w:kern w:val="21"/>
                <w:sz w:val="24"/>
                <w:szCs w:val="24"/>
                <w:highlight w:val="none"/>
              </w:rPr>
              <w:t>（或100ppm）时，应组织周边危险区域内的作业人员有秩序地迅速向上风向撤离到安全区域。</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2）预防措施</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outlineLvl w:val="9"/>
              <w:rPr>
                <w:rFonts w:hint="default" w:ascii="Times New Roman" w:hAnsi="Times New Roman" w:eastAsia="宋体" w:cs="Times New Roman"/>
                <w:color w:val="auto"/>
                <w:kern w:val="21"/>
                <w:sz w:val="24"/>
                <w:szCs w:val="24"/>
                <w:highlight w:val="none"/>
              </w:rPr>
            </w:pPr>
            <w:r>
              <w:rPr>
                <w:rFonts w:hint="default" w:ascii="Times New Roman" w:hAnsi="Times New Roman" w:eastAsia="宋体" w:cs="Times New Roman"/>
                <w:color w:val="auto"/>
                <w:kern w:val="21"/>
                <w:sz w:val="24"/>
                <w:szCs w:val="24"/>
                <w:highlight w:val="none"/>
              </w:rPr>
              <w:t>在含硫化氢环境中的作业人员上岗前都应接受H</w:t>
            </w:r>
            <w:r>
              <w:rPr>
                <w:rFonts w:hint="default" w:ascii="Times New Roman" w:hAnsi="Times New Roman" w:eastAsia="宋体" w:cs="Times New Roman"/>
                <w:color w:val="auto"/>
                <w:kern w:val="21"/>
                <w:sz w:val="24"/>
                <w:szCs w:val="24"/>
                <w:highlight w:val="none"/>
                <w:vertAlign w:val="subscript"/>
              </w:rPr>
              <w:t>2</w:t>
            </w:r>
            <w:r>
              <w:rPr>
                <w:rFonts w:hint="default" w:ascii="Times New Roman" w:hAnsi="Times New Roman" w:eastAsia="宋体" w:cs="Times New Roman"/>
                <w:color w:val="auto"/>
                <w:kern w:val="21"/>
                <w:sz w:val="24"/>
                <w:szCs w:val="24"/>
                <w:highlight w:val="none"/>
              </w:rPr>
              <w:t>S危害及人身防护措施的培训，经考核合格后方能持证上岗。</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①为避免无风和微风情况下硫化氢的积聚，可以使用防爆通风设备将有毒气体吹往期望的方向。</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②应特别注意低洼的工作区域，由于较重的硫化氢或二氧化硫在这些地点的沉积，可能会达到有害的浓度。</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③当人员在达到硫化氢危险临界浓度〔150mg/m</w:t>
            </w:r>
            <w:r>
              <w:rPr>
                <w:rFonts w:hint="default" w:ascii="Times New Roman" w:hAnsi="Times New Roman" w:eastAsia="宋体" w:cs="Times New Roman"/>
                <w:color w:val="auto"/>
                <w:kern w:val="21"/>
                <w:sz w:val="24"/>
                <w:szCs w:val="24"/>
                <w:highlight w:val="none"/>
                <w:vertAlign w:val="superscript"/>
                <w:lang w:val="en-US" w:eastAsia="zh-CN"/>
              </w:rPr>
              <w:t>3</w:t>
            </w:r>
            <w:r>
              <w:rPr>
                <w:rFonts w:hint="eastAsia" w:ascii="Times New Roman" w:eastAsia="宋体" w:cs="Times New Roman"/>
                <w:color w:val="auto"/>
                <w:kern w:val="21"/>
                <w:sz w:val="24"/>
                <w:szCs w:val="24"/>
                <w:highlight w:val="none"/>
                <w:lang w:val="en-US" w:eastAsia="zh-CN"/>
              </w:rPr>
              <w:t>（</w:t>
            </w:r>
            <w:r>
              <w:rPr>
                <w:rFonts w:hint="default" w:ascii="Times New Roman" w:hAnsi="Times New Roman" w:eastAsia="宋体" w:cs="Times New Roman"/>
                <w:color w:val="auto"/>
                <w:kern w:val="21"/>
                <w:sz w:val="24"/>
                <w:szCs w:val="24"/>
                <w:highlight w:val="none"/>
                <w:lang w:val="en-US" w:eastAsia="zh-CN"/>
              </w:rPr>
              <w:t>100ppm</w:t>
            </w:r>
            <w:r>
              <w:rPr>
                <w:rFonts w:hint="eastAsia" w:ascii="Times New Roman" w:eastAsia="宋体" w:cs="Times New Roman"/>
                <w:color w:val="auto"/>
                <w:kern w:val="21"/>
                <w:sz w:val="24"/>
                <w:szCs w:val="24"/>
                <w:highlight w:val="none"/>
                <w:lang w:val="en-US" w:eastAsia="zh-CN"/>
              </w:rPr>
              <w:t>）</w:t>
            </w:r>
            <w:r>
              <w:rPr>
                <w:rFonts w:hint="default" w:ascii="Times New Roman" w:hAnsi="Times New Roman" w:eastAsia="宋体" w:cs="Times New Roman"/>
                <w:color w:val="auto"/>
                <w:kern w:val="21"/>
                <w:sz w:val="24"/>
                <w:szCs w:val="24"/>
                <w:highlight w:val="none"/>
                <w:lang w:val="en-US" w:eastAsia="zh-CN"/>
              </w:rPr>
              <w:t>〕的大气环境中执行任务时，应有接受过救护技术培训的值班救护人员，同时应备有必要的救护设备，包括适用的呼吸器具。</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color w:val="auto"/>
                <w:spacing w:val="0"/>
                <w:kern w:val="21"/>
                <w:sz w:val="24"/>
                <w:szCs w:val="24"/>
                <w:highlight w:val="none"/>
                <w:lang w:val="en-US" w:eastAsia="zh-CN" w:bidi="ar-SA"/>
              </w:rPr>
            </w:pPr>
            <w:r>
              <w:rPr>
                <w:rFonts w:hint="default" w:ascii="Times New Roman" w:hAnsi="Times New Roman" w:eastAsia="宋体" w:cs="Times New Roman"/>
                <w:color w:val="auto"/>
                <w:spacing w:val="0"/>
                <w:kern w:val="21"/>
                <w:sz w:val="24"/>
                <w:szCs w:val="24"/>
                <w:highlight w:val="none"/>
                <w:lang w:val="en-US" w:eastAsia="zh-CN" w:bidi="ar-SA"/>
              </w:rPr>
              <w:t>④在井场入口、临时安全区、钻台上、循环系统、防喷器原场控制台、放喷点火口等处应设置风向标。</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color w:val="auto"/>
                <w:spacing w:val="0"/>
                <w:kern w:val="21"/>
                <w:sz w:val="24"/>
                <w:szCs w:val="24"/>
                <w:highlight w:val="none"/>
                <w:lang w:val="en-US" w:eastAsia="zh-CN" w:bidi="ar-SA"/>
              </w:rPr>
            </w:pPr>
            <w:r>
              <w:rPr>
                <w:rFonts w:hint="default" w:ascii="Times New Roman" w:hAnsi="Times New Roman" w:eastAsia="宋体" w:cs="Times New Roman"/>
                <w:color w:val="auto"/>
                <w:spacing w:val="0"/>
                <w:kern w:val="21"/>
                <w:sz w:val="24"/>
                <w:szCs w:val="24"/>
                <w:highlight w:val="none"/>
                <w:lang w:val="en-US" w:eastAsia="zh-CN" w:bidi="ar-SA"/>
              </w:rPr>
              <w:t>⑤当空气中硫化氢含量超过安全临界浓度的污染区进行必要的作业时，应做好人员安全防护工作。</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color w:val="auto"/>
                <w:spacing w:val="0"/>
                <w:kern w:val="21"/>
                <w:sz w:val="24"/>
                <w:szCs w:val="24"/>
                <w:highlight w:val="none"/>
                <w:lang w:val="en-US" w:eastAsia="zh-CN" w:bidi="ar-SA"/>
              </w:rPr>
            </w:pPr>
            <w:r>
              <w:rPr>
                <w:rFonts w:hint="default" w:ascii="Times New Roman" w:hAnsi="Times New Roman" w:eastAsia="宋体" w:cs="Times New Roman"/>
                <w:color w:val="auto"/>
                <w:spacing w:val="0"/>
                <w:kern w:val="21"/>
                <w:sz w:val="24"/>
                <w:szCs w:val="24"/>
                <w:highlight w:val="none"/>
                <w:lang w:val="en-US" w:eastAsia="zh-CN" w:bidi="ar-SA"/>
              </w:rPr>
              <w:t>⑥钻井队在现场条件不能实施井控作业而放喷时，通过放喷管线放出的含硫油气应实施点火。</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spacing w:val="0"/>
                <w:kern w:val="21"/>
                <w:sz w:val="24"/>
                <w:szCs w:val="24"/>
                <w:highlight w:val="none"/>
                <w:lang w:val="en-US" w:eastAsia="zh-CN" w:bidi="ar-SA"/>
              </w:rPr>
              <w:t>⑦钻井队应制定防喷、防硫化氢的应急处置程序，并组织现场作业队伍开展演练。</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outlineLvl w:val="9"/>
              <w:rPr>
                <w:rFonts w:hint="default" w:ascii="Times New Roman" w:hAnsi="Times New Roman" w:eastAsia="宋体" w:cs="Times New Roman"/>
                <w:b/>
                <w:bCs/>
                <w:color w:val="auto"/>
                <w:kern w:val="21"/>
                <w:sz w:val="24"/>
                <w:szCs w:val="21"/>
                <w:highlight w:val="none"/>
                <w:lang w:val="en-US" w:eastAsia="zh-CN"/>
              </w:rPr>
            </w:pPr>
            <w:r>
              <w:rPr>
                <w:rFonts w:hint="default" w:ascii="Times New Roman" w:hAnsi="Times New Roman" w:eastAsia="宋体" w:cs="Times New Roman"/>
                <w:b/>
                <w:bCs/>
                <w:color w:val="auto"/>
                <w:kern w:val="21"/>
                <w:sz w:val="24"/>
                <w:szCs w:val="21"/>
                <w:highlight w:val="none"/>
                <w:lang w:val="en-US" w:eastAsia="zh-CN"/>
              </w:rPr>
              <w:t>8.1.5防腐防渗措施</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b w:val="0"/>
                <w:color w:val="auto"/>
                <w:kern w:val="21"/>
                <w:sz w:val="24"/>
                <w:szCs w:val="21"/>
                <w:highlight w:val="none"/>
                <w:lang w:val="en-US" w:eastAsia="zh-CN"/>
              </w:rPr>
            </w:pPr>
            <w:r>
              <w:rPr>
                <w:rFonts w:hint="default" w:ascii="Times New Roman" w:hAnsi="Times New Roman" w:eastAsia="宋体" w:cs="Times New Roman"/>
                <w:b w:val="0"/>
                <w:color w:val="auto"/>
                <w:kern w:val="21"/>
                <w:sz w:val="24"/>
                <w:szCs w:val="21"/>
                <w:highlight w:val="none"/>
                <w:lang w:val="en-US" w:eastAsia="zh-CN"/>
              </w:rPr>
              <w:t>从工程设计上已经考虑了防止污水池泄漏的措施，在实际工程中，污水池的建设应严格按照设计进行建设。主要措施为：</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b w:val="0"/>
                <w:color w:val="auto"/>
                <w:kern w:val="21"/>
                <w:sz w:val="24"/>
                <w:szCs w:val="21"/>
                <w:highlight w:val="none"/>
                <w:lang w:val="en-US" w:eastAsia="zh-CN"/>
              </w:rPr>
            </w:pPr>
            <w:r>
              <w:rPr>
                <w:rFonts w:hint="default" w:ascii="Times New Roman" w:hAnsi="Times New Roman" w:eastAsia="宋体" w:cs="Times New Roman"/>
                <w:b w:val="0"/>
                <w:color w:val="auto"/>
                <w:kern w:val="21"/>
                <w:sz w:val="24"/>
                <w:szCs w:val="21"/>
                <w:highlight w:val="none"/>
                <w:lang w:val="en-US" w:eastAsia="zh-CN"/>
              </w:rPr>
              <w:t>①污水池避开不良地质和岩土松软的地段。设计时留有一定的多余容积。</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b w:val="0"/>
                <w:color w:val="auto"/>
                <w:kern w:val="21"/>
                <w:sz w:val="24"/>
                <w:szCs w:val="21"/>
                <w:highlight w:val="none"/>
                <w:lang w:val="en-US" w:eastAsia="zh-CN"/>
              </w:rPr>
              <w:t>②污水池采用整体钢结构池，确保不发生渗漏。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8.2 其他环境风险防范措施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8.2.1油品储罐泄漏事故防范措施</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b w:val="0"/>
                <w:color w:val="auto"/>
                <w:kern w:val="21"/>
                <w:sz w:val="24"/>
                <w:szCs w:val="21"/>
                <w:highlight w:val="none"/>
                <w:lang w:val="en-US" w:eastAsia="zh-CN"/>
              </w:rPr>
              <w:t>严格按《危险化学品安全管理条例》的要求，加强对危险化学品的管理；制定危险化学品安全操作规程，要求操作人员严格按操作规程作业；对从事危险化学品作业人员定期进行安全培训教育；经常性对危险化学品作业场所进行安全检查。设立专用存放区，使其符合储存危险化学品的相关条件（如防晒、防潮、通风、防雷、防静电等）；建立健全安全规程及值勤制度，设置通信、报警装置，确保其处于完好状态；对储存危险化学品的容器，需经有关检验部门检验合格，并设置明显的标识及警示牌；对使用危险化学品的名称、数量进行严格登记；凡储存、使用危险化学品的岗位，都应配置合格的防毒、消防器材，并确保其处于完好状态；所有进入存放、使用危险化学品区域的人员，都必须严格遵守《危险化学品管理制度》</w:t>
            </w:r>
            <w:r>
              <w:rPr>
                <w:rFonts w:hint="default" w:ascii="Times New Roman" w:hAnsi="Times New Roman" w:eastAsia="宋体" w:cs="Times New Roman"/>
                <w:color w:val="auto"/>
                <w:kern w:val="21"/>
                <w:sz w:val="24"/>
                <w:szCs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8.2.2 放喷池容积及防渗</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工程建设时严格按设计要求建设放喷池（100m</w:t>
            </w:r>
            <w:r>
              <w:rPr>
                <w:rFonts w:hint="default" w:ascii="Times New Roman" w:hAnsi="Times New Roman" w:eastAsia="宋体" w:cs="Times New Roman"/>
                <w:color w:val="auto"/>
                <w:kern w:val="21"/>
                <w:sz w:val="24"/>
                <w:szCs w:val="24"/>
                <w:highlight w:val="none"/>
                <w:vertAlign w:val="superscript"/>
                <w:lang w:val="en-US" w:eastAsia="zh-CN"/>
              </w:rPr>
              <w:t>3</w:t>
            </w:r>
            <w:r>
              <w:rPr>
                <w:rFonts w:hint="default" w:ascii="Times New Roman" w:hAnsi="Times New Roman" w:eastAsia="宋体" w:cs="Times New Roman"/>
                <w:color w:val="auto"/>
                <w:kern w:val="21"/>
                <w:sz w:val="24"/>
                <w:szCs w:val="24"/>
                <w:highlight w:val="none"/>
                <w:lang w:val="en-US" w:eastAsia="zh-CN"/>
              </w:rPr>
              <w:t>），工程设计上已经考虑了防止放喷池泄漏的措施，在实际工程中，放喷池的建设应严格按照设计进行建设。主要措施为：</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（1）放喷池避开不良地质和岩土松软的地段。</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（2）放喷池采用“整体型钢板池”。</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（3）放喷池设2个放喷池，每个100m</w:t>
            </w:r>
            <w:r>
              <w:rPr>
                <w:rFonts w:hint="default" w:ascii="Times New Roman" w:hAnsi="Times New Roman" w:eastAsia="宋体" w:cs="Times New Roman"/>
                <w:color w:val="auto"/>
                <w:kern w:val="21"/>
                <w:sz w:val="24"/>
                <w:szCs w:val="24"/>
                <w:highlight w:val="none"/>
                <w:vertAlign w:val="superscript"/>
                <w:lang w:val="en-US" w:eastAsia="zh-CN"/>
              </w:rPr>
              <w:t>3</w:t>
            </w:r>
            <w:r>
              <w:rPr>
                <w:rFonts w:hint="default" w:ascii="Times New Roman" w:hAnsi="Times New Roman" w:eastAsia="宋体" w:cs="Times New Roman"/>
                <w:color w:val="auto"/>
                <w:kern w:val="21"/>
                <w:sz w:val="24"/>
                <w:szCs w:val="24"/>
                <w:highlight w:val="none"/>
                <w:lang w:val="en-US" w:eastAsia="zh-CN"/>
              </w:rPr>
              <w:t>，对井喷事故液量的收集能力为200m</w:t>
            </w:r>
            <w:r>
              <w:rPr>
                <w:rFonts w:hint="default" w:ascii="Times New Roman" w:hAnsi="Times New Roman" w:eastAsia="宋体" w:cs="Times New Roman"/>
                <w:color w:val="auto"/>
                <w:kern w:val="21"/>
                <w:sz w:val="24"/>
                <w:szCs w:val="24"/>
                <w:highlight w:val="none"/>
                <w:vertAlign w:val="superscript"/>
                <w:lang w:val="en-US" w:eastAsia="zh-CN"/>
              </w:rPr>
              <w:t>3</w:t>
            </w:r>
            <w:r>
              <w:rPr>
                <w:rFonts w:hint="default" w:ascii="Times New Roman" w:hAnsi="Times New Roman" w:eastAsia="宋体" w:cs="Times New Roman"/>
                <w:color w:val="auto"/>
                <w:kern w:val="21"/>
                <w:sz w:val="24"/>
                <w:szCs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8.2.3 防柴油外溢措施</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钻井期间使用柴油发电机，柴油储存在油罐中，为防止柴油罐泄漏污染土壤和地下水，环评要求采取以下措施：</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（1）加强油罐的维护保养，避免柴油泄漏事件的发生。</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outlineLvl w:val="9"/>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（2）在油罐底部采用防渗膜防渗，如发生油品泄漏，应及时把污染的部分收集在铁桶中，施工结束交由有资质单位处理。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8.3 应急预案</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outlineLvl w:val="9"/>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8.3.1 应急预案编制内容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（1）应急预案编制内容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工程在施工过程中应结合工程实际情况及《突发事件应急预案管理办法》</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国办发﹝2013﹞101号</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、《企业事业单位突发环境事件应急预案备案管理办法</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试行</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环发﹝2015﹞4号</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、《新疆维吾尔自治区突发环境事件应急预案编制导则</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试行</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》中的要求，编制环境应急预案，其主要内容包括：</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①说明工程所处的地理位置及周围情况</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占地面积、人员分布情况、气象状况等</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、生产规模与现状、道路及运输情况等内容。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②明确危险源的数量及分布。</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③确定应急救援指挥机构的设置和职责。</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④准备必要装备并确定通信联络和联络方式。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⑤组织应急救援</w:t>
            </w:r>
            <w:r>
              <w:rPr>
                <w:rFonts w:hint="default" w:ascii="Times New Roman" w:hAnsi="Times New Roman" w:eastAsia="宋体" w:cs="Times New Roman"/>
                <w:color w:val="auto"/>
                <w:sz w:val="24"/>
                <w:szCs w:val="24"/>
                <w:highlight w:val="none"/>
                <w:lang w:eastAsia="zh-CN"/>
              </w:rPr>
              <w:t>专业队伍</w:t>
            </w:r>
            <w:r>
              <w:rPr>
                <w:rFonts w:hint="default" w:ascii="Times New Roman" w:hAnsi="Times New Roman" w:eastAsia="宋体" w:cs="Times New Roman"/>
                <w:color w:val="auto"/>
                <w:sz w:val="24"/>
                <w:szCs w:val="24"/>
                <w:highlight w:val="none"/>
              </w:rPr>
              <w:t>，明确他们的任务，并经常进行训练和演习。</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⑥事故发生后，应立即与当地环境监测站取得联系，并对事故现场进行监测。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⑦制定重大事故的应急处置方案和救援程序。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⑧发生事故后，抢险人员应根据事先拟定的方案，在做好个人防护的技术基础上，以最快的速度及时堵漏排险、消灭事故。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⑨发生事故后，对受伤人员进行及时有效的现场医疗救护。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⑩发生重大事故可能对工作人员构成威胁时，必须在指挥部统一指挥下，紧急疏散与事故应急救援无关的人员，疏散方向、距离和集中地点，必须根据不同事故，</w:t>
            </w:r>
            <w:r>
              <w:rPr>
                <w:rFonts w:hint="eastAsia" w:ascii="Times New Roman" w:cs="Times New Roman"/>
                <w:color w:val="auto"/>
                <w:sz w:val="24"/>
                <w:szCs w:val="24"/>
                <w:highlight w:val="none"/>
                <w:lang w:eastAsia="zh-CN"/>
              </w:rPr>
              <w:t>作出</w:t>
            </w:r>
            <w:r>
              <w:rPr>
                <w:rFonts w:hint="default" w:ascii="Times New Roman" w:hAnsi="Times New Roman" w:eastAsia="宋体" w:cs="Times New Roman"/>
                <w:color w:val="auto"/>
                <w:sz w:val="24"/>
                <w:szCs w:val="24"/>
                <w:highlight w:val="none"/>
              </w:rPr>
              <w:t>具体规定。总的原则是疏散安全点处于当时的上风向。对爆炸、热辐射可能威胁到的工作人员，指挥部应立即给予引导，迅速撤离到安全地点。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⑪一旦发生重大事故，建设单位抢险救援力量不足时，指挥部必须立即向上级通报，必要时请求</w:t>
            </w:r>
            <w:r>
              <w:rPr>
                <w:rFonts w:hint="default" w:ascii="Times New Roman" w:hAnsi="Times New Roman" w:eastAsia="宋体" w:cs="Times New Roman"/>
                <w:color w:val="auto"/>
                <w:sz w:val="24"/>
                <w:szCs w:val="24"/>
                <w:highlight w:val="none"/>
                <w:lang w:eastAsia="zh-CN"/>
              </w:rPr>
              <w:t>社会力量帮扶</w:t>
            </w:r>
            <w:r>
              <w:rPr>
                <w:rFonts w:hint="default" w:ascii="Times New Roman" w:hAnsi="Times New Roman" w:eastAsia="宋体" w:cs="Times New Roman"/>
                <w:color w:val="auto"/>
                <w:sz w:val="24"/>
                <w:szCs w:val="24"/>
                <w:highlight w:val="none"/>
              </w:rPr>
              <w:t>。社会救援队伍进入现场时，指挥部应责成专人联络，引导并告知安全注意事项。</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⑫确定事故应急救援工作结束，通知本单位及相关部门，事故危险已解除。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⑬对应急救援人员进行培训，加强应急响应知识的宣传。</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⑭明确演练计划。</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outlineLvl w:val="9"/>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表5-</w:t>
            </w:r>
            <w:r>
              <w:rPr>
                <w:rFonts w:hint="default" w:ascii="Times New Roman" w:hAnsi="Times New Roman" w:eastAsia="宋体" w:cs="Times New Roman"/>
                <w:b/>
                <w:bCs/>
                <w:color w:val="auto"/>
                <w:kern w:val="0"/>
                <w:sz w:val="24"/>
                <w:szCs w:val="24"/>
                <w:highlight w:val="none"/>
                <w:lang w:val="en-US" w:eastAsia="zh-CN"/>
              </w:rPr>
              <w:t xml:space="preserve">2    </w:t>
            </w:r>
            <w:r>
              <w:rPr>
                <w:rFonts w:hint="default" w:ascii="Times New Roman" w:hAnsi="Times New Roman" w:eastAsia="宋体" w:cs="Times New Roman"/>
                <w:b/>
                <w:bCs/>
                <w:color w:val="auto"/>
                <w:kern w:val="0"/>
                <w:sz w:val="24"/>
                <w:szCs w:val="24"/>
                <w:highlight w:val="none"/>
              </w:rPr>
              <w:t>应急预案主要内容一览表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2"/>
              <w:gridCol w:w="1119"/>
              <w:gridCol w:w="6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项目</w:t>
                  </w:r>
                </w:p>
              </w:tc>
              <w:tc>
                <w:tcPr>
                  <w:tcW w:w="5880"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内容及要求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应急计划区</w:t>
                  </w:r>
                </w:p>
              </w:tc>
              <w:tc>
                <w:tcPr>
                  <w:tcW w:w="5880"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储罐、井口、管线等。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应急组织机构、人员</w:t>
                  </w:r>
                </w:p>
              </w:tc>
              <w:tc>
                <w:tcPr>
                  <w:tcW w:w="5880" w:type="dxa"/>
                  <w:shd w:val="clear" w:color="auto" w:fill="auto"/>
                  <w:vAlign w:val="top"/>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实施三级应急</w:t>
                  </w:r>
                  <w:r>
                    <w:rPr>
                      <w:rFonts w:hint="default" w:ascii="Times New Roman" w:hAnsi="Times New Roman" w:eastAsia="宋体" w:cs="Times New Roman"/>
                      <w:color w:val="auto"/>
                      <w:kern w:val="0"/>
                      <w:sz w:val="21"/>
                      <w:szCs w:val="21"/>
                      <w:highlight w:val="none"/>
                      <w:lang w:eastAsia="zh-CN"/>
                    </w:rPr>
                    <w:t>组织</w:t>
                  </w:r>
                  <w:r>
                    <w:rPr>
                      <w:rFonts w:hint="default" w:ascii="Times New Roman" w:hAnsi="Times New Roman" w:eastAsia="宋体" w:cs="Times New Roman"/>
                      <w:color w:val="auto"/>
                      <w:kern w:val="0"/>
                      <w:sz w:val="21"/>
                      <w:szCs w:val="21"/>
                      <w:highlight w:val="none"/>
                    </w:rPr>
                    <w:t>机构，各级别主要负责人为应急计划、协调第一人，应急人员必须为培训上岗熟练工；区域应急组织结构由当地政府、相关行业专家、卫生安全相关单位组成，并由当地政府进行统一调度。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4"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预案分级响应条件</w:t>
                  </w:r>
                </w:p>
              </w:tc>
              <w:tc>
                <w:tcPr>
                  <w:tcW w:w="5880" w:type="dxa"/>
                  <w:shd w:val="clear" w:color="auto" w:fill="auto"/>
                  <w:vAlign w:val="top"/>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根据事故的严重程度制定相应级别的应急预案，以及适合相应情况的处理措施。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应急救援</w:t>
                  </w:r>
                </w:p>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保障</w:t>
                  </w:r>
                </w:p>
              </w:tc>
              <w:tc>
                <w:tcPr>
                  <w:tcW w:w="5880" w:type="dxa"/>
                  <w:shd w:val="clear" w:color="auto" w:fill="auto"/>
                  <w:vAlign w:val="top"/>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应急设施，设备与器材等：井场配备甲烷、H</w:t>
                  </w:r>
                  <w:r>
                    <w:rPr>
                      <w:rFonts w:hint="default" w:ascii="Times New Roman" w:hAnsi="Times New Roman" w:eastAsia="宋体" w:cs="Times New Roman"/>
                      <w:color w:val="auto"/>
                      <w:kern w:val="0"/>
                      <w:sz w:val="21"/>
                      <w:szCs w:val="21"/>
                      <w:highlight w:val="none"/>
                      <w:vertAlign w:val="subscript"/>
                    </w:rPr>
                    <w:t>2</w:t>
                  </w:r>
                  <w:r>
                    <w:rPr>
                      <w:rFonts w:hint="default" w:ascii="Times New Roman" w:hAnsi="Times New Roman" w:eastAsia="宋体" w:cs="Times New Roman"/>
                      <w:color w:val="auto"/>
                      <w:kern w:val="0"/>
                      <w:sz w:val="21"/>
                      <w:szCs w:val="21"/>
                      <w:highlight w:val="none"/>
                    </w:rPr>
                    <w:t>S测试、防毒、医疗、消防等应急设施，同时钻开气层前通知医疗、消防等方面</w:t>
                  </w:r>
                  <w:r>
                    <w:rPr>
                      <w:rFonts w:hint="default" w:ascii="Times New Roman" w:hAnsi="Times New Roman" w:eastAsia="宋体" w:cs="Times New Roman"/>
                      <w:color w:val="auto"/>
                      <w:kern w:val="0"/>
                      <w:sz w:val="21"/>
                      <w:szCs w:val="21"/>
                      <w:highlight w:val="none"/>
                      <w:lang w:eastAsia="zh-CN"/>
                    </w:rPr>
                    <w:t>救援</w:t>
                  </w:r>
                  <w:r>
                    <w:rPr>
                      <w:rFonts w:hint="default" w:ascii="Times New Roman" w:hAnsi="Times New Roman" w:eastAsia="宋体" w:cs="Times New Roman"/>
                      <w:color w:val="auto"/>
                      <w:kern w:val="0"/>
                      <w:sz w:val="21"/>
                      <w:szCs w:val="21"/>
                      <w:highlight w:val="none"/>
                    </w:rPr>
                    <w:t>力量及钻井队主管部门应急救援单位。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4"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报警、通讯联络方式</w:t>
                  </w:r>
                </w:p>
              </w:tc>
              <w:tc>
                <w:tcPr>
                  <w:tcW w:w="5880" w:type="dxa"/>
                  <w:shd w:val="clear" w:color="auto" w:fill="auto"/>
                  <w:vAlign w:val="top"/>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规定应急状态下的报警通讯方式、通知方式和交通保障、管制：协调井队通过广播系统和电话通知，至少在1个小组设立2个电话联络点，小组通知人员指定人员负责通知本小组内的</w:t>
                  </w:r>
                  <w:r>
                    <w:rPr>
                      <w:rFonts w:hint="default" w:ascii="Times New Roman" w:hAnsi="Times New Roman" w:eastAsia="宋体" w:cs="Times New Roman"/>
                      <w:color w:val="auto"/>
                      <w:sz w:val="21"/>
                      <w:szCs w:val="21"/>
                      <w:highlight w:val="none"/>
                    </w:rPr>
                    <w:t>工作人员</w:t>
                  </w:r>
                  <w:r>
                    <w:rPr>
                      <w:rFonts w:hint="default" w:ascii="Times New Roman" w:hAnsi="Times New Roman" w:eastAsia="宋体" w:cs="Times New Roman"/>
                      <w:color w:val="auto"/>
                      <w:kern w:val="0"/>
                      <w:sz w:val="21"/>
                      <w:szCs w:val="21"/>
                      <w:highlight w:val="none"/>
                    </w:rPr>
                    <w:t>，并电话通知当地交警队负责交通保障及管制，不允许非救援车辆进入井口周边区域。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c>
                <w:tcPr>
                  <w:tcW w:w="1068"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应急环境监测、抢险、救援及控制措施</w:t>
                  </w:r>
                </w:p>
              </w:tc>
              <w:tc>
                <w:tcPr>
                  <w:tcW w:w="5880"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环境应急监测可组织协调当地环境监测中心站监测，抢险、救助组织协调当地消防队、医院和钻井主管部门的应急队伍。控制措施主要由钻井队和其管理部门等</w:t>
                  </w:r>
                  <w:r>
                    <w:rPr>
                      <w:rFonts w:hint="eastAsia" w:ascii="Times New Roman" w:cs="Times New Roman"/>
                      <w:color w:val="auto"/>
                      <w:sz w:val="21"/>
                      <w:szCs w:val="21"/>
                      <w:highlight w:val="none"/>
                      <w:lang w:eastAsia="zh-CN"/>
                    </w:rPr>
                    <w:t>协商</w:t>
                  </w:r>
                  <w:r>
                    <w:rPr>
                      <w:rFonts w:hint="default" w:ascii="Times New Roman" w:hAnsi="Times New Roman" w:eastAsia="宋体" w:cs="Times New Roman"/>
                      <w:color w:val="auto"/>
                      <w:sz w:val="21"/>
                      <w:szCs w:val="21"/>
                      <w:highlight w:val="none"/>
                    </w:rPr>
                    <w:t>控制。</w:t>
                  </w:r>
                </w:p>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井喷失控的关键控制措施：应立即组织撤离井口周边500m的工作人员，同时保证井喷失控在5min内点火井口燃烧。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p>
              </w:tc>
              <w:tc>
                <w:tcPr>
                  <w:tcW w:w="1068"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应急检测、防护措施、清除泄漏措施和器材</w:t>
                  </w:r>
                </w:p>
              </w:tc>
              <w:tc>
                <w:tcPr>
                  <w:tcW w:w="5880"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事故现场、油井邻近区域、控制防火区域，控制和清除污染措施及相应设备的数量、使用方法、使用人员。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0"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w:t>
                  </w:r>
                </w:p>
              </w:tc>
              <w:tc>
                <w:tcPr>
                  <w:tcW w:w="1068"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人员紧急撤离、疏散，应急剂量控制、撤离组织计划</w:t>
                  </w:r>
                </w:p>
              </w:tc>
              <w:tc>
                <w:tcPr>
                  <w:tcW w:w="5880"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pacing w:val="-4"/>
                      <w:kern w:val="0"/>
                      <w:sz w:val="21"/>
                      <w:szCs w:val="21"/>
                      <w:highlight w:val="none"/>
                    </w:rPr>
                  </w:pPr>
                  <w:r>
                    <w:rPr>
                      <w:rFonts w:hint="default" w:ascii="Times New Roman" w:hAnsi="Times New Roman" w:eastAsia="宋体" w:cs="Times New Roman"/>
                      <w:color w:val="auto"/>
                      <w:spacing w:val="-4"/>
                      <w:kern w:val="0"/>
                      <w:sz w:val="21"/>
                      <w:szCs w:val="21"/>
                      <w:highlight w:val="none"/>
                    </w:rPr>
                    <w:t>紧急撤离区：井口附近的居民，撤离路线应根据钻井井场风险表，沿发生事故时的上</w:t>
                  </w:r>
                  <w:r>
                    <w:rPr>
                      <w:rFonts w:hint="default" w:ascii="Times New Roman" w:hAnsi="Times New Roman" w:eastAsia="宋体" w:cs="Times New Roman"/>
                      <w:color w:val="auto"/>
                      <w:spacing w:val="-4"/>
                      <w:kern w:val="0"/>
                      <w:sz w:val="21"/>
                      <w:szCs w:val="21"/>
                      <w:highlight w:val="none"/>
                      <w:lang w:eastAsia="zh-CN"/>
                    </w:rPr>
                    <w:t>风</w:t>
                  </w:r>
                  <w:r>
                    <w:rPr>
                      <w:rFonts w:hint="default" w:ascii="Times New Roman" w:hAnsi="Times New Roman" w:eastAsia="宋体" w:cs="Times New Roman"/>
                      <w:color w:val="auto"/>
                      <w:spacing w:val="-4"/>
                      <w:kern w:val="0"/>
                      <w:sz w:val="21"/>
                      <w:szCs w:val="21"/>
                      <w:highlight w:val="none"/>
                    </w:rPr>
                    <w:t>方向进行撤离。通过高音喇叭、广播、电话及时通知周边</w:t>
                  </w:r>
                  <w:r>
                    <w:rPr>
                      <w:rFonts w:hint="default" w:ascii="Times New Roman" w:hAnsi="Times New Roman" w:eastAsia="宋体" w:cs="Times New Roman"/>
                      <w:color w:val="auto"/>
                      <w:sz w:val="21"/>
                      <w:szCs w:val="21"/>
                      <w:highlight w:val="none"/>
                    </w:rPr>
                    <w:t>工作人员</w:t>
                  </w:r>
                  <w:r>
                    <w:rPr>
                      <w:rFonts w:hint="default" w:ascii="Times New Roman" w:hAnsi="Times New Roman" w:eastAsia="宋体" w:cs="Times New Roman"/>
                      <w:color w:val="auto"/>
                      <w:spacing w:val="-4"/>
                      <w:kern w:val="0"/>
                      <w:sz w:val="21"/>
                      <w:szCs w:val="21"/>
                      <w:highlight w:val="none"/>
                    </w:rPr>
                    <w:t>，保证全部及时通知撤离。</w:t>
                  </w:r>
                </w:p>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一般撤离区：一般撤离范围为井口周边2km，当发生井喷失控时，一般撤离范围可根据监测情况决定，在发生事故时应自发在应急组织机构的带领下及时撤离，撤离路线应根据钻井井场风向标，沿发生事故时的上风向进行撤离。应通过应急组织机构负责组织撤离，通过广播系统和电话系统通知，在通知撤离时由专业人员根据风向标说明撤离方向，可通过广播系统和电话系统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5"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w:t>
                  </w:r>
                </w:p>
              </w:tc>
              <w:tc>
                <w:tcPr>
                  <w:tcW w:w="1068" w:type="dxa"/>
                  <w:shd w:val="clear" w:color="auto" w:fill="auto"/>
                  <w:vAlign w:val="center"/>
                </w:tcPr>
                <w:p>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事故应急救援关闭程序与恢复措施</w:t>
                  </w:r>
                </w:p>
              </w:tc>
              <w:tc>
                <w:tcPr>
                  <w:tcW w:w="5880"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规定应急状态终止程序事故现场善后处理，恢复措施邻近区域解除事故警戒及善后恢复措施①井喷失控得到控制，伤亡人员得到全部救援和安置，危险区域的</w:t>
                  </w:r>
                  <w:r>
                    <w:rPr>
                      <w:rFonts w:hint="default" w:ascii="Times New Roman" w:hAnsi="Times New Roman" w:eastAsia="宋体" w:cs="Times New Roman"/>
                      <w:color w:val="auto"/>
                      <w:sz w:val="21"/>
                      <w:szCs w:val="21"/>
                      <w:highlight w:val="none"/>
                    </w:rPr>
                    <w:t>工作人员</w:t>
                  </w:r>
                  <w:r>
                    <w:rPr>
                      <w:rFonts w:hint="default" w:ascii="Times New Roman" w:hAnsi="Times New Roman" w:eastAsia="宋体" w:cs="Times New Roman"/>
                      <w:color w:val="auto"/>
                      <w:kern w:val="0"/>
                      <w:sz w:val="21"/>
                      <w:szCs w:val="21"/>
                      <w:highlight w:val="none"/>
                    </w:rPr>
                    <w:t>全部撤离②恢复措施：对事故伤亡情况进行统计，应做好详细的记录并存档，行政领导组应尽快协调各</w:t>
                  </w:r>
                  <w:r>
                    <w:rPr>
                      <w:rFonts w:hint="default" w:ascii="Times New Roman" w:hAnsi="Times New Roman" w:eastAsia="宋体" w:cs="Times New Roman"/>
                      <w:color w:val="auto"/>
                      <w:kern w:val="0"/>
                      <w:sz w:val="21"/>
                      <w:szCs w:val="21"/>
                      <w:highlight w:val="none"/>
                      <w:lang w:eastAsia="zh-CN"/>
                    </w:rPr>
                    <w:t>部门</w:t>
                  </w:r>
                  <w:r>
                    <w:rPr>
                      <w:rFonts w:hint="default" w:ascii="Times New Roman" w:hAnsi="Times New Roman" w:eastAsia="宋体" w:cs="Times New Roman"/>
                      <w:color w:val="auto"/>
                      <w:kern w:val="0"/>
                      <w:sz w:val="21"/>
                      <w:szCs w:val="21"/>
                      <w:highlight w:val="none"/>
                    </w:rPr>
                    <w:t>做好医疗救助工作，包括医疗经费的提供、受伤人员的住院安排与护理以及善后赔偿等；钻井队主管单位配合相关部门人员对受损设备尽快安排修复并投入生产使用。钻井队</w:t>
                  </w:r>
                  <w:r>
                    <w:rPr>
                      <w:rFonts w:hint="default" w:ascii="Times New Roman" w:hAnsi="Times New Roman" w:eastAsia="宋体" w:cs="Times New Roman"/>
                      <w:color w:val="auto"/>
                      <w:kern w:val="0"/>
                      <w:sz w:val="21"/>
                      <w:szCs w:val="21"/>
                      <w:highlight w:val="none"/>
                      <w:lang w:eastAsia="zh-CN"/>
                    </w:rPr>
                    <w:t>主管部门</w:t>
                  </w:r>
                  <w:r>
                    <w:rPr>
                      <w:rFonts w:hint="default" w:ascii="Times New Roman" w:hAnsi="Times New Roman" w:eastAsia="宋体" w:cs="Times New Roman"/>
                      <w:color w:val="auto"/>
                      <w:kern w:val="0"/>
                      <w:sz w:val="21"/>
                      <w:szCs w:val="21"/>
                      <w:highlight w:val="none"/>
                    </w:rPr>
                    <w:t>、政府成立事故调查小组，调查原因按四不放过原则进行事故处理，做出事故调查报告，同时总结事故教训，实行安全事故的教育培训，杜绝类似事件的再次发生。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应急</w:t>
                  </w:r>
                </w:p>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培训计划</w:t>
                  </w:r>
                </w:p>
              </w:tc>
              <w:tc>
                <w:tcPr>
                  <w:tcW w:w="5880"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应急计划制定后，平时安排人员培训与演练。着重在钻开含气层前的演练，井队安全监督要对井队全体员工进行应急救援培训，</w:t>
                  </w:r>
                  <w:r>
                    <w:rPr>
                      <w:rFonts w:hint="default" w:ascii="Times New Roman" w:hAnsi="Times New Roman" w:eastAsia="宋体" w:cs="Times New Roman"/>
                      <w:color w:val="auto"/>
                      <w:kern w:val="0"/>
                      <w:sz w:val="21"/>
                      <w:szCs w:val="21"/>
                      <w:highlight w:val="none"/>
                      <w:lang w:eastAsia="zh-CN"/>
                    </w:rPr>
                    <w:t>提高</w:t>
                  </w:r>
                  <w:r>
                    <w:rPr>
                      <w:rFonts w:hint="default" w:ascii="Times New Roman" w:hAnsi="Times New Roman" w:eastAsia="宋体" w:cs="Times New Roman"/>
                      <w:color w:val="auto"/>
                      <w:kern w:val="0"/>
                      <w:sz w:val="21"/>
                      <w:szCs w:val="21"/>
                      <w:highlight w:val="none"/>
                    </w:rPr>
                    <w:t>员工的应急救援能力，</w:t>
                  </w:r>
                  <w:r>
                    <w:rPr>
                      <w:rFonts w:hint="default" w:ascii="Times New Roman" w:hAnsi="Times New Roman" w:eastAsia="宋体" w:cs="Times New Roman"/>
                      <w:color w:val="auto"/>
                      <w:kern w:val="0"/>
                      <w:sz w:val="21"/>
                      <w:szCs w:val="21"/>
                      <w:highlight w:val="none"/>
                      <w:lang w:eastAsia="zh-CN"/>
                    </w:rPr>
                    <w:t>加强</w:t>
                  </w:r>
                  <w:r>
                    <w:rPr>
                      <w:rFonts w:hint="default" w:ascii="Times New Roman" w:hAnsi="Times New Roman" w:eastAsia="宋体" w:cs="Times New Roman"/>
                      <w:color w:val="auto"/>
                      <w:kern w:val="0"/>
                      <w:sz w:val="21"/>
                      <w:szCs w:val="21"/>
                      <w:highlight w:val="none"/>
                    </w:rPr>
                    <w:t>组织人员向井场附近居民宣传井喷的危害及相关知识，井队队长及安全员负责制定应急培训计划，定期对应急组织机构成员和应急保障系统、应急信息的有关人员进行综合性应急培训并做好培训记录。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11</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公众教育和信息</w:t>
                  </w:r>
                </w:p>
              </w:tc>
              <w:tc>
                <w:tcPr>
                  <w:tcW w:w="5880"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对勘探井邻近地区开展公众教育、培训和发布有关信息。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8" w:hRule="atLeast"/>
                <w:jc w:val="center"/>
              </w:trPr>
              <w:tc>
                <w:tcPr>
                  <w:tcW w:w="651"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w:t>
                  </w:r>
                </w:p>
              </w:tc>
              <w:tc>
                <w:tcPr>
                  <w:tcW w:w="1068"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夜间特别</w:t>
                  </w:r>
                </w:p>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管理机制</w:t>
                  </w:r>
                </w:p>
              </w:tc>
              <w:tc>
                <w:tcPr>
                  <w:tcW w:w="5880" w:type="dxa"/>
                  <w:shd w:val="clear" w:color="auto" w:fill="auto"/>
                  <w:vAlign w:val="center"/>
                </w:tcPr>
                <w:p>
                  <w:pPr>
                    <w:keepNext w:val="0"/>
                    <w:keepLines w:val="0"/>
                    <w:pageBreakBefore w:val="0"/>
                    <w:widowControl w:val="0"/>
                    <w:suppressLineNumbers w:val="0"/>
                    <w:kinsoku/>
                    <w:wordWrap/>
                    <w:overflowPunct/>
                    <w:topLinePunct w:val="0"/>
                    <w:bidi w:val="0"/>
                    <w:snapToGrid/>
                    <w:spacing w:before="0" w:beforeAutospacing="0" w:after="0" w:afterAutospacing="0" w:line="356" w:lineRule="exact"/>
                    <w:ind w:left="0" w:leftChars="0" w:right="0" w:rightChars="0"/>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井场配备高音喇叭、防爆灯具，以便夜间事故及时通知周边较近距离的</w:t>
                  </w:r>
                  <w:r>
                    <w:rPr>
                      <w:rFonts w:hint="default" w:ascii="Times New Roman" w:hAnsi="Times New Roman" w:eastAsia="宋体" w:cs="Times New Roman"/>
                      <w:color w:val="auto"/>
                      <w:sz w:val="21"/>
                      <w:szCs w:val="21"/>
                      <w:highlight w:val="none"/>
                    </w:rPr>
                    <w:t>工作人员</w:t>
                  </w:r>
                  <w:r>
                    <w:rPr>
                      <w:rFonts w:hint="default" w:ascii="Times New Roman" w:hAnsi="Times New Roman" w:eastAsia="宋体" w:cs="Times New Roman"/>
                      <w:color w:val="auto"/>
                      <w:kern w:val="0"/>
                      <w:sz w:val="21"/>
                      <w:szCs w:val="21"/>
                      <w:highlight w:val="none"/>
                    </w:rPr>
                    <w:t>，防爆灯具应布置在井场内风向标处，以便井场人员判断风向。井场实行轮班制度，保证夜间各岗位有相应值班人员。</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8.3.2 井喷及井喷失控应急处理预案</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根据事态发展变化情况，事故现场抢险指挥部根据应急领导小组的指令并在充分考虑专家和有关意见的基础上，依法采取紧急措施，并注意做好以下工作：</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（1）井喷失控后严防着火和爆炸，应立即停钻机，切断井架、钻台、机泵房等处全部用电设备的电源，熄灭一切火源，需要时打开专用探照灯</w:t>
            </w:r>
            <w:r>
              <w:rPr>
                <w:rFonts w:hint="default" w:ascii="Times New Roman" w:hAnsi="Times New Roman" w:eastAsia="宋体" w:cs="Times New Roman"/>
                <w:color w:val="auto"/>
                <w:spacing w:val="0"/>
                <w:kern w:val="21"/>
                <w:sz w:val="24"/>
                <w:szCs w:val="24"/>
                <w:highlight w:val="none"/>
                <w:lang w:val="en-US" w:eastAsia="zh-CN"/>
              </w:rPr>
              <w:t>，</w:t>
            </w:r>
            <w:r>
              <w:rPr>
                <w:rFonts w:hint="default" w:ascii="Times New Roman" w:hAnsi="Times New Roman" w:eastAsia="宋体" w:cs="Times New Roman"/>
                <w:color w:val="auto"/>
                <w:sz w:val="24"/>
                <w:szCs w:val="32"/>
                <w:highlight w:val="none"/>
              </w:rPr>
              <w:t>井场四周设置围堤，防止喷出物污染环境</w:t>
            </w:r>
            <w:r>
              <w:rPr>
                <w:rFonts w:hint="default" w:ascii="Times New Roman" w:hAnsi="Times New Roman" w:eastAsia="宋体" w:cs="Times New Roman"/>
                <w:color w:val="auto"/>
                <w:sz w:val="24"/>
                <w:szCs w:val="32"/>
                <w:highlight w:val="none"/>
                <w:lang w:eastAsia="zh-CN"/>
              </w:rPr>
              <w:t>，</w:t>
            </w:r>
            <w:r>
              <w:rPr>
                <w:rFonts w:hint="default" w:ascii="Times New Roman" w:hAnsi="Times New Roman" w:eastAsia="宋体" w:cs="Times New Roman"/>
                <w:color w:val="auto"/>
                <w:sz w:val="24"/>
                <w:szCs w:val="32"/>
                <w:highlight w:val="none"/>
              </w:rPr>
              <w:t>依据井喷事件程度确定警戒范围，撤离无关人员。</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（2）迅速成立现场抢险领导小组，根据失控状况制定抢险方案，统一指挥、组织和协调抢险工作。抢险方案制定及实施，要把环境保护同时考虑，同时实施，防止出现次生环境事故。</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（3）井喷发生后，及时安排消防车、救护车、医护人员和技安人员到现场。</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（4）在事故处理结束后，确认作业现场及其周围环境安全的情况下，商定警戒解除及工作人员的返回时间。</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8.3.3 井喷应急疏散预案</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当井喷失控时，应立即疏散可能受影响的工作人员，根据监测情况，考虑风向、地形、受污染程度等情况及时</w:t>
            </w:r>
            <w:r>
              <w:rPr>
                <w:rFonts w:hint="eastAsia" w:ascii="Times New Roman" w:eastAsia="宋体" w:cs="Times New Roman"/>
                <w:color w:val="auto"/>
                <w:kern w:val="21"/>
                <w:sz w:val="24"/>
                <w:szCs w:val="24"/>
                <w:highlight w:val="none"/>
                <w:lang w:val="en-US" w:eastAsia="zh-CN"/>
              </w:rPr>
              <w:t>做出</w:t>
            </w:r>
            <w:r>
              <w:rPr>
                <w:rFonts w:hint="default" w:ascii="Times New Roman" w:hAnsi="Times New Roman" w:eastAsia="宋体" w:cs="Times New Roman"/>
                <w:color w:val="auto"/>
                <w:kern w:val="21"/>
                <w:sz w:val="24"/>
                <w:szCs w:val="24"/>
                <w:highlight w:val="none"/>
                <w:lang w:val="en-US" w:eastAsia="zh-CN"/>
              </w:rPr>
              <w:t>风险和危害程度评估，决定是否扩大撤离范围。</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为了保障每位工作人员的生命安全，应按正确的方法和方向撤离，每位接到撤离通知的工作人员应按下列程序撤离。</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（1）井队员工由井队组织撤离；</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（2）拉起警戒线，撤离与抢险急救无关人员；</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（3）逃生时要注意风向，一要沿上风（逆风）方向逃生，二要沿着地面上的高处跑；</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（4）时间就是生命，紧急逃生时，不要因贵重物品等事宜延误时间，并且要轻装撤离逃生；</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21"/>
                <w:sz w:val="24"/>
                <w:szCs w:val="24"/>
                <w:highlight w:val="none"/>
                <w:lang w:val="en-US" w:eastAsia="zh-CN"/>
              </w:rPr>
              <w:t>（5）当所处位置离井场很远时，向偏离风向往离井场越来越远的方向逃生即可。</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8.3.4三级防控</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勘探井三级防控体系，是针对勘探钻井作业全过程，按照风险发生顺序建立的三道防线，实现污染物从产生、扩散到应急封堵的分级管控，防范钻井废液、落地原油、含油岩屑、井喷流体进入土壤、地表水、地下水环境；同时配套井控安全管控，将环境风险与井控风险结合。</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一级防控：源头控制（第一道防线，预防，不让污染物出来）；</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二级防控：过程拦截（第二道防线，发生泄漏后，控制在井场范围内不外溢）；</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三级防控：末端应急（第三道防线，一二级失效时，应急收容、封堵，防止场外扩散）。</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8.3.4.1一级防控（源头预防，第一道防线）</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主动预防，从源头减少污染物产生、杜绝泄漏发生。优先管控，正常工况下依靠本层防线。</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①井控源头管控</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钻井设计阶段开展地层压力预测，合理确定井身结构、套管程序，做好压力剖面设计；优选钻井液体系，做好防漏、防涌设计。</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配备、安装、试压井口井控装备（防喷器组、节流管汇、压井管汇、液控系统），按规范定期检验试压。</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落实坐岗制度，实时监测泥浆池液面、进出口流量、气测值，早发现溢流。</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②现场污染物源头控制</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井场硬化：钻井平台、循环罐区、油品药剂区做防渗硬化，防渗层满足规范要求。</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密闭循环系统：钻井液采用密闭循环罐，钻井液不落地工艺，减少钻井废液落地。</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物料分区存放：柴油、润滑油、化学处理剂置于防渗托盘/防渗围堰内；含油岩屑及时密闭收集。</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设备维护：钻井泵、管线、接头定期巡检，防止跑冒滴漏；严禁随意排放废液。</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8.3.4.2二级防控（过程拦截，第二道防线）</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一级防控失效，发生少量泄漏、溢流、井内流体渗出时，在井场内部拦截，污染物不流出井场范围。</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①井场集排防渗设施</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井场设置环形防渗沟、导排沟，所有硬化区的渗漏、溢液依靠导排沟汇入应急废液池（收集池）。</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钻井液循环罐区、油料区周边设置防渗围堰，罐区泄漏液体限制在围堰内部。</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配套收集池，容积按照最大可能泄漏量核算，防渗结构完整，可临时储存泄漏钻井液、落地油、污水。</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②井控应急前置措施</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发生溢流、井涌，立即关井，通过节流管汇循环压井，将流体控制在井控系统内；</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一旦有流体从井口、管线溢出，导流设施快速将液体导入收集池，不漫流到场外土壤、沟渠。</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③日常管理</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定期检查围堰、导排沟、收集池，清理淤泥杂物，保证导排通畅；雨季提前检查，防止雨水漫顶。</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8.3.4.3三级防控（末端兜底，第三道防线）</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一、二级防控全部失效，发生大规模井喷、大量原油/钻井液外泄，井场内围堰、收集池容纳不下时，启动场外/大范围应急封堵，阻止污染物进入外环境（河流、水塘、农田、地下水）。</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①工程应急封堵设施</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井场外围预设应急挡水坝、截污堰、土工膜围隔，根据地形沿下游、地表径流方向布设；</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准备应急物资：防渗土工膜、吸油毡、沙袋、围油栏、抽液泵、应急储液罐。</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②应急处置程序</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发生大面积泄漏/井喷失控，立即启动应急预案，人员撤离至上风安全区域；</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在污染物扩散下游快速构筑沙袋截污坝、铺设土工膜，切断扩散通道；</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使用围油栏拦截浮油，吸油毡吸附油品，泵抽废液转移至应急储存容器，防止进入水体。</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同步上报，联动应急、环保、井控专业队伍实施压井、污染物回收、土壤清理。</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8.3.5宣传、培训和演习</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（1）培训。石油天然气开采有关应急救援队伍按照有关规定参加业务培训；石油天然气开采企业按照有关规定对员工进行应急培训；各级应急救援管理机构加强应急管理、救援人员的上岗前培训和常规性培训。</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（2）演习。中国石油天然气股份有限公司塔里木油田分公司及所属单位每年至少组织一次井喷失控事故应急的桌面演习或全面演习，并将演习总结报应急办公室。</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8.3.6风险管理措施</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为加强环境风险预防措施，在工程施工期间对人员管理应做好以下几个方面：</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（1）加强各级干部、职工的风险意识和环境意识教育，增强环保意识。建立健全了各种规章制度、规程，使制度落到实处，严格遵守，杜绝违章作业。</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（2）强化岗位责任制，严格各项操作规程和奖惩制度，对生产操作的工人必须培训经考核后上岗，使其了解工艺过程，熟悉操作规程，对各种情况能进行正确判断，并严格遵守开、停工规程。</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（3）对事故易发部位、易泄漏地点，除本岗工人及时检查外，应设巡检员。对工程具有较大危险因素的重点部位（如：井控装置、储罐等）进行必要的定期巡检。</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（4）施工、设备、材料应按规章进行认真的检查、验收。设计、工艺、管理三部门通力合作，严防不合格设备、材料蒙混过关。</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（5）提高自动化水平保证各系统在优化和安全状态下进行操作。</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（6）对研究各种典型的事故要注意研究，充分吸取教训，并注意在技术措施上的改进和防范，尽可能减少人为的烦琐操作过程。</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（7）加强油地互动，宣传有关环保知识及法律法规，建立联合防范体系，杜绝人为破坏</w:t>
            </w:r>
            <w:r>
              <w:rPr>
                <w:rFonts w:hint="default" w:ascii="Times New Roman" w:hAnsi="Times New Roman" w:eastAsia="宋体" w:cs="Times New Roman"/>
                <w:b w:val="0"/>
                <w:bCs/>
                <w:color w:val="auto"/>
                <w:kern w:val="21"/>
                <w:sz w:val="24"/>
                <w:szCs w:val="24"/>
                <w:highlight w:val="none"/>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9、环境管理及监测计划</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（1）建立和实施施工作业队伍的HSE管理体系。</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（2）实施施工作业环境监理制度，以确保施工作业对生态环境造成的破坏降到最低限度。</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80" w:firstLineChars="200"/>
              <w:textAlignment w:val="auto"/>
              <w:rPr>
                <w:rFonts w:hint="default" w:ascii="Times New Roman" w:hAnsi="Times New Roman" w:eastAsia="宋体" w:cs="Times New Roman"/>
                <w:color w:val="0000FF"/>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（3）本项目仅涉及施工期，因此针对施工期临时占地区域植被恢复情况进行生态监测，监测因子为植被恢复效果，纳入竣工环境保护验收监测。植被恢复质量标准：临时占地植被恢复至原状态。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40" w:hRule="atLeast"/>
          <w:jc w:val="center"/>
        </w:trPr>
        <w:tc>
          <w:tcPr>
            <w:tcW w:w="899" w:type="dxa"/>
            <w:noWrap w:val="0"/>
            <w:tcMar>
              <w:left w:w="108" w:type="dxa"/>
              <w:right w:w="108" w:type="dxa"/>
            </w:tcMar>
            <w:vAlign w:val="center"/>
          </w:tcPr>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80" w:lineRule="exact"/>
              <w:ind w:left="0" w:leftChars="0" w:right="0" w:firstLine="0" w:firstLineChars="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kern w:val="21"/>
                <w:sz w:val="24"/>
                <w:szCs w:val="24"/>
                <w:highlight w:val="none"/>
                <w:lang w:val="en-US" w:eastAsia="zh-CN"/>
              </w:rPr>
              <w:t>运营</w:t>
            </w:r>
            <w:r>
              <w:rPr>
                <w:rFonts w:hint="default" w:ascii="Times New Roman" w:hAnsi="Times New Roman" w:eastAsia="宋体" w:cs="Times New Roman"/>
                <w:color w:val="auto"/>
                <w:szCs w:val="21"/>
                <w:highlight w:val="none"/>
              </w:rPr>
              <w:t>期生态环境保护措施</w:t>
            </w:r>
          </w:p>
        </w:tc>
        <w:tc>
          <w:tcPr>
            <w:tcW w:w="8187" w:type="dxa"/>
            <w:noWrap w:val="0"/>
            <w:tcMar>
              <w:left w:w="108" w:type="dxa"/>
              <w:right w:w="108" w:type="dxa"/>
            </w:tcMar>
            <w:vAlign w:val="center"/>
          </w:tcPr>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80" w:lineRule="exact"/>
              <w:ind w:left="0" w:leftChars="0" w:right="0" w:firstLine="420"/>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kern w:val="21"/>
                <w:sz w:val="24"/>
                <w:szCs w:val="24"/>
                <w:highlight w:val="none"/>
                <w:lang w:val="en-US" w:eastAsia="zh-CN"/>
              </w:rPr>
              <w:t>工程不涉及运营期，因此不对运营期进行生态环境保护措施分析。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99" w:type="dxa"/>
            <w:noWrap w:val="0"/>
            <w:tcMar>
              <w:left w:w="108" w:type="dxa"/>
              <w:right w:w="108" w:type="dxa"/>
            </w:tcMar>
            <w:vAlign w:val="center"/>
          </w:tcPr>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szCs w:val="21"/>
                <w:highlight w:val="none"/>
              </w:rPr>
              <w:t>其他</w:t>
            </w:r>
          </w:p>
        </w:tc>
        <w:tc>
          <w:tcPr>
            <w:tcW w:w="8187" w:type="dxa"/>
            <w:noWrap w:val="0"/>
            <w:tcMar>
              <w:left w:w="108" w:type="dxa"/>
              <w:right w:w="108" w:type="dxa"/>
            </w:tcMar>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1、封井环境影响保护措施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1.1 封井环境空气保护措施</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（1）封井废气主要是施工过程中产生的扬尘，要求封井作业时，采取洒水抑尘的降尘措施，同时要求严禁在大风天气进行作业。</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（2）运输车辆使用符合国家标准的油品。</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（3）封井施工过程中，应加强施工质量管理，避免出现封井不严等非正常工况的烃类等其他物质泄漏。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1.2 封井水环境污染防治措施</w:t>
            </w:r>
          </w:p>
          <w:p>
            <w:pPr>
              <w:pStyle w:val="63"/>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leftChars="0" w:right="0" w:firstLine="420"/>
              <w:textAlignment w:val="auto"/>
              <w:rPr>
                <w:rFonts w:hint="default" w:ascii="Times New Roman" w:hAnsi="Times New Roman" w:eastAsia="宋体" w:cs="Times New Roman"/>
                <w:color w:val="auto"/>
                <w:kern w:val="21"/>
                <w:sz w:val="24"/>
                <w:szCs w:val="24"/>
                <w:highlight w:val="none"/>
                <w:lang w:val="en-US" w:eastAsia="zh-CN"/>
              </w:rPr>
            </w:pPr>
            <w:r>
              <w:rPr>
                <w:rFonts w:hint="default" w:ascii="Times New Roman" w:hAnsi="Times New Roman" w:eastAsia="宋体" w:cs="Times New Roman"/>
                <w:color w:val="auto"/>
                <w:kern w:val="21"/>
                <w:sz w:val="24"/>
                <w:szCs w:val="24"/>
                <w:highlight w:val="none"/>
                <w:lang w:val="en-US" w:eastAsia="zh-CN"/>
              </w:rPr>
              <w:t>封井无废水污染物产生，要求在闭井作业过程中，严格按照《废弃井封井回填技术指南（试行）》（环办土壤函〔2020〕72号）、《废弃井及长停井处置指南》（SY/T6646-2017）要求进行施工作业，首先进行井场进行环境风险评估，根据评估等级分别采用不同的固井、封井方式，确保固井、封井措施的有效性，避免发生油水窜层。坚持“预防为主、防治结合、过程控制”的原则，将生态环境保护与恢复治理贯穿开采的全过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1.3 封井噪声防治措施</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（1）选用低噪声机械和车辆。</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（2）加强设备检查维修，保证其正常运行。</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（3）加强运输车辆管理，合理规划运输路线，禁止运输车辆随意高声鸣笛。</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1.4 封井固体废物处置措施</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（1）地面设施拆除、井场清理等工作中会产生废弃建筑残渣，应集中清理收集。废弃建筑残渣等收集后送垃圾填埋场妥善处理。</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（2）对应封堵的井拆除井口装置，清理场地，清除各种固体废弃物，施工结束后及时恢复原状。</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（3）运输过程中，运输车辆均加盖篷布，以防止行驶过程中固体废物的散落。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textAlignment w:val="auto"/>
              <w:rPr>
                <w:rFonts w:hint="default" w:ascii="Times New Roman" w:hAnsi="Times New Roman" w:eastAsia="宋体" w:cs="Times New Roman"/>
                <w:b/>
                <w:color w:val="auto"/>
                <w:sz w:val="24"/>
                <w:szCs w:val="20"/>
                <w:highlight w:val="none"/>
                <w:lang w:val="en-US" w:eastAsia="zh-CN"/>
              </w:rPr>
            </w:pPr>
            <w:r>
              <w:rPr>
                <w:rFonts w:hint="default" w:ascii="Times New Roman" w:hAnsi="Times New Roman" w:eastAsia="宋体" w:cs="Times New Roman"/>
                <w:b/>
                <w:color w:val="auto"/>
                <w:sz w:val="24"/>
                <w:szCs w:val="20"/>
                <w:highlight w:val="none"/>
                <w:lang w:val="en-US" w:eastAsia="zh-CN"/>
              </w:rPr>
              <w:t>1.5 封井生态恢复措施</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后期按照《矿山生态环境保护与恢复治理技术规范（试行）》（HJ651-2013）、《石油天然气项目土地复垦与生态修复技术规范》（GB/T 43936-2024）、《陆上石油天然气开采业绿色矿山建设规范》（DZ/T0317-2018）、《废弃井封井回填技术指南（试行）》（环办土壤函〔2020〕72号）、《废弃井及长停井处置指南》（SY/T6646-2017）的相关要求对井口进行封堵，并对井场后期根据景观相似原则，对探矿活动造成的土壤、植被和地表景观破坏进行恢复，恢复至原貌。采取的生态恢复措施如下：</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（1）各种机动车辆固定线路，禁止随意开路。</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（2）严格按照《废弃井及长停井处置指南》（SY/T6646-2017）相关要求，先封堵内外井眼，拆除井口装置，拆除地面设施、清理井场、清除各种固体废物等，拆除的报废设备和建筑废料等由建设单位进行回收处置。</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（3）保证封井措施有效可行，防止窜层，产生二次污染。</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（4）将井场占地范围内的水泥平台和砂砾石路面进行清理，然后根据周边区域的自然现状对其进行恢复，使井场恢复到相对自然的一种状态。</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（5）临时占地范围不具备植被恢复条件的，建议保留井口水泥底座，以防止沙化，起到防沙固沙作用。</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kern w:val="21"/>
                <w:sz w:val="24"/>
                <w:szCs w:val="24"/>
                <w:highlight w:val="none"/>
                <w:lang w:val="en-US" w:eastAsia="zh-CN" w:bidi="ar-SA"/>
              </w:rPr>
            </w:pPr>
            <w:r>
              <w:rPr>
                <w:rFonts w:hint="default" w:ascii="Times New Roman" w:hAnsi="Times New Roman" w:eastAsia="宋体" w:cs="Times New Roman"/>
                <w:color w:val="auto"/>
                <w:kern w:val="21"/>
                <w:sz w:val="24"/>
                <w:szCs w:val="24"/>
                <w:highlight w:val="none"/>
                <w:lang w:val="en-US" w:eastAsia="zh-CN" w:bidi="ar-SA"/>
              </w:rPr>
              <w:t>（6）通过宣传教育的形式，使施工工作人员对在项目区生存的野生动物及植物有基本的认识与了解。加强对《中华人民共和国野生动物保护法》和《中华人民共和国野生植物保护条例》的普及、教育工作，强化保护野生动植物的观念。通过采取以上生态保护措施，对于减少植被破坏、减缓水土流失、抵制荒漠化发展起到了一定的积极作用，可有效保护脆弱的荒漠生态环境。</w:t>
            </w:r>
          </w:p>
          <w:p>
            <w:pPr>
              <w:pStyle w:val="24"/>
              <w:keepNext w:val="0"/>
              <w:keepLines w:val="0"/>
              <w:suppressLineNumbers w:val="0"/>
              <w:spacing w:before="0" w:beforeAutospacing="0" w:after="0" w:afterAutospacing="0"/>
              <w:ind w:left="0" w:right="0"/>
              <w:rPr>
                <w:rFonts w:hint="default" w:ascii="Times New Roman" w:hAnsi="Times New Roman" w:eastAsia="宋体" w:cs="Times New Roman"/>
                <w:color w:val="auto"/>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9" w:type="dxa"/>
            <w:noWrap w:val="0"/>
            <w:tcMar>
              <w:left w:w="108" w:type="dxa"/>
              <w:right w:w="108" w:type="dxa"/>
            </w:tcMar>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440" w:lineRule="exact"/>
              <w:ind w:left="0" w:right="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kern w:val="21"/>
                <w:sz w:val="24"/>
                <w:szCs w:val="24"/>
                <w:highlight w:val="none"/>
                <w:lang w:val="en-US" w:eastAsia="zh-CN" w:bidi="ar-SA"/>
              </w:rPr>
              <w:t>环保投资</w:t>
            </w:r>
          </w:p>
        </w:tc>
        <w:tc>
          <w:tcPr>
            <w:tcW w:w="8187" w:type="dxa"/>
            <w:noWrap w:val="0"/>
            <w:tcMar>
              <w:left w:w="108" w:type="dxa"/>
              <w:right w:w="108" w:type="dxa"/>
            </w:tcMar>
            <w:vAlign w:val="top"/>
          </w:tcPr>
          <w:p>
            <w:pPr>
              <w:keepNext w:val="0"/>
              <w:keepLines w:val="0"/>
              <w:suppressLineNumbers w:val="0"/>
              <w:spacing w:before="0" w:beforeAutospacing="0" w:after="0" w:afterAutospacing="0" w:line="440" w:lineRule="exact"/>
              <w:ind w:left="0" w:right="0"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表5-3    环保投资一览表</w:t>
            </w:r>
          </w:p>
          <w:tbl>
            <w:tblPr>
              <w:tblStyle w:val="32"/>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381"/>
              <w:gridCol w:w="1"/>
              <w:gridCol w:w="818"/>
              <w:gridCol w:w="432"/>
              <w:gridCol w:w="1267"/>
              <w:gridCol w:w="996"/>
              <w:gridCol w:w="1194"/>
              <w:gridCol w:w="883"/>
              <w:gridCol w:w="197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
                      <w:bCs/>
                      <w:color w:val="auto"/>
                      <w:spacing w:val="-10"/>
                      <w:sz w:val="21"/>
                      <w:szCs w:val="21"/>
                      <w:highlight w:val="none"/>
                    </w:rPr>
                  </w:pPr>
                  <w:r>
                    <w:rPr>
                      <w:rFonts w:hint="default" w:ascii="Times New Roman" w:hAnsi="Times New Roman" w:eastAsia="宋体" w:cs="Times New Roman"/>
                      <w:b/>
                      <w:bCs/>
                      <w:color w:val="auto"/>
                      <w:spacing w:val="-10"/>
                      <w:sz w:val="21"/>
                      <w:szCs w:val="21"/>
                      <w:highlight w:val="none"/>
                    </w:rPr>
                    <w:t>类别</w:t>
                  </w: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
                      <w:bCs/>
                      <w:color w:val="auto"/>
                      <w:spacing w:val="-10"/>
                      <w:sz w:val="21"/>
                      <w:szCs w:val="21"/>
                      <w:highlight w:val="none"/>
                    </w:rPr>
                  </w:pPr>
                  <w:r>
                    <w:rPr>
                      <w:rFonts w:hint="default" w:ascii="Times New Roman" w:hAnsi="Times New Roman" w:eastAsia="宋体" w:cs="Times New Roman"/>
                      <w:b/>
                      <w:bCs/>
                      <w:color w:val="auto"/>
                      <w:spacing w:val="-10"/>
                      <w:sz w:val="21"/>
                      <w:szCs w:val="21"/>
                      <w:highlight w:val="none"/>
                    </w:rPr>
                    <w:t>污染源</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
                      <w:bCs/>
                      <w:color w:val="auto"/>
                      <w:spacing w:val="-10"/>
                      <w:sz w:val="21"/>
                      <w:szCs w:val="21"/>
                      <w:highlight w:val="none"/>
                    </w:rPr>
                  </w:pPr>
                  <w:r>
                    <w:rPr>
                      <w:rFonts w:hint="default" w:ascii="Times New Roman" w:hAnsi="Times New Roman" w:eastAsia="宋体" w:cs="Times New Roman"/>
                      <w:b/>
                      <w:bCs/>
                      <w:color w:val="auto"/>
                      <w:spacing w:val="-10"/>
                      <w:sz w:val="21"/>
                      <w:szCs w:val="21"/>
                      <w:highlight w:val="none"/>
                    </w:rPr>
                    <w:t>环保措施</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
                      <w:bCs/>
                      <w:color w:val="auto"/>
                      <w:spacing w:val="-10"/>
                      <w:sz w:val="21"/>
                      <w:szCs w:val="21"/>
                      <w:highlight w:val="none"/>
                    </w:rPr>
                  </w:pPr>
                  <w:r>
                    <w:rPr>
                      <w:rFonts w:hint="default" w:ascii="Times New Roman" w:hAnsi="Times New Roman" w:eastAsia="宋体" w:cs="Times New Roman"/>
                      <w:b/>
                      <w:bCs/>
                      <w:color w:val="auto"/>
                      <w:spacing w:val="-10"/>
                      <w:sz w:val="21"/>
                      <w:szCs w:val="21"/>
                      <w:highlight w:val="none"/>
                    </w:rPr>
                    <w:t>治理效果</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
                      <w:bCs/>
                      <w:color w:val="auto"/>
                      <w:spacing w:val="-10"/>
                      <w:sz w:val="21"/>
                      <w:szCs w:val="21"/>
                      <w:highlight w:val="none"/>
                    </w:rPr>
                  </w:pPr>
                  <w:r>
                    <w:rPr>
                      <w:rFonts w:hint="default" w:ascii="Times New Roman" w:hAnsi="Times New Roman" w:eastAsia="宋体" w:cs="Times New Roman"/>
                      <w:b/>
                      <w:bCs/>
                      <w:color w:val="auto"/>
                      <w:spacing w:val="-10"/>
                      <w:sz w:val="21"/>
                      <w:szCs w:val="21"/>
                      <w:highlight w:val="none"/>
                    </w:rPr>
                    <w:t>投资</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
                      <w:bCs/>
                      <w:color w:val="auto"/>
                      <w:spacing w:val="-10"/>
                      <w:sz w:val="21"/>
                      <w:szCs w:val="21"/>
                      <w:highlight w:val="none"/>
                    </w:rPr>
                  </w:pPr>
                  <w:r>
                    <w:rPr>
                      <w:rFonts w:hint="default" w:ascii="Times New Roman" w:hAnsi="Times New Roman" w:eastAsia="宋体" w:cs="Times New Roman"/>
                      <w:b/>
                      <w:bCs/>
                      <w:color w:val="auto"/>
                      <w:spacing w:val="-10"/>
                      <w:sz w:val="21"/>
                      <w:szCs w:val="21"/>
                      <w:highlight w:val="none"/>
                    </w:rPr>
                    <w:t>（万元）</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
                      <w:bCs/>
                      <w:color w:val="auto"/>
                      <w:spacing w:val="-10"/>
                      <w:sz w:val="21"/>
                      <w:szCs w:val="21"/>
                      <w:highlight w:val="none"/>
                    </w:rPr>
                  </w:pPr>
                  <w:r>
                    <w:rPr>
                      <w:rFonts w:hint="default" w:ascii="Times New Roman" w:hAnsi="Times New Roman" w:eastAsia="宋体" w:cs="Times New Roman"/>
                      <w:b/>
                      <w:bCs/>
                      <w:color w:val="auto"/>
                      <w:spacing w:val="-10"/>
                      <w:sz w:val="21"/>
                      <w:szCs w:val="21"/>
                      <w:highlight w:val="none"/>
                    </w:rPr>
                    <w:t>验收标准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restart"/>
                  <w:tcBorders>
                    <w:left w:val="single" w:color="auto" w:sz="4" w:space="0"/>
                  </w:tcBorders>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废气</w:t>
                  </w: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柴油发电机</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lang w:bidi="ar"/>
                    </w:rPr>
                    <w:t>烟气</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柴油发电机定期检修、运行良好，燃用符合质量标准的燃料</w:t>
                  </w:r>
                  <w:r>
                    <w:rPr>
                      <w:rFonts w:hint="default" w:ascii="Times New Roman" w:hAnsi="Times New Roman" w:eastAsia="宋体" w:cs="Times New Roman"/>
                      <w:color w:val="auto"/>
                      <w:spacing w:val="-10"/>
                      <w:sz w:val="21"/>
                      <w:szCs w:val="21"/>
                      <w:highlight w:val="none"/>
                      <w:lang w:eastAsia="zh-CN"/>
                    </w:rPr>
                    <w:t>。</w:t>
                  </w:r>
                </w:p>
              </w:tc>
              <w:tc>
                <w:tcPr>
                  <w:tcW w:w="750" w:type="pct"/>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leftChars="0" w:right="0" w:rightChars="0"/>
                    <w:jc w:val="center"/>
                    <w:rPr>
                      <w:rFonts w:hint="default" w:ascii="Times New Roman" w:hAnsi="Times New Roman" w:eastAsia="宋体" w:cs="Times New Roman"/>
                      <w:color w:val="auto"/>
                      <w:spacing w:val="-10"/>
                      <w:kern w:val="0"/>
                      <w:sz w:val="21"/>
                      <w:szCs w:val="21"/>
                      <w:highlight w:val="none"/>
                      <w:lang w:val="en-US" w:eastAsia="zh-CN" w:bidi="ar-SA"/>
                    </w:rPr>
                  </w:pPr>
                  <w:r>
                    <w:rPr>
                      <w:rFonts w:hint="eastAsia" w:ascii="Times New Roman" w:cs="Times New Roman"/>
                      <w:color w:val="auto"/>
                      <w:spacing w:val="-10"/>
                      <w:kern w:val="0"/>
                      <w:sz w:val="21"/>
                      <w:szCs w:val="21"/>
                      <w:highlight w:val="none"/>
                      <w:lang w:val="en-US" w:eastAsia="zh-CN"/>
                    </w:rPr>
                    <w:t>二氧化硫</w:t>
                  </w:r>
                  <w:r>
                    <w:rPr>
                      <w:rFonts w:hint="default" w:ascii="Times New Roman" w:hAnsi="Times New Roman" w:eastAsia="宋体" w:cs="Times New Roman"/>
                      <w:color w:val="auto"/>
                      <w:spacing w:val="-10"/>
                      <w:kern w:val="0"/>
                      <w:sz w:val="21"/>
                      <w:szCs w:val="21"/>
                      <w:highlight w:val="none"/>
                    </w:rPr>
                    <w:t>≤</w:t>
                  </w:r>
                  <w:r>
                    <w:rPr>
                      <w:rFonts w:hint="eastAsia" w:ascii="Times New Roman" w:cs="Times New Roman"/>
                      <w:color w:val="auto"/>
                      <w:spacing w:val="-10"/>
                      <w:kern w:val="0"/>
                      <w:sz w:val="21"/>
                      <w:szCs w:val="21"/>
                      <w:highlight w:val="none"/>
                      <w:lang w:val="en-US" w:eastAsia="zh-CN"/>
                    </w:rPr>
                    <w:t>0.4</w:t>
                  </w:r>
                  <w:r>
                    <w:rPr>
                      <w:rFonts w:hint="default" w:ascii="Times New Roman" w:hAnsi="Times New Roman" w:eastAsia="宋体" w:cs="Times New Roman"/>
                      <w:color w:val="auto"/>
                      <w:spacing w:val="-10"/>
                      <w:sz w:val="21"/>
                      <w:szCs w:val="21"/>
                      <w:highlight w:val="none"/>
                      <w:lang w:bidi="ar"/>
                    </w:rPr>
                    <w:t>mg/m</w:t>
                  </w:r>
                  <w:r>
                    <w:rPr>
                      <w:rFonts w:hint="default" w:ascii="Times New Roman" w:hAnsi="Times New Roman" w:eastAsia="宋体" w:cs="Times New Roman"/>
                      <w:color w:val="auto"/>
                      <w:spacing w:val="-10"/>
                      <w:sz w:val="21"/>
                      <w:szCs w:val="21"/>
                      <w:highlight w:val="none"/>
                      <w:vertAlign w:val="superscript"/>
                      <w:lang w:bidi="ar"/>
                    </w:rPr>
                    <w:t>3</w:t>
                  </w:r>
                  <w:r>
                    <w:rPr>
                      <w:rFonts w:hint="eastAsia" w:ascii="Times New Roman" w:cs="Times New Roman"/>
                      <w:color w:val="auto"/>
                      <w:spacing w:val="-10"/>
                      <w:sz w:val="21"/>
                      <w:szCs w:val="21"/>
                      <w:highlight w:val="none"/>
                      <w:vertAlign w:val="baseline"/>
                      <w:lang w:eastAsia="zh-CN" w:bidi="ar"/>
                    </w:rPr>
                    <w:t>、</w:t>
                  </w:r>
                  <w:r>
                    <w:rPr>
                      <w:rFonts w:hint="eastAsia" w:ascii="Times New Roman" w:cs="Times New Roman"/>
                      <w:color w:val="auto"/>
                      <w:spacing w:val="-10"/>
                      <w:kern w:val="0"/>
                      <w:sz w:val="21"/>
                      <w:szCs w:val="21"/>
                      <w:highlight w:val="none"/>
                      <w:lang w:val="en-US" w:eastAsia="zh-CN"/>
                    </w:rPr>
                    <w:t>氮氧化物</w:t>
                  </w:r>
                  <w:r>
                    <w:rPr>
                      <w:rFonts w:hint="default" w:ascii="Times New Roman" w:hAnsi="Times New Roman" w:eastAsia="宋体" w:cs="Times New Roman"/>
                      <w:color w:val="auto"/>
                      <w:spacing w:val="-10"/>
                      <w:kern w:val="0"/>
                      <w:sz w:val="21"/>
                      <w:szCs w:val="21"/>
                      <w:highlight w:val="none"/>
                    </w:rPr>
                    <w:t>≤</w:t>
                  </w:r>
                  <w:r>
                    <w:rPr>
                      <w:rFonts w:hint="eastAsia" w:ascii="Times New Roman" w:cs="Times New Roman"/>
                      <w:color w:val="auto"/>
                      <w:spacing w:val="-10"/>
                      <w:kern w:val="0"/>
                      <w:sz w:val="21"/>
                      <w:szCs w:val="21"/>
                      <w:highlight w:val="none"/>
                      <w:lang w:val="en-US" w:eastAsia="zh-CN"/>
                    </w:rPr>
                    <w:t>0.12</w:t>
                  </w:r>
                  <w:r>
                    <w:rPr>
                      <w:rFonts w:hint="default" w:ascii="Times New Roman" w:hAnsi="Times New Roman" w:eastAsia="宋体" w:cs="Times New Roman"/>
                      <w:color w:val="auto"/>
                      <w:spacing w:val="-10"/>
                      <w:sz w:val="21"/>
                      <w:szCs w:val="21"/>
                      <w:highlight w:val="none"/>
                      <w:lang w:bidi="ar"/>
                    </w:rPr>
                    <w:t>mg/m</w:t>
                  </w:r>
                  <w:r>
                    <w:rPr>
                      <w:rFonts w:hint="default" w:ascii="Times New Roman" w:hAnsi="Times New Roman" w:eastAsia="宋体" w:cs="Times New Roman"/>
                      <w:color w:val="auto"/>
                      <w:spacing w:val="-10"/>
                      <w:sz w:val="21"/>
                      <w:szCs w:val="21"/>
                      <w:highlight w:val="none"/>
                      <w:vertAlign w:val="superscript"/>
                      <w:lang w:bidi="ar"/>
                    </w:rPr>
                    <w:t>3</w:t>
                  </w:r>
                  <w:r>
                    <w:rPr>
                      <w:rFonts w:hint="eastAsia" w:ascii="Times New Roman" w:cs="Times New Roman"/>
                      <w:color w:val="auto"/>
                      <w:spacing w:val="-10"/>
                      <w:kern w:val="0"/>
                      <w:sz w:val="21"/>
                      <w:szCs w:val="21"/>
                      <w:highlight w:val="none"/>
                      <w:lang w:val="en-US" w:eastAsia="zh-CN"/>
                    </w:rPr>
                    <w:t>、</w:t>
                  </w:r>
                  <w:r>
                    <w:rPr>
                      <w:rFonts w:hint="default" w:ascii="Times New Roman" w:hAnsi="Times New Roman" w:eastAsia="宋体" w:cs="Times New Roman"/>
                      <w:color w:val="auto"/>
                      <w:spacing w:val="-10"/>
                      <w:kern w:val="0"/>
                      <w:sz w:val="21"/>
                      <w:szCs w:val="21"/>
                      <w:highlight w:val="none"/>
                    </w:rPr>
                    <w:t>颗粒物≤</w:t>
                  </w:r>
                  <w:r>
                    <w:rPr>
                      <w:rFonts w:hint="eastAsia" w:ascii="Times New Roman" w:cs="Times New Roman"/>
                      <w:color w:val="auto"/>
                      <w:spacing w:val="-10"/>
                      <w:kern w:val="0"/>
                      <w:sz w:val="21"/>
                      <w:szCs w:val="21"/>
                      <w:highlight w:val="none"/>
                      <w:lang w:val="en-US" w:eastAsia="zh-CN"/>
                    </w:rPr>
                    <w:t>1.0</w:t>
                  </w:r>
                  <w:r>
                    <w:rPr>
                      <w:rFonts w:hint="default" w:ascii="Times New Roman" w:hAnsi="Times New Roman" w:eastAsia="宋体" w:cs="Times New Roman"/>
                      <w:color w:val="auto"/>
                      <w:spacing w:val="-10"/>
                      <w:sz w:val="21"/>
                      <w:szCs w:val="21"/>
                      <w:highlight w:val="none"/>
                      <w:lang w:bidi="ar"/>
                    </w:rPr>
                    <w:t>mg/m</w:t>
                  </w:r>
                  <w:r>
                    <w:rPr>
                      <w:rFonts w:hint="default" w:ascii="Times New Roman" w:hAnsi="Times New Roman" w:eastAsia="宋体" w:cs="Times New Roman"/>
                      <w:color w:val="auto"/>
                      <w:spacing w:val="-10"/>
                      <w:sz w:val="21"/>
                      <w:szCs w:val="21"/>
                      <w:highlight w:val="none"/>
                      <w:vertAlign w:val="superscript"/>
                      <w:lang w:bidi="ar"/>
                    </w:rPr>
                    <w:t>3</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0.5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《大气污染物综合排放标准》</w:t>
                  </w:r>
                  <w:r>
                    <w:rPr>
                      <w:rFonts w:hint="eastAsia" w:ascii="Times New Roman" w:cs="Times New Roman"/>
                      <w:color w:val="auto"/>
                      <w:spacing w:val="-10"/>
                      <w:sz w:val="21"/>
                      <w:szCs w:val="21"/>
                      <w:highlight w:val="none"/>
                      <w:lang w:eastAsia="zh-CN" w:bidi="ar"/>
                    </w:rPr>
                    <w:t>（</w:t>
                  </w:r>
                  <w:r>
                    <w:rPr>
                      <w:rFonts w:hint="default" w:ascii="Times New Roman" w:hAnsi="Times New Roman" w:eastAsia="宋体" w:cs="Times New Roman"/>
                      <w:color w:val="auto"/>
                      <w:spacing w:val="-10"/>
                      <w:sz w:val="21"/>
                      <w:szCs w:val="21"/>
                      <w:highlight w:val="none"/>
                      <w:lang w:bidi="ar"/>
                    </w:rPr>
                    <w:t>GB16297-1996</w:t>
                  </w:r>
                  <w:r>
                    <w:rPr>
                      <w:rFonts w:hint="eastAsia" w:ascii="Times New Roman" w:cs="Times New Roman"/>
                      <w:color w:val="auto"/>
                      <w:spacing w:val="-10"/>
                      <w:sz w:val="21"/>
                      <w:szCs w:val="21"/>
                      <w:highlight w:val="none"/>
                      <w:lang w:eastAsia="zh-CN" w:bidi="ar"/>
                    </w:rPr>
                    <w:t>）</w:t>
                  </w:r>
                  <w:r>
                    <w:rPr>
                      <w:rFonts w:hint="default" w:ascii="Times New Roman" w:hAnsi="Times New Roman" w:eastAsia="宋体" w:cs="Times New Roman"/>
                      <w:color w:val="auto"/>
                      <w:spacing w:val="-10"/>
                      <w:sz w:val="21"/>
                      <w:szCs w:val="21"/>
                      <w:highlight w:val="none"/>
                      <w:lang w:bidi="ar"/>
                    </w:rPr>
                    <w:t>表2新污染源大气污染物无组织排放监控浓度限值要求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tcBorders>
                    <w:left w:val="single" w:color="auto" w:sz="4" w:space="0"/>
                  </w:tcBorders>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Cs w:val="21"/>
                    </w:rPr>
                    <w:t>生物质锅炉烟气</w:t>
                  </w:r>
                </w:p>
              </w:tc>
              <w:tc>
                <w:tcPr>
                  <w:tcW w:w="1423" w:type="pct"/>
                  <w:gridSpan w:val="2"/>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Cs w:val="21"/>
                    </w:rPr>
                    <w:t>低氮燃烧技术+布袋除尘</w:t>
                  </w:r>
                </w:p>
              </w:tc>
              <w:tc>
                <w:tcPr>
                  <w:tcW w:w="750" w:type="pct"/>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0"/>
                      <w:szCs w:val="21"/>
                    </w:rPr>
                  </w:pPr>
                  <w:r>
                    <w:rPr>
                      <w:rFonts w:hint="default" w:ascii="Times New Roman" w:hAnsi="Times New Roman" w:eastAsia="宋体" w:cs="Times New Roman"/>
                      <w:color w:val="auto"/>
                      <w:spacing w:val="-10"/>
                      <w:kern w:val="0"/>
                      <w:szCs w:val="21"/>
                    </w:rPr>
                    <w:t>颗粒物≤20</w:t>
                  </w:r>
                  <w:r>
                    <w:rPr>
                      <w:rFonts w:hint="default" w:ascii="Times New Roman" w:hAnsi="Times New Roman" w:eastAsia="宋体" w:cs="Times New Roman"/>
                      <w:color w:val="auto"/>
                      <w:spacing w:val="-10"/>
                      <w:szCs w:val="21"/>
                    </w:rPr>
                    <w:t>mg/m</w:t>
                  </w:r>
                  <w:r>
                    <w:rPr>
                      <w:rFonts w:hint="default" w:ascii="Times New Roman" w:hAnsi="Times New Roman" w:eastAsia="宋体" w:cs="Times New Roman"/>
                      <w:color w:val="auto"/>
                      <w:spacing w:val="-10"/>
                      <w:szCs w:val="21"/>
                      <w:vertAlign w:val="superscript"/>
                    </w:rPr>
                    <w:t>3</w:t>
                  </w:r>
                </w:p>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Cs w:val="21"/>
                    </w:rPr>
                  </w:pPr>
                  <w:r>
                    <w:rPr>
                      <w:rFonts w:hint="default" w:ascii="Times New Roman" w:hAnsi="Times New Roman" w:eastAsia="宋体" w:cs="Times New Roman"/>
                      <w:color w:val="auto"/>
                      <w:spacing w:val="-10"/>
                      <w:szCs w:val="21"/>
                    </w:rPr>
                    <w:t>二氧化硫≤50mg/m</w:t>
                  </w:r>
                  <w:r>
                    <w:rPr>
                      <w:rFonts w:hint="default" w:ascii="Times New Roman" w:hAnsi="Times New Roman" w:eastAsia="宋体" w:cs="Times New Roman"/>
                      <w:color w:val="auto"/>
                      <w:spacing w:val="-10"/>
                      <w:szCs w:val="21"/>
                      <w:vertAlign w:val="superscript"/>
                    </w:rPr>
                    <w:t>3</w:t>
                  </w:r>
                </w:p>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Cs w:val="21"/>
                    </w:rPr>
                  </w:pPr>
                  <w:r>
                    <w:rPr>
                      <w:rFonts w:hint="default" w:ascii="Times New Roman" w:hAnsi="Times New Roman" w:eastAsia="宋体" w:cs="Times New Roman"/>
                      <w:color w:val="auto"/>
                      <w:spacing w:val="-10"/>
                      <w:szCs w:val="21"/>
                    </w:rPr>
                    <w:t>氮氧化物≤</w:t>
                  </w:r>
                  <w:r>
                    <w:rPr>
                      <w:rFonts w:hint="eastAsia" w:ascii="Times New Roman" w:cs="Times New Roman"/>
                      <w:color w:val="auto"/>
                      <w:spacing w:val="-10"/>
                      <w:szCs w:val="21"/>
                      <w:lang w:val="en-US" w:eastAsia="zh-CN"/>
                    </w:rPr>
                    <w:t>200</w:t>
                  </w:r>
                  <w:r>
                    <w:rPr>
                      <w:rFonts w:hint="default" w:ascii="Times New Roman" w:hAnsi="Times New Roman" w:eastAsia="宋体" w:cs="Times New Roman"/>
                      <w:color w:val="auto"/>
                      <w:spacing w:val="-10"/>
                      <w:szCs w:val="21"/>
                    </w:rPr>
                    <w:t>mg/m</w:t>
                  </w:r>
                  <w:r>
                    <w:rPr>
                      <w:rFonts w:hint="default" w:ascii="Times New Roman" w:hAnsi="Times New Roman" w:eastAsia="宋体" w:cs="Times New Roman"/>
                      <w:color w:val="auto"/>
                      <w:spacing w:val="-10"/>
                      <w:szCs w:val="21"/>
                      <w:vertAlign w:val="superscript"/>
                    </w:rPr>
                    <w:t>3</w:t>
                  </w:r>
                </w:p>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szCs w:val="21"/>
                    </w:rPr>
                    <w:t>烟气黑度≤1级</w:t>
                  </w:r>
                </w:p>
              </w:tc>
              <w:tc>
                <w:tcPr>
                  <w:tcW w:w="555" w:type="pct"/>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Cs w:val="21"/>
                    </w:rPr>
                    <w:t>5</w:t>
                  </w:r>
                </w:p>
              </w:tc>
              <w:tc>
                <w:tcPr>
                  <w:tcW w:w="1244" w:type="pct"/>
                  <w:tcBorders>
                    <w:right w:val="single" w:color="auto" w:sz="4" w:space="0"/>
                  </w:tcBorders>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Cs w:val="21"/>
                      <w:lang w:bidi="ar"/>
                    </w:rPr>
                  </w:pPr>
                  <w:r>
                    <w:rPr>
                      <w:rFonts w:hint="default" w:ascii="Times New Roman" w:hAnsi="Times New Roman" w:eastAsia="宋体" w:cs="Times New Roman"/>
                      <w:color w:val="auto"/>
                      <w:spacing w:val="-10"/>
                      <w:szCs w:val="21"/>
                      <w:lang w:bidi="ar"/>
                    </w:rPr>
                    <w:t>《锅炉大气污染物排放标准》（GB13271-2014）表2中燃气锅炉标准</w:t>
                  </w:r>
                </w:p>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Cs w:val="21"/>
                      <w:lang w:bidi="ar"/>
                    </w:rPr>
                    <w:t>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tcBorders>
                    <w:left w:val="single" w:color="auto" w:sz="4" w:space="0"/>
                  </w:tcBorders>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测试放喷</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废气</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bidi="ar"/>
                    </w:rPr>
                    <w:t>测试放喷</w:t>
                  </w:r>
                  <w:r>
                    <w:rPr>
                      <w:rFonts w:hint="default" w:ascii="Times New Roman" w:hAnsi="Times New Roman" w:eastAsia="宋体" w:cs="Times New Roman"/>
                      <w:color w:val="auto"/>
                      <w:spacing w:val="-10"/>
                      <w:kern w:val="0"/>
                      <w:sz w:val="21"/>
                      <w:szCs w:val="21"/>
                      <w:highlight w:val="none"/>
                    </w:rPr>
                    <w:t>科学测算放喷时间，减少天然气点火放空造成的环境污染</w:t>
                  </w:r>
                  <w:r>
                    <w:rPr>
                      <w:rFonts w:hint="default" w:ascii="Times New Roman" w:hAnsi="Times New Roman" w:eastAsia="宋体" w:cs="Times New Roman"/>
                      <w:color w:val="auto"/>
                      <w:spacing w:val="-10"/>
                      <w:kern w:val="0"/>
                      <w:sz w:val="21"/>
                      <w:szCs w:val="21"/>
                      <w:highlight w:val="none"/>
                      <w:lang w:eastAsia="zh-CN"/>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 w:val="21"/>
                      <w:szCs w:val="21"/>
                      <w:highlight w:val="none"/>
                    </w:rPr>
                    <w:t>--</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tcBorders>
                    <w:left w:val="single" w:color="auto" w:sz="4" w:space="0"/>
                  </w:tcBorders>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井场储罐挥发无组织废气</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lang w:bidi="ar"/>
                    </w:rPr>
                    <w:t>密闭储罐</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0.5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1"/>
                      <w:sz w:val="21"/>
                      <w:szCs w:val="21"/>
                      <w:highlight w:val="none"/>
                    </w:rPr>
                    <w:t>《陆上石油天然气开采工业大气污染物排放标准》（GB39728-2020）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tcBorders>
                    <w:left w:val="single" w:color="auto" w:sz="4" w:space="0"/>
                  </w:tcBorders>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bidi="ar"/>
                    </w:rPr>
                  </w:pPr>
                  <w:r>
                    <w:rPr>
                      <w:rFonts w:hint="default" w:ascii="Times New Roman" w:hAnsi="Times New Roman" w:eastAsia="宋体" w:cs="Times New Roman"/>
                      <w:color w:val="auto"/>
                      <w:spacing w:val="-10"/>
                      <w:sz w:val="21"/>
                      <w:szCs w:val="21"/>
                      <w:highlight w:val="none"/>
                    </w:rPr>
                    <w:t>施工扬尘</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洒水抑尘</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扬尘产生量</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减少</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tcBorders>
                    <w:left w:val="single" w:color="auto" w:sz="4" w:space="0"/>
                  </w:tcBorders>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bCs/>
                      <w:color w:val="auto"/>
                      <w:spacing w:val="-10"/>
                      <w:sz w:val="21"/>
                      <w:szCs w:val="21"/>
                      <w:highlight w:val="none"/>
                      <w:lang w:bidi="ar"/>
                    </w:rPr>
                    <w:t>机械设备和车辆尾气</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bCs/>
                      <w:color w:val="auto"/>
                      <w:spacing w:val="-10"/>
                      <w:sz w:val="21"/>
                      <w:szCs w:val="21"/>
                      <w:highlight w:val="none"/>
                      <w:lang w:bidi="ar"/>
                    </w:rPr>
                    <w:t>检修设备和车辆，保证设备正常稳定运行，燃用合格的燃料，设备和车辆不超负荷运行</w:t>
                  </w:r>
                  <w:r>
                    <w:rPr>
                      <w:rFonts w:hint="default" w:ascii="Times New Roman" w:hAnsi="Times New Roman" w:eastAsia="宋体" w:cs="Times New Roman"/>
                      <w:bCs/>
                      <w:color w:val="auto"/>
                      <w:spacing w:val="-10"/>
                      <w:sz w:val="21"/>
                      <w:szCs w:val="21"/>
                      <w:highlight w:val="none"/>
                      <w:lang w:eastAsia="zh-CN" w:bidi="ar"/>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减少排放量</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0.2</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废水</w:t>
                  </w: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Cs/>
                      <w:color w:val="auto"/>
                      <w:spacing w:val="-10"/>
                      <w:sz w:val="21"/>
                      <w:szCs w:val="21"/>
                      <w:highlight w:val="none"/>
                      <w:lang w:bidi="ar"/>
                    </w:rPr>
                  </w:pPr>
                  <w:r>
                    <w:rPr>
                      <w:rFonts w:hint="default" w:ascii="Times New Roman" w:hAnsi="Times New Roman" w:eastAsia="宋体" w:cs="Times New Roman"/>
                      <w:bCs/>
                      <w:color w:val="auto"/>
                      <w:spacing w:val="-10"/>
                      <w:sz w:val="21"/>
                      <w:szCs w:val="21"/>
                      <w:highlight w:val="none"/>
                      <w:lang w:bidi="ar"/>
                    </w:rPr>
                    <w:t>钻井废水</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bCs/>
                      <w:color w:val="auto"/>
                      <w:spacing w:val="-10"/>
                      <w:sz w:val="21"/>
                      <w:szCs w:val="21"/>
                      <w:highlight w:val="none"/>
                      <w:lang w:eastAsia="zh-CN" w:bidi="ar"/>
                    </w:rPr>
                  </w:pPr>
                  <w:r>
                    <w:rPr>
                      <w:rFonts w:hint="default" w:ascii="Times New Roman" w:hAnsi="Times New Roman" w:eastAsia="宋体" w:cs="Times New Roman"/>
                      <w:bCs/>
                      <w:color w:val="auto"/>
                      <w:spacing w:val="-10"/>
                      <w:sz w:val="21"/>
                      <w:szCs w:val="21"/>
                      <w:highlight w:val="none"/>
                      <w:lang w:bidi="ar"/>
                    </w:rPr>
                    <w:t>钻井废水与钻井泥浆、岩屑一同进入不落地系统处理，处理后的液相全部回用于钻井液配制</w:t>
                  </w:r>
                  <w:r>
                    <w:rPr>
                      <w:rFonts w:hint="default" w:ascii="Times New Roman" w:hAnsi="Times New Roman" w:eastAsia="宋体" w:cs="Times New Roman"/>
                      <w:bCs/>
                      <w:color w:val="auto"/>
                      <w:spacing w:val="-10"/>
                      <w:sz w:val="21"/>
                      <w:szCs w:val="21"/>
                      <w:highlight w:val="none"/>
                      <w:lang w:val="en-US" w:eastAsia="zh-CN" w:bidi="ar"/>
                    </w:rPr>
                    <w:t>，完井后拉运至下一口井再利用，</w:t>
                  </w:r>
                  <w:r>
                    <w:rPr>
                      <w:rFonts w:hint="default" w:ascii="Times New Roman" w:hAnsi="Times New Roman" w:eastAsia="宋体" w:cs="Times New Roman"/>
                      <w:bCs/>
                      <w:color w:val="auto"/>
                      <w:spacing w:val="-10"/>
                      <w:sz w:val="21"/>
                      <w:szCs w:val="21"/>
                      <w:highlight w:val="none"/>
                      <w:lang w:bidi="ar"/>
                    </w:rPr>
                    <w:t>不外排</w:t>
                  </w:r>
                  <w:r>
                    <w:rPr>
                      <w:rFonts w:hint="default" w:ascii="Times New Roman" w:hAnsi="Times New Roman" w:eastAsia="宋体" w:cs="Times New Roman"/>
                      <w:bCs/>
                      <w:color w:val="auto"/>
                      <w:spacing w:val="-10"/>
                      <w:sz w:val="21"/>
                      <w:szCs w:val="21"/>
                      <w:highlight w:val="none"/>
                      <w:lang w:eastAsia="zh-CN" w:bidi="ar"/>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bCs/>
                      <w:color w:val="auto"/>
                      <w:spacing w:val="-10"/>
                      <w:sz w:val="21"/>
                      <w:szCs w:val="21"/>
                      <w:highlight w:val="none"/>
                      <w:lang w:bidi="ar"/>
                    </w:rPr>
                    <w:t>不外排</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0.8</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 w:val="21"/>
                      <w:szCs w:val="21"/>
                      <w:highlight w:val="none"/>
                    </w:rPr>
                    <w:t>酸化压裂返排液</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在井场加碱中和后，暂存在</w:t>
                  </w:r>
                  <w:r>
                    <w:rPr>
                      <w:rFonts w:hint="eastAsia" w:ascii="Times New Roman" w:cs="Times New Roman"/>
                      <w:color w:val="auto"/>
                      <w:spacing w:val="-10"/>
                      <w:sz w:val="21"/>
                      <w:szCs w:val="21"/>
                      <w:highlight w:val="none"/>
                      <w:lang w:val="en-US" w:eastAsia="zh-CN"/>
                    </w:rPr>
                    <w:t>废液</w:t>
                  </w:r>
                  <w:r>
                    <w:rPr>
                      <w:rFonts w:hint="default" w:ascii="Times New Roman" w:hAnsi="Times New Roman" w:eastAsia="宋体" w:cs="Times New Roman"/>
                      <w:color w:val="auto"/>
                      <w:spacing w:val="-10"/>
                      <w:sz w:val="21"/>
                      <w:szCs w:val="21"/>
                      <w:highlight w:val="none"/>
                    </w:rPr>
                    <w:t>收集罐，运至</w:t>
                  </w:r>
                  <w:r>
                    <w:rPr>
                      <w:rFonts w:hint="default" w:ascii="Times New Roman" w:hAnsi="Times New Roman" w:eastAsia="宋体" w:cs="Times New Roman"/>
                      <w:color w:val="auto"/>
                      <w:spacing w:val="-10"/>
                      <w:sz w:val="21"/>
                      <w:szCs w:val="21"/>
                      <w:highlight w:val="none"/>
                      <w:lang w:eastAsia="zh-CN"/>
                    </w:rPr>
                    <w:t>富源7环保处理站</w:t>
                  </w:r>
                  <w:r>
                    <w:rPr>
                      <w:rFonts w:hint="default" w:ascii="Times New Roman" w:hAnsi="Times New Roman" w:eastAsia="宋体" w:cs="Times New Roman"/>
                      <w:color w:val="auto"/>
                      <w:spacing w:val="-10"/>
                      <w:sz w:val="21"/>
                      <w:szCs w:val="21"/>
                      <w:highlight w:val="none"/>
                    </w:rPr>
                    <w:t>处置</w:t>
                  </w:r>
                  <w:r>
                    <w:rPr>
                      <w:rFonts w:hint="default" w:ascii="Times New Roman" w:hAnsi="Times New Roman" w:eastAsia="宋体" w:cs="Times New Roman"/>
                      <w:color w:val="auto"/>
                      <w:spacing w:val="-10"/>
                      <w:sz w:val="21"/>
                      <w:szCs w:val="21"/>
                      <w:highlight w:val="none"/>
                      <w:lang w:eastAsia="zh-CN"/>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不外排</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Cs w:val="21"/>
                    </w:rPr>
                    <w:t>锅炉排污水</w:t>
                  </w:r>
                </w:p>
              </w:tc>
              <w:tc>
                <w:tcPr>
                  <w:tcW w:w="1423" w:type="pct"/>
                  <w:gridSpan w:val="2"/>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Cs w:val="21"/>
                    </w:rPr>
                    <w:t>井场洒水抑尘</w:t>
                  </w:r>
                </w:p>
              </w:tc>
              <w:tc>
                <w:tcPr>
                  <w:tcW w:w="750" w:type="pct"/>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Cs w:val="21"/>
                    </w:rPr>
                    <w:t>不外排</w:t>
                  </w:r>
                </w:p>
              </w:tc>
              <w:tc>
                <w:tcPr>
                  <w:tcW w:w="555" w:type="pct"/>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Cs w:val="21"/>
                    </w:rPr>
                    <w:t>—</w:t>
                  </w:r>
                </w:p>
              </w:tc>
              <w:tc>
                <w:tcPr>
                  <w:tcW w:w="1244" w:type="pct"/>
                  <w:noWrap w:val="0"/>
                  <w:tcMar>
                    <w:left w:w="28" w:type="dxa"/>
                    <w:right w:w="28" w:type="dxa"/>
                  </w:tcMar>
                  <w:vAlign w:val="center"/>
                </w:tcPr>
                <w:p>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生活污水</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生活污水</w:t>
                  </w:r>
                  <w:r>
                    <w:rPr>
                      <w:rFonts w:hint="default" w:ascii="Times New Roman" w:hAnsi="Times New Roman" w:eastAsia="宋体" w:cs="Times New Roman"/>
                      <w:color w:val="auto"/>
                      <w:spacing w:val="-10"/>
                      <w:sz w:val="21"/>
                      <w:szCs w:val="21"/>
                      <w:highlight w:val="none"/>
                      <w:lang w:val="en-US" w:eastAsia="zh-CN"/>
                    </w:rPr>
                    <w:t>经污水处理站处理后用于荒漠生态恢复</w:t>
                  </w:r>
                  <w:r>
                    <w:rPr>
                      <w:rFonts w:hint="default" w:ascii="Times New Roman" w:hAnsi="Times New Roman" w:eastAsia="宋体" w:cs="Times New Roman"/>
                      <w:color w:val="auto"/>
                      <w:spacing w:val="-10"/>
                      <w:sz w:val="21"/>
                      <w:szCs w:val="21"/>
                      <w:highlight w:val="none"/>
                      <w:lang w:eastAsia="zh-CN"/>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不外排</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噪声</w:t>
                  </w:r>
                </w:p>
              </w:tc>
              <w:tc>
                <w:tcPr>
                  <w:tcW w:w="786" w:type="pct"/>
                  <w:gridSpan w:val="2"/>
                  <w:noWrap w:val="0"/>
                  <w:tcMar>
                    <w:left w:w="28" w:type="dxa"/>
                    <w:right w:w="28" w:type="dxa"/>
                  </w:tcMar>
                  <w:vAlign w:val="center"/>
                </w:tcPr>
                <w:p>
                  <w:pPr>
                    <w:keepNext w:val="0"/>
                    <w:keepLines w:val="0"/>
                    <w:pageBreakBefore w:val="0"/>
                    <w:suppressLineNumbers w:val="0"/>
                    <w:kinsoku/>
                    <w:wordWrap/>
                    <w:overflowPunct w:val="0"/>
                    <w:topLinePunct w:val="0"/>
                    <w:autoSpaceDE w:val="0"/>
                    <w:autoSpaceDN w:val="0"/>
                    <w:bidi w:val="0"/>
                    <w:adjustRightInd/>
                    <w:snapToGrid/>
                    <w:spacing w:before="0" w:beforeAutospacing="0" w:after="0" w:afterAutospacing="0" w:line="350" w:lineRule="exact"/>
                    <w:ind w:left="0" w:right="0"/>
                    <w:jc w:val="center"/>
                    <w:textAlignment w:val="baseline"/>
                    <w:rPr>
                      <w:rFonts w:hint="default" w:ascii="Times New Roman" w:hAnsi="Times New Roman" w:eastAsia="宋体" w:cs="Times New Roman"/>
                      <w:color w:val="auto"/>
                      <w:spacing w:val="-10"/>
                      <w:kern w:val="0"/>
                      <w:sz w:val="21"/>
                      <w:szCs w:val="21"/>
                      <w:highlight w:val="none"/>
                    </w:rPr>
                  </w:pPr>
                  <w:r>
                    <w:rPr>
                      <w:rFonts w:hint="default" w:ascii="Times New Roman" w:hAnsi="Times New Roman" w:eastAsia="宋体" w:cs="Times New Roman"/>
                      <w:color w:val="auto"/>
                      <w:spacing w:val="-10"/>
                      <w:kern w:val="0"/>
                      <w:sz w:val="21"/>
                      <w:szCs w:val="21"/>
                      <w:highlight w:val="none"/>
                    </w:rPr>
                    <w:t>设备噪声</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kern w:val="0"/>
                      <w:sz w:val="21"/>
                      <w:szCs w:val="21"/>
                      <w:highlight w:val="none"/>
                    </w:rPr>
                    <w:t>柴油发电机、泥浆泵、钻机、压裂车</w:t>
                  </w:r>
                  <w:r>
                    <w:rPr>
                      <w:rFonts w:hint="default" w:ascii="Times New Roman" w:hAnsi="Times New Roman" w:eastAsia="宋体" w:cs="Times New Roman"/>
                      <w:color w:val="auto"/>
                      <w:spacing w:val="-10"/>
                      <w:kern w:val="0"/>
                      <w:sz w:val="21"/>
                      <w:szCs w:val="21"/>
                      <w:highlight w:val="none"/>
                      <w:lang w:val="en-US" w:eastAsia="zh-CN"/>
                    </w:rPr>
                    <w:t>、风机</w:t>
                  </w:r>
                  <w:r>
                    <w:rPr>
                      <w:rFonts w:hint="default" w:ascii="Times New Roman" w:hAnsi="Times New Roman" w:eastAsia="宋体" w:cs="Times New Roman"/>
                      <w:color w:val="auto"/>
                      <w:spacing w:val="-10"/>
                      <w:kern w:val="0"/>
                      <w:sz w:val="21"/>
                      <w:szCs w:val="21"/>
                      <w:highlight w:val="none"/>
                    </w:rPr>
                    <w:t>安装等安装</w:t>
                  </w:r>
                  <w:r>
                    <w:rPr>
                      <w:rFonts w:hint="default" w:ascii="Times New Roman" w:hAnsi="Times New Roman" w:eastAsia="宋体" w:cs="Times New Roman"/>
                      <w:color w:val="auto"/>
                      <w:spacing w:val="-10"/>
                      <w:sz w:val="21"/>
                      <w:szCs w:val="21"/>
                      <w:highlight w:val="none"/>
                    </w:rPr>
                    <w:t>减振基础</w:t>
                  </w:r>
                  <w:r>
                    <w:rPr>
                      <w:rFonts w:hint="default" w:ascii="Times New Roman" w:hAnsi="Times New Roman" w:eastAsia="宋体" w:cs="Times New Roman"/>
                      <w:color w:val="auto"/>
                      <w:spacing w:val="-10"/>
                      <w:sz w:val="21"/>
                      <w:szCs w:val="21"/>
                      <w:highlight w:val="none"/>
                      <w:lang w:eastAsia="zh-CN"/>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eastAsia"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昼间≤70dB</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A</w:t>
                  </w:r>
                  <w:r>
                    <w:rPr>
                      <w:rFonts w:hint="eastAsia" w:ascii="Times New Roman" w:cs="Times New Roman"/>
                      <w:color w:val="auto"/>
                      <w:spacing w:val="-10"/>
                      <w:sz w:val="21"/>
                      <w:szCs w:val="21"/>
                      <w:highlight w:val="none"/>
                      <w:lang w:eastAsia="zh-CN"/>
                    </w:rPr>
                    <w:t>）</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eastAsia"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夜间≤55dB</w:t>
                  </w:r>
                  <w:r>
                    <w:rPr>
                      <w:rFonts w:hint="eastAsia" w:ascii="Times New Roman"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A</w:t>
                  </w:r>
                  <w:r>
                    <w:rPr>
                      <w:rFonts w:hint="eastAsia" w:ascii="Times New Roman" w:cs="Times New Roman"/>
                      <w:color w:val="auto"/>
                      <w:spacing w:val="-10"/>
                      <w:sz w:val="21"/>
                      <w:szCs w:val="21"/>
                      <w:highlight w:val="none"/>
                      <w:lang w:eastAsia="zh-CN"/>
                    </w:rPr>
                    <w:t>）</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eastAsia"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《建筑施工噪声排放标准》</w:t>
                  </w:r>
                  <w:r>
                    <w:rPr>
                      <w:rFonts w:hint="default" w:ascii="Times New Roman" w:hAnsi="Times New Roman" w:eastAsia="宋体" w:cs="Times New Roman"/>
                      <w:color w:val="auto"/>
                      <w:spacing w:val="-10"/>
                      <w:sz w:val="21"/>
                      <w:szCs w:val="21"/>
                      <w:highlight w:val="none"/>
                      <w:lang w:eastAsia="zh-CN"/>
                    </w:rPr>
                    <w:t>（</w:t>
                  </w:r>
                  <w:r>
                    <w:rPr>
                      <w:rFonts w:hint="default" w:ascii="Times New Roman" w:hAnsi="Times New Roman" w:eastAsia="宋体" w:cs="Times New Roman"/>
                      <w:color w:val="auto"/>
                      <w:spacing w:val="-10"/>
                      <w:sz w:val="21"/>
                      <w:szCs w:val="21"/>
                      <w:highlight w:val="none"/>
                    </w:rPr>
                    <w:t>GB12523-2025</w:t>
                  </w:r>
                  <w:r>
                    <w:rPr>
                      <w:rFonts w:hint="eastAsia" w:ascii="Times New Roman" w:cs="Times New Roman"/>
                      <w:color w:val="auto"/>
                      <w:spacing w:val="-10"/>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固体废物</w:t>
                  </w:r>
                </w:p>
              </w:tc>
              <w:tc>
                <w:tcPr>
                  <w:tcW w:w="786"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泥浆</w:t>
                  </w:r>
                </w:p>
              </w:tc>
              <w:tc>
                <w:tcPr>
                  <w:tcW w:w="1423"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60" w:lineRule="exact"/>
                    <w:ind w:left="0" w:right="0"/>
                    <w:jc w:val="center"/>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bCs/>
                      <w:color w:val="auto"/>
                      <w:spacing w:val="-10"/>
                      <w:sz w:val="21"/>
                      <w:szCs w:val="21"/>
                      <w:highlight w:val="none"/>
                    </w:rPr>
                    <w:t>采用“泥浆不落地”工艺收集，排入泥浆罐循环使用，完井后拉运至下一口井再利用</w:t>
                  </w:r>
                  <w:r>
                    <w:rPr>
                      <w:rFonts w:hint="default" w:ascii="Times New Roman" w:hAnsi="Times New Roman" w:eastAsia="宋体" w:cs="Times New Roman"/>
                      <w:bCs/>
                      <w:color w:val="auto"/>
                      <w:spacing w:val="-10"/>
                      <w:sz w:val="21"/>
                      <w:szCs w:val="21"/>
                      <w:highlight w:val="none"/>
                      <w:lang w:eastAsia="zh-CN"/>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妥善处理</w:t>
                  </w:r>
                </w:p>
              </w:tc>
              <w:tc>
                <w:tcPr>
                  <w:tcW w:w="555"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4</w:t>
                  </w:r>
                  <w:r>
                    <w:rPr>
                      <w:rFonts w:hint="default" w:ascii="Times New Roman" w:hAnsi="Times New Roman" w:eastAsia="宋体" w:cs="Times New Roman"/>
                      <w:color w:val="auto"/>
                      <w:spacing w:val="-10"/>
                      <w:sz w:val="21"/>
                      <w:szCs w:val="21"/>
                      <w:highlight w:val="none"/>
                      <w:lang w:val="en-US" w:eastAsia="zh-CN"/>
                    </w:rPr>
                    <w:t>0</w:t>
                  </w:r>
                </w:p>
              </w:tc>
              <w:tc>
                <w:tcPr>
                  <w:tcW w:w="1244"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0"/>
                      <w:kern w:val="2"/>
                      <w:sz w:val="21"/>
                      <w:szCs w:val="21"/>
                    </w:rPr>
                    <w:t>满足《油气田钻井固体废物综合利用污染控制要求》（DB65/T 3997-2017）表1综合利用污染限值的要求及《石油天然气开采业固体废物污染控制技术规范（试行）》（HJ1461-2026）中标准要求。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rPr>
                    <w:t>膨润土体系废弃钻井岩屑</w:t>
                  </w:r>
                </w:p>
              </w:tc>
              <w:tc>
                <w:tcPr>
                  <w:tcW w:w="1423"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60" w:lineRule="exact"/>
                    <w:ind w:left="0" w:right="0"/>
                    <w:jc w:val="center"/>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rPr>
                    <w:t>膨润土体系废弃钻井岩屑排入防渗岩屑池干化，经检测达标后，用于井场平整</w:t>
                  </w:r>
                  <w:r>
                    <w:rPr>
                      <w:rFonts w:hint="default" w:ascii="Times New Roman" w:hAnsi="Times New Roman" w:eastAsia="宋体" w:cs="Times New Roman"/>
                      <w:color w:val="auto"/>
                      <w:spacing w:val="0"/>
                      <w:sz w:val="21"/>
                      <w:szCs w:val="21"/>
                      <w:highlight w:val="none"/>
                      <w:lang w:eastAsia="zh-CN"/>
                    </w:rPr>
                    <w:t>。</w:t>
                  </w:r>
                </w:p>
              </w:tc>
              <w:tc>
                <w:tcPr>
                  <w:tcW w:w="750"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含水率＜60%、石油烃＜4500mg/kg</w:t>
                  </w: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60" w:lineRule="exact"/>
                    <w:ind w:left="0" w:right="0"/>
                    <w:jc w:val="center"/>
                    <w:rPr>
                      <w:rFonts w:hint="default" w:ascii="Times New Roman" w:hAnsi="Times New Roman" w:eastAsia="宋体" w:cs="Times New Roman"/>
                      <w:bCs/>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聚磺体系废弃钻井岩屑</w:t>
                  </w:r>
                </w:p>
              </w:tc>
              <w:tc>
                <w:tcPr>
                  <w:tcW w:w="1423"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60" w:lineRule="exac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eastAsia" w:ascii="Times New Roman" w:cs="Times New Roman"/>
                      <w:snapToGrid w:val="0"/>
                      <w:color w:val="auto"/>
                      <w:spacing w:val="0"/>
                      <w:kern w:val="0"/>
                      <w:sz w:val="21"/>
                      <w:szCs w:val="21"/>
                      <w:highlight w:val="none"/>
                      <w:lang w:eastAsia="zh-CN" w:bidi="ar"/>
                    </w:rPr>
                    <w:t>聚磺体系废弃钻井岩屑收集后拉运至塔中油田钻试修废弃物环保处理站处理</w:t>
                  </w:r>
                  <w:r>
                    <w:rPr>
                      <w:rFonts w:hint="default" w:ascii="Times New Roman" w:hAnsi="Times New Roman" w:eastAsia="宋体" w:cs="Times New Roman"/>
                      <w:color w:val="auto"/>
                      <w:spacing w:val="0"/>
                      <w:sz w:val="21"/>
                      <w:szCs w:val="21"/>
                    </w:rPr>
                    <w:t>，</w:t>
                  </w:r>
                  <w:r>
                    <w:rPr>
                      <w:rFonts w:hint="default" w:ascii="Times New Roman" w:hAnsi="Times New Roman" w:eastAsia="宋体" w:cs="Times New Roman"/>
                      <w:color w:val="auto"/>
                      <w:spacing w:val="0"/>
                      <w:sz w:val="21"/>
                      <w:szCs w:val="21"/>
                      <w:highlight w:val="none"/>
                    </w:rPr>
                    <w:t>处理后还原土用于铺垫油区内的井场、道路</w:t>
                  </w:r>
                  <w:r>
                    <w:rPr>
                      <w:rFonts w:hint="default" w:ascii="Times New Roman" w:hAnsi="Times New Roman" w:eastAsia="宋体" w:cs="Times New Roman"/>
                      <w:color w:val="auto"/>
                      <w:spacing w:val="0"/>
                      <w:sz w:val="21"/>
                      <w:szCs w:val="21"/>
                      <w:highlight w:val="none"/>
                      <w:lang w:eastAsia="zh-CN"/>
                    </w:rPr>
                    <w:t>。</w:t>
                  </w: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固体废物</w:t>
                  </w: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0"/>
                      <w:sz w:val="21"/>
                      <w:szCs w:val="21"/>
                      <w:highlight w:val="none"/>
                      <w:lang w:eastAsia="zh-CN"/>
                    </w:rPr>
                    <w:t>沾油废物</w:t>
                  </w:r>
                  <w:r>
                    <w:rPr>
                      <w:rFonts w:hint="default" w:ascii="Times New Roman" w:hAnsi="Times New Roman" w:eastAsia="宋体" w:cs="Times New Roman"/>
                      <w:color w:val="auto"/>
                      <w:spacing w:val="0"/>
                      <w:sz w:val="21"/>
                      <w:szCs w:val="21"/>
                      <w:highlight w:val="none"/>
                    </w:rPr>
                    <w:t>（HW08 900-249-08）、废烧碱包装袋（HW49 900-0</w:t>
                  </w:r>
                  <w:r>
                    <w:rPr>
                      <w:rFonts w:hint="default" w:ascii="Times New Roman" w:hAnsi="Times New Roman" w:eastAsia="宋体" w:cs="Times New Roman"/>
                      <w:color w:val="auto"/>
                      <w:spacing w:val="0"/>
                      <w:sz w:val="21"/>
                      <w:szCs w:val="21"/>
                      <w:highlight w:val="none"/>
                      <w:lang w:val="en-US" w:eastAsia="zh-CN"/>
                    </w:rPr>
                    <w:t>41-49</w:t>
                  </w:r>
                  <w:r>
                    <w:rPr>
                      <w:rFonts w:hint="default" w:ascii="Times New Roman" w:hAnsi="Times New Roman" w:eastAsia="宋体" w:cs="Times New Roman"/>
                      <w:color w:val="auto"/>
                      <w:spacing w:val="0"/>
                      <w:sz w:val="21"/>
                      <w:szCs w:val="21"/>
                      <w:highlight w:val="none"/>
                    </w:rPr>
                    <w:t>）、</w:t>
                  </w:r>
                  <w:r>
                    <w:rPr>
                      <w:rFonts w:hint="default" w:ascii="Times New Roman" w:hAnsi="Times New Roman" w:eastAsia="宋体" w:cs="Times New Roman"/>
                      <w:color w:val="auto"/>
                      <w:spacing w:val="0"/>
                      <w:sz w:val="21"/>
                      <w:szCs w:val="21"/>
                      <w:highlight w:val="none"/>
                      <w:lang w:eastAsia="zh-CN"/>
                    </w:rPr>
                    <w:t>废矿物油及其包装物</w:t>
                  </w:r>
                  <w:r>
                    <w:rPr>
                      <w:rFonts w:hint="default" w:ascii="Times New Roman" w:hAnsi="Times New Roman" w:eastAsia="宋体" w:cs="Times New Roman"/>
                      <w:color w:val="auto"/>
                      <w:spacing w:val="0"/>
                      <w:sz w:val="21"/>
                      <w:szCs w:val="21"/>
                      <w:highlight w:val="none"/>
                    </w:rPr>
                    <w:t>（HW08 900-249-08）</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rPr>
                    <w:t>桶装收集后暂存于</w:t>
                  </w:r>
                  <w:r>
                    <w:rPr>
                      <w:rFonts w:hint="default" w:ascii="Times New Roman" w:hAnsi="Times New Roman" w:eastAsia="宋体" w:cs="Times New Roman"/>
                      <w:color w:val="auto"/>
                      <w:spacing w:val="-10"/>
                      <w:sz w:val="21"/>
                      <w:szCs w:val="21"/>
                      <w:highlight w:val="none"/>
                      <w:lang w:eastAsia="zh-CN"/>
                    </w:rPr>
                    <w:t>危废暂存间</w:t>
                  </w:r>
                  <w:r>
                    <w:rPr>
                      <w:rFonts w:hint="default" w:ascii="Times New Roman" w:hAnsi="Times New Roman" w:eastAsia="宋体" w:cs="Times New Roman"/>
                      <w:color w:val="auto"/>
                      <w:spacing w:val="-10"/>
                      <w:sz w:val="21"/>
                      <w:szCs w:val="21"/>
                      <w:highlight w:val="none"/>
                    </w:rPr>
                    <w:t>，定期由有资质的单位接收处置</w:t>
                  </w:r>
                  <w:r>
                    <w:rPr>
                      <w:rFonts w:hint="default" w:ascii="Times New Roman" w:hAnsi="Times New Roman" w:eastAsia="宋体" w:cs="Times New Roman"/>
                      <w:color w:val="auto"/>
                      <w:spacing w:val="-10"/>
                      <w:sz w:val="21"/>
                      <w:szCs w:val="21"/>
                      <w:highlight w:val="none"/>
                      <w:lang w:eastAsia="zh-CN"/>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妥善处理</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废布袋</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厂家回收处置</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妥善处置</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Cs w:val="21"/>
                    </w:rPr>
                    <w:t>锅炉灰渣及除尘灰</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统一收集后送至周边固废填埋场处理</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妥善处理</w:t>
                  </w:r>
                </w:p>
              </w:tc>
              <w:tc>
                <w:tcPr>
                  <w:tcW w:w="555"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0"/>
                      <w:kern w:val="2"/>
                      <w:sz w:val="21"/>
                      <w:szCs w:val="21"/>
                      <w:lang w:val="en-US" w:eastAsia="zh-CN" w:bidi="ar-SA"/>
                    </w:rPr>
                  </w:pPr>
                  <w:r>
                    <w:rPr>
                      <w:rFonts w:hint="default" w:ascii="Times New Roman" w:hAnsi="Times New Roman" w:eastAsia="宋体" w:cs="Times New Roman"/>
                      <w:snapToGrid w:val="0"/>
                      <w:color w:val="auto"/>
                      <w:spacing w:val="0"/>
                      <w:kern w:val="0"/>
                      <w:szCs w:val="21"/>
                      <w:lang w:val="en-US" w:eastAsia="zh-CN" w:bidi="ar"/>
                    </w:rPr>
                    <w:t>其他原辅材料废包装</w:t>
                  </w:r>
                </w:p>
              </w:tc>
              <w:tc>
                <w:tcPr>
                  <w:tcW w:w="1423" w:type="pct"/>
                  <w:gridSpan w:val="2"/>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lang w:val="en-US" w:eastAsia="zh-CN"/>
                    </w:rPr>
                    <w:t>外售综合利用</w:t>
                  </w:r>
                </w:p>
              </w:tc>
              <w:tc>
                <w:tcPr>
                  <w:tcW w:w="750" w:type="pct"/>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 w:val="21"/>
                      <w:szCs w:val="21"/>
                      <w:highlight w:val="none"/>
                    </w:rPr>
                    <w:t>妥善处理</w:t>
                  </w: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污水处理站污泥</w:t>
                  </w:r>
                </w:p>
              </w:tc>
              <w:tc>
                <w:tcPr>
                  <w:tcW w:w="1423" w:type="pct"/>
                  <w:gridSpan w:val="2"/>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kern w:val="0"/>
                      <w:sz w:val="21"/>
                      <w:szCs w:val="21"/>
                      <w:highlight w:val="none"/>
                    </w:rPr>
                    <w:t>集中收集，</w:t>
                  </w:r>
                  <w:r>
                    <w:rPr>
                      <w:rFonts w:hint="default" w:ascii="Times New Roman" w:hAnsi="Times New Roman" w:eastAsia="宋体" w:cs="Times New Roman"/>
                      <w:color w:val="auto"/>
                      <w:spacing w:val="-10"/>
                      <w:sz w:val="21"/>
                      <w:szCs w:val="21"/>
                      <w:highlight w:val="none"/>
                    </w:rPr>
                    <w:t>定期送至</w:t>
                  </w:r>
                  <w:r>
                    <w:rPr>
                      <w:rFonts w:hint="eastAsia" w:ascii="Times New Roman" w:cs="Times New Roman"/>
                      <w:color w:val="auto"/>
                      <w:spacing w:val="-10"/>
                      <w:sz w:val="21"/>
                      <w:szCs w:val="21"/>
                      <w:highlight w:val="none"/>
                      <w:lang w:eastAsia="zh-CN"/>
                    </w:rPr>
                    <w:t>塔中镇生活垃圾填埋场处理</w:t>
                  </w:r>
                  <w:r>
                    <w:rPr>
                      <w:rFonts w:hint="default" w:ascii="Times New Roman" w:hAnsi="Times New Roman" w:eastAsia="宋体" w:cs="Times New Roman"/>
                      <w:color w:val="auto"/>
                      <w:spacing w:val="-10"/>
                      <w:sz w:val="21"/>
                      <w:szCs w:val="21"/>
                      <w:highlight w:val="none"/>
                      <w:lang w:eastAsia="zh-CN"/>
                    </w:rPr>
                    <w:t>。</w:t>
                  </w:r>
                </w:p>
              </w:tc>
              <w:tc>
                <w:tcPr>
                  <w:tcW w:w="750" w:type="pct"/>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2"/>
                      <w:sz w:val="21"/>
                      <w:szCs w:val="21"/>
                      <w:highlight w:val="none"/>
                      <w:lang w:val="en-US" w:eastAsia="zh-CN" w:bidi="ar-SA"/>
                    </w:rPr>
                  </w:pPr>
                  <w:r>
                    <w:rPr>
                      <w:rFonts w:hint="default" w:ascii="Times New Roman" w:hAnsi="Times New Roman" w:eastAsia="宋体" w:cs="Times New Roman"/>
                      <w:color w:val="auto"/>
                      <w:spacing w:val="-10"/>
                      <w:sz w:val="21"/>
                      <w:szCs w:val="21"/>
                      <w:highlight w:val="none"/>
                    </w:rPr>
                    <w:t>妥善处理</w:t>
                  </w:r>
                </w:p>
              </w:tc>
              <w:tc>
                <w:tcPr>
                  <w:tcW w:w="555" w:type="pct"/>
                  <w:vMerge w:val="continue"/>
                  <w:shd w:val="clear" w:color="auto" w:fill="auto"/>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生活垃圾</w:t>
                  </w:r>
                </w:p>
              </w:tc>
              <w:tc>
                <w:tcPr>
                  <w:tcW w:w="1423"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妥善处理</w:t>
                  </w: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环境风险管理</w:t>
                  </w: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环境风险</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防范措施</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snapToGrid w:val="0"/>
                      <w:color w:val="auto"/>
                      <w:spacing w:val="-10"/>
                      <w:sz w:val="21"/>
                      <w:szCs w:val="21"/>
                      <w:highlight w:val="none"/>
                    </w:rPr>
                    <w:t>安装井控设施、防喷培训、钻井液储备等，按钻井行业规范和设计要求完成；提高事故应急能力；防止污油泄漏下渗污染</w:t>
                  </w:r>
                  <w:r>
                    <w:rPr>
                      <w:rFonts w:hint="default" w:ascii="Times New Roman" w:hAnsi="Times New Roman" w:eastAsia="宋体" w:cs="Times New Roman"/>
                      <w:snapToGrid w:val="0"/>
                      <w:color w:val="auto"/>
                      <w:spacing w:val="-10"/>
                      <w:sz w:val="21"/>
                      <w:szCs w:val="21"/>
                      <w:highlight w:val="none"/>
                      <w:lang w:eastAsia="zh-CN"/>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snapToGrid w:val="0"/>
                      <w:color w:val="auto"/>
                      <w:spacing w:val="-10"/>
                      <w:sz w:val="21"/>
                      <w:szCs w:val="21"/>
                      <w:highlight w:val="none"/>
                    </w:rPr>
                    <w:t>风险防范设施数量按照消防、安全等相关要求设置</w:t>
                  </w:r>
                  <w:r>
                    <w:rPr>
                      <w:rFonts w:hint="default" w:ascii="Times New Roman" w:hAnsi="Times New Roman" w:eastAsia="宋体" w:cs="Times New Roman"/>
                      <w:snapToGrid w:val="0"/>
                      <w:color w:val="auto"/>
                      <w:spacing w:val="-10"/>
                      <w:sz w:val="21"/>
                      <w:szCs w:val="21"/>
                      <w:highlight w:val="none"/>
                      <w:lang w:eastAsia="zh-CN"/>
                    </w:rPr>
                    <w:t>。</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10</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将环境风险控制在可防控范围内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40"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86"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应急预案</w:t>
                  </w:r>
                </w:p>
              </w:tc>
              <w:tc>
                <w:tcPr>
                  <w:tcW w:w="1423"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bidi="ar"/>
                    </w:rPr>
                    <w:t>合理有效组织各机构部门进行应急、抢险、救援、疏散及控制措施、应急监测</w:t>
                  </w:r>
                  <w:r>
                    <w:rPr>
                      <w:rFonts w:hint="default" w:ascii="Times New Roman" w:hAnsi="Times New Roman" w:eastAsia="宋体" w:cs="Times New Roman"/>
                      <w:color w:val="auto"/>
                      <w:spacing w:val="-10"/>
                      <w:sz w:val="21"/>
                      <w:szCs w:val="21"/>
                      <w:highlight w:val="none"/>
                      <w:lang w:eastAsia="zh-CN" w:bidi="ar"/>
                    </w:rPr>
                    <w:t>。</w:t>
                  </w:r>
                </w:p>
              </w:tc>
              <w:tc>
                <w:tcPr>
                  <w:tcW w:w="750"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修改完善，并定期演练</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4</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将环境风险控制在可防控范围内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39"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生态恢复</w:t>
                  </w:r>
                </w:p>
              </w:tc>
              <w:tc>
                <w:tcPr>
                  <w:tcW w:w="2210" w:type="pct"/>
                  <w:gridSpan w:val="5"/>
                  <w:noWrap w:val="0"/>
                  <w:tcMar>
                    <w:left w:w="28" w:type="dxa"/>
                    <w:right w:w="28" w:type="dxa"/>
                  </w:tcMar>
                  <w:vAlign w:val="center"/>
                </w:tcPr>
                <w:p>
                  <w:pPr>
                    <w:keepNext w:val="0"/>
                    <w:keepLines w:val="0"/>
                    <w:pageBreakBefore w:val="0"/>
                    <w:widowControl/>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sz w:val="21"/>
                      <w:szCs w:val="21"/>
                      <w:highlight w:val="none"/>
                    </w:rPr>
                    <w:t>严格控制施工作业范围，施工车辆严禁停放在施工场地以外区域，避免对植被的碾压破坏</w:t>
                  </w:r>
                  <w:r>
                    <w:rPr>
                      <w:rFonts w:hint="default" w:ascii="Times New Roman" w:hAnsi="Times New Roman" w:eastAsia="宋体" w:cs="Times New Roman"/>
                      <w:color w:val="auto"/>
                      <w:spacing w:val="-10"/>
                      <w:sz w:val="21"/>
                      <w:szCs w:val="21"/>
                      <w:highlight w:val="none"/>
                      <w:lang w:eastAsia="zh-CN"/>
                    </w:rPr>
                    <w:t>。</w:t>
                  </w:r>
                </w:p>
              </w:tc>
              <w:tc>
                <w:tcPr>
                  <w:tcW w:w="750"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lang w:bidi="ar"/>
                    </w:rPr>
                    <w:t>施工结束后及时恢复原状，不降低土壤环境质量</w:t>
                  </w:r>
                </w:p>
              </w:tc>
              <w:tc>
                <w:tcPr>
                  <w:tcW w:w="555"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13</w:t>
                  </w:r>
                </w:p>
              </w:tc>
              <w:tc>
                <w:tcPr>
                  <w:tcW w:w="1244"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2210" w:type="pct"/>
                  <w:gridSpan w:val="5"/>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kern w:val="0"/>
                      <w:sz w:val="21"/>
                      <w:szCs w:val="21"/>
                      <w:highlight w:val="none"/>
                      <w:lang w:eastAsia="zh-CN"/>
                    </w:rPr>
                  </w:pPr>
                  <w:r>
                    <w:rPr>
                      <w:rFonts w:hint="default" w:ascii="Times New Roman" w:hAnsi="Times New Roman" w:eastAsia="宋体" w:cs="Times New Roman"/>
                      <w:color w:val="auto"/>
                      <w:spacing w:val="-10"/>
                      <w:sz w:val="21"/>
                      <w:szCs w:val="21"/>
                      <w:highlight w:val="none"/>
                    </w:rPr>
                    <w:t>完钻后</w:t>
                  </w:r>
                  <w:r>
                    <w:rPr>
                      <w:rFonts w:hint="default" w:ascii="Times New Roman" w:hAnsi="Times New Roman" w:eastAsia="宋体" w:cs="Times New Roman"/>
                      <w:color w:val="auto"/>
                      <w:spacing w:val="-10"/>
                      <w:kern w:val="0"/>
                      <w:sz w:val="21"/>
                      <w:szCs w:val="21"/>
                      <w:highlight w:val="none"/>
                      <w:lang w:bidi="ar"/>
                    </w:rPr>
                    <w:t>井场、生活区、道路等临时占地恢复，</w:t>
                  </w:r>
                  <w:r>
                    <w:rPr>
                      <w:rFonts w:hint="default" w:ascii="Times New Roman" w:hAnsi="Times New Roman" w:eastAsia="宋体" w:cs="Times New Roman"/>
                      <w:color w:val="auto"/>
                      <w:spacing w:val="-10"/>
                      <w:sz w:val="21"/>
                      <w:szCs w:val="21"/>
                      <w:highlight w:val="none"/>
                    </w:rPr>
                    <w:t>场地平整，防沙治沙</w:t>
                  </w:r>
                  <w:r>
                    <w:rPr>
                      <w:rFonts w:hint="default" w:ascii="Times New Roman" w:hAnsi="Times New Roman" w:eastAsia="宋体" w:cs="Times New Roman"/>
                      <w:color w:val="auto"/>
                      <w:spacing w:val="-10"/>
                      <w:sz w:val="21"/>
                      <w:szCs w:val="21"/>
                      <w:highlight w:val="none"/>
                      <w:lang w:eastAsia="zh-CN"/>
                    </w:rPr>
                    <w:t>。</w:t>
                  </w: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2210" w:type="pct"/>
                  <w:gridSpan w:val="5"/>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rPr>
                    <w:t>针对施工期临时占地区域植被恢复情况进行生态监测，监测因子为植被恢复效果，纳入竣工环境保护验收监测，方法为巡视。植被恢复质量标准：临时占地植被恢复至原状态</w:t>
                  </w:r>
                  <w:r>
                    <w:rPr>
                      <w:rFonts w:hint="default" w:ascii="Times New Roman" w:hAnsi="Times New Roman" w:eastAsia="宋体" w:cs="Times New Roman"/>
                      <w:color w:val="auto"/>
                      <w:spacing w:val="-10"/>
                      <w:sz w:val="21"/>
                      <w:szCs w:val="21"/>
                      <w:highlight w:val="none"/>
                      <w:lang w:eastAsia="zh-CN"/>
                    </w:rPr>
                    <w:t>。</w:t>
                  </w: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防渗</w:t>
                  </w:r>
                </w:p>
              </w:tc>
              <w:tc>
                <w:tcPr>
                  <w:tcW w:w="515" w:type="pct"/>
                  <w:gridSpan w:val="2"/>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重点</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防渗区</w:t>
                  </w: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柴油罐区</w:t>
                  </w:r>
                </w:p>
              </w:tc>
              <w:tc>
                <w:tcPr>
                  <w:tcW w:w="626"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铺设防渗材料</w:t>
                  </w:r>
                </w:p>
              </w:tc>
              <w:tc>
                <w:tcPr>
                  <w:tcW w:w="750"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 w:val="21"/>
                      <w:szCs w:val="21"/>
                      <w:highlight w:val="none"/>
                    </w:rPr>
                    <w:t>等效黏土防渗层Mb≥6.0m，K≤1×10</w:t>
                  </w:r>
                  <w:r>
                    <w:rPr>
                      <w:rFonts w:hint="default" w:ascii="Times New Roman" w:hAnsi="Times New Roman" w:eastAsia="宋体" w:cs="Times New Roman"/>
                      <w:color w:val="auto"/>
                      <w:spacing w:val="-10"/>
                      <w:kern w:val="0"/>
                      <w:sz w:val="21"/>
                      <w:szCs w:val="21"/>
                      <w:highlight w:val="none"/>
                      <w:vertAlign w:val="superscript"/>
                    </w:rPr>
                    <w:t>-7</w:t>
                  </w:r>
                  <w:r>
                    <w:rPr>
                      <w:rFonts w:hint="default" w:ascii="Times New Roman" w:hAnsi="Times New Roman" w:eastAsia="宋体" w:cs="Times New Roman"/>
                      <w:color w:val="auto"/>
                      <w:spacing w:val="-10"/>
                      <w:kern w:val="0"/>
                      <w:sz w:val="21"/>
                      <w:szCs w:val="21"/>
                      <w:highlight w:val="none"/>
                    </w:rPr>
                    <w:t>cm/s，或参照GB18598执行</w:t>
                  </w:r>
                </w:p>
              </w:tc>
              <w:tc>
                <w:tcPr>
                  <w:tcW w:w="555"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val="en-US" w:eastAsia="zh-CN"/>
                    </w:rPr>
                    <w:t>5</w:t>
                  </w:r>
                </w:p>
              </w:tc>
              <w:tc>
                <w:tcPr>
                  <w:tcW w:w="1244"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按要求建设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eastAsia="zh-CN"/>
                    </w:rPr>
                  </w:pPr>
                  <w:r>
                    <w:rPr>
                      <w:rFonts w:hint="default" w:ascii="Times New Roman" w:hAnsi="Times New Roman" w:eastAsia="宋体" w:cs="Times New Roman"/>
                      <w:color w:val="auto"/>
                      <w:spacing w:val="-10"/>
                      <w:sz w:val="21"/>
                      <w:szCs w:val="21"/>
                      <w:highlight w:val="none"/>
                      <w:lang w:eastAsia="zh-CN"/>
                    </w:rPr>
                    <w:t>危废暂存间</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不落地收集装置</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放喷池</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钻井平台</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柴油发电机区</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凝析油罐区</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lang w:val="en-US" w:eastAsia="zh-CN"/>
                    </w:rPr>
                  </w:pPr>
                  <w:r>
                    <w:rPr>
                      <w:rFonts w:hint="eastAsia" w:ascii="Times New Roman" w:cs="Times New Roman"/>
                      <w:color w:val="auto"/>
                      <w:spacing w:val="-10"/>
                      <w:sz w:val="21"/>
                      <w:szCs w:val="21"/>
                      <w:highlight w:val="none"/>
                      <w:lang w:val="en-US" w:eastAsia="zh-CN"/>
                    </w:rPr>
                    <w:t>试油区</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62"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一般</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防渗区</w:t>
                  </w: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泥浆泵区</w:t>
                  </w:r>
                </w:p>
              </w:tc>
              <w:tc>
                <w:tcPr>
                  <w:tcW w:w="626"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铺设防渗材料</w:t>
                  </w:r>
                </w:p>
              </w:tc>
              <w:tc>
                <w:tcPr>
                  <w:tcW w:w="750"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kern w:val="0"/>
                      <w:sz w:val="21"/>
                      <w:szCs w:val="21"/>
                      <w:highlight w:val="none"/>
                    </w:rPr>
                    <w:t>一般防渗区等效黏土防渗层Mb≥1.5m，K≤1×10</w:t>
                  </w:r>
                  <w:r>
                    <w:rPr>
                      <w:rFonts w:hint="default" w:ascii="Times New Roman" w:hAnsi="Times New Roman" w:eastAsia="宋体" w:cs="Times New Roman"/>
                      <w:color w:val="auto"/>
                      <w:spacing w:val="-10"/>
                      <w:kern w:val="0"/>
                      <w:sz w:val="21"/>
                      <w:szCs w:val="21"/>
                      <w:highlight w:val="none"/>
                      <w:vertAlign w:val="superscript"/>
                    </w:rPr>
                    <w:t>-7</w:t>
                  </w:r>
                  <w:r>
                    <w:rPr>
                      <w:rFonts w:hint="default" w:ascii="Times New Roman" w:hAnsi="Times New Roman" w:eastAsia="宋体" w:cs="Times New Roman"/>
                      <w:color w:val="auto"/>
                      <w:spacing w:val="-10"/>
                      <w:kern w:val="0"/>
                      <w:sz w:val="21"/>
                      <w:szCs w:val="21"/>
                      <w:highlight w:val="none"/>
                    </w:rPr>
                    <w:t>cm/s，或参照GB18598执行</w:t>
                  </w:r>
                </w:p>
              </w:tc>
              <w:tc>
                <w:tcPr>
                  <w:tcW w:w="555"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c>
                <w:tcPr>
                  <w:tcW w:w="1244"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按要求建设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57"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泥浆罐区</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15" w:type="pct"/>
                  <w:gridSpan w:val="2"/>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068" w:type="pct"/>
                  <w:gridSpan w:val="2"/>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膨润土岩</w:t>
                  </w:r>
                </w:p>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屑池</w:t>
                  </w:r>
                </w:p>
              </w:tc>
              <w:tc>
                <w:tcPr>
                  <w:tcW w:w="626"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750"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555"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1244"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vMerge w:val="restar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其他费用</w:t>
                  </w:r>
                </w:p>
              </w:tc>
              <w:tc>
                <w:tcPr>
                  <w:tcW w:w="2961" w:type="pct"/>
                  <w:gridSpan w:val="6"/>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征地费</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20</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2961" w:type="pct"/>
                  <w:gridSpan w:val="6"/>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专项评价及验收费</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10</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39" w:type="pct"/>
                  <w:vMerge w:val="continue"/>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p>
              </w:tc>
              <w:tc>
                <w:tcPr>
                  <w:tcW w:w="2961" w:type="pct"/>
                  <w:gridSpan w:val="6"/>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 xml:space="preserve">场地准备及临时设施费 </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5</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200" w:type="pct"/>
                  <w:gridSpan w:val="7"/>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环保投资合计</w:t>
                  </w:r>
                </w:p>
              </w:tc>
              <w:tc>
                <w:tcPr>
                  <w:tcW w:w="555"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150</w:t>
                  </w:r>
                </w:p>
              </w:tc>
              <w:tc>
                <w:tcPr>
                  <w:tcW w:w="1244" w:type="pct"/>
                  <w:noWrap w:val="0"/>
                  <w:tcMar>
                    <w:left w:w="28" w:type="dxa"/>
                    <w:right w:w="28" w:type="dxa"/>
                  </w:tcMar>
                  <w:vAlign w:val="center"/>
                </w:tcPr>
                <w:p>
                  <w:pPr>
                    <w:keepNext w:val="0"/>
                    <w:keepLines w:val="0"/>
                    <w:pageBreakBefore w:val="0"/>
                    <w:suppressLineNumbers w:val="0"/>
                    <w:kinsoku/>
                    <w:wordWrap/>
                    <w:topLinePunct w:val="0"/>
                    <w:bidi w:val="0"/>
                    <w:adjustRightInd/>
                    <w:snapToGrid/>
                    <w:spacing w:before="0" w:beforeAutospacing="0" w:after="0" w:afterAutospacing="0" w:line="350" w:lineRule="exact"/>
                    <w:ind w:left="0" w:right="0"/>
                    <w:jc w:val="center"/>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pacing w:val="-10"/>
                      <w:sz w:val="21"/>
                      <w:szCs w:val="21"/>
                      <w:highlight w:val="none"/>
                    </w:rPr>
                    <w:t>—</w:t>
                  </w:r>
                </w:p>
              </w:tc>
            </w:tr>
          </w:tbl>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12"/>
              <w:keepNext w:val="0"/>
              <w:keepLines w:val="0"/>
              <w:suppressLineNumbers w:val="0"/>
              <w:spacing w:beforeAutospacing="0" w:afterAutospacing="0"/>
              <w:ind w:lef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12"/>
              <w:keepNext w:val="0"/>
              <w:keepLines w:val="0"/>
              <w:suppressLineNumbers w:val="0"/>
              <w:spacing w:beforeAutospacing="0" w:afterAutospacing="0"/>
              <w:ind w:lef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3"/>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pStyle w:val="2"/>
              <w:keepNext w:val="0"/>
              <w:keepLines w:val="0"/>
              <w:suppressLineNumbers w:val="0"/>
              <w:spacing w:before="0" w:beforeAutospacing="0" w:after="0" w:afterAutospacing="0"/>
              <w:ind w:left="0" w:right="0"/>
              <w:rPr>
                <w:rFonts w:hint="default" w:ascii="Times New Roman" w:hAnsi="Times New Roman" w:eastAsia="宋体" w:cs="Times New Roman"/>
                <w:color w:val="auto"/>
                <w:lang w:val="en-US" w:eastAsia="zh-CN"/>
              </w:rPr>
            </w:pPr>
          </w:p>
          <w:p>
            <w:pPr>
              <w:keepNext w:val="0"/>
              <w:keepLines w:val="0"/>
              <w:suppressLineNumbers w:val="0"/>
              <w:spacing w:before="0" w:beforeAutospacing="0" w:after="0" w:afterAutospacing="0" w:line="440" w:lineRule="exact"/>
              <w:ind w:left="0" w:right="0"/>
              <w:rPr>
                <w:rFonts w:hint="default" w:ascii="Times New Roman" w:hAnsi="Times New Roman" w:eastAsia="宋体" w:cs="Times New Roman"/>
                <w:color w:val="auto"/>
                <w:szCs w:val="21"/>
                <w:highlight w:val="none"/>
                <w:lang w:eastAsia="zh-CN"/>
              </w:rPr>
            </w:pPr>
          </w:p>
        </w:tc>
      </w:tr>
    </w:tbl>
    <w:p>
      <w:pPr>
        <w:pStyle w:val="29"/>
        <w:jc w:val="center"/>
        <w:outlineLvl w:val="0"/>
        <w:rPr>
          <w:rFonts w:hint="default" w:ascii="Times New Roman" w:hAnsi="Times New Roman" w:eastAsia="宋体" w:cs="Times New Roman"/>
          <w:b/>
          <w:bCs/>
          <w:snapToGrid w:val="0"/>
          <w:color w:val="auto"/>
          <w:sz w:val="30"/>
          <w:szCs w:val="30"/>
          <w:highlight w:val="none"/>
        </w:rPr>
      </w:pPr>
      <w:r>
        <w:rPr>
          <w:rFonts w:hint="default" w:ascii="Times New Roman" w:hAnsi="Times New Roman" w:eastAsia="宋体" w:cs="Times New Roman"/>
          <w:bCs/>
          <w:color w:val="0000FF"/>
          <w:szCs w:val="21"/>
          <w:highlight w:val="none"/>
        </w:rPr>
        <w:br w:type="page"/>
      </w:r>
      <w:bookmarkStart w:id="53" w:name="_Toc22886"/>
      <w:r>
        <w:rPr>
          <w:rFonts w:hint="default" w:ascii="Times New Roman" w:hAnsi="Times New Roman" w:eastAsia="宋体" w:cs="Times New Roman"/>
          <w:b/>
          <w:bCs/>
          <w:snapToGrid w:val="0"/>
          <w:color w:val="auto"/>
          <w:sz w:val="30"/>
          <w:szCs w:val="30"/>
          <w:highlight w:val="none"/>
        </w:rPr>
        <w:t>六、生态环境保护措施监督检查清单</w:t>
      </w:r>
      <w:bookmarkEnd w:id="53"/>
    </w:p>
    <w:tbl>
      <w:tblPr>
        <w:tblStyle w:val="32"/>
        <w:tblW w:w="500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419"/>
        <w:gridCol w:w="5492"/>
        <w:gridCol w:w="4365"/>
        <w:gridCol w:w="1267"/>
        <w:gridCol w:w="112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19" w:type="pct"/>
            <w:vMerge w:val="restart"/>
            <w:tcBorders>
              <w:tl2br w:val="single" w:color="auto" w:sz="4" w:space="0"/>
            </w:tcBorders>
            <w:noWrap w:val="0"/>
            <w:tcMar>
              <w:left w:w="108" w:type="dxa"/>
              <w:right w:w="108" w:type="dxa"/>
            </w:tcMar>
            <w:vAlign w:val="top"/>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r>
              <w:rPr>
                <w:rFonts w:hint="default" w:ascii="Times New Roman" w:hAnsi="Times New Roman" w:eastAsia="宋体" w:cs="Times New Roman"/>
                <w:b/>
                <w:bCs/>
                <w:color w:val="auto"/>
                <w:kern w:val="2"/>
                <w:sz w:val="24"/>
                <w:szCs w:val="24"/>
                <w:highlight w:val="none"/>
                <w:lang w:val="en-US" w:eastAsia="zh-CN"/>
              </w:rPr>
              <w:t xml:space="preserve">  </w:t>
            </w:r>
            <w:bookmarkStart w:id="54" w:name="_Toc26125"/>
            <w:bookmarkStart w:id="55" w:name="_Toc7662"/>
            <w:bookmarkStart w:id="56" w:name="_Toc13496"/>
            <w:bookmarkStart w:id="57" w:name="_Toc29900"/>
            <w:bookmarkStart w:id="58" w:name="_Toc25253"/>
            <w:bookmarkStart w:id="59" w:name="_Toc197412929"/>
            <w:bookmarkStart w:id="60" w:name="_Toc197413063"/>
            <w:r>
              <w:rPr>
                <w:rFonts w:hint="default" w:ascii="Times New Roman" w:hAnsi="Times New Roman" w:eastAsia="宋体" w:cs="Times New Roman"/>
                <w:b/>
                <w:bCs/>
                <w:color w:val="auto"/>
                <w:kern w:val="2"/>
                <w:sz w:val="24"/>
                <w:szCs w:val="24"/>
                <w:highlight w:val="none"/>
                <w:lang w:val="en-US" w:eastAsia="zh-CN"/>
              </w:rPr>
              <w:t>内容</w:t>
            </w:r>
            <w:bookmarkEnd w:id="54"/>
            <w:bookmarkEnd w:id="55"/>
            <w:bookmarkEnd w:id="56"/>
            <w:bookmarkEnd w:id="57"/>
            <w:bookmarkEnd w:id="58"/>
            <w:bookmarkEnd w:id="59"/>
            <w:bookmarkEnd w:id="60"/>
          </w:p>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r>
              <w:rPr>
                <w:rFonts w:hint="default" w:ascii="Times New Roman" w:hAnsi="Times New Roman" w:eastAsia="宋体" w:cs="Times New Roman"/>
                <w:b/>
                <w:bCs/>
                <w:color w:val="auto"/>
                <w:kern w:val="2"/>
                <w:sz w:val="24"/>
                <w:szCs w:val="24"/>
                <w:highlight w:val="none"/>
                <w:lang w:val="en-US" w:eastAsia="zh-CN"/>
              </w:rPr>
              <w:t xml:space="preserve">  </w:t>
            </w:r>
          </w:p>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outlineLvl w:val="0"/>
              <w:rPr>
                <w:rFonts w:hint="default" w:ascii="Times New Roman" w:hAnsi="Times New Roman" w:eastAsia="宋体" w:cs="Times New Roman"/>
                <w:b/>
                <w:bCs/>
                <w:color w:val="auto"/>
                <w:kern w:val="2"/>
                <w:sz w:val="24"/>
                <w:szCs w:val="24"/>
                <w:highlight w:val="none"/>
                <w:lang w:val="en-US" w:eastAsia="zh-CN"/>
              </w:rPr>
            </w:pPr>
            <w:bookmarkStart w:id="61" w:name="_Toc913"/>
            <w:bookmarkStart w:id="62" w:name="_Toc20981"/>
            <w:bookmarkStart w:id="63" w:name="_Toc31541"/>
            <w:bookmarkStart w:id="64" w:name="_Toc197412930"/>
            <w:bookmarkStart w:id="65" w:name="_Toc197413064"/>
            <w:bookmarkStart w:id="66" w:name="_Toc5527"/>
            <w:bookmarkStart w:id="67" w:name="_Toc4698"/>
            <w:r>
              <w:rPr>
                <w:rFonts w:hint="default" w:ascii="Times New Roman" w:hAnsi="Times New Roman" w:eastAsia="宋体" w:cs="Times New Roman"/>
                <w:b/>
                <w:bCs/>
                <w:color w:val="auto"/>
                <w:kern w:val="2"/>
                <w:sz w:val="24"/>
                <w:szCs w:val="24"/>
                <w:highlight w:val="none"/>
                <w:lang w:val="en-US" w:eastAsia="zh-CN"/>
              </w:rPr>
              <w:t>要素</w:t>
            </w:r>
            <w:bookmarkEnd w:id="61"/>
            <w:bookmarkEnd w:id="62"/>
            <w:bookmarkEnd w:id="63"/>
            <w:bookmarkEnd w:id="64"/>
            <w:bookmarkEnd w:id="65"/>
            <w:bookmarkEnd w:id="66"/>
            <w:bookmarkEnd w:id="67"/>
          </w:p>
        </w:tc>
        <w:tc>
          <w:tcPr>
            <w:tcW w:w="3605" w:type="pct"/>
            <w:gridSpan w:val="2"/>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bookmarkStart w:id="68" w:name="_Toc13031"/>
            <w:bookmarkStart w:id="69" w:name="_Toc9744"/>
            <w:bookmarkStart w:id="70" w:name="_Toc197413065"/>
            <w:bookmarkStart w:id="71" w:name="_Toc26832"/>
            <w:bookmarkStart w:id="72" w:name="_Toc13874"/>
            <w:bookmarkStart w:id="73" w:name="_Toc197412931"/>
            <w:bookmarkStart w:id="74" w:name="_Toc25849"/>
            <w:r>
              <w:rPr>
                <w:rFonts w:hint="default" w:ascii="Times New Roman" w:hAnsi="Times New Roman" w:eastAsia="宋体" w:cs="Times New Roman"/>
                <w:b/>
                <w:bCs/>
                <w:color w:val="auto"/>
                <w:kern w:val="2"/>
                <w:sz w:val="24"/>
                <w:szCs w:val="24"/>
                <w:highlight w:val="none"/>
                <w:lang w:val="en-US" w:eastAsia="zh-CN"/>
              </w:rPr>
              <w:t>施工期</w:t>
            </w:r>
            <w:bookmarkEnd w:id="68"/>
            <w:bookmarkEnd w:id="69"/>
            <w:bookmarkEnd w:id="70"/>
            <w:bookmarkEnd w:id="71"/>
            <w:bookmarkEnd w:id="72"/>
            <w:bookmarkEnd w:id="73"/>
            <w:bookmarkEnd w:id="74"/>
          </w:p>
        </w:tc>
        <w:tc>
          <w:tcPr>
            <w:tcW w:w="874" w:type="pct"/>
            <w:gridSpan w:val="2"/>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bookmarkStart w:id="75" w:name="_Toc4572"/>
            <w:bookmarkStart w:id="76" w:name="_Toc13824"/>
            <w:bookmarkStart w:id="77" w:name="_Toc4589"/>
            <w:bookmarkStart w:id="78" w:name="_Toc19021"/>
            <w:bookmarkStart w:id="79" w:name="_Toc26913"/>
            <w:bookmarkStart w:id="80" w:name="_Toc197413066"/>
            <w:bookmarkStart w:id="81" w:name="_Toc197412932"/>
            <w:r>
              <w:rPr>
                <w:rFonts w:hint="default" w:ascii="Times New Roman" w:hAnsi="Times New Roman" w:eastAsia="宋体" w:cs="Times New Roman"/>
                <w:b/>
                <w:bCs/>
                <w:color w:val="auto"/>
                <w:kern w:val="2"/>
                <w:sz w:val="24"/>
                <w:szCs w:val="24"/>
                <w:highlight w:val="none"/>
                <w:lang w:val="en-US" w:eastAsia="zh-CN"/>
              </w:rPr>
              <w:t>运营期</w:t>
            </w:r>
            <w:bookmarkEnd w:id="75"/>
            <w:bookmarkEnd w:id="76"/>
            <w:bookmarkEnd w:id="77"/>
            <w:bookmarkEnd w:id="78"/>
            <w:bookmarkEnd w:id="79"/>
            <w:bookmarkEnd w:id="80"/>
            <w:bookmarkEnd w:id="81"/>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19" w:type="pct"/>
            <w:vMerge w:val="continue"/>
            <w:noWrap w:val="0"/>
            <w:tcMar>
              <w:left w:w="108" w:type="dxa"/>
              <w:right w:w="108" w:type="dxa"/>
            </w:tcMar>
            <w:vAlign w:val="top"/>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firstLine="84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p>
        </w:tc>
        <w:tc>
          <w:tcPr>
            <w:tcW w:w="2009" w:type="pct"/>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bookmarkStart w:id="82" w:name="_Toc32376"/>
            <w:bookmarkStart w:id="83" w:name="_Toc741"/>
            <w:bookmarkStart w:id="84" w:name="_Toc197413067"/>
            <w:bookmarkStart w:id="85" w:name="_Toc24644"/>
            <w:bookmarkStart w:id="86" w:name="_Toc11643"/>
            <w:bookmarkStart w:id="87" w:name="_Toc29174"/>
            <w:bookmarkStart w:id="88" w:name="_Toc197412933"/>
            <w:r>
              <w:rPr>
                <w:rFonts w:hint="default" w:ascii="Times New Roman" w:hAnsi="Times New Roman" w:eastAsia="宋体" w:cs="Times New Roman"/>
                <w:b/>
                <w:bCs/>
                <w:color w:val="auto"/>
                <w:kern w:val="2"/>
                <w:sz w:val="24"/>
                <w:szCs w:val="24"/>
                <w:highlight w:val="none"/>
                <w:lang w:val="en-US" w:eastAsia="zh-CN"/>
              </w:rPr>
              <w:t>环境保护措施</w:t>
            </w:r>
            <w:bookmarkEnd w:id="82"/>
            <w:bookmarkEnd w:id="83"/>
            <w:bookmarkEnd w:id="84"/>
            <w:bookmarkEnd w:id="85"/>
            <w:bookmarkEnd w:id="86"/>
            <w:bookmarkEnd w:id="87"/>
            <w:bookmarkEnd w:id="88"/>
          </w:p>
        </w:tc>
        <w:tc>
          <w:tcPr>
            <w:tcW w:w="1596" w:type="pct"/>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bookmarkStart w:id="89" w:name="_Toc27085"/>
            <w:bookmarkStart w:id="90" w:name="_Toc16286"/>
            <w:bookmarkStart w:id="91" w:name="_Toc197413068"/>
            <w:bookmarkStart w:id="92" w:name="_Toc19084"/>
            <w:bookmarkStart w:id="93" w:name="_Toc19529"/>
            <w:bookmarkStart w:id="94" w:name="_Toc17256"/>
            <w:bookmarkStart w:id="95" w:name="_Toc197412934"/>
            <w:r>
              <w:rPr>
                <w:rFonts w:hint="default" w:ascii="Times New Roman" w:hAnsi="Times New Roman" w:eastAsia="宋体" w:cs="Times New Roman"/>
                <w:b/>
                <w:bCs/>
                <w:color w:val="auto"/>
                <w:kern w:val="2"/>
                <w:sz w:val="24"/>
                <w:szCs w:val="24"/>
                <w:highlight w:val="none"/>
                <w:lang w:val="en-US" w:eastAsia="zh-CN"/>
              </w:rPr>
              <w:t>验收要求</w:t>
            </w:r>
            <w:bookmarkEnd w:id="89"/>
            <w:bookmarkEnd w:id="90"/>
            <w:bookmarkEnd w:id="91"/>
            <w:bookmarkEnd w:id="92"/>
            <w:bookmarkEnd w:id="93"/>
            <w:bookmarkEnd w:id="94"/>
            <w:bookmarkEnd w:id="95"/>
          </w:p>
        </w:tc>
        <w:tc>
          <w:tcPr>
            <w:tcW w:w="463" w:type="pct"/>
            <w:noWrap w:val="0"/>
            <w:tcMar>
              <w:left w:w="108" w:type="dxa"/>
              <w:right w:w="108" w:type="dxa"/>
            </w:tcMar>
            <w:vAlign w:val="center"/>
          </w:tcPr>
          <w:p>
            <w:pPr>
              <w:pStyle w:val="2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bookmarkStart w:id="96" w:name="_Toc197412935"/>
            <w:bookmarkStart w:id="97" w:name="_Toc14230"/>
            <w:bookmarkStart w:id="98" w:name="_Toc18334"/>
            <w:bookmarkStart w:id="99" w:name="_Toc13152"/>
            <w:bookmarkStart w:id="100" w:name="_Toc15957"/>
            <w:bookmarkStart w:id="101" w:name="_Toc27641"/>
            <w:bookmarkStart w:id="102" w:name="_Toc197413069"/>
            <w:r>
              <w:rPr>
                <w:rFonts w:hint="default" w:ascii="Times New Roman" w:hAnsi="Times New Roman" w:eastAsia="宋体" w:cs="Times New Roman"/>
                <w:b/>
                <w:bCs/>
                <w:color w:val="auto"/>
                <w:kern w:val="2"/>
                <w:sz w:val="24"/>
                <w:szCs w:val="24"/>
                <w:highlight w:val="none"/>
                <w:lang w:val="en-US" w:eastAsia="zh-CN"/>
              </w:rPr>
              <w:t>环境保护措施</w:t>
            </w:r>
            <w:bookmarkEnd w:id="96"/>
            <w:bookmarkEnd w:id="97"/>
            <w:bookmarkEnd w:id="98"/>
            <w:bookmarkEnd w:id="99"/>
            <w:bookmarkEnd w:id="100"/>
            <w:bookmarkEnd w:id="101"/>
            <w:bookmarkEnd w:id="102"/>
          </w:p>
        </w:tc>
        <w:tc>
          <w:tcPr>
            <w:tcW w:w="411" w:type="pct"/>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b/>
                <w:bCs/>
                <w:color w:val="auto"/>
                <w:kern w:val="2"/>
                <w:sz w:val="24"/>
                <w:szCs w:val="24"/>
                <w:highlight w:val="none"/>
                <w:lang w:val="en-US" w:eastAsia="zh-CN"/>
              </w:rPr>
            </w:pPr>
            <w:bookmarkStart w:id="103" w:name="_Toc197412936"/>
            <w:bookmarkStart w:id="104" w:name="_Toc24599"/>
            <w:bookmarkStart w:id="105" w:name="_Toc14554"/>
            <w:bookmarkStart w:id="106" w:name="_Toc29237"/>
            <w:bookmarkStart w:id="107" w:name="_Toc6308"/>
            <w:bookmarkStart w:id="108" w:name="_Toc22579"/>
            <w:bookmarkStart w:id="109" w:name="_Toc197413070"/>
            <w:r>
              <w:rPr>
                <w:rFonts w:hint="default" w:ascii="Times New Roman" w:hAnsi="Times New Roman" w:eastAsia="宋体" w:cs="Times New Roman"/>
                <w:b/>
                <w:bCs/>
                <w:color w:val="auto"/>
                <w:kern w:val="2"/>
                <w:sz w:val="24"/>
                <w:szCs w:val="24"/>
                <w:highlight w:val="none"/>
                <w:lang w:val="en-US" w:eastAsia="zh-CN"/>
              </w:rPr>
              <w:t>验收要求</w:t>
            </w:r>
            <w:bookmarkEnd w:id="103"/>
            <w:bookmarkEnd w:id="104"/>
            <w:bookmarkEnd w:id="105"/>
            <w:bookmarkEnd w:id="106"/>
            <w:bookmarkEnd w:id="107"/>
            <w:bookmarkEnd w:id="108"/>
            <w:bookmarkEnd w:id="109"/>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陆生</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生态</w:t>
            </w: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严格控制施工作业范围，施工车辆严禁停放在施工场地以外区域，避免对植被的碾压破坏</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施工道路建设过程中充分利用现有道路。禁止猎杀野生动物。</w:t>
            </w:r>
          </w:p>
        </w:tc>
        <w:tc>
          <w:tcPr>
            <w:tcW w:w="1596" w:type="pct"/>
            <w:vMerge w:val="restar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施工</w:t>
            </w:r>
            <w:r>
              <w:rPr>
                <w:rFonts w:hint="default" w:ascii="Times New Roman" w:hAnsi="Times New Roman" w:eastAsia="宋体" w:cs="Times New Roman"/>
                <w:color w:val="auto"/>
                <w:sz w:val="24"/>
                <w:szCs w:val="24"/>
                <w:highlight w:val="none"/>
                <w:lang w:bidi="ar"/>
              </w:rPr>
              <w:t>结束后及时恢复原状，不降低</w:t>
            </w:r>
            <w:r>
              <w:rPr>
                <w:rFonts w:hint="default" w:ascii="Times New Roman" w:hAnsi="Times New Roman" w:eastAsia="宋体" w:cs="Times New Roman"/>
                <w:color w:val="auto"/>
                <w:sz w:val="24"/>
                <w:szCs w:val="24"/>
                <w:highlight w:val="none"/>
              </w:rPr>
              <w:t>土壤</w:t>
            </w:r>
            <w:r>
              <w:rPr>
                <w:rFonts w:hint="default" w:ascii="Times New Roman" w:hAnsi="Times New Roman" w:eastAsia="宋体" w:cs="Times New Roman"/>
                <w:color w:val="auto"/>
                <w:sz w:val="24"/>
                <w:szCs w:val="24"/>
                <w:highlight w:val="none"/>
                <w:lang w:bidi="ar"/>
              </w:rPr>
              <w:t>环境质量</w:t>
            </w:r>
            <w:r>
              <w:rPr>
                <w:rFonts w:hint="default" w:ascii="Times New Roman" w:hAnsi="Times New Roman" w:eastAsia="宋体" w:cs="Times New Roman"/>
                <w:color w:val="auto"/>
                <w:sz w:val="24"/>
                <w:szCs w:val="24"/>
                <w:highlight w:val="none"/>
                <w:lang w:eastAsia="zh-CN" w:bidi="ar"/>
              </w:rPr>
              <w:t>。</w:t>
            </w:r>
          </w:p>
        </w:tc>
        <w:tc>
          <w:tcPr>
            <w:tcW w:w="463"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11"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加强施工管理，洒水施工，减少临时土方堆放等措施落实防沙治沙措施</w:t>
            </w:r>
            <w:r>
              <w:rPr>
                <w:rFonts w:hint="default" w:ascii="Times New Roman" w:hAnsi="Times New Roman" w:eastAsia="宋体" w:cs="Times New Roman"/>
                <w:color w:val="auto"/>
                <w:sz w:val="24"/>
                <w:szCs w:val="24"/>
                <w:highlight w:val="none"/>
                <w:lang w:eastAsia="zh-CN"/>
              </w:rPr>
              <w:t>。</w:t>
            </w:r>
          </w:p>
        </w:tc>
        <w:tc>
          <w:tcPr>
            <w:tcW w:w="1596"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85"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完钻后</w:t>
            </w:r>
            <w:r>
              <w:rPr>
                <w:rFonts w:hint="default" w:ascii="Times New Roman" w:hAnsi="Times New Roman" w:eastAsia="宋体" w:cs="Times New Roman"/>
                <w:color w:val="auto"/>
                <w:kern w:val="0"/>
                <w:sz w:val="24"/>
                <w:szCs w:val="24"/>
                <w:highlight w:val="none"/>
                <w:lang w:bidi="ar"/>
              </w:rPr>
              <w:t>井场、生活区、道路等临时占地恢复，</w:t>
            </w:r>
            <w:r>
              <w:rPr>
                <w:rFonts w:hint="default" w:ascii="Times New Roman" w:hAnsi="Times New Roman" w:eastAsia="宋体" w:cs="Times New Roman"/>
                <w:color w:val="auto"/>
                <w:sz w:val="24"/>
                <w:szCs w:val="24"/>
                <w:highlight w:val="none"/>
              </w:rPr>
              <w:t>场地平整</w:t>
            </w:r>
            <w:r>
              <w:rPr>
                <w:rFonts w:hint="default" w:ascii="Times New Roman" w:hAnsi="Times New Roman" w:eastAsia="宋体" w:cs="Times New Roman"/>
                <w:color w:val="auto"/>
                <w:sz w:val="24"/>
                <w:szCs w:val="24"/>
                <w:highlight w:val="none"/>
                <w:lang w:eastAsia="zh-CN"/>
              </w:rPr>
              <w:t>。</w:t>
            </w:r>
          </w:p>
        </w:tc>
        <w:tc>
          <w:tcPr>
            <w:tcW w:w="1596"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23" w:hRule="atLeast"/>
          <w:jc w:val="center"/>
        </w:trPr>
        <w:tc>
          <w:tcPr>
            <w:tcW w:w="51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水生</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生态</w:t>
            </w:r>
          </w:p>
        </w:tc>
        <w:tc>
          <w:tcPr>
            <w:tcW w:w="200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1596"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地表水</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环境</w:t>
            </w: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Cs/>
                <w:color w:val="auto"/>
                <w:sz w:val="24"/>
                <w:szCs w:val="24"/>
                <w:highlight w:val="none"/>
                <w:lang w:eastAsia="zh-CN" w:bidi="ar"/>
              </w:rPr>
            </w:pPr>
            <w:r>
              <w:rPr>
                <w:rFonts w:hint="default" w:ascii="Times New Roman" w:hAnsi="Times New Roman" w:eastAsia="宋体" w:cs="Times New Roman"/>
                <w:bCs/>
                <w:color w:val="auto"/>
                <w:sz w:val="24"/>
                <w:szCs w:val="24"/>
                <w:highlight w:val="none"/>
                <w:lang w:eastAsia="zh-CN" w:bidi="ar"/>
              </w:rPr>
              <w:t>钻井废水与钻井泥浆、岩屑一同进入不落地系统处理，处理后的液相全部回用于钻井液配制</w:t>
            </w:r>
            <w:r>
              <w:rPr>
                <w:rFonts w:hint="default" w:ascii="Times New Roman" w:hAnsi="Times New Roman" w:eastAsia="宋体" w:cs="Times New Roman"/>
                <w:bCs/>
                <w:color w:val="auto"/>
                <w:sz w:val="24"/>
                <w:szCs w:val="24"/>
                <w:highlight w:val="none"/>
                <w:lang w:val="en-US" w:eastAsia="zh-CN" w:bidi="ar"/>
              </w:rPr>
              <w:t>，</w:t>
            </w:r>
            <w:r>
              <w:rPr>
                <w:rFonts w:hint="default" w:ascii="Times New Roman" w:hAnsi="Times New Roman" w:eastAsia="宋体" w:cs="Times New Roman"/>
                <w:bCs/>
                <w:color w:val="auto"/>
                <w:sz w:val="24"/>
                <w:szCs w:val="24"/>
                <w:highlight w:val="none"/>
                <w:lang w:eastAsia="zh-CN" w:bidi="ar"/>
              </w:rPr>
              <w:t>不外排。</w:t>
            </w:r>
          </w:p>
        </w:tc>
        <w:tc>
          <w:tcPr>
            <w:tcW w:w="1596" w:type="pct"/>
            <w:vMerge w:val="restar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bCs/>
                <w:color w:val="auto"/>
                <w:sz w:val="24"/>
                <w:szCs w:val="24"/>
                <w:highlight w:val="none"/>
                <w:lang w:val="en-US" w:eastAsia="zh-CN" w:bidi="ar"/>
              </w:rPr>
              <w:t>不外排</w:t>
            </w:r>
            <w:r>
              <w:rPr>
                <w:rFonts w:hint="default" w:ascii="Times New Roman" w:hAnsi="Times New Roman" w:eastAsia="宋体" w:cs="Times New Roman"/>
                <w:bCs/>
                <w:color w:val="auto"/>
                <w:sz w:val="24"/>
                <w:szCs w:val="24"/>
                <w:highlight w:val="none"/>
                <w:lang w:eastAsia="zh-CN" w:bidi="ar"/>
              </w:rPr>
              <w:t>。</w:t>
            </w:r>
          </w:p>
        </w:tc>
        <w:tc>
          <w:tcPr>
            <w:tcW w:w="463"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11"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Cs/>
                <w:color w:val="auto"/>
                <w:sz w:val="24"/>
                <w:szCs w:val="24"/>
                <w:highlight w:val="none"/>
                <w:lang w:eastAsia="zh-CN" w:bidi="ar"/>
              </w:rPr>
            </w:pPr>
            <w:r>
              <w:rPr>
                <w:rFonts w:hint="default" w:ascii="Times New Roman" w:hAnsi="Times New Roman" w:eastAsia="宋体" w:cs="Times New Roman"/>
                <w:bCs/>
                <w:color w:val="auto"/>
                <w:sz w:val="24"/>
                <w:szCs w:val="24"/>
                <w:highlight w:val="none"/>
                <w:lang w:bidi="ar"/>
              </w:rPr>
              <w:t>酸化压裂返排液在井场加碱中和后，暂存于废液收集罐，运至富源7环保处理站处置</w:t>
            </w:r>
            <w:r>
              <w:rPr>
                <w:rFonts w:hint="default" w:ascii="Times New Roman" w:hAnsi="Times New Roman" w:eastAsia="宋体" w:cs="Times New Roman"/>
                <w:bCs/>
                <w:color w:val="auto"/>
                <w:sz w:val="24"/>
                <w:szCs w:val="24"/>
                <w:highlight w:val="none"/>
                <w:lang w:eastAsia="zh-CN" w:bidi="ar"/>
              </w:rPr>
              <w:t>。</w:t>
            </w:r>
          </w:p>
        </w:tc>
        <w:tc>
          <w:tcPr>
            <w:tcW w:w="1596"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bCs/>
                <w:color w:val="auto"/>
                <w:sz w:val="24"/>
                <w:szCs w:val="24"/>
                <w:highlight w:val="none"/>
                <w:lang w:eastAsia="zh-CN" w:bidi="ar"/>
              </w:rPr>
            </w:pPr>
            <w:r>
              <w:rPr>
                <w:rFonts w:hint="default" w:ascii="Times New Roman" w:hAnsi="Times New Roman" w:eastAsia="宋体" w:cs="Times New Roman"/>
                <w:bCs/>
                <w:color w:val="auto"/>
                <w:sz w:val="24"/>
                <w:szCs w:val="24"/>
                <w:highlight w:val="none"/>
                <w:lang w:bidi="ar"/>
              </w:rPr>
              <w:t>锅炉排污水用作周边洒水抑尘</w:t>
            </w:r>
            <w:r>
              <w:rPr>
                <w:rFonts w:hint="default" w:ascii="Times New Roman" w:hAnsi="Times New Roman" w:eastAsia="宋体" w:cs="Times New Roman"/>
                <w:bCs/>
                <w:color w:val="auto"/>
                <w:sz w:val="24"/>
                <w:szCs w:val="24"/>
                <w:highlight w:val="none"/>
                <w:lang w:eastAsia="zh-CN" w:bidi="ar"/>
              </w:rPr>
              <w:t>。</w:t>
            </w:r>
          </w:p>
        </w:tc>
        <w:tc>
          <w:tcPr>
            <w:tcW w:w="1596"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生活污水</w:t>
            </w:r>
            <w:r>
              <w:rPr>
                <w:rFonts w:hint="default" w:ascii="Times New Roman" w:hAnsi="Times New Roman" w:eastAsia="宋体" w:cs="Times New Roman"/>
                <w:color w:val="auto"/>
                <w:sz w:val="24"/>
                <w:szCs w:val="24"/>
                <w:highlight w:val="none"/>
                <w:lang w:val="en-US" w:eastAsia="zh-CN"/>
              </w:rPr>
              <w:t>经污水处理站处理后，用于荒漠生态恢复</w:t>
            </w:r>
            <w:r>
              <w:rPr>
                <w:rFonts w:hint="default" w:ascii="Times New Roman" w:hAnsi="Times New Roman" w:eastAsia="宋体" w:cs="Times New Roman"/>
                <w:color w:val="auto"/>
                <w:sz w:val="24"/>
                <w:szCs w:val="24"/>
                <w:highlight w:val="none"/>
                <w:lang w:eastAsia="zh-CN"/>
              </w:rPr>
              <w:t>。</w:t>
            </w:r>
          </w:p>
        </w:tc>
        <w:tc>
          <w:tcPr>
            <w:tcW w:w="1596"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地下水及土壤环境</w:t>
            </w: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重点防渗区</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柴油罐区、柴油发电机区、</w:t>
            </w:r>
            <w:r>
              <w:rPr>
                <w:rFonts w:hint="default" w:ascii="Times New Roman" w:hAnsi="Times New Roman" w:eastAsia="宋体" w:cs="Times New Roman"/>
                <w:color w:val="auto"/>
                <w:sz w:val="24"/>
                <w:szCs w:val="24"/>
                <w:highlight w:val="none"/>
                <w:lang w:eastAsia="zh-CN"/>
              </w:rPr>
              <w:t>危废暂存间</w:t>
            </w:r>
            <w:r>
              <w:rPr>
                <w:rFonts w:hint="default" w:ascii="Times New Roman" w:hAnsi="Times New Roman" w:eastAsia="宋体" w:cs="Times New Roman"/>
                <w:color w:val="auto"/>
                <w:sz w:val="24"/>
                <w:szCs w:val="24"/>
                <w:highlight w:val="none"/>
              </w:rPr>
              <w:t>、放喷池、钻井平台、不落地收集装置</w:t>
            </w:r>
            <w:r>
              <w:rPr>
                <w:rFonts w:hint="default" w:ascii="Times New Roman" w:hAnsi="Times New Roman" w:eastAsia="宋体" w:cs="Times New Roman"/>
                <w:color w:val="auto"/>
                <w:sz w:val="24"/>
                <w:szCs w:val="24"/>
                <w:highlight w:val="none"/>
                <w:lang w:eastAsia="zh-CN"/>
              </w:rPr>
              <w:t>、</w:t>
            </w:r>
            <w:r>
              <w:rPr>
                <w:rFonts w:hint="eastAsia" w:ascii="Times New Roman" w:cs="Times New Roman"/>
                <w:color w:val="auto"/>
                <w:sz w:val="24"/>
                <w:szCs w:val="24"/>
                <w:highlight w:val="none"/>
                <w:lang w:val="en-US" w:eastAsia="zh-CN"/>
              </w:rPr>
              <w:t>凝析油罐区</w:t>
            </w:r>
            <w:r>
              <w:rPr>
                <w:rFonts w:hint="default" w:ascii="Times New Roman" w:hAnsi="Times New Roman" w:eastAsia="宋体" w:cs="Times New Roman"/>
                <w:color w:val="auto"/>
                <w:sz w:val="24"/>
                <w:szCs w:val="24"/>
                <w:highlight w:val="none"/>
                <w:lang w:val="en-US" w:eastAsia="zh-CN"/>
              </w:rPr>
              <w:t>、试油区域</w:t>
            </w:r>
            <w:r>
              <w:rPr>
                <w:rFonts w:hint="default" w:ascii="Times New Roman" w:hAnsi="Times New Roman" w:eastAsia="宋体" w:cs="Times New Roman"/>
                <w:color w:val="auto"/>
                <w:sz w:val="24"/>
                <w:szCs w:val="24"/>
                <w:highlight w:val="none"/>
              </w:rPr>
              <w:t>等铺设防渗材料，</w:t>
            </w:r>
            <w:r>
              <w:rPr>
                <w:rFonts w:hint="default" w:ascii="Times New Roman" w:hAnsi="Times New Roman" w:eastAsia="宋体" w:cs="Times New Roman"/>
                <w:color w:val="auto"/>
                <w:kern w:val="0"/>
                <w:sz w:val="24"/>
                <w:szCs w:val="24"/>
                <w:highlight w:val="none"/>
              </w:rPr>
              <w:t>等效黏土防渗层Mb≥6.0m，K≤1×10</w:t>
            </w:r>
            <w:r>
              <w:rPr>
                <w:rFonts w:hint="default" w:ascii="Times New Roman" w:hAnsi="Times New Roman" w:eastAsia="宋体" w:cs="Times New Roman"/>
                <w:color w:val="auto"/>
                <w:kern w:val="0"/>
                <w:sz w:val="24"/>
                <w:szCs w:val="24"/>
                <w:highlight w:val="none"/>
                <w:vertAlign w:val="superscript"/>
              </w:rPr>
              <w:t>-7</w:t>
            </w:r>
            <w:r>
              <w:rPr>
                <w:rFonts w:hint="default" w:ascii="Times New Roman" w:hAnsi="Times New Roman" w:eastAsia="宋体" w:cs="Times New Roman"/>
                <w:color w:val="auto"/>
                <w:kern w:val="0"/>
                <w:sz w:val="24"/>
                <w:szCs w:val="24"/>
                <w:highlight w:val="none"/>
              </w:rPr>
              <w:t>cm/s，或参照GB18598执行</w:t>
            </w:r>
            <w:r>
              <w:rPr>
                <w:rFonts w:hint="default" w:ascii="Times New Roman" w:hAnsi="Times New Roman" w:eastAsia="宋体" w:cs="Times New Roman"/>
                <w:color w:val="auto"/>
                <w:kern w:val="0"/>
                <w:sz w:val="24"/>
                <w:szCs w:val="24"/>
                <w:highlight w:val="none"/>
                <w:lang w:eastAsia="zh-CN"/>
              </w:rPr>
              <w:t>。</w:t>
            </w:r>
          </w:p>
        </w:tc>
        <w:tc>
          <w:tcPr>
            <w:tcW w:w="1596" w:type="pct"/>
            <w:vMerge w:val="restar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按要求建设</w:t>
            </w:r>
            <w:r>
              <w:rPr>
                <w:rFonts w:hint="default" w:ascii="Times New Roman" w:hAnsi="Times New Roman" w:eastAsia="宋体" w:cs="Times New Roman"/>
                <w:color w:val="auto"/>
                <w:sz w:val="24"/>
                <w:szCs w:val="24"/>
                <w:highlight w:val="none"/>
                <w:lang w:eastAsia="zh-CN"/>
              </w:rPr>
              <w:t>。</w:t>
            </w:r>
          </w:p>
        </w:tc>
        <w:tc>
          <w:tcPr>
            <w:tcW w:w="463"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11"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一般防渗区</w:t>
            </w:r>
            <w:r>
              <w:rPr>
                <w:rFonts w:hint="eastAsia" w:asci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泥浆泵区、泥浆罐区、膨润土岩屑池等铺设防渗材料，</w:t>
            </w:r>
            <w:r>
              <w:rPr>
                <w:rFonts w:hint="default" w:ascii="Times New Roman" w:hAnsi="Times New Roman" w:eastAsia="宋体" w:cs="Times New Roman"/>
                <w:color w:val="auto"/>
                <w:kern w:val="0"/>
                <w:sz w:val="24"/>
                <w:szCs w:val="24"/>
                <w:highlight w:val="none"/>
              </w:rPr>
              <w:t>一般防渗区等效黏土防渗层Mb≥1.5m，K≤1×10</w:t>
            </w:r>
            <w:r>
              <w:rPr>
                <w:rFonts w:hint="default" w:ascii="Times New Roman" w:hAnsi="Times New Roman" w:eastAsia="宋体" w:cs="Times New Roman"/>
                <w:color w:val="auto"/>
                <w:kern w:val="0"/>
                <w:sz w:val="24"/>
                <w:szCs w:val="24"/>
                <w:highlight w:val="none"/>
                <w:vertAlign w:val="superscript"/>
              </w:rPr>
              <w:t>-7</w:t>
            </w:r>
            <w:r>
              <w:rPr>
                <w:rFonts w:hint="default" w:ascii="Times New Roman" w:hAnsi="Times New Roman" w:eastAsia="宋体" w:cs="Times New Roman"/>
                <w:color w:val="auto"/>
                <w:kern w:val="0"/>
                <w:sz w:val="24"/>
                <w:szCs w:val="24"/>
                <w:highlight w:val="none"/>
              </w:rPr>
              <w:t>cm/s，或参照GB18598执行</w:t>
            </w:r>
          </w:p>
        </w:tc>
        <w:tc>
          <w:tcPr>
            <w:tcW w:w="1596"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1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声环境</w:t>
            </w: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0"/>
                <w:sz w:val="24"/>
                <w:szCs w:val="24"/>
                <w:highlight w:val="none"/>
              </w:rPr>
              <w:t>基础</w:t>
            </w:r>
            <w:r>
              <w:rPr>
                <w:rFonts w:hint="default" w:ascii="Times New Roman" w:hAnsi="Times New Roman" w:eastAsia="宋体" w:cs="Times New Roman"/>
                <w:color w:val="auto"/>
                <w:sz w:val="24"/>
                <w:szCs w:val="24"/>
                <w:highlight w:val="none"/>
              </w:rPr>
              <w:t>减振</w:t>
            </w:r>
          </w:p>
        </w:tc>
        <w:tc>
          <w:tcPr>
            <w:tcW w:w="1596"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bidi="ar"/>
              </w:rPr>
              <w:t>《建筑施工噪声排放标准》（GB12523-2025）。</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0" w:hRule="atLeast"/>
          <w:jc w:val="center"/>
        </w:trPr>
        <w:tc>
          <w:tcPr>
            <w:tcW w:w="51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振动</w:t>
            </w:r>
          </w:p>
        </w:tc>
        <w:tc>
          <w:tcPr>
            <w:tcW w:w="200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1596"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大气</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环境</w:t>
            </w: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rPr>
              <w:t>施工扬尘采取</w:t>
            </w:r>
            <w:r>
              <w:rPr>
                <w:rFonts w:hint="default" w:ascii="Times New Roman" w:hAnsi="Times New Roman" w:eastAsia="宋体" w:cs="Times New Roman"/>
                <w:color w:val="auto"/>
                <w:sz w:val="24"/>
                <w:szCs w:val="24"/>
                <w:highlight w:val="none"/>
              </w:rPr>
              <w:t>洒水抑尘、车辆减速慢行、物料苫盖、洒水抑尘</w:t>
            </w:r>
          </w:p>
        </w:tc>
        <w:tc>
          <w:tcPr>
            <w:tcW w:w="1596"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《大气污染物综合排放标准》（GB16297-1996）中无组织排放监控浓度限值</w:t>
            </w:r>
            <w:r>
              <w:rPr>
                <w:rFonts w:hint="default" w:ascii="Times New Roman" w:hAnsi="Times New Roman" w:eastAsia="宋体" w:cs="Times New Roman"/>
                <w:color w:val="auto"/>
                <w:sz w:val="24"/>
                <w:szCs w:val="24"/>
                <w:highlight w:val="none"/>
                <w:lang w:eastAsia="zh-CN"/>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color w:val="auto"/>
                <w:spacing w:val="-11"/>
                <w:kern w:val="2"/>
                <w:sz w:val="24"/>
                <w:szCs w:val="24"/>
                <w:highlight w:val="none"/>
                <w:lang w:val="en-US" w:eastAsia="zh-CN"/>
              </w:rPr>
            </w:pPr>
            <w:bookmarkStart w:id="110" w:name="_Toc197413078"/>
            <w:bookmarkStart w:id="111" w:name="_Toc30438"/>
            <w:bookmarkStart w:id="112" w:name="_Toc197412944"/>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测试放喷</w:t>
            </w:r>
            <w:r>
              <w:rPr>
                <w:rFonts w:hint="eastAsia" w:ascii="Times New Roman" w:cs="Times New Roman"/>
                <w:color w:val="auto"/>
                <w:sz w:val="24"/>
                <w:szCs w:val="24"/>
                <w:highlight w:val="none"/>
                <w:lang w:val="en-US" w:eastAsia="zh-CN"/>
              </w:rPr>
              <w:t>废气</w:t>
            </w:r>
          </w:p>
        </w:tc>
        <w:tc>
          <w:tcPr>
            <w:tcW w:w="1596"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《陆上石油天然气开采工业大气污染物排放标准》（GB39728-2020）中边界污染物控制要求；《恶臭污染物排放标准》（GB14554-93）表1标准限值要求</w:t>
            </w:r>
            <w:r>
              <w:rPr>
                <w:rFonts w:hint="default" w:ascii="Times New Roman" w:hAnsi="Times New Roman" w:eastAsia="宋体" w:cs="Times New Roman"/>
                <w:color w:val="auto"/>
                <w:sz w:val="24"/>
                <w:szCs w:val="24"/>
                <w:highlight w:val="none"/>
                <w:lang w:eastAsia="zh-CN"/>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w:t>
            </w:r>
          </w:p>
        </w:tc>
      </w:tr>
      <w:bookmarkEnd w:id="110"/>
      <w:bookmarkEnd w:id="111"/>
      <w:bookmarkEnd w:id="112"/>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color w:val="auto"/>
                <w:spacing w:val="-11"/>
                <w:kern w:val="2"/>
                <w:sz w:val="24"/>
                <w:szCs w:val="24"/>
                <w:highlight w:val="none"/>
                <w:lang w:val="en-US" w:eastAsia="zh-CN"/>
              </w:rPr>
            </w:pP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11"/>
                <w:sz w:val="24"/>
                <w:szCs w:val="24"/>
                <w:highlight w:val="none"/>
              </w:rPr>
              <w:t>柴油发电机定期检修、运行良好，燃用符合质量标准的燃料</w:t>
            </w:r>
            <w:r>
              <w:rPr>
                <w:rFonts w:hint="default" w:ascii="Times New Roman" w:hAnsi="Times New Roman" w:eastAsia="宋体" w:cs="Times New Roman"/>
                <w:color w:val="auto"/>
                <w:spacing w:val="-11"/>
                <w:sz w:val="24"/>
                <w:szCs w:val="24"/>
                <w:highlight w:val="none"/>
                <w:lang w:eastAsia="zh-CN"/>
              </w:rPr>
              <w:t>。</w:t>
            </w:r>
          </w:p>
        </w:tc>
        <w:tc>
          <w:tcPr>
            <w:tcW w:w="1596"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11"/>
                <w:sz w:val="24"/>
                <w:szCs w:val="24"/>
                <w:highlight w:val="none"/>
                <w:lang w:bidi="ar"/>
              </w:rPr>
              <w:t>《大气污染物综合排放标准》</w:t>
            </w:r>
            <w:r>
              <w:rPr>
                <w:rFonts w:hint="eastAsia" w:ascii="Times New Roman" w:cs="Times New Roman"/>
                <w:color w:val="auto"/>
                <w:spacing w:val="-11"/>
                <w:sz w:val="24"/>
                <w:szCs w:val="24"/>
                <w:highlight w:val="none"/>
                <w:lang w:eastAsia="zh-CN" w:bidi="ar"/>
              </w:rPr>
              <w:t>（</w:t>
            </w:r>
            <w:r>
              <w:rPr>
                <w:rFonts w:hint="default" w:ascii="Times New Roman" w:hAnsi="Times New Roman" w:eastAsia="宋体" w:cs="Times New Roman"/>
                <w:color w:val="auto"/>
                <w:spacing w:val="-11"/>
                <w:sz w:val="24"/>
                <w:szCs w:val="24"/>
                <w:highlight w:val="none"/>
                <w:lang w:bidi="ar"/>
              </w:rPr>
              <w:t>GB16297-1996</w:t>
            </w:r>
            <w:r>
              <w:rPr>
                <w:rFonts w:hint="eastAsia" w:ascii="Times New Roman" w:cs="Times New Roman"/>
                <w:color w:val="auto"/>
                <w:spacing w:val="-11"/>
                <w:sz w:val="24"/>
                <w:szCs w:val="24"/>
                <w:highlight w:val="none"/>
                <w:lang w:eastAsia="zh-CN" w:bidi="ar"/>
              </w:rPr>
              <w:t>）</w:t>
            </w:r>
            <w:r>
              <w:rPr>
                <w:rFonts w:hint="default" w:ascii="Times New Roman" w:hAnsi="Times New Roman" w:eastAsia="宋体" w:cs="Times New Roman"/>
                <w:color w:val="auto"/>
                <w:spacing w:val="-11"/>
                <w:sz w:val="24"/>
                <w:szCs w:val="24"/>
                <w:highlight w:val="none"/>
                <w:lang w:bidi="ar"/>
              </w:rPr>
              <w:t>表2新污染源大气污染物无组织排放监控浓度限值要求</w:t>
            </w:r>
            <w:r>
              <w:rPr>
                <w:rFonts w:hint="default" w:ascii="Times New Roman" w:hAnsi="Times New Roman" w:eastAsia="宋体" w:cs="Times New Roman"/>
                <w:color w:val="auto"/>
                <w:spacing w:val="-11"/>
                <w:sz w:val="24"/>
                <w:szCs w:val="24"/>
                <w:highlight w:val="none"/>
                <w:lang w:eastAsia="zh-CN"/>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color w:val="auto"/>
                <w:spacing w:val="-11"/>
                <w:kern w:val="2"/>
                <w:sz w:val="24"/>
                <w:szCs w:val="24"/>
                <w:highlight w:val="none"/>
                <w:lang w:val="en-US" w:eastAsia="zh-CN"/>
              </w:rPr>
            </w:pPr>
          </w:p>
        </w:tc>
        <w:tc>
          <w:tcPr>
            <w:tcW w:w="200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z w:val="24"/>
                <w:szCs w:val="24"/>
              </w:rPr>
              <w:t>生物质锅炉烟气采用“低氮燃烧技术+布袋除尘”工艺治理</w:t>
            </w:r>
          </w:p>
        </w:tc>
        <w:tc>
          <w:tcPr>
            <w:tcW w:w="1596"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bidi="ar"/>
              </w:rPr>
            </w:pPr>
            <w:r>
              <w:rPr>
                <w:rFonts w:hint="default" w:ascii="Times New Roman" w:hAnsi="Times New Roman" w:eastAsia="宋体" w:cs="Times New Roman"/>
                <w:color w:val="auto"/>
                <w:sz w:val="24"/>
                <w:szCs w:val="24"/>
                <w:lang w:bidi="ar"/>
              </w:rPr>
              <w:t>《锅炉大气污染物排放标准》（GB13271-2014）表2中燃气锅炉标准限值</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val="en-US" w:eastAsia="zh-CN"/>
              </w:rPr>
            </w:pPr>
            <w:r>
              <w:rPr>
                <w:rFonts w:hint="default" w:ascii="Times New Roman" w:hAnsi="Times New Roman" w:eastAsia="宋体" w:cs="Times New Roman"/>
                <w:color w:val="auto"/>
                <w:spacing w:val="-11"/>
                <w:sz w:val="24"/>
                <w:szCs w:val="24"/>
                <w:highlight w:val="none"/>
                <w:lang w:val="en-US" w:eastAsia="zh-CN"/>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val="en-US" w:eastAsia="zh-CN"/>
              </w:rPr>
            </w:pPr>
            <w:r>
              <w:rPr>
                <w:rFonts w:hint="default" w:ascii="Times New Roman" w:hAnsi="Times New Roman" w:eastAsia="宋体" w:cs="Times New Roman"/>
                <w:color w:val="auto"/>
                <w:spacing w:val="-11"/>
                <w:sz w:val="24"/>
                <w:szCs w:val="24"/>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57" w:hRule="atLeast"/>
          <w:jc w:val="center"/>
        </w:trPr>
        <w:tc>
          <w:tcPr>
            <w:tcW w:w="519" w:type="pct"/>
            <w:vMerge w:val="continue"/>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color w:val="auto"/>
                <w:spacing w:val="-11"/>
                <w:kern w:val="2"/>
                <w:sz w:val="24"/>
                <w:szCs w:val="24"/>
                <w:highlight w:val="none"/>
                <w:lang w:val="en-US" w:eastAsia="zh-CN"/>
              </w:rPr>
            </w:pP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z w:val="24"/>
                <w:szCs w:val="24"/>
                <w:highlight w:val="none"/>
              </w:rPr>
              <w:t>密闭</w:t>
            </w:r>
            <w:r>
              <w:rPr>
                <w:rFonts w:hint="default" w:ascii="Times New Roman" w:hAnsi="Times New Roman" w:eastAsia="宋体" w:cs="Times New Roman"/>
                <w:color w:val="auto"/>
                <w:spacing w:val="-11"/>
                <w:sz w:val="24"/>
                <w:szCs w:val="24"/>
                <w:highlight w:val="none"/>
              </w:rPr>
              <w:t>储罐</w:t>
            </w:r>
          </w:p>
        </w:tc>
        <w:tc>
          <w:tcPr>
            <w:tcW w:w="1596"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bidi="ar"/>
              </w:rPr>
            </w:pPr>
            <w:r>
              <w:rPr>
                <w:rFonts w:hint="default" w:ascii="Times New Roman" w:hAnsi="Times New Roman" w:eastAsia="宋体" w:cs="Times New Roman"/>
                <w:color w:val="auto"/>
                <w:spacing w:val="-11"/>
                <w:sz w:val="24"/>
                <w:szCs w:val="24"/>
                <w:highlight w:val="none"/>
                <w:lang w:bidi="ar"/>
              </w:rPr>
              <w:t>《陆上石油天然气开采工业大气污染物</w:t>
            </w:r>
            <w:r>
              <w:rPr>
                <w:rFonts w:hint="default" w:ascii="Times New Roman" w:hAnsi="Times New Roman" w:eastAsia="宋体" w:cs="Times New Roman"/>
                <w:color w:val="auto"/>
                <w:sz w:val="24"/>
                <w:szCs w:val="24"/>
                <w:highlight w:val="none"/>
              </w:rPr>
              <w:t>排放</w:t>
            </w:r>
            <w:r>
              <w:rPr>
                <w:rFonts w:hint="default" w:ascii="Times New Roman" w:hAnsi="Times New Roman" w:eastAsia="宋体" w:cs="Times New Roman"/>
                <w:color w:val="auto"/>
                <w:spacing w:val="-11"/>
                <w:sz w:val="24"/>
                <w:szCs w:val="24"/>
                <w:highlight w:val="none"/>
                <w:lang w:bidi="ar"/>
              </w:rPr>
              <w:t>标准》</w:t>
            </w:r>
            <w:r>
              <w:rPr>
                <w:rFonts w:hint="default" w:ascii="Times New Roman" w:hAnsi="Times New Roman" w:eastAsia="宋体" w:cs="Times New Roman"/>
                <w:color w:val="auto"/>
                <w:spacing w:val="-11"/>
                <w:sz w:val="24"/>
                <w:szCs w:val="24"/>
                <w:highlight w:val="none"/>
                <w:lang w:eastAsia="zh-CN" w:bidi="ar"/>
              </w:rPr>
              <w:t>（</w:t>
            </w:r>
            <w:r>
              <w:rPr>
                <w:rFonts w:hint="default" w:ascii="Times New Roman" w:hAnsi="Times New Roman" w:eastAsia="宋体" w:cs="Times New Roman"/>
                <w:color w:val="auto"/>
                <w:spacing w:val="-11"/>
                <w:sz w:val="24"/>
                <w:szCs w:val="24"/>
                <w:highlight w:val="none"/>
                <w:lang w:bidi="ar"/>
              </w:rPr>
              <w:t>GB39728-2020</w:t>
            </w:r>
            <w:r>
              <w:rPr>
                <w:rFonts w:hint="default" w:ascii="Times New Roman" w:hAnsi="Times New Roman" w:eastAsia="宋体" w:cs="Times New Roman"/>
                <w:color w:val="auto"/>
                <w:spacing w:val="-11"/>
                <w:sz w:val="24"/>
                <w:szCs w:val="24"/>
                <w:highlight w:val="none"/>
                <w:lang w:eastAsia="zh-CN" w:bidi="ar"/>
              </w:rPr>
              <w:t>）</w:t>
            </w:r>
            <w:r>
              <w:rPr>
                <w:rFonts w:hint="default" w:ascii="Times New Roman" w:hAnsi="Times New Roman" w:eastAsia="宋体" w:cs="Times New Roman"/>
                <w:color w:val="auto"/>
                <w:spacing w:val="-11"/>
                <w:sz w:val="24"/>
                <w:szCs w:val="24"/>
                <w:highlight w:val="none"/>
                <w:lang w:bidi="ar"/>
              </w:rPr>
              <w:t>中边界污染物控制要求</w:t>
            </w:r>
            <w:r>
              <w:rPr>
                <w:rFonts w:hint="default" w:ascii="Times New Roman" w:hAnsi="Times New Roman" w:eastAsia="宋体" w:cs="Times New Roman"/>
                <w:color w:val="auto"/>
                <w:spacing w:val="-11"/>
                <w:sz w:val="24"/>
                <w:szCs w:val="24"/>
                <w:highlight w:val="none"/>
                <w:lang w:eastAsia="zh-CN" w:bidi="ar"/>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2" w:hRule="atLeast"/>
          <w:jc w:val="center"/>
        </w:trPr>
        <w:tc>
          <w:tcPr>
            <w:tcW w:w="519" w:type="pct"/>
            <w:vMerge w:val="continue"/>
            <w:noWrap w:val="0"/>
            <w:tcMar>
              <w:left w:w="108" w:type="dxa"/>
              <w:right w:w="108" w:type="dxa"/>
            </w:tcMar>
            <w:vAlign w:val="center"/>
          </w:tcPr>
          <w:p>
            <w:pPr>
              <w:pStyle w:val="29"/>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outlineLvl w:val="0"/>
              <w:rPr>
                <w:rFonts w:hint="default" w:ascii="Times New Roman" w:hAnsi="Times New Roman" w:eastAsia="宋体" w:cs="Times New Roman"/>
                <w:color w:val="auto"/>
                <w:spacing w:val="-11"/>
                <w:kern w:val="2"/>
                <w:sz w:val="24"/>
                <w:szCs w:val="24"/>
                <w:highlight w:val="none"/>
                <w:lang w:val="en-US" w:eastAsia="zh-CN"/>
              </w:rPr>
            </w:pP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11"/>
                <w:sz w:val="24"/>
                <w:szCs w:val="24"/>
                <w:highlight w:val="none"/>
              </w:rPr>
              <w:t>设备和车辆，保证设备正常稳定运行，燃用</w:t>
            </w:r>
            <w:r>
              <w:rPr>
                <w:rFonts w:hint="default" w:ascii="Times New Roman" w:hAnsi="Times New Roman" w:eastAsia="宋体" w:cs="Times New Roman"/>
                <w:color w:val="auto"/>
                <w:spacing w:val="-11"/>
                <w:sz w:val="24"/>
                <w:szCs w:val="24"/>
                <w:highlight w:val="none"/>
                <w:lang w:eastAsia="zh-CN"/>
              </w:rPr>
              <w:t>合格</w:t>
            </w:r>
            <w:r>
              <w:rPr>
                <w:rFonts w:hint="default" w:ascii="Times New Roman" w:hAnsi="Times New Roman" w:eastAsia="宋体" w:cs="Times New Roman"/>
                <w:color w:val="auto"/>
                <w:spacing w:val="-11"/>
                <w:sz w:val="24"/>
                <w:szCs w:val="24"/>
                <w:highlight w:val="none"/>
              </w:rPr>
              <w:t>的燃料，设备和车辆不超负荷运行</w:t>
            </w:r>
            <w:r>
              <w:rPr>
                <w:rFonts w:hint="default" w:ascii="Times New Roman" w:hAnsi="Times New Roman" w:eastAsia="宋体" w:cs="Times New Roman"/>
                <w:color w:val="auto"/>
                <w:spacing w:val="-11"/>
                <w:sz w:val="24"/>
                <w:szCs w:val="24"/>
                <w:highlight w:val="none"/>
                <w:lang w:eastAsia="zh-CN"/>
              </w:rPr>
              <w:t>。</w:t>
            </w:r>
          </w:p>
        </w:tc>
        <w:tc>
          <w:tcPr>
            <w:tcW w:w="1596"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bidi="ar"/>
              </w:rPr>
            </w:pPr>
            <w:r>
              <w:rPr>
                <w:rFonts w:hint="default" w:ascii="Times New Roman" w:hAnsi="Times New Roman" w:eastAsia="宋体" w:cs="Times New Roman"/>
                <w:color w:val="auto"/>
                <w:spacing w:val="-11"/>
                <w:sz w:val="24"/>
                <w:szCs w:val="24"/>
                <w:highlight w:val="none"/>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65" w:hRule="atLeast"/>
          <w:jc w:val="center"/>
        </w:trPr>
        <w:tc>
          <w:tcPr>
            <w:tcW w:w="519"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固体</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废物</w:t>
            </w:r>
          </w:p>
        </w:tc>
        <w:tc>
          <w:tcPr>
            <w:tcW w:w="2009" w:type="pct"/>
            <w:shd w:val="clear" w:color="auto" w:fill="auto"/>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kern w:val="2"/>
                <w:sz w:val="24"/>
                <w:szCs w:val="24"/>
                <w:highlight w:val="none"/>
                <w:lang w:val="en-US" w:eastAsia="zh-CN" w:bidi="ar-SA"/>
              </w:rPr>
            </w:pPr>
            <w:r>
              <w:rPr>
                <w:rFonts w:hint="default" w:ascii="Times New Roman" w:hAnsi="Times New Roman" w:eastAsia="宋体" w:cs="Times New Roman"/>
                <w:snapToGrid w:val="0"/>
                <w:color w:val="auto"/>
                <w:spacing w:val="0"/>
                <w:kern w:val="0"/>
                <w:sz w:val="24"/>
                <w:szCs w:val="24"/>
                <w:highlight w:val="none"/>
                <w:lang w:bidi="ar"/>
              </w:rPr>
              <w:t>泥浆采用“泥浆不落地”工艺收集，排入泥浆罐循环使用，完井后拉运至下一口井再利用</w:t>
            </w:r>
            <w:r>
              <w:rPr>
                <w:rFonts w:hint="default" w:ascii="Times New Roman" w:hAnsi="Times New Roman" w:eastAsia="宋体" w:cs="Times New Roman"/>
                <w:snapToGrid w:val="0"/>
                <w:color w:val="auto"/>
                <w:spacing w:val="0"/>
                <w:kern w:val="0"/>
                <w:sz w:val="24"/>
                <w:szCs w:val="24"/>
                <w:highlight w:val="none"/>
                <w:lang w:eastAsia="zh-CN" w:bidi="ar"/>
              </w:rPr>
              <w:t>。</w:t>
            </w:r>
          </w:p>
        </w:tc>
        <w:tc>
          <w:tcPr>
            <w:tcW w:w="1596" w:type="pct"/>
            <w:vMerge w:val="restar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0"/>
                <w:kern w:val="2"/>
                <w:sz w:val="24"/>
                <w:szCs w:val="24"/>
              </w:rPr>
              <w:t>满足《油气田钻井固体废物综合利用污染控制要求》</w:t>
            </w:r>
            <w:r>
              <w:rPr>
                <w:rFonts w:hint="default" w:ascii="Times New Roman" w:hAnsi="Times New Roman" w:eastAsia="宋体" w:cs="Times New Roman"/>
                <w:color w:val="auto"/>
                <w:spacing w:val="0"/>
                <w:kern w:val="2"/>
                <w:sz w:val="24"/>
                <w:szCs w:val="24"/>
                <w:lang w:eastAsia="zh-CN"/>
              </w:rPr>
              <w:t>（</w:t>
            </w:r>
            <w:r>
              <w:rPr>
                <w:rFonts w:hint="default" w:ascii="Times New Roman" w:hAnsi="Times New Roman" w:eastAsia="宋体" w:cs="Times New Roman"/>
                <w:color w:val="auto"/>
                <w:spacing w:val="0"/>
                <w:kern w:val="2"/>
                <w:sz w:val="24"/>
                <w:szCs w:val="24"/>
              </w:rPr>
              <w:t>DB65/T3997-2017</w:t>
            </w:r>
            <w:r>
              <w:rPr>
                <w:rFonts w:hint="eastAsia" w:ascii="Times New Roman" w:cs="Times New Roman"/>
                <w:color w:val="auto"/>
                <w:spacing w:val="0"/>
                <w:kern w:val="2"/>
                <w:sz w:val="24"/>
                <w:szCs w:val="24"/>
                <w:lang w:eastAsia="zh-CN"/>
              </w:rPr>
              <w:t>）</w:t>
            </w:r>
            <w:r>
              <w:rPr>
                <w:rFonts w:hint="default" w:ascii="Times New Roman" w:hAnsi="Times New Roman" w:eastAsia="宋体" w:cs="Times New Roman"/>
                <w:color w:val="auto"/>
                <w:spacing w:val="0"/>
                <w:kern w:val="2"/>
                <w:sz w:val="24"/>
                <w:szCs w:val="24"/>
              </w:rPr>
              <w:t>表1综合利用污染限值的要求及《石油天然气开采业固体废物污染控制技术规范（试行）》（HJ1461-2026）中的相关限值要求</w:t>
            </w:r>
            <w:r>
              <w:rPr>
                <w:rFonts w:hint="eastAsia" w:ascii="Times New Roman" w:cs="Times New Roman"/>
                <w:color w:val="auto"/>
                <w:spacing w:val="0"/>
                <w:kern w:val="2"/>
                <w:sz w:val="24"/>
                <w:szCs w:val="24"/>
                <w:lang w:val="en-US" w:eastAsia="zh-CN"/>
              </w:rPr>
              <w:t>（含水率＜60%、石油烃小于4500mg/kg）</w:t>
            </w:r>
            <w:r>
              <w:rPr>
                <w:rFonts w:hint="default" w:ascii="Times New Roman" w:hAnsi="Times New Roman" w:eastAsia="宋体" w:cs="Times New Roman"/>
                <w:color w:val="auto"/>
                <w:spacing w:val="0"/>
                <w:kern w:val="2"/>
                <w:sz w:val="24"/>
                <w:szCs w:val="24"/>
              </w:rPr>
              <w:t>。</w:t>
            </w:r>
          </w:p>
        </w:tc>
        <w:tc>
          <w:tcPr>
            <w:tcW w:w="463"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727"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09" w:type="pct"/>
            <w:shd w:val="clear" w:color="auto" w:fill="auto"/>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snapToGrid w:val="0"/>
                <w:color w:val="auto"/>
                <w:spacing w:val="-11"/>
                <w:kern w:val="0"/>
                <w:sz w:val="24"/>
                <w:szCs w:val="24"/>
                <w:highlight w:val="none"/>
                <w:lang w:val="en-US" w:eastAsia="zh-CN" w:bidi="ar"/>
              </w:rPr>
            </w:pPr>
            <w:r>
              <w:rPr>
                <w:rFonts w:hint="default" w:ascii="Times New Roman" w:hAnsi="Times New Roman" w:eastAsia="宋体" w:cs="Times New Roman"/>
                <w:color w:val="auto"/>
                <w:spacing w:val="0"/>
                <w:sz w:val="24"/>
                <w:szCs w:val="24"/>
                <w:highlight w:val="none"/>
              </w:rPr>
              <w:t>膨润土体系废弃钻井岩屑排入防渗岩屑池干化达标后用于井场平整</w:t>
            </w:r>
            <w:r>
              <w:rPr>
                <w:rFonts w:hint="default" w:ascii="Times New Roman" w:hAnsi="Times New Roman" w:eastAsia="宋体" w:cs="Times New Roman"/>
                <w:color w:val="auto"/>
                <w:spacing w:val="0"/>
                <w:sz w:val="24"/>
                <w:szCs w:val="24"/>
                <w:highlight w:val="none"/>
                <w:lang w:eastAsia="zh-CN"/>
              </w:rPr>
              <w:t>。</w:t>
            </w:r>
          </w:p>
        </w:tc>
        <w:tc>
          <w:tcPr>
            <w:tcW w:w="1596"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09" w:type="pct"/>
            <w:shd w:val="clear" w:color="auto" w:fill="auto"/>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kern w:val="2"/>
                <w:sz w:val="24"/>
                <w:szCs w:val="24"/>
                <w:highlight w:val="none"/>
                <w:lang w:val="en-US" w:eastAsia="zh-CN" w:bidi="ar-SA"/>
              </w:rPr>
            </w:pPr>
            <w:r>
              <w:rPr>
                <w:rFonts w:hint="eastAsia" w:ascii="Times New Roman" w:cs="Times New Roman"/>
                <w:color w:val="auto"/>
                <w:spacing w:val="0"/>
                <w:sz w:val="24"/>
                <w:szCs w:val="24"/>
                <w:highlight w:val="none"/>
                <w:lang w:eastAsia="zh-CN"/>
              </w:rPr>
              <w:t>聚磺体系废弃钻井岩屑收集后拉运至塔中油田钻试修废弃物环保处理站处理</w:t>
            </w:r>
            <w:r>
              <w:rPr>
                <w:rFonts w:hint="default" w:ascii="Times New Roman" w:hAnsi="Times New Roman" w:eastAsia="宋体" w:cs="Times New Roman"/>
                <w:color w:val="auto"/>
                <w:spacing w:val="0"/>
                <w:sz w:val="24"/>
                <w:szCs w:val="24"/>
                <w:highlight w:val="none"/>
                <w:lang w:eastAsia="zh-CN"/>
              </w:rPr>
              <w:t>，处理还原土用于铺垫油区内的井场、道路。</w:t>
            </w:r>
          </w:p>
        </w:tc>
        <w:tc>
          <w:tcPr>
            <w:tcW w:w="1596"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09" w:type="pct"/>
            <w:shd w:val="clear" w:color="auto" w:fill="auto"/>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sz w:val="24"/>
                <w:szCs w:val="24"/>
                <w:highlight w:val="none"/>
                <w:lang w:eastAsia="zh-CN"/>
              </w:rPr>
              <w:t>沾油废物</w:t>
            </w:r>
            <w:r>
              <w:rPr>
                <w:rFonts w:hint="default" w:ascii="Times New Roman" w:hAnsi="Times New Roman" w:eastAsia="宋体" w:cs="Times New Roman"/>
                <w:color w:val="auto"/>
                <w:spacing w:val="0"/>
                <w:sz w:val="24"/>
                <w:szCs w:val="24"/>
                <w:highlight w:val="none"/>
              </w:rPr>
              <w:t>（HW08 900-249-08）、废烧碱包装袋（HW49 900-</w:t>
            </w:r>
            <w:r>
              <w:rPr>
                <w:rFonts w:hint="default" w:ascii="Times New Roman" w:hAnsi="Times New Roman" w:eastAsia="宋体" w:cs="Times New Roman"/>
                <w:color w:val="auto"/>
                <w:spacing w:val="0"/>
                <w:sz w:val="24"/>
                <w:szCs w:val="24"/>
                <w:highlight w:val="none"/>
                <w:lang w:val="en-US" w:eastAsia="zh-CN"/>
              </w:rPr>
              <w:t>041-49</w:t>
            </w:r>
            <w:r>
              <w:rPr>
                <w:rFonts w:hint="default" w:ascii="Times New Roman" w:hAnsi="Times New Roman" w:eastAsia="宋体" w:cs="Times New Roman"/>
                <w:color w:val="auto"/>
                <w:spacing w:val="0"/>
                <w:sz w:val="24"/>
                <w:szCs w:val="24"/>
                <w:highlight w:val="none"/>
              </w:rPr>
              <w:t>）、</w:t>
            </w:r>
            <w:r>
              <w:rPr>
                <w:rFonts w:hint="default" w:ascii="Times New Roman" w:hAnsi="Times New Roman" w:eastAsia="宋体" w:cs="Times New Roman"/>
                <w:color w:val="auto"/>
                <w:spacing w:val="0"/>
                <w:sz w:val="24"/>
                <w:szCs w:val="24"/>
                <w:highlight w:val="none"/>
                <w:lang w:eastAsia="zh-CN"/>
              </w:rPr>
              <w:t>废矿物油及其包装物</w:t>
            </w:r>
            <w:r>
              <w:rPr>
                <w:rFonts w:hint="default" w:ascii="Times New Roman" w:hAnsi="Times New Roman" w:eastAsia="宋体" w:cs="Times New Roman"/>
                <w:color w:val="auto"/>
                <w:spacing w:val="0"/>
                <w:sz w:val="24"/>
                <w:szCs w:val="24"/>
                <w:highlight w:val="none"/>
              </w:rPr>
              <w:t>（HW08 900-249-08）在</w:t>
            </w:r>
            <w:r>
              <w:rPr>
                <w:rFonts w:hint="default" w:ascii="Times New Roman" w:hAnsi="Times New Roman" w:eastAsia="宋体" w:cs="Times New Roman"/>
                <w:color w:val="auto"/>
                <w:spacing w:val="0"/>
                <w:sz w:val="24"/>
                <w:szCs w:val="24"/>
                <w:highlight w:val="none"/>
                <w:lang w:eastAsia="zh-CN"/>
              </w:rPr>
              <w:t>危废暂存间</w:t>
            </w:r>
            <w:r>
              <w:rPr>
                <w:rFonts w:hint="default" w:ascii="Times New Roman" w:hAnsi="Times New Roman" w:eastAsia="宋体" w:cs="Times New Roman"/>
                <w:color w:val="auto"/>
                <w:spacing w:val="0"/>
                <w:sz w:val="24"/>
                <w:szCs w:val="24"/>
                <w:highlight w:val="none"/>
              </w:rPr>
              <w:t>暂存</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lang w:val="en-US" w:eastAsia="zh-CN"/>
              </w:rPr>
              <w:t>危废贮存点</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，定期由有资质的单位回收</w:t>
            </w:r>
            <w:r>
              <w:rPr>
                <w:rFonts w:hint="default" w:ascii="Times New Roman" w:hAnsi="Times New Roman" w:eastAsia="宋体" w:cs="Times New Roman"/>
                <w:color w:val="auto"/>
                <w:spacing w:val="0"/>
                <w:sz w:val="24"/>
                <w:szCs w:val="24"/>
                <w:highlight w:val="none"/>
                <w:lang w:eastAsia="zh-CN"/>
              </w:rPr>
              <w:t>。</w:t>
            </w:r>
          </w:p>
        </w:tc>
        <w:tc>
          <w:tcPr>
            <w:tcW w:w="1596" w:type="pct"/>
            <w:shd w:val="clear" w:color="auto" w:fill="auto"/>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sz w:val="24"/>
                <w:szCs w:val="24"/>
                <w:highlight w:val="none"/>
              </w:rPr>
              <w:t>《危险废物贮存污染控制标准》</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GB18597-2023</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；《危险废物管理计划和管理台账制定技术导则》（HJ1259-2022）中相关要求</w:t>
            </w:r>
            <w:r>
              <w:rPr>
                <w:rFonts w:hint="default" w:ascii="Times New Roman" w:hAnsi="Times New Roman" w:eastAsia="宋体" w:cs="Times New Roman"/>
                <w:color w:val="auto"/>
                <w:spacing w:val="0"/>
                <w:sz w:val="24"/>
                <w:szCs w:val="24"/>
                <w:highlight w:val="none"/>
                <w:lang w:eastAsia="zh-CN"/>
              </w:rPr>
              <w:t>。</w:t>
            </w: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09" w:type="pct"/>
            <w:shd w:val="clear" w:color="auto" w:fill="auto"/>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sz w:val="24"/>
                <w:szCs w:val="24"/>
              </w:rPr>
              <w:t>废布袋</w:t>
            </w:r>
          </w:p>
        </w:tc>
        <w:tc>
          <w:tcPr>
            <w:tcW w:w="1596" w:type="pct"/>
            <w:shd w:val="clear" w:color="auto" w:fill="auto"/>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sz w:val="24"/>
                <w:szCs w:val="24"/>
              </w:rPr>
              <w:t>厂家回收处理</w:t>
            </w:r>
            <w:r>
              <w:rPr>
                <w:rFonts w:hint="default" w:ascii="Times New Roman" w:hAnsi="Times New Roman" w:eastAsia="宋体" w:cs="Times New Roman"/>
                <w:color w:val="auto"/>
                <w:spacing w:val="0"/>
                <w:sz w:val="24"/>
                <w:szCs w:val="24"/>
                <w:lang w:eastAsia="zh-CN"/>
              </w:rPr>
              <w:t>。</w:t>
            </w: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09" w:type="pct"/>
            <w:shd w:val="clear" w:color="auto" w:fill="auto"/>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lang w:val="en-US" w:eastAsia="zh-CN" w:bidi="ar-SA"/>
              </w:rPr>
            </w:pPr>
            <w:r>
              <w:rPr>
                <w:rFonts w:hint="default" w:ascii="Times New Roman" w:hAnsi="Times New Roman" w:eastAsia="宋体" w:cs="Times New Roman"/>
                <w:color w:val="auto"/>
                <w:spacing w:val="0"/>
                <w:sz w:val="24"/>
                <w:szCs w:val="24"/>
                <w:lang w:val="en-US"/>
              </w:rPr>
              <w:t>锅炉灰渣与除尘灰统一收集后送至周边固废填埋场处理</w:t>
            </w:r>
          </w:p>
        </w:tc>
        <w:tc>
          <w:tcPr>
            <w:tcW w:w="1596" w:type="pct"/>
            <w:shd w:val="clear" w:color="auto" w:fill="auto"/>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lang w:val="en-US" w:eastAsia="zh-CN" w:bidi="ar-SA"/>
              </w:rPr>
            </w:pPr>
            <w:r>
              <w:rPr>
                <w:rFonts w:hint="default" w:ascii="Times New Roman" w:hAnsi="Times New Roman" w:eastAsia="宋体" w:cs="Times New Roman"/>
                <w:color w:val="auto"/>
                <w:spacing w:val="0"/>
                <w:sz w:val="24"/>
                <w:szCs w:val="24"/>
                <w:highlight w:val="none"/>
              </w:rPr>
              <w:t>妥善处置</w:t>
            </w:r>
            <w:r>
              <w:rPr>
                <w:rFonts w:hint="default" w:ascii="Times New Roman" w:hAnsi="Times New Roman" w:eastAsia="宋体" w:cs="Times New Roman"/>
                <w:color w:val="auto"/>
                <w:spacing w:val="0"/>
                <w:sz w:val="24"/>
                <w:szCs w:val="24"/>
                <w:highlight w:val="none"/>
                <w:lang w:eastAsia="zh-CN"/>
              </w:rPr>
              <w:t>。</w:t>
            </w: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09" w:type="pct"/>
            <w:shd w:val="clear" w:color="auto" w:fill="auto"/>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lang w:val="en-US" w:eastAsia="zh-CN" w:bidi="ar-SA"/>
              </w:rPr>
            </w:pPr>
            <w:r>
              <w:rPr>
                <w:rFonts w:hint="default" w:ascii="Times New Roman" w:hAnsi="Times New Roman" w:eastAsia="宋体" w:cs="Times New Roman"/>
                <w:color w:val="auto"/>
                <w:spacing w:val="0"/>
                <w:sz w:val="24"/>
                <w:szCs w:val="24"/>
                <w:lang w:val="en-US"/>
              </w:rPr>
              <w:t>其他原辅材料废包装外售综合利用</w:t>
            </w:r>
            <w:r>
              <w:rPr>
                <w:rFonts w:hint="default" w:ascii="Times New Roman" w:hAnsi="Times New Roman" w:eastAsia="宋体" w:cs="Times New Roman"/>
                <w:color w:val="auto"/>
                <w:spacing w:val="0"/>
                <w:sz w:val="24"/>
                <w:szCs w:val="24"/>
                <w:lang w:val="en-US" w:eastAsia="zh-CN"/>
              </w:rPr>
              <w:t>。</w:t>
            </w:r>
          </w:p>
        </w:tc>
        <w:tc>
          <w:tcPr>
            <w:tcW w:w="1596" w:type="pct"/>
            <w:shd w:val="clear" w:color="auto" w:fill="auto"/>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0"/>
                <w:kern w:val="2"/>
                <w:sz w:val="24"/>
                <w:szCs w:val="24"/>
                <w:highlight w:val="none"/>
                <w:lang w:val="en-US" w:eastAsia="zh-CN" w:bidi="ar-SA"/>
              </w:rPr>
            </w:pPr>
            <w:r>
              <w:rPr>
                <w:rFonts w:hint="default" w:ascii="Times New Roman" w:hAnsi="Times New Roman" w:eastAsia="宋体" w:cs="Times New Roman"/>
                <w:color w:val="auto"/>
                <w:spacing w:val="0"/>
                <w:sz w:val="24"/>
                <w:szCs w:val="24"/>
                <w:highlight w:val="none"/>
              </w:rPr>
              <w:t>妥善处置</w:t>
            </w:r>
            <w:r>
              <w:rPr>
                <w:rFonts w:hint="default" w:ascii="Times New Roman" w:hAnsi="Times New Roman" w:eastAsia="宋体" w:cs="Times New Roman"/>
                <w:color w:val="auto"/>
                <w:spacing w:val="0"/>
                <w:sz w:val="24"/>
                <w:szCs w:val="24"/>
                <w:highlight w:val="none"/>
                <w:lang w:eastAsia="zh-CN"/>
              </w:rPr>
              <w:t>。</w:t>
            </w: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95"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0"/>
                <w:sz w:val="24"/>
                <w:szCs w:val="24"/>
                <w:highlight w:val="none"/>
              </w:rPr>
              <w:t>生活垃圾</w:t>
            </w:r>
            <w:r>
              <w:rPr>
                <w:rFonts w:hint="default" w:ascii="Times New Roman" w:hAnsi="Times New Roman" w:eastAsia="宋体" w:cs="Times New Roman"/>
                <w:color w:val="auto"/>
                <w:spacing w:val="0"/>
                <w:sz w:val="24"/>
                <w:szCs w:val="24"/>
                <w:highlight w:val="none"/>
                <w:lang w:val="en-US" w:eastAsia="zh-CN"/>
              </w:rPr>
              <w:t>、污水处理站污泥</w:t>
            </w:r>
            <w:r>
              <w:rPr>
                <w:rFonts w:hint="default" w:ascii="Times New Roman" w:hAnsi="Times New Roman" w:eastAsia="宋体" w:cs="Times New Roman"/>
                <w:color w:val="auto"/>
                <w:spacing w:val="0"/>
                <w:sz w:val="24"/>
                <w:szCs w:val="24"/>
                <w:highlight w:val="none"/>
              </w:rPr>
              <w:t>送</w:t>
            </w:r>
            <w:r>
              <w:rPr>
                <w:rFonts w:hint="eastAsia" w:ascii="Times New Roman" w:cs="Times New Roman"/>
                <w:color w:val="auto"/>
                <w:spacing w:val="0"/>
                <w:sz w:val="24"/>
                <w:szCs w:val="24"/>
                <w:highlight w:val="none"/>
                <w:lang w:eastAsia="zh-CN"/>
              </w:rPr>
              <w:t>塔中镇生活垃圾填埋场处理</w:t>
            </w:r>
            <w:r>
              <w:rPr>
                <w:rFonts w:hint="default" w:ascii="Times New Roman" w:hAnsi="Times New Roman" w:eastAsia="宋体" w:cs="Times New Roman"/>
                <w:color w:val="auto"/>
                <w:spacing w:val="0"/>
                <w:sz w:val="24"/>
                <w:szCs w:val="24"/>
                <w:highlight w:val="none"/>
                <w:lang w:eastAsia="zh-CN"/>
              </w:rPr>
              <w:t>。</w:t>
            </w:r>
          </w:p>
        </w:tc>
        <w:tc>
          <w:tcPr>
            <w:tcW w:w="1596"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0"/>
                <w:sz w:val="24"/>
                <w:szCs w:val="24"/>
                <w:highlight w:val="none"/>
              </w:rPr>
              <w:t>妥善处置</w:t>
            </w:r>
            <w:r>
              <w:rPr>
                <w:rFonts w:hint="default" w:ascii="Times New Roman" w:hAnsi="Times New Roman" w:eastAsia="宋体" w:cs="Times New Roman"/>
                <w:color w:val="auto"/>
                <w:spacing w:val="0"/>
                <w:sz w:val="24"/>
                <w:szCs w:val="24"/>
                <w:highlight w:val="none"/>
                <w:lang w:eastAsia="zh-CN"/>
              </w:rPr>
              <w:t>。</w:t>
            </w: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45" w:hRule="atLeast"/>
          <w:jc w:val="center"/>
        </w:trPr>
        <w:tc>
          <w:tcPr>
            <w:tcW w:w="51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电磁</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环境</w:t>
            </w: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1596"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745" w:hRule="atLeast"/>
          <w:jc w:val="center"/>
        </w:trPr>
        <w:tc>
          <w:tcPr>
            <w:tcW w:w="519"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环境</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风险</w:t>
            </w: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11"/>
                <w:sz w:val="24"/>
                <w:szCs w:val="24"/>
                <w:highlight w:val="none"/>
              </w:rPr>
              <w:t>环境风险防范措施</w:t>
            </w:r>
            <w:r>
              <w:rPr>
                <w:rFonts w:hint="default" w:ascii="Times New Roman" w:hAnsi="Times New Roman" w:eastAsia="宋体" w:cs="Times New Roman"/>
                <w:color w:val="auto"/>
                <w:spacing w:val="-11"/>
                <w:sz w:val="24"/>
                <w:szCs w:val="24"/>
                <w:highlight w:val="none"/>
                <w:lang w:eastAsia="zh-CN"/>
              </w:rPr>
              <w:t>。</w:t>
            </w:r>
          </w:p>
        </w:tc>
        <w:tc>
          <w:tcPr>
            <w:tcW w:w="1596"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将环境风险控制在可</w:t>
            </w:r>
            <w:r>
              <w:rPr>
                <w:rFonts w:hint="eastAsia" w:ascii="Times New Roman" w:cs="Times New Roman"/>
                <w:color w:val="auto"/>
                <w:spacing w:val="-11"/>
                <w:sz w:val="24"/>
                <w:szCs w:val="24"/>
                <w:highlight w:val="none"/>
                <w:lang w:eastAsia="zh-CN"/>
              </w:rPr>
              <w:t>控</w:t>
            </w:r>
            <w:r>
              <w:rPr>
                <w:rFonts w:hint="default" w:ascii="Times New Roman" w:hAnsi="Times New Roman" w:eastAsia="宋体" w:cs="Times New Roman"/>
                <w:color w:val="auto"/>
                <w:spacing w:val="-11"/>
                <w:sz w:val="24"/>
                <w:szCs w:val="24"/>
                <w:highlight w:val="none"/>
              </w:rPr>
              <w:t>范围内</w:t>
            </w:r>
            <w:r>
              <w:rPr>
                <w:rFonts w:hint="default" w:ascii="Times New Roman" w:hAnsi="Times New Roman" w:eastAsia="宋体" w:cs="Times New Roman"/>
                <w:color w:val="auto"/>
                <w:sz w:val="24"/>
                <w:szCs w:val="24"/>
                <w:highlight w:val="none"/>
                <w:lang w:eastAsia="zh-CN"/>
              </w:rPr>
              <w:t>。</w:t>
            </w:r>
          </w:p>
        </w:tc>
        <w:tc>
          <w:tcPr>
            <w:tcW w:w="463"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vMerge w:val="restar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605" w:hRule="atLeast"/>
          <w:jc w:val="center"/>
        </w:trPr>
        <w:tc>
          <w:tcPr>
            <w:tcW w:w="519"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11"/>
                <w:sz w:val="24"/>
                <w:szCs w:val="24"/>
                <w:highlight w:val="none"/>
              </w:rPr>
              <w:t>应急预案</w:t>
            </w:r>
            <w:r>
              <w:rPr>
                <w:rFonts w:hint="default" w:ascii="Times New Roman" w:hAnsi="Times New Roman" w:eastAsia="宋体" w:cs="Times New Roman"/>
                <w:color w:val="auto"/>
                <w:spacing w:val="-11"/>
                <w:sz w:val="24"/>
                <w:szCs w:val="24"/>
                <w:highlight w:val="none"/>
                <w:lang w:eastAsia="zh-CN"/>
              </w:rPr>
              <w:t>。</w:t>
            </w:r>
          </w:p>
        </w:tc>
        <w:tc>
          <w:tcPr>
            <w:tcW w:w="1596"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将环境风险控制在可</w:t>
            </w:r>
            <w:r>
              <w:rPr>
                <w:rFonts w:hint="eastAsia" w:ascii="Times New Roman" w:cs="Times New Roman"/>
                <w:color w:val="auto"/>
                <w:spacing w:val="-11"/>
                <w:sz w:val="24"/>
                <w:szCs w:val="24"/>
                <w:highlight w:val="none"/>
                <w:lang w:eastAsia="zh-CN"/>
              </w:rPr>
              <w:t>控</w:t>
            </w:r>
            <w:r>
              <w:rPr>
                <w:rFonts w:hint="default" w:ascii="Times New Roman" w:hAnsi="Times New Roman" w:eastAsia="宋体" w:cs="Times New Roman"/>
                <w:color w:val="auto"/>
                <w:spacing w:val="-11"/>
                <w:sz w:val="24"/>
                <w:szCs w:val="24"/>
                <w:highlight w:val="none"/>
              </w:rPr>
              <w:t>范围内</w:t>
            </w:r>
            <w:r>
              <w:rPr>
                <w:rFonts w:hint="default" w:ascii="Times New Roman" w:hAnsi="Times New Roman" w:eastAsia="宋体" w:cs="Times New Roman"/>
                <w:color w:val="auto"/>
                <w:sz w:val="24"/>
                <w:szCs w:val="24"/>
                <w:highlight w:val="none"/>
                <w:lang w:eastAsia="zh-CN"/>
              </w:rPr>
              <w:t>。</w:t>
            </w:r>
          </w:p>
        </w:tc>
        <w:tc>
          <w:tcPr>
            <w:tcW w:w="463"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c>
          <w:tcPr>
            <w:tcW w:w="411" w:type="pct"/>
            <w:vMerge w:val="continue"/>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15" w:hRule="atLeast"/>
          <w:jc w:val="center"/>
        </w:trPr>
        <w:tc>
          <w:tcPr>
            <w:tcW w:w="51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环境</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监测</w:t>
            </w:r>
          </w:p>
        </w:tc>
        <w:tc>
          <w:tcPr>
            <w:tcW w:w="2009"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11"/>
                <w:sz w:val="24"/>
                <w:szCs w:val="24"/>
                <w:highlight w:val="none"/>
              </w:rPr>
              <w:t>生态恢复效果跟踪监测</w:t>
            </w:r>
            <w:r>
              <w:rPr>
                <w:rFonts w:hint="default" w:ascii="Times New Roman" w:hAnsi="Times New Roman" w:eastAsia="宋体" w:cs="Times New Roman"/>
                <w:color w:val="auto"/>
                <w:spacing w:val="-11"/>
                <w:sz w:val="24"/>
                <w:szCs w:val="24"/>
                <w:highlight w:val="none"/>
                <w:lang w:eastAsia="zh-CN"/>
              </w:rPr>
              <w:t>。</w:t>
            </w:r>
          </w:p>
        </w:tc>
        <w:tc>
          <w:tcPr>
            <w:tcW w:w="1596" w:type="pct"/>
            <w:noWrap w:val="0"/>
            <w:tcMar>
              <w:left w:w="108" w:type="dxa"/>
              <w:right w:w="108"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lang w:eastAsia="zh-CN"/>
              </w:rPr>
            </w:pPr>
            <w:r>
              <w:rPr>
                <w:rFonts w:hint="default" w:ascii="Times New Roman" w:hAnsi="Times New Roman" w:eastAsia="宋体" w:cs="Times New Roman"/>
                <w:color w:val="auto"/>
                <w:spacing w:val="-11"/>
                <w:sz w:val="24"/>
                <w:szCs w:val="24"/>
                <w:highlight w:val="none"/>
              </w:rPr>
              <w:t>针对施工期临时占地区域植被恢复情况进行生态监测，监测因子为植被恢复效果，纳入竣工环境保护验收监测，方法为巡视。植被恢复质量标准：临时占地植被恢复至原状态</w:t>
            </w:r>
            <w:r>
              <w:rPr>
                <w:rFonts w:hint="default" w:ascii="Times New Roman" w:hAnsi="Times New Roman" w:eastAsia="宋体" w:cs="Times New Roman"/>
                <w:color w:val="auto"/>
                <w:spacing w:val="-11"/>
                <w:sz w:val="24"/>
                <w:szCs w:val="24"/>
                <w:highlight w:val="none"/>
                <w:lang w:eastAsia="zh-CN"/>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04" w:hRule="atLeast"/>
          <w:jc w:val="center"/>
        </w:trPr>
        <w:tc>
          <w:tcPr>
            <w:tcW w:w="51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其他</w:t>
            </w:r>
          </w:p>
        </w:tc>
        <w:tc>
          <w:tcPr>
            <w:tcW w:w="2009"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1596"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63"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c>
          <w:tcPr>
            <w:tcW w:w="411" w:type="pct"/>
            <w:noWrap w:val="0"/>
            <w:tcMar>
              <w:left w:w="108" w:type="dxa"/>
              <w:right w:w="108" w:type="dxa"/>
            </w:tcMar>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w:t>
            </w:r>
          </w:p>
        </w:tc>
      </w:tr>
    </w:tbl>
    <w:p>
      <w:pPr>
        <w:pStyle w:val="29"/>
        <w:jc w:val="center"/>
        <w:outlineLvl w:val="0"/>
        <w:rPr>
          <w:rFonts w:hint="default" w:ascii="Times New Roman" w:hAnsi="Times New Roman" w:eastAsia="宋体" w:cs="Times New Roman"/>
          <w:b/>
          <w:bCs/>
          <w:snapToGrid w:val="0"/>
          <w:color w:val="auto"/>
          <w:sz w:val="30"/>
          <w:szCs w:val="30"/>
          <w:highlight w:val="none"/>
        </w:rPr>
      </w:pPr>
      <w:r>
        <w:rPr>
          <w:rFonts w:hint="default" w:ascii="Times New Roman" w:hAnsi="Times New Roman" w:eastAsia="宋体" w:cs="Times New Roman"/>
          <w:snapToGrid w:val="0"/>
          <w:color w:val="auto"/>
          <w:sz w:val="30"/>
          <w:szCs w:val="30"/>
          <w:highlight w:val="none"/>
        </w:rPr>
        <w:br w:type="page"/>
      </w:r>
      <w:bookmarkStart w:id="113" w:name="_Toc29586"/>
      <w:r>
        <w:rPr>
          <w:rFonts w:hint="default" w:ascii="Times New Roman" w:hAnsi="Times New Roman" w:eastAsia="宋体" w:cs="Times New Roman"/>
          <w:b/>
          <w:bCs/>
          <w:snapToGrid w:val="0"/>
          <w:color w:val="auto"/>
          <w:sz w:val="30"/>
          <w:szCs w:val="30"/>
          <w:highlight w:val="none"/>
        </w:rPr>
        <w:t>七、结论</w:t>
      </w:r>
      <w:bookmarkEnd w:id="113"/>
    </w:p>
    <w:tbl>
      <w:tblPr>
        <w:tblStyle w:val="32"/>
        <w:tblW w:w="907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7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19" w:hRule="atLeast"/>
          <w:jc w:val="center"/>
        </w:trPr>
        <w:tc>
          <w:tcPr>
            <w:tcW w:w="9289" w:type="dxa"/>
            <w:noWrap w:val="0"/>
            <w:tcMar>
              <w:left w:w="108" w:type="dxa"/>
              <w:right w:w="108" w:type="dxa"/>
            </w:tcMar>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 w:val="24"/>
                <w:szCs w:val="24"/>
                <w:highlight w:val="none"/>
                <w:lang w:val="en-US" w:eastAsia="zh-CN"/>
              </w:rPr>
              <w:t>项目位于</w:t>
            </w:r>
            <w:r>
              <w:rPr>
                <w:rFonts w:hint="default" w:ascii="Times New Roman" w:hAnsi="Times New Roman" w:eastAsia="宋体" w:cs="Times New Roman"/>
                <w:color w:val="auto"/>
                <w:sz w:val="24"/>
                <w:szCs w:val="24"/>
                <w:highlight w:val="none"/>
                <w:lang w:eastAsia="zh-CN"/>
              </w:rPr>
              <w:t>新疆维吾尔自治区巴音郭楞蒙古自治州</w:t>
            </w:r>
            <w:r>
              <w:rPr>
                <w:rFonts w:hint="eastAsia" w:ascii="Times New Roman" w:cs="Times New Roman"/>
                <w:color w:val="auto"/>
                <w:sz w:val="24"/>
                <w:szCs w:val="24"/>
                <w:highlight w:val="none"/>
                <w:lang w:eastAsia="zh-CN"/>
              </w:rPr>
              <w:t>且末县塔中镇东北侧15.8km处</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pacing w:val="-11"/>
                <w:sz w:val="24"/>
                <w:szCs w:val="24"/>
                <w:highlight w:val="none"/>
              </w:rPr>
              <w:t>本项目作为能源勘探项目，属于鼓励类项目，符合国家产业政策。本项目所采取的废气、废水、固体废弃物和噪声防治措施以及生态保护措施可行有效，在项目实施过程中认真落实报告中提出的各项污染防治措施和风险防范措施后，项目建设对周围环境的影响是可接受的，从环境保护角度看，本项目建设是可行的。</w:t>
            </w:r>
          </w:p>
        </w:tc>
      </w:tr>
    </w:tbl>
    <w:p>
      <w:pPr>
        <w:pStyle w:val="29"/>
        <w:keepNext w:val="0"/>
        <w:keepLines w:val="0"/>
        <w:pageBreakBefore w:val="0"/>
        <w:widowControl/>
        <w:kinsoku/>
        <w:wordWrap/>
        <w:overflowPunct/>
        <w:topLinePunct w:val="0"/>
        <w:autoSpaceDE/>
        <w:autoSpaceDN/>
        <w:bidi w:val="0"/>
        <w:adjustRightInd/>
        <w:snapToGrid/>
        <w:spacing w:before="0" w:beforeAutospacing="0" w:after="0" w:afterAutospacing="0" w:line="20" w:lineRule="exact"/>
        <w:jc w:val="both"/>
        <w:textAlignment w:val="auto"/>
        <w:outlineLvl w:val="9"/>
        <w:rPr>
          <w:rFonts w:hint="default" w:ascii="Times New Roman" w:hAnsi="Times New Roman" w:eastAsia="宋体" w:cs="Times New Roman"/>
          <w:color w:val="auto"/>
          <w:highlight w:val="none"/>
        </w:rPr>
      </w:pPr>
      <w:bookmarkStart w:id="114" w:name="_GoBack"/>
      <w:bookmarkEnd w:id="114"/>
    </w:p>
    <w:sectPr>
      <w:footerReference r:id="rId12" w:type="default"/>
      <w:pgSz w:w="16838" w:h="11906" w:orient="landscape"/>
      <w:pgMar w:top="1531" w:right="1701" w:bottom="1531" w:left="1701" w:header="851" w:footer="1077"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0FA44D-DC7F-4A31-8E4F-DF61B9C08D9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8B2A474C-02C2-43F5-BFCF-7BBDC433A9DE}"/>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_GBK">
    <w:panose1 w:val="03000509000000000000"/>
    <w:charset w:val="86"/>
    <w:family w:val="script"/>
    <w:pitch w:val="default"/>
    <w:sig w:usb0="00000001" w:usb1="080E0000" w:usb2="00000000" w:usb3="00000000" w:csb0="00040000" w:csb1="00000000"/>
    <w:embedRegular r:id="rId3" w:fontKey="{4A7A1C75-FC5A-4DD0-BB24-383E56604523}"/>
  </w:font>
  <w:font w:name="方正楷体_GB2312">
    <w:panose1 w:val="02000000000000000000"/>
    <w:charset w:val="86"/>
    <w:family w:val="auto"/>
    <w:pitch w:val="default"/>
    <w:sig w:usb0="A00002BF" w:usb1="184F6CFA" w:usb2="00000012" w:usb3="00000000" w:csb0="00040001" w:csb1="00000000"/>
    <w:embedRegular r:id="rId4" w:fontKey="{777166FA-276F-4A3B-B3CB-F06ECFAA6ACA}"/>
  </w:font>
  <w:font w:name="华文仿宋">
    <w:panose1 w:val="02010600040101010101"/>
    <w:charset w:val="86"/>
    <w:family w:val="auto"/>
    <w:pitch w:val="default"/>
    <w:sig w:usb0="00000287" w:usb1="080F0000" w:usb2="00000000" w:usb3="00000000" w:csb0="0004009F" w:csb1="DFD70000"/>
    <w:embedRegular r:id="rId5" w:fontKey="{D7FA6C7E-4B49-4D01-B0BC-714CF93D49C7}"/>
  </w:font>
  <w:font w:name="仿宋">
    <w:panose1 w:val="02010609060101010101"/>
    <w:charset w:val="86"/>
    <w:family w:val="modern"/>
    <w:pitch w:val="default"/>
    <w:sig w:usb0="800002BF" w:usb1="38CF7CFA" w:usb2="00000016" w:usb3="00000000" w:csb0="00040001" w:csb1="00000000"/>
    <w:embedRegular r:id="rId6" w:fontKey="{D5527F4A-DD81-4E57-935A-4BCFAB9F5AC1}"/>
  </w:font>
  <w:font w:name="Cambria Math">
    <w:panose1 w:val="02040503050406030204"/>
    <w:charset w:val="00"/>
    <w:family w:val="auto"/>
    <w:pitch w:val="default"/>
    <w:sig w:usb0="A00002EF" w:usb1="420020EB" w:usb2="00000000" w:usb3="00000000" w:csb0="2000019F" w:csb1="00000000"/>
    <w:embedRegular r:id="rId7" w:fontKey="{D652A5BC-CF72-45E0-93E8-88D5516C8D1A}"/>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2"/>
                            <w:rPr>
                              <w:rStyle w:val="36"/>
                              <w:rFonts w:hAnsi="宋体"/>
                              <w:sz w:val="28"/>
                              <w:szCs w:val="28"/>
                            </w:rPr>
                          </w:pPr>
                          <w:r>
                            <w:rPr>
                              <w:rStyle w:val="36"/>
                              <w:rFonts w:hint="eastAsia" w:hAnsi="宋体"/>
                              <w:sz w:val="28"/>
                              <w:szCs w:val="28"/>
                            </w:rPr>
                            <w:t>—</w:t>
                          </w:r>
                          <w:r>
                            <w:rPr>
                              <w:rStyle w:val="36"/>
                              <w:rFonts w:hint="eastAsia" w:hAnsi="宋体"/>
                              <w:sz w:val="20"/>
                            </w:rPr>
                            <w:t xml:space="preserve">  </w:t>
                          </w:r>
                          <w:r>
                            <w:rPr>
                              <w:rFonts w:hAnsi="宋体"/>
                              <w:sz w:val="26"/>
                              <w:szCs w:val="26"/>
                            </w:rPr>
                            <w:fldChar w:fldCharType="begin"/>
                          </w:r>
                          <w:r>
                            <w:rPr>
                              <w:rStyle w:val="36"/>
                              <w:rFonts w:hAnsi="宋体"/>
                              <w:sz w:val="26"/>
                              <w:szCs w:val="26"/>
                            </w:rPr>
                            <w:instrText xml:space="preserve">PAGE  </w:instrText>
                          </w:r>
                          <w:r>
                            <w:rPr>
                              <w:rFonts w:hAnsi="宋体"/>
                              <w:sz w:val="26"/>
                              <w:szCs w:val="26"/>
                            </w:rPr>
                            <w:fldChar w:fldCharType="separate"/>
                          </w:r>
                          <w:r>
                            <w:rPr>
                              <w:rStyle w:val="36"/>
                              <w:rFonts w:hAnsi="宋体"/>
                              <w:sz w:val="26"/>
                              <w:szCs w:val="26"/>
                            </w:rPr>
                            <w:t>95</w:t>
                          </w:r>
                          <w:r>
                            <w:rPr>
                              <w:rFonts w:hAnsi="宋体"/>
                              <w:sz w:val="26"/>
                              <w:szCs w:val="26"/>
                            </w:rPr>
                            <w:fldChar w:fldCharType="end"/>
                          </w:r>
                          <w:r>
                            <w:rPr>
                              <w:rStyle w:val="36"/>
                              <w:rFonts w:hint="eastAsia" w:hAnsi="宋体"/>
                              <w:sz w:val="20"/>
                            </w:rPr>
                            <w:t xml:space="preserve">  </w:t>
                          </w:r>
                          <w:r>
                            <w:rPr>
                              <w:rStyle w:val="36"/>
                              <w:rFonts w:hint="eastAsia" w:hAnsi="宋体"/>
                              <w:sz w:val="28"/>
                              <w:szCs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aJOEco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c3fc4sTPP3+cfz2eH74T&#10;9KFAfYAa8+4CZqbhvR9wbWY/oDPzHlS0+YuMCMZR3tNFXjkkIvKj1XK1qjAkMDZfEJ89PQ8R0gfp&#10;LclGQyPOr8jKj58gjalzSq7m/K02pszQuL8ciJk9LPc+9pitNOyGidDOtyfk0+PoG+pw0ykxHx0q&#10;m7dkNuJs7GbjEKLed2WNcj0I7w4Jmyi95Qoj7FQYZ1bYTfuVl+LPe8l6+qc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iaJOEcoBAACbAwAADgAAAAAAAAABACAAAAAeAQAAZHJzL2Uyb0Rv&#10;Yy54bWxQSwUGAAAAAAYABgBZAQAAWgUAAAAA&#10;">
              <v:fill on="f" focussize="0,0"/>
              <v:stroke on="f"/>
              <v:imagedata o:title=""/>
              <o:lock v:ext="edit" aspectratio="f"/>
              <v:textbox inset="0mm,0mm,0mm,0mm" style="mso-fit-shape-to-text:t;">
                <w:txbxContent>
                  <w:p>
                    <w:pPr>
                      <w:pStyle w:val="22"/>
                      <w:rPr>
                        <w:rStyle w:val="36"/>
                        <w:rFonts w:hAnsi="宋体"/>
                        <w:sz w:val="28"/>
                        <w:szCs w:val="28"/>
                      </w:rPr>
                    </w:pPr>
                    <w:r>
                      <w:rPr>
                        <w:rStyle w:val="36"/>
                        <w:rFonts w:hint="eastAsia" w:hAnsi="宋体"/>
                        <w:sz w:val="28"/>
                        <w:szCs w:val="28"/>
                      </w:rPr>
                      <w:t>—</w:t>
                    </w:r>
                    <w:r>
                      <w:rPr>
                        <w:rStyle w:val="36"/>
                        <w:rFonts w:hint="eastAsia" w:hAnsi="宋体"/>
                        <w:sz w:val="20"/>
                      </w:rPr>
                      <w:t xml:space="preserve">  </w:t>
                    </w:r>
                    <w:r>
                      <w:rPr>
                        <w:rFonts w:hAnsi="宋体"/>
                        <w:sz w:val="26"/>
                        <w:szCs w:val="26"/>
                      </w:rPr>
                      <w:fldChar w:fldCharType="begin"/>
                    </w:r>
                    <w:r>
                      <w:rPr>
                        <w:rStyle w:val="36"/>
                        <w:rFonts w:hAnsi="宋体"/>
                        <w:sz w:val="26"/>
                        <w:szCs w:val="26"/>
                      </w:rPr>
                      <w:instrText xml:space="preserve">PAGE  </w:instrText>
                    </w:r>
                    <w:r>
                      <w:rPr>
                        <w:rFonts w:hAnsi="宋体"/>
                        <w:sz w:val="26"/>
                        <w:szCs w:val="26"/>
                      </w:rPr>
                      <w:fldChar w:fldCharType="separate"/>
                    </w:r>
                    <w:r>
                      <w:rPr>
                        <w:rStyle w:val="36"/>
                        <w:rFonts w:hAnsi="宋体"/>
                        <w:sz w:val="26"/>
                        <w:szCs w:val="26"/>
                      </w:rPr>
                      <w:t>95</w:t>
                    </w:r>
                    <w:r>
                      <w:rPr>
                        <w:rFonts w:hAnsi="宋体"/>
                        <w:sz w:val="26"/>
                        <w:szCs w:val="26"/>
                      </w:rPr>
                      <w:fldChar w:fldCharType="end"/>
                    </w:r>
                    <w:r>
                      <w:rPr>
                        <w:rStyle w:val="36"/>
                        <w:rFonts w:hint="eastAsia" w:hAnsi="宋体"/>
                        <w:sz w:val="20"/>
                      </w:rPr>
                      <w:t xml:space="preserve">  </w:t>
                    </w:r>
                    <w:r>
                      <w:rPr>
                        <w:rStyle w:val="36"/>
                        <w:rFonts w:hint="eastAsia" w:hAnsi="宋体"/>
                        <w:sz w:val="28"/>
                        <w:szCs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pPr>
    <w: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775335" cy="230505"/>
              <wp:effectExtent l="0" t="0" r="0" b="0"/>
              <wp:wrapNone/>
              <wp:docPr id="26" name="文本框 2051"/>
              <wp:cNvGraphicFramePr/>
              <a:graphic xmlns:a="http://schemas.openxmlformats.org/drawingml/2006/main">
                <a:graphicData uri="http://schemas.microsoft.com/office/word/2010/wordprocessingShape">
                  <wps:wsp>
                    <wps:cNvSpPr txBox="1"/>
                    <wps:spPr>
                      <a:xfrm>
                        <a:off x="0" y="0"/>
                        <a:ext cx="775335" cy="230505"/>
                      </a:xfrm>
                      <a:prstGeom prst="rect">
                        <a:avLst/>
                      </a:prstGeom>
                      <a:noFill/>
                      <a:ln>
                        <a:noFill/>
                      </a:ln>
                    </wps:spPr>
                    <wps:txbx>
                      <w:txbxContent>
                        <w:p>
                          <w:pPr>
                            <w:pStyle w:val="22"/>
                            <w:rPr>
                              <w:rStyle w:val="36"/>
                              <w:rFonts w:ascii="宋体" w:hAnsi="宋体"/>
                              <w:sz w:val="28"/>
                              <w:szCs w:val="28"/>
                            </w:rPr>
                          </w:pPr>
                          <w:r>
                            <w:rPr>
                              <w:rStyle w:val="36"/>
                              <w:rFonts w:hint="eastAsia" w:ascii="宋体" w:hAnsi="宋体"/>
                              <w:sz w:val="28"/>
                              <w:szCs w:val="28"/>
                            </w:rPr>
                            <w:t>—</w:t>
                          </w:r>
                          <w:r>
                            <w:rPr>
                              <w:rStyle w:val="36"/>
                              <w:rFonts w:hint="eastAsia" w:ascii="宋体" w:hAnsi="宋体"/>
                              <w:sz w:val="20"/>
                            </w:rPr>
                            <w:t xml:space="preserve">  </w:t>
                          </w:r>
                          <w:r>
                            <w:rPr>
                              <w:rFonts w:ascii="宋体" w:hAnsi="宋体"/>
                              <w:sz w:val="26"/>
                              <w:szCs w:val="26"/>
                            </w:rPr>
                            <w:fldChar w:fldCharType="begin"/>
                          </w:r>
                          <w:r>
                            <w:rPr>
                              <w:rStyle w:val="36"/>
                              <w:rFonts w:ascii="宋体" w:hAnsi="宋体"/>
                              <w:sz w:val="26"/>
                              <w:szCs w:val="26"/>
                            </w:rPr>
                            <w:instrText xml:space="preserve">PAGE  </w:instrText>
                          </w:r>
                          <w:r>
                            <w:rPr>
                              <w:rFonts w:ascii="宋体" w:hAnsi="宋体"/>
                              <w:sz w:val="26"/>
                              <w:szCs w:val="26"/>
                            </w:rPr>
                            <w:fldChar w:fldCharType="separate"/>
                          </w:r>
                          <w:r>
                            <w:rPr>
                              <w:rStyle w:val="36"/>
                              <w:rFonts w:ascii="宋体" w:hAnsi="宋体"/>
                              <w:sz w:val="26"/>
                              <w:szCs w:val="26"/>
                            </w:rPr>
                            <w:t>106</w:t>
                          </w:r>
                          <w:r>
                            <w:rPr>
                              <w:rFonts w:ascii="宋体" w:hAnsi="宋体"/>
                              <w:sz w:val="26"/>
                              <w:szCs w:val="26"/>
                            </w:rPr>
                            <w:fldChar w:fldCharType="end"/>
                          </w:r>
                          <w:r>
                            <w:rPr>
                              <w:rStyle w:val="36"/>
                              <w:rFonts w:hint="eastAsia" w:ascii="宋体" w:hAnsi="宋体"/>
                              <w:sz w:val="20"/>
                            </w:rPr>
                            <w:t xml:space="preserve">  </w:t>
                          </w:r>
                          <w:r>
                            <w:rPr>
                              <w:rStyle w:val="36"/>
                              <w:rFonts w:hint="eastAsia" w:ascii="宋体" w:hAnsi="宋体"/>
                              <w:sz w:val="28"/>
                              <w:szCs w:val="28"/>
                            </w:rPr>
                            <w:t>—</w:t>
                          </w:r>
                        </w:p>
                      </w:txbxContent>
                    </wps:txbx>
                    <wps:bodyPr wrap="none" lIns="0" tIns="0" rIns="0" bIns="0" upright="0">
                      <a:spAutoFit/>
                    </wps:bodyPr>
                  </wps:wsp>
                </a:graphicData>
              </a:graphic>
            </wp:anchor>
          </w:drawing>
        </mc:Choice>
        <mc:Fallback>
          <w:pict>
            <v:shape id="文本框 2051" o:spid="_x0000_s1026" o:spt="202" type="#_x0000_t202" style="position:absolute;left:0pt;margin-top:0pt;height:18.15pt;width:61.05pt;mso-position-horizontal:outside;mso-position-horizontal-relative:margin;mso-wrap-style:none;z-index:251670528;mso-width-relative:page;mso-height-relative:page;" filled="f" stroked="f" coordsize="21600,21600" o:gfxdata="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VOieX0QAAAAQBAAAPAAAAAAAAAAEAIAAAACIAAABkcnMv&#10;ZG93bnJldi54bWxQSwECFAAUAAAACACHTuJAASKUe9EBAACbAwAADgAAAAAAAAABACAAAAAgAQAA&#10;ZHJzL2Uyb0RvYy54bWxQSwUGAAAAAAYABgBZAQAAYwUAAAAA&#10;">
              <v:fill on="f" focussize="0,0"/>
              <v:stroke on="f"/>
              <v:imagedata o:title=""/>
              <o:lock v:ext="edit" aspectratio="f"/>
              <v:textbox inset="0mm,0mm,0mm,0mm" style="mso-fit-shape-to-text:t;">
                <w:txbxContent>
                  <w:p>
                    <w:pPr>
                      <w:pStyle w:val="22"/>
                      <w:rPr>
                        <w:rStyle w:val="36"/>
                        <w:rFonts w:ascii="宋体" w:hAnsi="宋体"/>
                        <w:sz w:val="28"/>
                        <w:szCs w:val="28"/>
                      </w:rPr>
                    </w:pPr>
                    <w:r>
                      <w:rPr>
                        <w:rStyle w:val="36"/>
                        <w:rFonts w:hint="eastAsia" w:ascii="宋体" w:hAnsi="宋体"/>
                        <w:sz w:val="28"/>
                        <w:szCs w:val="28"/>
                      </w:rPr>
                      <w:t>—</w:t>
                    </w:r>
                    <w:r>
                      <w:rPr>
                        <w:rStyle w:val="36"/>
                        <w:rFonts w:hint="eastAsia" w:ascii="宋体" w:hAnsi="宋体"/>
                        <w:sz w:val="20"/>
                      </w:rPr>
                      <w:t xml:space="preserve">  </w:t>
                    </w:r>
                    <w:r>
                      <w:rPr>
                        <w:rFonts w:ascii="宋体" w:hAnsi="宋体"/>
                        <w:sz w:val="26"/>
                        <w:szCs w:val="26"/>
                      </w:rPr>
                      <w:fldChar w:fldCharType="begin"/>
                    </w:r>
                    <w:r>
                      <w:rPr>
                        <w:rStyle w:val="36"/>
                        <w:rFonts w:ascii="宋体" w:hAnsi="宋体"/>
                        <w:sz w:val="26"/>
                        <w:szCs w:val="26"/>
                      </w:rPr>
                      <w:instrText xml:space="preserve">PAGE  </w:instrText>
                    </w:r>
                    <w:r>
                      <w:rPr>
                        <w:rFonts w:ascii="宋体" w:hAnsi="宋体"/>
                        <w:sz w:val="26"/>
                        <w:szCs w:val="26"/>
                      </w:rPr>
                      <w:fldChar w:fldCharType="separate"/>
                    </w:r>
                    <w:r>
                      <w:rPr>
                        <w:rStyle w:val="36"/>
                        <w:rFonts w:ascii="宋体" w:hAnsi="宋体"/>
                        <w:sz w:val="26"/>
                        <w:szCs w:val="26"/>
                      </w:rPr>
                      <w:t>106</w:t>
                    </w:r>
                    <w:r>
                      <w:rPr>
                        <w:rFonts w:ascii="宋体" w:hAnsi="宋体"/>
                        <w:sz w:val="26"/>
                        <w:szCs w:val="26"/>
                      </w:rPr>
                      <w:fldChar w:fldCharType="end"/>
                    </w:r>
                    <w:r>
                      <w:rPr>
                        <w:rStyle w:val="36"/>
                        <w:rFonts w:hint="eastAsia" w:ascii="宋体" w:hAnsi="宋体"/>
                        <w:sz w:val="20"/>
                      </w:rPr>
                      <w:t xml:space="preserve">  </w:t>
                    </w:r>
                    <w:r>
                      <w:rPr>
                        <w:rStyle w:val="36"/>
                        <w:rFonts w:hint="eastAsia" w:ascii="宋体" w:hAnsi="宋体"/>
                        <w:sz w:val="28"/>
                        <w:szCs w:val="28"/>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right="360"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align>inside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t xml:space="preserve">— </w:t>
                          </w:r>
                          <w:r>
                            <w:fldChar w:fldCharType="begin"/>
                          </w:r>
                          <w:r>
                            <w:instrText xml:space="preserve"> PAGE  \* MERGEFORMAT </w:instrText>
                          </w:r>
                          <w:r>
                            <w:fldChar w:fldCharType="separate"/>
                          </w:r>
                          <w:r>
                            <w:t>143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22"/>
                    </w:pPr>
                    <w:r>
                      <w:t xml:space="preserve">— </w:t>
                    </w:r>
                    <w:r>
                      <w:fldChar w:fldCharType="begin"/>
                    </w:r>
                    <w:r>
                      <w:instrText xml:space="preserve"> PAGE  \* MERGEFORMAT </w:instrText>
                    </w:r>
                    <w:r>
                      <w:fldChar w:fldCharType="separate"/>
                    </w:r>
                    <w:r>
                      <w:t>143</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49553C"/>
    <w:multiLevelType w:val="singleLevel"/>
    <w:tmpl w:val="5849553C"/>
    <w:lvl w:ilvl="0" w:tentative="0">
      <w:start w:val="1"/>
      <w:numFmt w:val="decimal"/>
      <w:pStyle w:val="25"/>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hMzVjMWQ5ODIwNmVkYzFlMjQ2YWViOGEyMmMwOTcifQ=="/>
  </w:docVars>
  <w:rsids>
    <w:rsidRoot w:val="00A14947"/>
    <w:rsid w:val="00001CED"/>
    <w:rsid w:val="00001E67"/>
    <w:rsid w:val="00003CD8"/>
    <w:rsid w:val="00014965"/>
    <w:rsid w:val="0001523A"/>
    <w:rsid w:val="00016ECB"/>
    <w:rsid w:val="000269F6"/>
    <w:rsid w:val="00031939"/>
    <w:rsid w:val="00032D25"/>
    <w:rsid w:val="00034C30"/>
    <w:rsid w:val="0005219D"/>
    <w:rsid w:val="0005568F"/>
    <w:rsid w:val="0006153D"/>
    <w:rsid w:val="00061B1F"/>
    <w:rsid w:val="0006310A"/>
    <w:rsid w:val="000664DB"/>
    <w:rsid w:val="00067C16"/>
    <w:rsid w:val="0007127D"/>
    <w:rsid w:val="00071AE5"/>
    <w:rsid w:val="00074783"/>
    <w:rsid w:val="00074DB1"/>
    <w:rsid w:val="000801E0"/>
    <w:rsid w:val="00082A29"/>
    <w:rsid w:val="0008331D"/>
    <w:rsid w:val="00083C18"/>
    <w:rsid w:val="00092899"/>
    <w:rsid w:val="000A178E"/>
    <w:rsid w:val="000A557E"/>
    <w:rsid w:val="000A72E3"/>
    <w:rsid w:val="000B058F"/>
    <w:rsid w:val="000B693F"/>
    <w:rsid w:val="000C09AC"/>
    <w:rsid w:val="000C0A63"/>
    <w:rsid w:val="000C437E"/>
    <w:rsid w:val="000D33DD"/>
    <w:rsid w:val="000E5F16"/>
    <w:rsid w:val="000F4452"/>
    <w:rsid w:val="000F5990"/>
    <w:rsid w:val="000F6DA1"/>
    <w:rsid w:val="000F701B"/>
    <w:rsid w:val="001056A0"/>
    <w:rsid w:val="00115279"/>
    <w:rsid w:val="00117459"/>
    <w:rsid w:val="0011749A"/>
    <w:rsid w:val="00127A68"/>
    <w:rsid w:val="00140B13"/>
    <w:rsid w:val="00141B68"/>
    <w:rsid w:val="001466DA"/>
    <w:rsid w:val="00154DE1"/>
    <w:rsid w:val="00155B40"/>
    <w:rsid w:val="001570FF"/>
    <w:rsid w:val="00157435"/>
    <w:rsid w:val="001605E3"/>
    <w:rsid w:val="00163EEA"/>
    <w:rsid w:val="00167A07"/>
    <w:rsid w:val="0017046A"/>
    <w:rsid w:val="001704A3"/>
    <w:rsid w:val="0017504D"/>
    <w:rsid w:val="00177422"/>
    <w:rsid w:val="00184F10"/>
    <w:rsid w:val="00185546"/>
    <w:rsid w:val="001863DC"/>
    <w:rsid w:val="0019146B"/>
    <w:rsid w:val="00194398"/>
    <w:rsid w:val="001A7D2A"/>
    <w:rsid w:val="001B574C"/>
    <w:rsid w:val="001C0AF9"/>
    <w:rsid w:val="001C155A"/>
    <w:rsid w:val="001C1901"/>
    <w:rsid w:val="001C48C0"/>
    <w:rsid w:val="001D5FB4"/>
    <w:rsid w:val="001D6726"/>
    <w:rsid w:val="001F3347"/>
    <w:rsid w:val="001F4440"/>
    <w:rsid w:val="001F69E4"/>
    <w:rsid w:val="00206A65"/>
    <w:rsid w:val="00211A9F"/>
    <w:rsid w:val="00211CE4"/>
    <w:rsid w:val="00212D31"/>
    <w:rsid w:val="002130C7"/>
    <w:rsid w:val="002218A8"/>
    <w:rsid w:val="0022306D"/>
    <w:rsid w:val="00226574"/>
    <w:rsid w:val="002278EC"/>
    <w:rsid w:val="002357C7"/>
    <w:rsid w:val="002367C4"/>
    <w:rsid w:val="00245594"/>
    <w:rsid w:val="00255743"/>
    <w:rsid w:val="0025679E"/>
    <w:rsid w:val="00260C68"/>
    <w:rsid w:val="002648B0"/>
    <w:rsid w:val="00275271"/>
    <w:rsid w:val="0027535E"/>
    <w:rsid w:val="00275AA6"/>
    <w:rsid w:val="00276E33"/>
    <w:rsid w:val="0027781D"/>
    <w:rsid w:val="002807D5"/>
    <w:rsid w:val="00282CCD"/>
    <w:rsid w:val="00285085"/>
    <w:rsid w:val="002A168C"/>
    <w:rsid w:val="002A2C48"/>
    <w:rsid w:val="002A3EED"/>
    <w:rsid w:val="002A4A39"/>
    <w:rsid w:val="002A5A17"/>
    <w:rsid w:val="002A6425"/>
    <w:rsid w:val="002B49E2"/>
    <w:rsid w:val="002B7B00"/>
    <w:rsid w:val="002B7C44"/>
    <w:rsid w:val="002C1388"/>
    <w:rsid w:val="002C17A6"/>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5427"/>
    <w:rsid w:val="00336969"/>
    <w:rsid w:val="00336C52"/>
    <w:rsid w:val="00341B3E"/>
    <w:rsid w:val="00341B42"/>
    <w:rsid w:val="00345154"/>
    <w:rsid w:val="0034560E"/>
    <w:rsid w:val="00350523"/>
    <w:rsid w:val="00352975"/>
    <w:rsid w:val="00356868"/>
    <w:rsid w:val="0036485B"/>
    <w:rsid w:val="00373B0D"/>
    <w:rsid w:val="00376988"/>
    <w:rsid w:val="00381A72"/>
    <w:rsid w:val="00386098"/>
    <w:rsid w:val="00390F16"/>
    <w:rsid w:val="003A1948"/>
    <w:rsid w:val="003A59FB"/>
    <w:rsid w:val="003B152A"/>
    <w:rsid w:val="003B21ED"/>
    <w:rsid w:val="003B545B"/>
    <w:rsid w:val="003D3EE9"/>
    <w:rsid w:val="003E7681"/>
    <w:rsid w:val="003F0809"/>
    <w:rsid w:val="003F611C"/>
    <w:rsid w:val="003F6423"/>
    <w:rsid w:val="003F755C"/>
    <w:rsid w:val="00406B74"/>
    <w:rsid w:val="00406F01"/>
    <w:rsid w:val="00411B36"/>
    <w:rsid w:val="004121D7"/>
    <w:rsid w:val="00416D50"/>
    <w:rsid w:val="00417772"/>
    <w:rsid w:val="00420813"/>
    <w:rsid w:val="00420E6A"/>
    <w:rsid w:val="00433CA9"/>
    <w:rsid w:val="0043521D"/>
    <w:rsid w:val="00442024"/>
    <w:rsid w:val="0044254C"/>
    <w:rsid w:val="00443F6A"/>
    <w:rsid w:val="00450A17"/>
    <w:rsid w:val="00466321"/>
    <w:rsid w:val="004672AF"/>
    <w:rsid w:val="004727B0"/>
    <w:rsid w:val="00474E2E"/>
    <w:rsid w:val="00480247"/>
    <w:rsid w:val="0048081D"/>
    <w:rsid w:val="0048117E"/>
    <w:rsid w:val="004855F6"/>
    <w:rsid w:val="00486F0C"/>
    <w:rsid w:val="00493333"/>
    <w:rsid w:val="00494670"/>
    <w:rsid w:val="004A0EB4"/>
    <w:rsid w:val="004A3823"/>
    <w:rsid w:val="004A59BB"/>
    <w:rsid w:val="004B2E17"/>
    <w:rsid w:val="004B43A3"/>
    <w:rsid w:val="004B4C49"/>
    <w:rsid w:val="004B58A5"/>
    <w:rsid w:val="004B63D9"/>
    <w:rsid w:val="004C0882"/>
    <w:rsid w:val="004C55BE"/>
    <w:rsid w:val="004D10A7"/>
    <w:rsid w:val="004D3EE1"/>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431C7"/>
    <w:rsid w:val="00544AE5"/>
    <w:rsid w:val="005503AF"/>
    <w:rsid w:val="00554A7B"/>
    <w:rsid w:val="0055572C"/>
    <w:rsid w:val="0056064F"/>
    <w:rsid w:val="00561B84"/>
    <w:rsid w:val="00571D98"/>
    <w:rsid w:val="005720AE"/>
    <w:rsid w:val="0057533A"/>
    <w:rsid w:val="0058030D"/>
    <w:rsid w:val="00582045"/>
    <w:rsid w:val="00584569"/>
    <w:rsid w:val="00590AE3"/>
    <w:rsid w:val="005918F1"/>
    <w:rsid w:val="005A06B7"/>
    <w:rsid w:val="005A1759"/>
    <w:rsid w:val="005D0369"/>
    <w:rsid w:val="005D53FE"/>
    <w:rsid w:val="005D6570"/>
    <w:rsid w:val="005D7A0F"/>
    <w:rsid w:val="005E0438"/>
    <w:rsid w:val="005E1791"/>
    <w:rsid w:val="005E2CE6"/>
    <w:rsid w:val="005E6324"/>
    <w:rsid w:val="005F228B"/>
    <w:rsid w:val="005F29CD"/>
    <w:rsid w:val="005F4DFB"/>
    <w:rsid w:val="005F6CC0"/>
    <w:rsid w:val="00603E5B"/>
    <w:rsid w:val="00604BC8"/>
    <w:rsid w:val="00615B4C"/>
    <w:rsid w:val="00615B5D"/>
    <w:rsid w:val="00617B0C"/>
    <w:rsid w:val="006210C3"/>
    <w:rsid w:val="0062146F"/>
    <w:rsid w:val="006343AF"/>
    <w:rsid w:val="0063634A"/>
    <w:rsid w:val="0064250D"/>
    <w:rsid w:val="00651302"/>
    <w:rsid w:val="006515F9"/>
    <w:rsid w:val="006535EB"/>
    <w:rsid w:val="00663016"/>
    <w:rsid w:val="00664C99"/>
    <w:rsid w:val="00674605"/>
    <w:rsid w:val="006748B8"/>
    <w:rsid w:val="00682324"/>
    <w:rsid w:val="0068535B"/>
    <w:rsid w:val="0068736E"/>
    <w:rsid w:val="0069290A"/>
    <w:rsid w:val="00697032"/>
    <w:rsid w:val="006975AC"/>
    <w:rsid w:val="006A15FB"/>
    <w:rsid w:val="006A3790"/>
    <w:rsid w:val="006A72BF"/>
    <w:rsid w:val="006B332A"/>
    <w:rsid w:val="006B33BD"/>
    <w:rsid w:val="006C1ABD"/>
    <w:rsid w:val="006C3F75"/>
    <w:rsid w:val="006D170E"/>
    <w:rsid w:val="006D7742"/>
    <w:rsid w:val="006E06AF"/>
    <w:rsid w:val="006E1168"/>
    <w:rsid w:val="006F1789"/>
    <w:rsid w:val="00706C5D"/>
    <w:rsid w:val="007118E6"/>
    <w:rsid w:val="00713C59"/>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089C"/>
    <w:rsid w:val="007E25A1"/>
    <w:rsid w:val="007E4BD2"/>
    <w:rsid w:val="007E7145"/>
    <w:rsid w:val="007E7265"/>
    <w:rsid w:val="007F2E94"/>
    <w:rsid w:val="007F3916"/>
    <w:rsid w:val="007F6FE4"/>
    <w:rsid w:val="00801179"/>
    <w:rsid w:val="00802479"/>
    <w:rsid w:val="00805372"/>
    <w:rsid w:val="00805B7B"/>
    <w:rsid w:val="00805DCC"/>
    <w:rsid w:val="0081293E"/>
    <w:rsid w:val="00814FFB"/>
    <w:rsid w:val="00820568"/>
    <w:rsid w:val="00831A80"/>
    <w:rsid w:val="008332C8"/>
    <w:rsid w:val="00833743"/>
    <w:rsid w:val="008340A4"/>
    <w:rsid w:val="00836799"/>
    <w:rsid w:val="00837028"/>
    <w:rsid w:val="00837131"/>
    <w:rsid w:val="00842852"/>
    <w:rsid w:val="00845F57"/>
    <w:rsid w:val="008521E0"/>
    <w:rsid w:val="008525B0"/>
    <w:rsid w:val="00857CFB"/>
    <w:rsid w:val="00867CBC"/>
    <w:rsid w:val="00876C30"/>
    <w:rsid w:val="00877017"/>
    <w:rsid w:val="008773C0"/>
    <w:rsid w:val="00880364"/>
    <w:rsid w:val="00886C4C"/>
    <w:rsid w:val="0088711C"/>
    <w:rsid w:val="0089047D"/>
    <w:rsid w:val="00892A55"/>
    <w:rsid w:val="00892ECF"/>
    <w:rsid w:val="00892F06"/>
    <w:rsid w:val="00894285"/>
    <w:rsid w:val="00894C74"/>
    <w:rsid w:val="008969A4"/>
    <w:rsid w:val="008A40AE"/>
    <w:rsid w:val="008A4E19"/>
    <w:rsid w:val="008A67C5"/>
    <w:rsid w:val="008B22E1"/>
    <w:rsid w:val="008B3C78"/>
    <w:rsid w:val="008B4AE9"/>
    <w:rsid w:val="008C30AD"/>
    <w:rsid w:val="008D0068"/>
    <w:rsid w:val="008D068E"/>
    <w:rsid w:val="008D0F7A"/>
    <w:rsid w:val="008D63BE"/>
    <w:rsid w:val="008E03C9"/>
    <w:rsid w:val="008E0CFF"/>
    <w:rsid w:val="008E5D6B"/>
    <w:rsid w:val="008E689B"/>
    <w:rsid w:val="008E76F0"/>
    <w:rsid w:val="008F15FE"/>
    <w:rsid w:val="008F176C"/>
    <w:rsid w:val="008F2A94"/>
    <w:rsid w:val="008F5187"/>
    <w:rsid w:val="008F709C"/>
    <w:rsid w:val="0090312B"/>
    <w:rsid w:val="00904961"/>
    <w:rsid w:val="00906DAC"/>
    <w:rsid w:val="0091118B"/>
    <w:rsid w:val="00911EAF"/>
    <w:rsid w:val="0091736D"/>
    <w:rsid w:val="00921D44"/>
    <w:rsid w:val="00931001"/>
    <w:rsid w:val="00931863"/>
    <w:rsid w:val="00933524"/>
    <w:rsid w:val="00937A2C"/>
    <w:rsid w:val="0094278D"/>
    <w:rsid w:val="0095308A"/>
    <w:rsid w:val="00955AEE"/>
    <w:rsid w:val="00956F14"/>
    <w:rsid w:val="009620FD"/>
    <w:rsid w:val="0096247A"/>
    <w:rsid w:val="00965F4B"/>
    <w:rsid w:val="00970F8A"/>
    <w:rsid w:val="00971FB5"/>
    <w:rsid w:val="00972D2A"/>
    <w:rsid w:val="00975CC5"/>
    <w:rsid w:val="00975CDE"/>
    <w:rsid w:val="00976328"/>
    <w:rsid w:val="00976B4E"/>
    <w:rsid w:val="00984458"/>
    <w:rsid w:val="00985283"/>
    <w:rsid w:val="00987322"/>
    <w:rsid w:val="00987B86"/>
    <w:rsid w:val="00992532"/>
    <w:rsid w:val="009A0F3B"/>
    <w:rsid w:val="009A72C7"/>
    <w:rsid w:val="009B0897"/>
    <w:rsid w:val="009B319C"/>
    <w:rsid w:val="009D0852"/>
    <w:rsid w:val="009D1FBF"/>
    <w:rsid w:val="009D4344"/>
    <w:rsid w:val="009E399C"/>
    <w:rsid w:val="009E43C1"/>
    <w:rsid w:val="009E7E95"/>
    <w:rsid w:val="009F116F"/>
    <w:rsid w:val="009F329E"/>
    <w:rsid w:val="009F7ED3"/>
    <w:rsid w:val="00A03607"/>
    <w:rsid w:val="00A047FF"/>
    <w:rsid w:val="00A04FEF"/>
    <w:rsid w:val="00A05B9E"/>
    <w:rsid w:val="00A122CD"/>
    <w:rsid w:val="00A12A32"/>
    <w:rsid w:val="00A14248"/>
    <w:rsid w:val="00A14947"/>
    <w:rsid w:val="00A23DC5"/>
    <w:rsid w:val="00A34028"/>
    <w:rsid w:val="00A35568"/>
    <w:rsid w:val="00A37056"/>
    <w:rsid w:val="00A4358F"/>
    <w:rsid w:val="00A46F67"/>
    <w:rsid w:val="00A54AA1"/>
    <w:rsid w:val="00A568FF"/>
    <w:rsid w:val="00A57CF2"/>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2E7"/>
    <w:rsid w:val="00AE5D97"/>
    <w:rsid w:val="00AE6794"/>
    <w:rsid w:val="00B01110"/>
    <w:rsid w:val="00B02262"/>
    <w:rsid w:val="00B03CEC"/>
    <w:rsid w:val="00B1209F"/>
    <w:rsid w:val="00B12AD0"/>
    <w:rsid w:val="00B16A4D"/>
    <w:rsid w:val="00B24F30"/>
    <w:rsid w:val="00B31ABF"/>
    <w:rsid w:val="00B335AE"/>
    <w:rsid w:val="00B37CE1"/>
    <w:rsid w:val="00B40ACF"/>
    <w:rsid w:val="00B46BAA"/>
    <w:rsid w:val="00B47C1D"/>
    <w:rsid w:val="00B50B5F"/>
    <w:rsid w:val="00B54128"/>
    <w:rsid w:val="00B55826"/>
    <w:rsid w:val="00B60426"/>
    <w:rsid w:val="00B60845"/>
    <w:rsid w:val="00B622DD"/>
    <w:rsid w:val="00B63522"/>
    <w:rsid w:val="00B71422"/>
    <w:rsid w:val="00B72378"/>
    <w:rsid w:val="00B76F1D"/>
    <w:rsid w:val="00B77901"/>
    <w:rsid w:val="00B92A19"/>
    <w:rsid w:val="00B9544C"/>
    <w:rsid w:val="00BA29E9"/>
    <w:rsid w:val="00BB3618"/>
    <w:rsid w:val="00BC0C9E"/>
    <w:rsid w:val="00BC32DC"/>
    <w:rsid w:val="00BD1B51"/>
    <w:rsid w:val="00BD47F6"/>
    <w:rsid w:val="00BD5335"/>
    <w:rsid w:val="00BE312D"/>
    <w:rsid w:val="00BE3FCA"/>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53450"/>
    <w:rsid w:val="00C61E4B"/>
    <w:rsid w:val="00C62E3A"/>
    <w:rsid w:val="00C64503"/>
    <w:rsid w:val="00C64A1F"/>
    <w:rsid w:val="00C64BFF"/>
    <w:rsid w:val="00C742F3"/>
    <w:rsid w:val="00C763C9"/>
    <w:rsid w:val="00C80057"/>
    <w:rsid w:val="00C82C79"/>
    <w:rsid w:val="00C835F4"/>
    <w:rsid w:val="00C845A2"/>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348C5"/>
    <w:rsid w:val="00D56178"/>
    <w:rsid w:val="00D56CF0"/>
    <w:rsid w:val="00D56F5C"/>
    <w:rsid w:val="00D60C82"/>
    <w:rsid w:val="00D64A80"/>
    <w:rsid w:val="00D704B1"/>
    <w:rsid w:val="00D70B63"/>
    <w:rsid w:val="00D72B92"/>
    <w:rsid w:val="00D72ED4"/>
    <w:rsid w:val="00D73F61"/>
    <w:rsid w:val="00D754C0"/>
    <w:rsid w:val="00D776A2"/>
    <w:rsid w:val="00D801C4"/>
    <w:rsid w:val="00D90836"/>
    <w:rsid w:val="00D95896"/>
    <w:rsid w:val="00D95CC6"/>
    <w:rsid w:val="00DA2DA3"/>
    <w:rsid w:val="00DA49A0"/>
    <w:rsid w:val="00DA6615"/>
    <w:rsid w:val="00DA76AE"/>
    <w:rsid w:val="00DB181E"/>
    <w:rsid w:val="00DB1C7A"/>
    <w:rsid w:val="00DB20F7"/>
    <w:rsid w:val="00DB2983"/>
    <w:rsid w:val="00DB343D"/>
    <w:rsid w:val="00DB5579"/>
    <w:rsid w:val="00DB5CFE"/>
    <w:rsid w:val="00DC72A6"/>
    <w:rsid w:val="00DD2113"/>
    <w:rsid w:val="00DD265E"/>
    <w:rsid w:val="00DD3A4D"/>
    <w:rsid w:val="00DD7DE4"/>
    <w:rsid w:val="00DE535B"/>
    <w:rsid w:val="00DF1930"/>
    <w:rsid w:val="00DF514A"/>
    <w:rsid w:val="00E0358D"/>
    <w:rsid w:val="00E06327"/>
    <w:rsid w:val="00E15234"/>
    <w:rsid w:val="00E2064B"/>
    <w:rsid w:val="00E25239"/>
    <w:rsid w:val="00E265B1"/>
    <w:rsid w:val="00E275B0"/>
    <w:rsid w:val="00E412D0"/>
    <w:rsid w:val="00E47A94"/>
    <w:rsid w:val="00E47CDB"/>
    <w:rsid w:val="00E566BC"/>
    <w:rsid w:val="00E60982"/>
    <w:rsid w:val="00E60C8D"/>
    <w:rsid w:val="00E6162F"/>
    <w:rsid w:val="00E6311B"/>
    <w:rsid w:val="00E65D97"/>
    <w:rsid w:val="00E67EFD"/>
    <w:rsid w:val="00E702DC"/>
    <w:rsid w:val="00E71FFB"/>
    <w:rsid w:val="00E76D1D"/>
    <w:rsid w:val="00E806F8"/>
    <w:rsid w:val="00E862A4"/>
    <w:rsid w:val="00E87752"/>
    <w:rsid w:val="00E8793B"/>
    <w:rsid w:val="00E90F81"/>
    <w:rsid w:val="00E91A6D"/>
    <w:rsid w:val="00E9242D"/>
    <w:rsid w:val="00E92A28"/>
    <w:rsid w:val="00EA1424"/>
    <w:rsid w:val="00EB041C"/>
    <w:rsid w:val="00EC5874"/>
    <w:rsid w:val="00ED192D"/>
    <w:rsid w:val="00ED30B4"/>
    <w:rsid w:val="00ED31F5"/>
    <w:rsid w:val="00EF2759"/>
    <w:rsid w:val="00EF45EB"/>
    <w:rsid w:val="00EF5099"/>
    <w:rsid w:val="00EF5E33"/>
    <w:rsid w:val="00EF6B4B"/>
    <w:rsid w:val="00F00075"/>
    <w:rsid w:val="00F07822"/>
    <w:rsid w:val="00F15C95"/>
    <w:rsid w:val="00F22985"/>
    <w:rsid w:val="00F241AB"/>
    <w:rsid w:val="00F2786D"/>
    <w:rsid w:val="00F31382"/>
    <w:rsid w:val="00F35829"/>
    <w:rsid w:val="00F42868"/>
    <w:rsid w:val="00F465A7"/>
    <w:rsid w:val="00F50B7C"/>
    <w:rsid w:val="00F5202D"/>
    <w:rsid w:val="00F52CF6"/>
    <w:rsid w:val="00F53424"/>
    <w:rsid w:val="00F54496"/>
    <w:rsid w:val="00F571F2"/>
    <w:rsid w:val="00F61097"/>
    <w:rsid w:val="00F74345"/>
    <w:rsid w:val="00F74441"/>
    <w:rsid w:val="00F75113"/>
    <w:rsid w:val="00F76805"/>
    <w:rsid w:val="00F77F30"/>
    <w:rsid w:val="00F82589"/>
    <w:rsid w:val="00F82B19"/>
    <w:rsid w:val="00F84800"/>
    <w:rsid w:val="00F90AA7"/>
    <w:rsid w:val="00F9212D"/>
    <w:rsid w:val="00FA301A"/>
    <w:rsid w:val="00FA38FC"/>
    <w:rsid w:val="00FA406A"/>
    <w:rsid w:val="00FA5CB6"/>
    <w:rsid w:val="00FC66AC"/>
    <w:rsid w:val="00FD18F4"/>
    <w:rsid w:val="00FD74B4"/>
    <w:rsid w:val="00FF6FCE"/>
    <w:rsid w:val="00FF7518"/>
    <w:rsid w:val="00FF7FD8"/>
    <w:rsid w:val="010D6029"/>
    <w:rsid w:val="01115017"/>
    <w:rsid w:val="012E1635"/>
    <w:rsid w:val="01347A59"/>
    <w:rsid w:val="016A5229"/>
    <w:rsid w:val="019747D9"/>
    <w:rsid w:val="01D14DEB"/>
    <w:rsid w:val="01D72E19"/>
    <w:rsid w:val="01F260F0"/>
    <w:rsid w:val="021533E7"/>
    <w:rsid w:val="021E673E"/>
    <w:rsid w:val="0237161E"/>
    <w:rsid w:val="02427F54"/>
    <w:rsid w:val="025A529E"/>
    <w:rsid w:val="02664FAB"/>
    <w:rsid w:val="026F594D"/>
    <w:rsid w:val="02813C31"/>
    <w:rsid w:val="02875872"/>
    <w:rsid w:val="02931CA0"/>
    <w:rsid w:val="02A36C44"/>
    <w:rsid w:val="02AE6D39"/>
    <w:rsid w:val="02B84E65"/>
    <w:rsid w:val="02BB2121"/>
    <w:rsid w:val="02C1531D"/>
    <w:rsid w:val="02D50D31"/>
    <w:rsid w:val="02D7069C"/>
    <w:rsid w:val="02D7406D"/>
    <w:rsid w:val="02E56FF2"/>
    <w:rsid w:val="032F0D0F"/>
    <w:rsid w:val="03424BB5"/>
    <w:rsid w:val="035A1095"/>
    <w:rsid w:val="03724869"/>
    <w:rsid w:val="03791753"/>
    <w:rsid w:val="03A82039"/>
    <w:rsid w:val="03AC1B29"/>
    <w:rsid w:val="03C2134C"/>
    <w:rsid w:val="03DB41BC"/>
    <w:rsid w:val="03EF7C67"/>
    <w:rsid w:val="0438160E"/>
    <w:rsid w:val="044004C3"/>
    <w:rsid w:val="0443017D"/>
    <w:rsid w:val="045A3333"/>
    <w:rsid w:val="048A4CFA"/>
    <w:rsid w:val="048D5E4D"/>
    <w:rsid w:val="04956A61"/>
    <w:rsid w:val="04A15406"/>
    <w:rsid w:val="04AD3DAA"/>
    <w:rsid w:val="04BD38C2"/>
    <w:rsid w:val="04C2570D"/>
    <w:rsid w:val="04D8694E"/>
    <w:rsid w:val="04F76DD4"/>
    <w:rsid w:val="050815A0"/>
    <w:rsid w:val="050F0836"/>
    <w:rsid w:val="05143B6B"/>
    <w:rsid w:val="052027CE"/>
    <w:rsid w:val="05240FE3"/>
    <w:rsid w:val="053E7845"/>
    <w:rsid w:val="056F4C41"/>
    <w:rsid w:val="05742AC8"/>
    <w:rsid w:val="057C552B"/>
    <w:rsid w:val="057D6389"/>
    <w:rsid w:val="05854D43"/>
    <w:rsid w:val="05955811"/>
    <w:rsid w:val="05997E8B"/>
    <w:rsid w:val="05A22E2B"/>
    <w:rsid w:val="05AC4062"/>
    <w:rsid w:val="05B305AF"/>
    <w:rsid w:val="05E7611C"/>
    <w:rsid w:val="060E18EE"/>
    <w:rsid w:val="06352F05"/>
    <w:rsid w:val="063A78C0"/>
    <w:rsid w:val="063E7D85"/>
    <w:rsid w:val="063F24F7"/>
    <w:rsid w:val="064029FC"/>
    <w:rsid w:val="064C1E3E"/>
    <w:rsid w:val="064D191A"/>
    <w:rsid w:val="06562220"/>
    <w:rsid w:val="065D62C3"/>
    <w:rsid w:val="065E2E82"/>
    <w:rsid w:val="06693D01"/>
    <w:rsid w:val="067A1943"/>
    <w:rsid w:val="06954AF6"/>
    <w:rsid w:val="06C2234A"/>
    <w:rsid w:val="06C64BFF"/>
    <w:rsid w:val="06CB0518"/>
    <w:rsid w:val="06F56A16"/>
    <w:rsid w:val="06F6179A"/>
    <w:rsid w:val="06F96DCA"/>
    <w:rsid w:val="070875E0"/>
    <w:rsid w:val="070D265C"/>
    <w:rsid w:val="071579E5"/>
    <w:rsid w:val="071E2D3E"/>
    <w:rsid w:val="071F3A7A"/>
    <w:rsid w:val="071F7C4D"/>
    <w:rsid w:val="072440CC"/>
    <w:rsid w:val="07293586"/>
    <w:rsid w:val="07295285"/>
    <w:rsid w:val="072B0FB7"/>
    <w:rsid w:val="07550344"/>
    <w:rsid w:val="075E138C"/>
    <w:rsid w:val="075F6EC3"/>
    <w:rsid w:val="076B5857"/>
    <w:rsid w:val="07770C56"/>
    <w:rsid w:val="077C1812"/>
    <w:rsid w:val="078C4E56"/>
    <w:rsid w:val="07A11279"/>
    <w:rsid w:val="07AF5C6B"/>
    <w:rsid w:val="07B70E15"/>
    <w:rsid w:val="07B969F7"/>
    <w:rsid w:val="07C41709"/>
    <w:rsid w:val="07C55E09"/>
    <w:rsid w:val="07CD7D59"/>
    <w:rsid w:val="07E959BB"/>
    <w:rsid w:val="08166EE1"/>
    <w:rsid w:val="0821374E"/>
    <w:rsid w:val="08307993"/>
    <w:rsid w:val="08485B98"/>
    <w:rsid w:val="08486800"/>
    <w:rsid w:val="084C5688"/>
    <w:rsid w:val="08762705"/>
    <w:rsid w:val="087B7D1C"/>
    <w:rsid w:val="088D4A75"/>
    <w:rsid w:val="08966904"/>
    <w:rsid w:val="08B82880"/>
    <w:rsid w:val="08BE2D8F"/>
    <w:rsid w:val="08D34B34"/>
    <w:rsid w:val="08E14806"/>
    <w:rsid w:val="08F55387"/>
    <w:rsid w:val="092217DD"/>
    <w:rsid w:val="093A7294"/>
    <w:rsid w:val="09420839"/>
    <w:rsid w:val="094620D8"/>
    <w:rsid w:val="095011A8"/>
    <w:rsid w:val="095C5D9F"/>
    <w:rsid w:val="096E162E"/>
    <w:rsid w:val="097018B2"/>
    <w:rsid w:val="09732A37"/>
    <w:rsid w:val="097D0913"/>
    <w:rsid w:val="097D2702"/>
    <w:rsid w:val="099C263F"/>
    <w:rsid w:val="09A6701A"/>
    <w:rsid w:val="09BF1421"/>
    <w:rsid w:val="09D873B4"/>
    <w:rsid w:val="09E810D6"/>
    <w:rsid w:val="09EB557E"/>
    <w:rsid w:val="09F00295"/>
    <w:rsid w:val="09F0123A"/>
    <w:rsid w:val="09F91840"/>
    <w:rsid w:val="0A287A2F"/>
    <w:rsid w:val="0A2D5046"/>
    <w:rsid w:val="0A3930ED"/>
    <w:rsid w:val="0A3E1968"/>
    <w:rsid w:val="0A481DAB"/>
    <w:rsid w:val="0A4F1C08"/>
    <w:rsid w:val="0A580F87"/>
    <w:rsid w:val="0A631A81"/>
    <w:rsid w:val="0A782765"/>
    <w:rsid w:val="0A8E2870"/>
    <w:rsid w:val="0AA04BFE"/>
    <w:rsid w:val="0AB87005"/>
    <w:rsid w:val="0AC736EC"/>
    <w:rsid w:val="0AC77248"/>
    <w:rsid w:val="0AC90FB1"/>
    <w:rsid w:val="0AD25911"/>
    <w:rsid w:val="0AF838A6"/>
    <w:rsid w:val="0B134CB1"/>
    <w:rsid w:val="0B2B5A29"/>
    <w:rsid w:val="0B2D4E57"/>
    <w:rsid w:val="0B3E5EF0"/>
    <w:rsid w:val="0B5A36BD"/>
    <w:rsid w:val="0B754EF6"/>
    <w:rsid w:val="0B7F2711"/>
    <w:rsid w:val="0B901D30"/>
    <w:rsid w:val="0BB53545"/>
    <w:rsid w:val="0BC13363"/>
    <w:rsid w:val="0BD27BF6"/>
    <w:rsid w:val="0BF64289"/>
    <w:rsid w:val="0BF91683"/>
    <w:rsid w:val="0C2862F8"/>
    <w:rsid w:val="0C2A0A31"/>
    <w:rsid w:val="0C612623"/>
    <w:rsid w:val="0C6A07D3"/>
    <w:rsid w:val="0C760E99"/>
    <w:rsid w:val="0C9A2887"/>
    <w:rsid w:val="0CA21D1B"/>
    <w:rsid w:val="0CB046E2"/>
    <w:rsid w:val="0CC25F19"/>
    <w:rsid w:val="0CE2366C"/>
    <w:rsid w:val="0CE33113"/>
    <w:rsid w:val="0CE40585"/>
    <w:rsid w:val="0CE528DF"/>
    <w:rsid w:val="0CFF02E1"/>
    <w:rsid w:val="0D136775"/>
    <w:rsid w:val="0D1C4C26"/>
    <w:rsid w:val="0D1F511A"/>
    <w:rsid w:val="0D2B7524"/>
    <w:rsid w:val="0D4B4BDD"/>
    <w:rsid w:val="0D576FA9"/>
    <w:rsid w:val="0D6A3DBE"/>
    <w:rsid w:val="0D731909"/>
    <w:rsid w:val="0D750BCF"/>
    <w:rsid w:val="0D7F205C"/>
    <w:rsid w:val="0D825D10"/>
    <w:rsid w:val="0D8D6785"/>
    <w:rsid w:val="0D933D59"/>
    <w:rsid w:val="0DA379EE"/>
    <w:rsid w:val="0DB53CD0"/>
    <w:rsid w:val="0DC440B5"/>
    <w:rsid w:val="0DDA1D98"/>
    <w:rsid w:val="0DDD51F1"/>
    <w:rsid w:val="0DDF2139"/>
    <w:rsid w:val="0DE465EB"/>
    <w:rsid w:val="0DE93979"/>
    <w:rsid w:val="0DFF4F4B"/>
    <w:rsid w:val="0E100F06"/>
    <w:rsid w:val="0E110D06"/>
    <w:rsid w:val="0E272D67"/>
    <w:rsid w:val="0E4B7BDF"/>
    <w:rsid w:val="0E782F04"/>
    <w:rsid w:val="0E79794F"/>
    <w:rsid w:val="0E9B43C8"/>
    <w:rsid w:val="0EA23F1F"/>
    <w:rsid w:val="0EA62794"/>
    <w:rsid w:val="0EB15142"/>
    <w:rsid w:val="0ECA5FC7"/>
    <w:rsid w:val="0EE46130"/>
    <w:rsid w:val="0EF2236C"/>
    <w:rsid w:val="0F0071CD"/>
    <w:rsid w:val="0F0B5845"/>
    <w:rsid w:val="0F13775A"/>
    <w:rsid w:val="0F152C78"/>
    <w:rsid w:val="0F276507"/>
    <w:rsid w:val="0F895414"/>
    <w:rsid w:val="0F911856"/>
    <w:rsid w:val="0F964296"/>
    <w:rsid w:val="0F9A112B"/>
    <w:rsid w:val="0FA42D6A"/>
    <w:rsid w:val="0FD52407"/>
    <w:rsid w:val="0FED59A3"/>
    <w:rsid w:val="0FFC7994"/>
    <w:rsid w:val="100827DD"/>
    <w:rsid w:val="100D38A2"/>
    <w:rsid w:val="101100B4"/>
    <w:rsid w:val="101B3EE5"/>
    <w:rsid w:val="102B0279"/>
    <w:rsid w:val="10383A87"/>
    <w:rsid w:val="10390BE8"/>
    <w:rsid w:val="104B1C74"/>
    <w:rsid w:val="10521CAA"/>
    <w:rsid w:val="10523A58"/>
    <w:rsid w:val="106A6FF4"/>
    <w:rsid w:val="106D2F64"/>
    <w:rsid w:val="106F0166"/>
    <w:rsid w:val="108A3299"/>
    <w:rsid w:val="10990781"/>
    <w:rsid w:val="10A047C3"/>
    <w:rsid w:val="10A11227"/>
    <w:rsid w:val="10B63710"/>
    <w:rsid w:val="10B84553"/>
    <w:rsid w:val="10E943BC"/>
    <w:rsid w:val="11017FF3"/>
    <w:rsid w:val="111927C8"/>
    <w:rsid w:val="111C2F7A"/>
    <w:rsid w:val="113013DE"/>
    <w:rsid w:val="11370089"/>
    <w:rsid w:val="1142587A"/>
    <w:rsid w:val="114415F3"/>
    <w:rsid w:val="116A6B7F"/>
    <w:rsid w:val="11721D54"/>
    <w:rsid w:val="117A14B8"/>
    <w:rsid w:val="11851C0B"/>
    <w:rsid w:val="118A7DBE"/>
    <w:rsid w:val="119F7945"/>
    <w:rsid w:val="11AE2E2C"/>
    <w:rsid w:val="11B12A00"/>
    <w:rsid w:val="11C95F9C"/>
    <w:rsid w:val="11DA1F57"/>
    <w:rsid w:val="11DA259E"/>
    <w:rsid w:val="11E95A0E"/>
    <w:rsid w:val="11F0106A"/>
    <w:rsid w:val="120D40DA"/>
    <w:rsid w:val="120F1ACA"/>
    <w:rsid w:val="12170AB5"/>
    <w:rsid w:val="121768F5"/>
    <w:rsid w:val="121E0096"/>
    <w:rsid w:val="121F5BBC"/>
    <w:rsid w:val="122B06C2"/>
    <w:rsid w:val="12490E8B"/>
    <w:rsid w:val="12527D3F"/>
    <w:rsid w:val="12535459"/>
    <w:rsid w:val="125F420A"/>
    <w:rsid w:val="128E6209"/>
    <w:rsid w:val="129D4C15"/>
    <w:rsid w:val="12C549B5"/>
    <w:rsid w:val="12CD1ABC"/>
    <w:rsid w:val="12D40754"/>
    <w:rsid w:val="12EA7F78"/>
    <w:rsid w:val="12F62DC0"/>
    <w:rsid w:val="132C67E2"/>
    <w:rsid w:val="133F4A0B"/>
    <w:rsid w:val="13477178"/>
    <w:rsid w:val="1362048E"/>
    <w:rsid w:val="137E3028"/>
    <w:rsid w:val="13951726"/>
    <w:rsid w:val="13A9099B"/>
    <w:rsid w:val="13BD4E58"/>
    <w:rsid w:val="13CA3E07"/>
    <w:rsid w:val="13D11138"/>
    <w:rsid w:val="13DC44D6"/>
    <w:rsid w:val="13FB7F63"/>
    <w:rsid w:val="140B4F9A"/>
    <w:rsid w:val="14396509"/>
    <w:rsid w:val="1447165C"/>
    <w:rsid w:val="144A310D"/>
    <w:rsid w:val="14634486"/>
    <w:rsid w:val="14755F67"/>
    <w:rsid w:val="148B5B3C"/>
    <w:rsid w:val="14B85DB6"/>
    <w:rsid w:val="14C02667"/>
    <w:rsid w:val="14D477CE"/>
    <w:rsid w:val="14D64DF6"/>
    <w:rsid w:val="1500325C"/>
    <w:rsid w:val="15175270"/>
    <w:rsid w:val="15284D87"/>
    <w:rsid w:val="153100E0"/>
    <w:rsid w:val="15453B8B"/>
    <w:rsid w:val="154F5CF7"/>
    <w:rsid w:val="15555F07"/>
    <w:rsid w:val="156E66B6"/>
    <w:rsid w:val="159673EF"/>
    <w:rsid w:val="159B7D45"/>
    <w:rsid w:val="159E5049"/>
    <w:rsid w:val="15B71F81"/>
    <w:rsid w:val="15BB209F"/>
    <w:rsid w:val="15BE305A"/>
    <w:rsid w:val="15C2342E"/>
    <w:rsid w:val="15C26F8A"/>
    <w:rsid w:val="15D40D0B"/>
    <w:rsid w:val="15DE0DD7"/>
    <w:rsid w:val="15E60CE0"/>
    <w:rsid w:val="162E461F"/>
    <w:rsid w:val="16315FFC"/>
    <w:rsid w:val="16404BF0"/>
    <w:rsid w:val="164B5E74"/>
    <w:rsid w:val="1662045B"/>
    <w:rsid w:val="166A0E21"/>
    <w:rsid w:val="1688192D"/>
    <w:rsid w:val="169C5A2D"/>
    <w:rsid w:val="16A82624"/>
    <w:rsid w:val="16AF038F"/>
    <w:rsid w:val="16D51276"/>
    <w:rsid w:val="16E93B42"/>
    <w:rsid w:val="16EC1FA8"/>
    <w:rsid w:val="16F75359"/>
    <w:rsid w:val="170F26A3"/>
    <w:rsid w:val="17127A9D"/>
    <w:rsid w:val="173418A7"/>
    <w:rsid w:val="17352A28"/>
    <w:rsid w:val="17560E52"/>
    <w:rsid w:val="176127D3"/>
    <w:rsid w:val="1762440B"/>
    <w:rsid w:val="177338CF"/>
    <w:rsid w:val="17735226"/>
    <w:rsid w:val="177B11D8"/>
    <w:rsid w:val="17800EAB"/>
    <w:rsid w:val="178169D1"/>
    <w:rsid w:val="178F10EE"/>
    <w:rsid w:val="179606CE"/>
    <w:rsid w:val="17A252C5"/>
    <w:rsid w:val="17A41C6A"/>
    <w:rsid w:val="17B51E7E"/>
    <w:rsid w:val="17B80221"/>
    <w:rsid w:val="17D11706"/>
    <w:rsid w:val="17D87BD2"/>
    <w:rsid w:val="17D925E9"/>
    <w:rsid w:val="18103988"/>
    <w:rsid w:val="181F06C4"/>
    <w:rsid w:val="184876B6"/>
    <w:rsid w:val="184C1AF3"/>
    <w:rsid w:val="185F31B6"/>
    <w:rsid w:val="186D63A9"/>
    <w:rsid w:val="187D1248"/>
    <w:rsid w:val="18846779"/>
    <w:rsid w:val="18AD3F21"/>
    <w:rsid w:val="18C35EEC"/>
    <w:rsid w:val="18C96AE1"/>
    <w:rsid w:val="18D92F68"/>
    <w:rsid w:val="18DE3CC3"/>
    <w:rsid w:val="1934019F"/>
    <w:rsid w:val="19341F4D"/>
    <w:rsid w:val="19371A3D"/>
    <w:rsid w:val="193A3F42"/>
    <w:rsid w:val="194B54E8"/>
    <w:rsid w:val="195F4FAC"/>
    <w:rsid w:val="19622F5E"/>
    <w:rsid w:val="196E41B2"/>
    <w:rsid w:val="197D32B1"/>
    <w:rsid w:val="198B3B37"/>
    <w:rsid w:val="19967B08"/>
    <w:rsid w:val="199C538A"/>
    <w:rsid w:val="19C37774"/>
    <w:rsid w:val="19CE2148"/>
    <w:rsid w:val="19EA4C66"/>
    <w:rsid w:val="19EC48E7"/>
    <w:rsid w:val="19FB0CBC"/>
    <w:rsid w:val="1A0635BE"/>
    <w:rsid w:val="1A071979"/>
    <w:rsid w:val="1A115087"/>
    <w:rsid w:val="1A136006"/>
    <w:rsid w:val="1A1C66C0"/>
    <w:rsid w:val="1A206975"/>
    <w:rsid w:val="1A27385F"/>
    <w:rsid w:val="1A357F21"/>
    <w:rsid w:val="1A394790"/>
    <w:rsid w:val="1A4051E0"/>
    <w:rsid w:val="1A4175E5"/>
    <w:rsid w:val="1A42393B"/>
    <w:rsid w:val="1A5253FC"/>
    <w:rsid w:val="1A7E3800"/>
    <w:rsid w:val="1A8B2040"/>
    <w:rsid w:val="1A8B7ED4"/>
    <w:rsid w:val="1A8E5F63"/>
    <w:rsid w:val="1A8E63AF"/>
    <w:rsid w:val="1AAE50C3"/>
    <w:rsid w:val="1AB8095B"/>
    <w:rsid w:val="1ACE0C9B"/>
    <w:rsid w:val="1AD2356C"/>
    <w:rsid w:val="1AE343DA"/>
    <w:rsid w:val="1AEB0D31"/>
    <w:rsid w:val="1AFD2812"/>
    <w:rsid w:val="1B046F80"/>
    <w:rsid w:val="1B080F44"/>
    <w:rsid w:val="1B1F6C2C"/>
    <w:rsid w:val="1B262BAF"/>
    <w:rsid w:val="1B3267B5"/>
    <w:rsid w:val="1B33112F"/>
    <w:rsid w:val="1B3F16F5"/>
    <w:rsid w:val="1B4A5EFB"/>
    <w:rsid w:val="1B4C0DF3"/>
    <w:rsid w:val="1B527002"/>
    <w:rsid w:val="1B595292"/>
    <w:rsid w:val="1B634D6B"/>
    <w:rsid w:val="1B662AAD"/>
    <w:rsid w:val="1B7C4342"/>
    <w:rsid w:val="1B9C202B"/>
    <w:rsid w:val="1BBE70E1"/>
    <w:rsid w:val="1BC25DC8"/>
    <w:rsid w:val="1BCC1384"/>
    <w:rsid w:val="1BCF5591"/>
    <w:rsid w:val="1BE539D2"/>
    <w:rsid w:val="1BE70E5E"/>
    <w:rsid w:val="1BF61EF8"/>
    <w:rsid w:val="1BFE2CE6"/>
    <w:rsid w:val="1C0A3439"/>
    <w:rsid w:val="1C0B6A05"/>
    <w:rsid w:val="1C3404B6"/>
    <w:rsid w:val="1C4912E1"/>
    <w:rsid w:val="1C5C01ED"/>
    <w:rsid w:val="1C5E7925"/>
    <w:rsid w:val="1C662D65"/>
    <w:rsid w:val="1C7134B8"/>
    <w:rsid w:val="1C887FC8"/>
    <w:rsid w:val="1C9D24FF"/>
    <w:rsid w:val="1CB30BA4"/>
    <w:rsid w:val="1CBB2985"/>
    <w:rsid w:val="1CBE3220"/>
    <w:rsid w:val="1CCC4B92"/>
    <w:rsid w:val="1CCE4466"/>
    <w:rsid w:val="1CD759A8"/>
    <w:rsid w:val="1CF82713"/>
    <w:rsid w:val="1D061E52"/>
    <w:rsid w:val="1D1B51B1"/>
    <w:rsid w:val="1D33076D"/>
    <w:rsid w:val="1D3A7D4E"/>
    <w:rsid w:val="1D596426"/>
    <w:rsid w:val="1D5A219E"/>
    <w:rsid w:val="1D5F6196"/>
    <w:rsid w:val="1D6132A5"/>
    <w:rsid w:val="1D801022"/>
    <w:rsid w:val="1D851D48"/>
    <w:rsid w:val="1D8B67FB"/>
    <w:rsid w:val="1D8E56D5"/>
    <w:rsid w:val="1D91390D"/>
    <w:rsid w:val="1DAC03EC"/>
    <w:rsid w:val="1DC02C06"/>
    <w:rsid w:val="1DC87107"/>
    <w:rsid w:val="1DE965F2"/>
    <w:rsid w:val="1DF443E5"/>
    <w:rsid w:val="1DFC1CFB"/>
    <w:rsid w:val="1DFD14A7"/>
    <w:rsid w:val="1E076044"/>
    <w:rsid w:val="1E0850E8"/>
    <w:rsid w:val="1E110AAE"/>
    <w:rsid w:val="1E24594C"/>
    <w:rsid w:val="1E3B3D7D"/>
    <w:rsid w:val="1E587FB8"/>
    <w:rsid w:val="1E6240F1"/>
    <w:rsid w:val="1E6305EC"/>
    <w:rsid w:val="1E7A43DA"/>
    <w:rsid w:val="1E7E0A81"/>
    <w:rsid w:val="1E7F757D"/>
    <w:rsid w:val="1E851F92"/>
    <w:rsid w:val="1E8707A4"/>
    <w:rsid w:val="1EAF5491"/>
    <w:rsid w:val="1EB00F19"/>
    <w:rsid w:val="1EB277FE"/>
    <w:rsid w:val="1ECB1F8C"/>
    <w:rsid w:val="1ED3045A"/>
    <w:rsid w:val="1EEC3644"/>
    <w:rsid w:val="1EFA3E00"/>
    <w:rsid w:val="1F1C398D"/>
    <w:rsid w:val="1F253E23"/>
    <w:rsid w:val="1F3031B6"/>
    <w:rsid w:val="1F3074AA"/>
    <w:rsid w:val="1F3D61DE"/>
    <w:rsid w:val="1F3F33F9"/>
    <w:rsid w:val="1F43738D"/>
    <w:rsid w:val="1F53754A"/>
    <w:rsid w:val="1F607885"/>
    <w:rsid w:val="1F686DF4"/>
    <w:rsid w:val="1F695EE3"/>
    <w:rsid w:val="1F896D6A"/>
    <w:rsid w:val="1F8B605E"/>
    <w:rsid w:val="1F972E96"/>
    <w:rsid w:val="1FBE6CF6"/>
    <w:rsid w:val="1FE7539E"/>
    <w:rsid w:val="1FF133AC"/>
    <w:rsid w:val="200C5D79"/>
    <w:rsid w:val="200D0837"/>
    <w:rsid w:val="2011428E"/>
    <w:rsid w:val="2015357A"/>
    <w:rsid w:val="204131A1"/>
    <w:rsid w:val="20452C91"/>
    <w:rsid w:val="207812B9"/>
    <w:rsid w:val="207C7383"/>
    <w:rsid w:val="207F330F"/>
    <w:rsid w:val="20875058"/>
    <w:rsid w:val="208D28C0"/>
    <w:rsid w:val="20963CB8"/>
    <w:rsid w:val="209F6845"/>
    <w:rsid w:val="20A042F2"/>
    <w:rsid w:val="20AD59E1"/>
    <w:rsid w:val="20B07FB6"/>
    <w:rsid w:val="20B3470B"/>
    <w:rsid w:val="20B66479"/>
    <w:rsid w:val="20C93FB5"/>
    <w:rsid w:val="20D81FF7"/>
    <w:rsid w:val="20E57FD0"/>
    <w:rsid w:val="20E71923"/>
    <w:rsid w:val="20F052F3"/>
    <w:rsid w:val="210C5CAC"/>
    <w:rsid w:val="2119496F"/>
    <w:rsid w:val="213320CF"/>
    <w:rsid w:val="213B74B1"/>
    <w:rsid w:val="214F547B"/>
    <w:rsid w:val="215A2310"/>
    <w:rsid w:val="21661111"/>
    <w:rsid w:val="21717AB6"/>
    <w:rsid w:val="21742B65"/>
    <w:rsid w:val="21843A63"/>
    <w:rsid w:val="21893052"/>
    <w:rsid w:val="218A526D"/>
    <w:rsid w:val="219315A3"/>
    <w:rsid w:val="21935419"/>
    <w:rsid w:val="21A1480B"/>
    <w:rsid w:val="21BF4CC5"/>
    <w:rsid w:val="21DE318A"/>
    <w:rsid w:val="21DF2D16"/>
    <w:rsid w:val="21EF5B80"/>
    <w:rsid w:val="21FE56DE"/>
    <w:rsid w:val="22097CEF"/>
    <w:rsid w:val="22196E59"/>
    <w:rsid w:val="222566AF"/>
    <w:rsid w:val="22387A21"/>
    <w:rsid w:val="224002CA"/>
    <w:rsid w:val="22446C73"/>
    <w:rsid w:val="22576990"/>
    <w:rsid w:val="225B49EE"/>
    <w:rsid w:val="22651ABC"/>
    <w:rsid w:val="22727B3E"/>
    <w:rsid w:val="229C4EAB"/>
    <w:rsid w:val="22A30143"/>
    <w:rsid w:val="22B13280"/>
    <w:rsid w:val="22BE4F7D"/>
    <w:rsid w:val="22C34341"/>
    <w:rsid w:val="22DA5EE4"/>
    <w:rsid w:val="22DD2691"/>
    <w:rsid w:val="22F032C8"/>
    <w:rsid w:val="22F34BC1"/>
    <w:rsid w:val="23075320"/>
    <w:rsid w:val="23076924"/>
    <w:rsid w:val="23166B67"/>
    <w:rsid w:val="2322375E"/>
    <w:rsid w:val="23237187"/>
    <w:rsid w:val="2328627B"/>
    <w:rsid w:val="23323994"/>
    <w:rsid w:val="233314C7"/>
    <w:rsid w:val="235A4CA6"/>
    <w:rsid w:val="235F050E"/>
    <w:rsid w:val="236619DD"/>
    <w:rsid w:val="236D4C61"/>
    <w:rsid w:val="23753C2E"/>
    <w:rsid w:val="237A67A3"/>
    <w:rsid w:val="23847F75"/>
    <w:rsid w:val="23B26A28"/>
    <w:rsid w:val="23BA5744"/>
    <w:rsid w:val="23C12F77"/>
    <w:rsid w:val="23C87E61"/>
    <w:rsid w:val="23F253F2"/>
    <w:rsid w:val="23FC7B0B"/>
    <w:rsid w:val="241573D7"/>
    <w:rsid w:val="241A61E3"/>
    <w:rsid w:val="24266AE5"/>
    <w:rsid w:val="24373239"/>
    <w:rsid w:val="24480FA2"/>
    <w:rsid w:val="24521E21"/>
    <w:rsid w:val="245A2A83"/>
    <w:rsid w:val="246062EC"/>
    <w:rsid w:val="247E2C16"/>
    <w:rsid w:val="248C0626"/>
    <w:rsid w:val="24B108F5"/>
    <w:rsid w:val="24B11017"/>
    <w:rsid w:val="24CC7095"/>
    <w:rsid w:val="24E028C2"/>
    <w:rsid w:val="24E26372"/>
    <w:rsid w:val="24F353B2"/>
    <w:rsid w:val="25072C0B"/>
    <w:rsid w:val="250E3F9A"/>
    <w:rsid w:val="2513335E"/>
    <w:rsid w:val="25140E84"/>
    <w:rsid w:val="25184E18"/>
    <w:rsid w:val="252D53FE"/>
    <w:rsid w:val="254E3A9D"/>
    <w:rsid w:val="25617D48"/>
    <w:rsid w:val="257E09F8"/>
    <w:rsid w:val="25877F9D"/>
    <w:rsid w:val="258C4EBE"/>
    <w:rsid w:val="259267F3"/>
    <w:rsid w:val="259315DA"/>
    <w:rsid w:val="25A920C6"/>
    <w:rsid w:val="25B445D1"/>
    <w:rsid w:val="25C04087"/>
    <w:rsid w:val="25C7239A"/>
    <w:rsid w:val="25CE197B"/>
    <w:rsid w:val="25DF04C0"/>
    <w:rsid w:val="25DF3DFF"/>
    <w:rsid w:val="25EC2D81"/>
    <w:rsid w:val="25ED1E01"/>
    <w:rsid w:val="260D24A3"/>
    <w:rsid w:val="261052BB"/>
    <w:rsid w:val="26105663"/>
    <w:rsid w:val="26121868"/>
    <w:rsid w:val="26151358"/>
    <w:rsid w:val="2624631F"/>
    <w:rsid w:val="26356366"/>
    <w:rsid w:val="26441437"/>
    <w:rsid w:val="264528BD"/>
    <w:rsid w:val="265E6A39"/>
    <w:rsid w:val="26706E77"/>
    <w:rsid w:val="26955FF5"/>
    <w:rsid w:val="26971D6D"/>
    <w:rsid w:val="26A5448A"/>
    <w:rsid w:val="26B648E9"/>
    <w:rsid w:val="26B6795F"/>
    <w:rsid w:val="26B94929"/>
    <w:rsid w:val="26D170A7"/>
    <w:rsid w:val="26E202C7"/>
    <w:rsid w:val="26E83571"/>
    <w:rsid w:val="26EA196D"/>
    <w:rsid w:val="26F70A5D"/>
    <w:rsid w:val="2729330D"/>
    <w:rsid w:val="272F2932"/>
    <w:rsid w:val="274513E2"/>
    <w:rsid w:val="27455C6D"/>
    <w:rsid w:val="275469F7"/>
    <w:rsid w:val="27602AA7"/>
    <w:rsid w:val="27724D2D"/>
    <w:rsid w:val="277420AE"/>
    <w:rsid w:val="277D4255"/>
    <w:rsid w:val="278153D2"/>
    <w:rsid w:val="27883A42"/>
    <w:rsid w:val="279739EA"/>
    <w:rsid w:val="27A23C17"/>
    <w:rsid w:val="27A6670B"/>
    <w:rsid w:val="27BC5F2F"/>
    <w:rsid w:val="27CB5B48"/>
    <w:rsid w:val="27D15DD1"/>
    <w:rsid w:val="27D67D82"/>
    <w:rsid w:val="27F97070"/>
    <w:rsid w:val="2824170E"/>
    <w:rsid w:val="284E0B51"/>
    <w:rsid w:val="2855647D"/>
    <w:rsid w:val="2858552C"/>
    <w:rsid w:val="285B6267"/>
    <w:rsid w:val="28931D48"/>
    <w:rsid w:val="289742A6"/>
    <w:rsid w:val="28A315F3"/>
    <w:rsid w:val="28A76295"/>
    <w:rsid w:val="28B409B4"/>
    <w:rsid w:val="28B635CC"/>
    <w:rsid w:val="28C345F8"/>
    <w:rsid w:val="28D42E04"/>
    <w:rsid w:val="28DC0900"/>
    <w:rsid w:val="28E457D7"/>
    <w:rsid w:val="29024C5F"/>
    <w:rsid w:val="29206EB8"/>
    <w:rsid w:val="29257B04"/>
    <w:rsid w:val="29402A82"/>
    <w:rsid w:val="2956143D"/>
    <w:rsid w:val="295F4096"/>
    <w:rsid w:val="296A3B7E"/>
    <w:rsid w:val="299B1B74"/>
    <w:rsid w:val="29B11398"/>
    <w:rsid w:val="29BC27DC"/>
    <w:rsid w:val="29C72969"/>
    <w:rsid w:val="29E325E0"/>
    <w:rsid w:val="29E4351B"/>
    <w:rsid w:val="29E5576E"/>
    <w:rsid w:val="29EC0860"/>
    <w:rsid w:val="29F50666"/>
    <w:rsid w:val="2A1D0EA3"/>
    <w:rsid w:val="2A276588"/>
    <w:rsid w:val="2A343AE3"/>
    <w:rsid w:val="2A452503"/>
    <w:rsid w:val="2A4B4255"/>
    <w:rsid w:val="2A4F0617"/>
    <w:rsid w:val="2A5306A1"/>
    <w:rsid w:val="2A704DAF"/>
    <w:rsid w:val="2A7F4674"/>
    <w:rsid w:val="2A866380"/>
    <w:rsid w:val="2A9D2EFA"/>
    <w:rsid w:val="2AB07AB8"/>
    <w:rsid w:val="2AB26EA2"/>
    <w:rsid w:val="2ABE3D6C"/>
    <w:rsid w:val="2AC84BEB"/>
    <w:rsid w:val="2ACA0963"/>
    <w:rsid w:val="2ACD3FAF"/>
    <w:rsid w:val="2ADC2444"/>
    <w:rsid w:val="2AE2374D"/>
    <w:rsid w:val="2AFB4FC0"/>
    <w:rsid w:val="2AFE685E"/>
    <w:rsid w:val="2B0379D1"/>
    <w:rsid w:val="2B074902"/>
    <w:rsid w:val="2B204A27"/>
    <w:rsid w:val="2B294258"/>
    <w:rsid w:val="2B2F2C55"/>
    <w:rsid w:val="2B411285"/>
    <w:rsid w:val="2B413641"/>
    <w:rsid w:val="2B4F0E68"/>
    <w:rsid w:val="2B4F70BA"/>
    <w:rsid w:val="2B800BF3"/>
    <w:rsid w:val="2B83581B"/>
    <w:rsid w:val="2B8E2FC8"/>
    <w:rsid w:val="2B946C1B"/>
    <w:rsid w:val="2BA411B4"/>
    <w:rsid w:val="2BA74800"/>
    <w:rsid w:val="2BA936A8"/>
    <w:rsid w:val="2BBB02AC"/>
    <w:rsid w:val="2BFF1B2B"/>
    <w:rsid w:val="2C0357F8"/>
    <w:rsid w:val="2C1529D1"/>
    <w:rsid w:val="2C167BD8"/>
    <w:rsid w:val="2C315A5A"/>
    <w:rsid w:val="2C384FCB"/>
    <w:rsid w:val="2C4440D1"/>
    <w:rsid w:val="2C4633EA"/>
    <w:rsid w:val="2C614995"/>
    <w:rsid w:val="2C716878"/>
    <w:rsid w:val="2C772A32"/>
    <w:rsid w:val="2C974875"/>
    <w:rsid w:val="2C9D1056"/>
    <w:rsid w:val="2CA96AD4"/>
    <w:rsid w:val="2CAB253B"/>
    <w:rsid w:val="2CC03CA5"/>
    <w:rsid w:val="2CE40EC8"/>
    <w:rsid w:val="2CEE645F"/>
    <w:rsid w:val="2CF21CB2"/>
    <w:rsid w:val="2CFA6D03"/>
    <w:rsid w:val="2D161F58"/>
    <w:rsid w:val="2D241E80"/>
    <w:rsid w:val="2D6223FB"/>
    <w:rsid w:val="2D9139BA"/>
    <w:rsid w:val="2D9E1DD2"/>
    <w:rsid w:val="2D9E56F5"/>
    <w:rsid w:val="2DA41C70"/>
    <w:rsid w:val="2DAE1C1A"/>
    <w:rsid w:val="2DC967AD"/>
    <w:rsid w:val="2DD96528"/>
    <w:rsid w:val="2DE51610"/>
    <w:rsid w:val="2E28330A"/>
    <w:rsid w:val="2E3438AE"/>
    <w:rsid w:val="2E354C56"/>
    <w:rsid w:val="2E4B3B69"/>
    <w:rsid w:val="2E4C168F"/>
    <w:rsid w:val="2E6372C7"/>
    <w:rsid w:val="2E667F96"/>
    <w:rsid w:val="2E8226AB"/>
    <w:rsid w:val="2E9224D9"/>
    <w:rsid w:val="2E987CE1"/>
    <w:rsid w:val="2EAA2F1B"/>
    <w:rsid w:val="2EAA33F6"/>
    <w:rsid w:val="2EAD4823"/>
    <w:rsid w:val="2EB746C6"/>
    <w:rsid w:val="2EBE07DF"/>
    <w:rsid w:val="2ED17FB6"/>
    <w:rsid w:val="2EF064BE"/>
    <w:rsid w:val="2EFD636D"/>
    <w:rsid w:val="2F1C5E1C"/>
    <w:rsid w:val="2F2919D0"/>
    <w:rsid w:val="2F3C5BA7"/>
    <w:rsid w:val="2F480FC3"/>
    <w:rsid w:val="2F5B59C5"/>
    <w:rsid w:val="2F653D5F"/>
    <w:rsid w:val="2F6D7B0F"/>
    <w:rsid w:val="2F723377"/>
    <w:rsid w:val="2F7D6357"/>
    <w:rsid w:val="2F8135BA"/>
    <w:rsid w:val="2F832C79"/>
    <w:rsid w:val="2F8512FC"/>
    <w:rsid w:val="2F937A40"/>
    <w:rsid w:val="2FCA31B3"/>
    <w:rsid w:val="2FD951A4"/>
    <w:rsid w:val="2FEF2D58"/>
    <w:rsid w:val="2FF606E2"/>
    <w:rsid w:val="2FFC56C5"/>
    <w:rsid w:val="2FFF10AF"/>
    <w:rsid w:val="300D059C"/>
    <w:rsid w:val="30275E53"/>
    <w:rsid w:val="30580BC9"/>
    <w:rsid w:val="306727B0"/>
    <w:rsid w:val="30697881"/>
    <w:rsid w:val="30766E97"/>
    <w:rsid w:val="307A2253"/>
    <w:rsid w:val="309C4B4F"/>
    <w:rsid w:val="309D08C8"/>
    <w:rsid w:val="30B975B4"/>
    <w:rsid w:val="30BF5D92"/>
    <w:rsid w:val="30C953EC"/>
    <w:rsid w:val="30D77936"/>
    <w:rsid w:val="30E24E48"/>
    <w:rsid w:val="310E5321"/>
    <w:rsid w:val="31117149"/>
    <w:rsid w:val="311E2ED7"/>
    <w:rsid w:val="31216E03"/>
    <w:rsid w:val="31222A9A"/>
    <w:rsid w:val="3122660C"/>
    <w:rsid w:val="313E3C90"/>
    <w:rsid w:val="31413001"/>
    <w:rsid w:val="314E1C32"/>
    <w:rsid w:val="31572824"/>
    <w:rsid w:val="315C449C"/>
    <w:rsid w:val="3164453B"/>
    <w:rsid w:val="31772EC7"/>
    <w:rsid w:val="31B00187"/>
    <w:rsid w:val="31B82709"/>
    <w:rsid w:val="31BD62B5"/>
    <w:rsid w:val="31E57E03"/>
    <w:rsid w:val="31E85B72"/>
    <w:rsid w:val="31ED4F37"/>
    <w:rsid w:val="320C7AB3"/>
    <w:rsid w:val="320F12CA"/>
    <w:rsid w:val="3217581B"/>
    <w:rsid w:val="321C3807"/>
    <w:rsid w:val="3220355E"/>
    <w:rsid w:val="3233551E"/>
    <w:rsid w:val="32400B34"/>
    <w:rsid w:val="324418C7"/>
    <w:rsid w:val="32452FC5"/>
    <w:rsid w:val="3247469D"/>
    <w:rsid w:val="325B00F2"/>
    <w:rsid w:val="32754BD6"/>
    <w:rsid w:val="327F64D7"/>
    <w:rsid w:val="328721F7"/>
    <w:rsid w:val="329E6876"/>
    <w:rsid w:val="32A443A3"/>
    <w:rsid w:val="32B048E2"/>
    <w:rsid w:val="32B06690"/>
    <w:rsid w:val="32B11565"/>
    <w:rsid w:val="32CC2D9E"/>
    <w:rsid w:val="32DB1233"/>
    <w:rsid w:val="32EA0830"/>
    <w:rsid w:val="32F25342"/>
    <w:rsid w:val="32F26CA9"/>
    <w:rsid w:val="33051987"/>
    <w:rsid w:val="330819F8"/>
    <w:rsid w:val="332855D9"/>
    <w:rsid w:val="33533183"/>
    <w:rsid w:val="3355548A"/>
    <w:rsid w:val="33723946"/>
    <w:rsid w:val="33890C8F"/>
    <w:rsid w:val="33B61A16"/>
    <w:rsid w:val="33C148CD"/>
    <w:rsid w:val="33C45F2F"/>
    <w:rsid w:val="33D934D4"/>
    <w:rsid w:val="33DE547F"/>
    <w:rsid w:val="33E5680D"/>
    <w:rsid w:val="33EA3E24"/>
    <w:rsid w:val="33FE2F6A"/>
    <w:rsid w:val="34074987"/>
    <w:rsid w:val="341C1B03"/>
    <w:rsid w:val="342235BE"/>
    <w:rsid w:val="342A73B3"/>
    <w:rsid w:val="343609D9"/>
    <w:rsid w:val="345C7834"/>
    <w:rsid w:val="346428BE"/>
    <w:rsid w:val="346D3AF7"/>
    <w:rsid w:val="34780E22"/>
    <w:rsid w:val="34CB67EC"/>
    <w:rsid w:val="34CC177B"/>
    <w:rsid w:val="34D06958"/>
    <w:rsid w:val="34D523DE"/>
    <w:rsid w:val="34D83C7C"/>
    <w:rsid w:val="34D942BA"/>
    <w:rsid w:val="34F211E2"/>
    <w:rsid w:val="34FB2BBA"/>
    <w:rsid w:val="34FB5BBD"/>
    <w:rsid w:val="35011425"/>
    <w:rsid w:val="350C1B78"/>
    <w:rsid w:val="351871F8"/>
    <w:rsid w:val="3522139B"/>
    <w:rsid w:val="353341DD"/>
    <w:rsid w:val="353752C8"/>
    <w:rsid w:val="35420D31"/>
    <w:rsid w:val="35470E02"/>
    <w:rsid w:val="354924F4"/>
    <w:rsid w:val="354B444E"/>
    <w:rsid w:val="35577297"/>
    <w:rsid w:val="355C235C"/>
    <w:rsid w:val="35627473"/>
    <w:rsid w:val="35944047"/>
    <w:rsid w:val="35A20D56"/>
    <w:rsid w:val="35B51CDA"/>
    <w:rsid w:val="35C56367"/>
    <w:rsid w:val="35D00DF7"/>
    <w:rsid w:val="35EE3C40"/>
    <w:rsid w:val="35FC1BEC"/>
    <w:rsid w:val="36074A7F"/>
    <w:rsid w:val="360E3A7E"/>
    <w:rsid w:val="363C023B"/>
    <w:rsid w:val="363E0457"/>
    <w:rsid w:val="36527A5E"/>
    <w:rsid w:val="36674CE9"/>
    <w:rsid w:val="36730100"/>
    <w:rsid w:val="367A046E"/>
    <w:rsid w:val="36820344"/>
    <w:rsid w:val="368A5B14"/>
    <w:rsid w:val="36923549"/>
    <w:rsid w:val="369D111E"/>
    <w:rsid w:val="369D45F0"/>
    <w:rsid w:val="369F2F5E"/>
    <w:rsid w:val="36AC3612"/>
    <w:rsid w:val="36B44275"/>
    <w:rsid w:val="36B75FBF"/>
    <w:rsid w:val="36BD137C"/>
    <w:rsid w:val="36C471FA"/>
    <w:rsid w:val="36D96A68"/>
    <w:rsid w:val="36FB4891"/>
    <w:rsid w:val="37006181"/>
    <w:rsid w:val="371669D8"/>
    <w:rsid w:val="371B42F4"/>
    <w:rsid w:val="3724764D"/>
    <w:rsid w:val="372D45F3"/>
    <w:rsid w:val="37357164"/>
    <w:rsid w:val="3757357E"/>
    <w:rsid w:val="375D79EF"/>
    <w:rsid w:val="37736BC5"/>
    <w:rsid w:val="377A54BF"/>
    <w:rsid w:val="37965B9A"/>
    <w:rsid w:val="37971702"/>
    <w:rsid w:val="379C5435"/>
    <w:rsid w:val="37B81AF5"/>
    <w:rsid w:val="37BB7CD2"/>
    <w:rsid w:val="37D21346"/>
    <w:rsid w:val="37E40054"/>
    <w:rsid w:val="37E76B0B"/>
    <w:rsid w:val="37F251D5"/>
    <w:rsid w:val="37FE7E9E"/>
    <w:rsid w:val="38056AE2"/>
    <w:rsid w:val="380B0C4E"/>
    <w:rsid w:val="380F02C6"/>
    <w:rsid w:val="3810197F"/>
    <w:rsid w:val="381551E7"/>
    <w:rsid w:val="38194CD8"/>
    <w:rsid w:val="38207E14"/>
    <w:rsid w:val="3846585A"/>
    <w:rsid w:val="384E174B"/>
    <w:rsid w:val="386A72E1"/>
    <w:rsid w:val="386D6352"/>
    <w:rsid w:val="387B27F9"/>
    <w:rsid w:val="389B56ED"/>
    <w:rsid w:val="38A50319"/>
    <w:rsid w:val="38AD2F94"/>
    <w:rsid w:val="38D161E4"/>
    <w:rsid w:val="38D46734"/>
    <w:rsid w:val="38E726E0"/>
    <w:rsid w:val="38E958B3"/>
    <w:rsid w:val="38F12CD3"/>
    <w:rsid w:val="38F94775"/>
    <w:rsid w:val="38FE7A29"/>
    <w:rsid w:val="390A4620"/>
    <w:rsid w:val="390C2A26"/>
    <w:rsid w:val="392971ED"/>
    <w:rsid w:val="394C17FD"/>
    <w:rsid w:val="39695EBD"/>
    <w:rsid w:val="396A5C0B"/>
    <w:rsid w:val="396D6D0A"/>
    <w:rsid w:val="39736669"/>
    <w:rsid w:val="39893797"/>
    <w:rsid w:val="398C4099"/>
    <w:rsid w:val="399977EE"/>
    <w:rsid w:val="399D3976"/>
    <w:rsid w:val="39A03D29"/>
    <w:rsid w:val="39AE72B7"/>
    <w:rsid w:val="39B90520"/>
    <w:rsid w:val="39D569DC"/>
    <w:rsid w:val="39D972DA"/>
    <w:rsid w:val="39DD3AE3"/>
    <w:rsid w:val="39E76710"/>
    <w:rsid w:val="39FA6834"/>
    <w:rsid w:val="3A0C5088"/>
    <w:rsid w:val="3A3E5BC7"/>
    <w:rsid w:val="3A3F654C"/>
    <w:rsid w:val="3A414072"/>
    <w:rsid w:val="3A5D2658"/>
    <w:rsid w:val="3A5E27FD"/>
    <w:rsid w:val="3A760F61"/>
    <w:rsid w:val="3A780587"/>
    <w:rsid w:val="3A8A5F41"/>
    <w:rsid w:val="3A940645"/>
    <w:rsid w:val="3AB265D9"/>
    <w:rsid w:val="3ABC5019"/>
    <w:rsid w:val="3AC05D9F"/>
    <w:rsid w:val="3AD66F8F"/>
    <w:rsid w:val="3AE95723"/>
    <w:rsid w:val="3B07350D"/>
    <w:rsid w:val="3B1B48C3"/>
    <w:rsid w:val="3B1D42F1"/>
    <w:rsid w:val="3B20692C"/>
    <w:rsid w:val="3B2D0F9A"/>
    <w:rsid w:val="3B2F65C0"/>
    <w:rsid w:val="3B3763D1"/>
    <w:rsid w:val="3B406E84"/>
    <w:rsid w:val="3B4262F3"/>
    <w:rsid w:val="3B7B1805"/>
    <w:rsid w:val="3B7F18E1"/>
    <w:rsid w:val="3B8E442A"/>
    <w:rsid w:val="3B936B4F"/>
    <w:rsid w:val="3BA725FA"/>
    <w:rsid w:val="3BC05442"/>
    <w:rsid w:val="3BC1190E"/>
    <w:rsid w:val="3BCE7B87"/>
    <w:rsid w:val="3BD038FF"/>
    <w:rsid w:val="3BD3014E"/>
    <w:rsid w:val="3BE60A52"/>
    <w:rsid w:val="3BF674A5"/>
    <w:rsid w:val="3C1E6012"/>
    <w:rsid w:val="3C333252"/>
    <w:rsid w:val="3C502C92"/>
    <w:rsid w:val="3C795D45"/>
    <w:rsid w:val="3C9C5ED7"/>
    <w:rsid w:val="3CAE1525"/>
    <w:rsid w:val="3CB2202B"/>
    <w:rsid w:val="3CB274A9"/>
    <w:rsid w:val="3CBA7113"/>
    <w:rsid w:val="3CD7112F"/>
    <w:rsid w:val="3CDA245A"/>
    <w:rsid w:val="3CE97C43"/>
    <w:rsid w:val="3CEB6517"/>
    <w:rsid w:val="3CEE0A37"/>
    <w:rsid w:val="3CF062DA"/>
    <w:rsid w:val="3CFE26EE"/>
    <w:rsid w:val="3D05582A"/>
    <w:rsid w:val="3D0B02B5"/>
    <w:rsid w:val="3D0F0A1D"/>
    <w:rsid w:val="3D163594"/>
    <w:rsid w:val="3D18555E"/>
    <w:rsid w:val="3D2C725B"/>
    <w:rsid w:val="3D2E4494"/>
    <w:rsid w:val="3D363C36"/>
    <w:rsid w:val="3D67717F"/>
    <w:rsid w:val="3D680CC3"/>
    <w:rsid w:val="3D7C378A"/>
    <w:rsid w:val="3D884353"/>
    <w:rsid w:val="3D891FB8"/>
    <w:rsid w:val="3D923791"/>
    <w:rsid w:val="3D9267FC"/>
    <w:rsid w:val="3D96372E"/>
    <w:rsid w:val="3D986D8C"/>
    <w:rsid w:val="3D9A0880"/>
    <w:rsid w:val="3DA07301"/>
    <w:rsid w:val="3DA212CB"/>
    <w:rsid w:val="3DE14212"/>
    <w:rsid w:val="3DF77869"/>
    <w:rsid w:val="3DFB0A3E"/>
    <w:rsid w:val="3DFC6C2D"/>
    <w:rsid w:val="3E012496"/>
    <w:rsid w:val="3E03620E"/>
    <w:rsid w:val="3E155F41"/>
    <w:rsid w:val="3E1D4DF6"/>
    <w:rsid w:val="3E2717D1"/>
    <w:rsid w:val="3E416D36"/>
    <w:rsid w:val="3E491747"/>
    <w:rsid w:val="3E611186"/>
    <w:rsid w:val="3E7964D0"/>
    <w:rsid w:val="3E7C38CA"/>
    <w:rsid w:val="3E9079E7"/>
    <w:rsid w:val="3EB017C6"/>
    <w:rsid w:val="3EC50DAA"/>
    <w:rsid w:val="3EE80F60"/>
    <w:rsid w:val="3F035317"/>
    <w:rsid w:val="3F052E82"/>
    <w:rsid w:val="3F32042D"/>
    <w:rsid w:val="3F514D57"/>
    <w:rsid w:val="3F660E74"/>
    <w:rsid w:val="3FA26360"/>
    <w:rsid w:val="3FAA3979"/>
    <w:rsid w:val="3FAC6431"/>
    <w:rsid w:val="3FB32C10"/>
    <w:rsid w:val="3FC45529"/>
    <w:rsid w:val="3FD15E98"/>
    <w:rsid w:val="3FDA136B"/>
    <w:rsid w:val="3FDF3BDF"/>
    <w:rsid w:val="3FE03F00"/>
    <w:rsid w:val="40224F95"/>
    <w:rsid w:val="4039052C"/>
    <w:rsid w:val="403D352D"/>
    <w:rsid w:val="4045173B"/>
    <w:rsid w:val="407A6407"/>
    <w:rsid w:val="40802E58"/>
    <w:rsid w:val="409273D5"/>
    <w:rsid w:val="40BF3F42"/>
    <w:rsid w:val="40DC4AF4"/>
    <w:rsid w:val="40EF1158"/>
    <w:rsid w:val="413B181B"/>
    <w:rsid w:val="41617E53"/>
    <w:rsid w:val="41B919A4"/>
    <w:rsid w:val="41C2018E"/>
    <w:rsid w:val="41E45A02"/>
    <w:rsid w:val="41E719A3"/>
    <w:rsid w:val="42047533"/>
    <w:rsid w:val="422E46D1"/>
    <w:rsid w:val="423A3BCC"/>
    <w:rsid w:val="424D7975"/>
    <w:rsid w:val="424E37D0"/>
    <w:rsid w:val="425527C3"/>
    <w:rsid w:val="4255564D"/>
    <w:rsid w:val="425E3619"/>
    <w:rsid w:val="42666D6B"/>
    <w:rsid w:val="4290699A"/>
    <w:rsid w:val="429C278D"/>
    <w:rsid w:val="42B6199F"/>
    <w:rsid w:val="42CD6DEA"/>
    <w:rsid w:val="42E772C0"/>
    <w:rsid w:val="42E97DF0"/>
    <w:rsid w:val="42FD7A8F"/>
    <w:rsid w:val="433A6FE6"/>
    <w:rsid w:val="43482785"/>
    <w:rsid w:val="4350713C"/>
    <w:rsid w:val="435C3CCA"/>
    <w:rsid w:val="436653E0"/>
    <w:rsid w:val="437379B1"/>
    <w:rsid w:val="43741014"/>
    <w:rsid w:val="43755F23"/>
    <w:rsid w:val="43812FE1"/>
    <w:rsid w:val="438A3265"/>
    <w:rsid w:val="43957F31"/>
    <w:rsid w:val="4397761E"/>
    <w:rsid w:val="43A50C9D"/>
    <w:rsid w:val="43AF64F0"/>
    <w:rsid w:val="43BB30E7"/>
    <w:rsid w:val="43DF5027"/>
    <w:rsid w:val="43E22422"/>
    <w:rsid w:val="43E9506B"/>
    <w:rsid w:val="44065DA5"/>
    <w:rsid w:val="44246DF9"/>
    <w:rsid w:val="442F6A4F"/>
    <w:rsid w:val="443E048A"/>
    <w:rsid w:val="445D34D8"/>
    <w:rsid w:val="447D2BAF"/>
    <w:rsid w:val="44873867"/>
    <w:rsid w:val="449C206D"/>
    <w:rsid w:val="449D437A"/>
    <w:rsid w:val="44B738AE"/>
    <w:rsid w:val="44BC4562"/>
    <w:rsid w:val="44C71617"/>
    <w:rsid w:val="44CD14E0"/>
    <w:rsid w:val="44D17364"/>
    <w:rsid w:val="44EE4EC7"/>
    <w:rsid w:val="4509231A"/>
    <w:rsid w:val="450B7991"/>
    <w:rsid w:val="451B417D"/>
    <w:rsid w:val="452151CC"/>
    <w:rsid w:val="452A22D2"/>
    <w:rsid w:val="453A5418"/>
    <w:rsid w:val="45424FA0"/>
    <w:rsid w:val="4550160D"/>
    <w:rsid w:val="456F5F37"/>
    <w:rsid w:val="457E617A"/>
    <w:rsid w:val="458467A3"/>
    <w:rsid w:val="458946E9"/>
    <w:rsid w:val="45895292"/>
    <w:rsid w:val="458B6AE9"/>
    <w:rsid w:val="459E05CA"/>
    <w:rsid w:val="459F01B9"/>
    <w:rsid w:val="45A570EB"/>
    <w:rsid w:val="45BA434E"/>
    <w:rsid w:val="45BE2A1A"/>
    <w:rsid w:val="45CA7611"/>
    <w:rsid w:val="45E452A8"/>
    <w:rsid w:val="45E82373"/>
    <w:rsid w:val="45F852B5"/>
    <w:rsid w:val="45FD1795"/>
    <w:rsid w:val="46040D75"/>
    <w:rsid w:val="46113492"/>
    <w:rsid w:val="46326F64"/>
    <w:rsid w:val="46395FEA"/>
    <w:rsid w:val="463E49BE"/>
    <w:rsid w:val="46592743"/>
    <w:rsid w:val="465B7F08"/>
    <w:rsid w:val="465D66D7"/>
    <w:rsid w:val="4669507C"/>
    <w:rsid w:val="466E61EE"/>
    <w:rsid w:val="468772B0"/>
    <w:rsid w:val="46893028"/>
    <w:rsid w:val="46B64402"/>
    <w:rsid w:val="46C76EAB"/>
    <w:rsid w:val="46D955A7"/>
    <w:rsid w:val="46DA3884"/>
    <w:rsid w:val="46FF1FD3"/>
    <w:rsid w:val="4703235D"/>
    <w:rsid w:val="470D1EAB"/>
    <w:rsid w:val="47133957"/>
    <w:rsid w:val="47321912"/>
    <w:rsid w:val="47380BB4"/>
    <w:rsid w:val="474A6650"/>
    <w:rsid w:val="475278BE"/>
    <w:rsid w:val="4779329E"/>
    <w:rsid w:val="47A07E0C"/>
    <w:rsid w:val="47A65E5C"/>
    <w:rsid w:val="47AD0F98"/>
    <w:rsid w:val="47B40579"/>
    <w:rsid w:val="47C02A7A"/>
    <w:rsid w:val="47CB7671"/>
    <w:rsid w:val="47D46525"/>
    <w:rsid w:val="47DB602D"/>
    <w:rsid w:val="47E20434"/>
    <w:rsid w:val="47E30419"/>
    <w:rsid w:val="47E32A9D"/>
    <w:rsid w:val="47F62E40"/>
    <w:rsid w:val="47FE17F4"/>
    <w:rsid w:val="4800728F"/>
    <w:rsid w:val="480C5CBF"/>
    <w:rsid w:val="48274186"/>
    <w:rsid w:val="482D44FD"/>
    <w:rsid w:val="485A6E05"/>
    <w:rsid w:val="48600089"/>
    <w:rsid w:val="4870272E"/>
    <w:rsid w:val="487A1E2A"/>
    <w:rsid w:val="487B0551"/>
    <w:rsid w:val="487D096B"/>
    <w:rsid w:val="48800A20"/>
    <w:rsid w:val="48892059"/>
    <w:rsid w:val="48917477"/>
    <w:rsid w:val="489C4D20"/>
    <w:rsid w:val="489D725F"/>
    <w:rsid w:val="48AB1848"/>
    <w:rsid w:val="48DA3857"/>
    <w:rsid w:val="48F0738F"/>
    <w:rsid w:val="48F42934"/>
    <w:rsid w:val="48FC3F85"/>
    <w:rsid w:val="49153299"/>
    <w:rsid w:val="491633B3"/>
    <w:rsid w:val="492D2391"/>
    <w:rsid w:val="493F0316"/>
    <w:rsid w:val="494476DB"/>
    <w:rsid w:val="494E6C40"/>
    <w:rsid w:val="4953217C"/>
    <w:rsid w:val="496438D9"/>
    <w:rsid w:val="49690EEF"/>
    <w:rsid w:val="497F6965"/>
    <w:rsid w:val="4995326C"/>
    <w:rsid w:val="49DC7715"/>
    <w:rsid w:val="49E113CD"/>
    <w:rsid w:val="49ED38CE"/>
    <w:rsid w:val="49FA5FEB"/>
    <w:rsid w:val="4A023139"/>
    <w:rsid w:val="4A0F7CE8"/>
    <w:rsid w:val="4A1452FF"/>
    <w:rsid w:val="4A407EA2"/>
    <w:rsid w:val="4A435BE4"/>
    <w:rsid w:val="4A5474F7"/>
    <w:rsid w:val="4A5676C5"/>
    <w:rsid w:val="4A611608"/>
    <w:rsid w:val="4A7B576F"/>
    <w:rsid w:val="4A834233"/>
    <w:rsid w:val="4A896474"/>
    <w:rsid w:val="4A9B5A20"/>
    <w:rsid w:val="4AB3674F"/>
    <w:rsid w:val="4AC705C3"/>
    <w:rsid w:val="4AD056CA"/>
    <w:rsid w:val="4AE44CD1"/>
    <w:rsid w:val="4AE72A13"/>
    <w:rsid w:val="4AFD3FE5"/>
    <w:rsid w:val="4B0B789A"/>
    <w:rsid w:val="4B107BF2"/>
    <w:rsid w:val="4B416BFA"/>
    <w:rsid w:val="4B5212BE"/>
    <w:rsid w:val="4B5E4A5C"/>
    <w:rsid w:val="4B651A91"/>
    <w:rsid w:val="4BAA21AE"/>
    <w:rsid w:val="4BAC34FC"/>
    <w:rsid w:val="4BD012DA"/>
    <w:rsid w:val="4BDA4326"/>
    <w:rsid w:val="4C0C20D5"/>
    <w:rsid w:val="4C4A0649"/>
    <w:rsid w:val="4C756B39"/>
    <w:rsid w:val="4C7E066F"/>
    <w:rsid w:val="4C87547F"/>
    <w:rsid w:val="4C8764BA"/>
    <w:rsid w:val="4CC6456C"/>
    <w:rsid w:val="4CCB6D6C"/>
    <w:rsid w:val="4CDF1BF4"/>
    <w:rsid w:val="4CE470D3"/>
    <w:rsid w:val="4CE511D4"/>
    <w:rsid w:val="4CE72C6F"/>
    <w:rsid w:val="4CE75301"/>
    <w:rsid w:val="4CEF795D"/>
    <w:rsid w:val="4D090A1F"/>
    <w:rsid w:val="4D0A2ACE"/>
    <w:rsid w:val="4D200194"/>
    <w:rsid w:val="4D241CFD"/>
    <w:rsid w:val="4D2E0486"/>
    <w:rsid w:val="4D3B5D0F"/>
    <w:rsid w:val="4D4128AF"/>
    <w:rsid w:val="4D456092"/>
    <w:rsid w:val="4D5212FD"/>
    <w:rsid w:val="4D697710"/>
    <w:rsid w:val="4DA12D64"/>
    <w:rsid w:val="4DB52955"/>
    <w:rsid w:val="4DC30D0B"/>
    <w:rsid w:val="4DCF7786"/>
    <w:rsid w:val="4DDA7EFD"/>
    <w:rsid w:val="4DE65204"/>
    <w:rsid w:val="4DEB20C8"/>
    <w:rsid w:val="4DEC4FB0"/>
    <w:rsid w:val="4E013DEC"/>
    <w:rsid w:val="4E067654"/>
    <w:rsid w:val="4E075D8A"/>
    <w:rsid w:val="4E086F29"/>
    <w:rsid w:val="4E141D71"/>
    <w:rsid w:val="4E172D37"/>
    <w:rsid w:val="4E4361B3"/>
    <w:rsid w:val="4E473EF5"/>
    <w:rsid w:val="4E4B32B9"/>
    <w:rsid w:val="4E4C2177"/>
    <w:rsid w:val="4E4D6EBE"/>
    <w:rsid w:val="4E4F2DA9"/>
    <w:rsid w:val="4E571C5E"/>
    <w:rsid w:val="4E86609F"/>
    <w:rsid w:val="4E8F764A"/>
    <w:rsid w:val="4EAF5F30"/>
    <w:rsid w:val="4EB01C0C"/>
    <w:rsid w:val="4EB1136E"/>
    <w:rsid w:val="4EB3158A"/>
    <w:rsid w:val="4ECD1F20"/>
    <w:rsid w:val="4ED92382"/>
    <w:rsid w:val="4EEF00E8"/>
    <w:rsid w:val="4EF428FA"/>
    <w:rsid w:val="4EFB4CDF"/>
    <w:rsid w:val="4F2E6C96"/>
    <w:rsid w:val="4F42646A"/>
    <w:rsid w:val="4F585C8E"/>
    <w:rsid w:val="4F66073F"/>
    <w:rsid w:val="4F6C798B"/>
    <w:rsid w:val="4F781E8C"/>
    <w:rsid w:val="4FA40ED3"/>
    <w:rsid w:val="4FC62A8C"/>
    <w:rsid w:val="4FC84E06"/>
    <w:rsid w:val="4FDD43E5"/>
    <w:rsid w:val="4FE20F0D"/>
    <w:rsid w:val="4FF57980"/>
    <w:rsid w:val="4FFE6835"/>
    <w:rsid w:val="501222E0"/>
    <w:rsid w:val="5019541D"/>
    <w:rsid w:val="50504C4B"/>
    <w:rsid w:val="507408A5"/>
    <w:rsid w:val="507D4270"/>
    <w:rsid w:val="509C6E7C"/>
    <w:rsid w:val="50AA5E76"/>
    <w:rsid w:val="50BE5DDB"/>
    <w:rsid w:val="50CF5EEA"/>
    <w:rsid w:val="50ED12A1"/>
    <w:rsid w:val="50F200DD"/>
    <w:rsid w:val="50F6575E"/>
    <w:rsid w:val="510906F2"/>
    <w:rsid w:val="51131C39"/>
    <w:rsid w:val="51155535"/>
    <w:rsid w:val="5129652B"/>
    <w:rsid w:val="512A5408"/>
    <w:rsid w:val="51385D77"/>
    <w:rsid w:val="513D4CBA"/>
    <w:rsid w:val="515643D1"/>
    <w:rsid w:val="51596616"/>
    <w:rsid w:val="515E50B1"/>
    <w:rsid w:val="5162104E"/>
    <w:rsid w:val="51915487"/>
    <w:rsid w:val="51976F41"/>
    <w:rsid w:val="51B66C9C"/>
    <w:rsid w:val="51BB77CC"/>
    <w:rsid w:val="51C30EA6"/>
    <w:rsid w:val="51D11D27"/>
    <w:rsid w:val="51E67581"/>
    <w:rsid w:val="52000723"/>
    <w:rsid w:val="520C0506"/>
    <w:rsid w:val="521576A7"/>
    <w:rsid w:val="5218514F"/>
    <w:rsid w:val="52202695"/>
    <w:rsid w:val="52226F6A"/>
    <w:rsid w:val="52293911"/>
    <w:rsid w:val="52373528"/>
    <w:rsid w:val="5245699D"/>
    <w:rsid w:val="52495D62"/>
    <w:rsid w:val="52557D27"/>
    <w:rsid w:val="5277467D"/>
    <w:rsid w:val="527955A8"/>
    <w:rsid w:val="527E1EAF"/>
    <w:rsid w:val="527F1798"/>
    <w:rsid w:val="529C17EB"/>
    <w:rsid w:val="52AA4A52"/>
    <w:rsid w:val="52CA6EA2"/>
    <w:rsid w:val="52D1316E"/>
    <w:rsid w:val="52D95337"/>
    <w:rsid w:val="52E40CB6"/>
    <w:rsid w:val="52F65EE9"/>
    <w:rsid w:val="53070002"/>
    <w:rsid w:val="53071155"/>
    <w:rsid w:val="53085A69"/>
    <w:rsid w:val="5338205E"/>
    <w:rsid w:val="534722A1"/>
    <w:rsid w:val="53671030"/>
    <w:rsid w:val="53690469"/>
    <w:rsid w:val="536C61AC"/>
    <w:rsid w:val="538E6122"/>
    <w:rsid w:val="539532D1"/>
    <w:rsid w:val="53A039CC"/>
    <w:rsid w:val="53A1505A"/>
    <w:rsid w:val="53C135C4"/>
    <w:rsid w:val="53D83DE9"/>
    <w:rsid w:val="53E775E0"/>
    <w:rsid w:val="53F817ED"/>
    <w:rsid w:val="54063E08"/>
    <w:rsid w:val="540B32CF"/>
    <w:rsid w:val="542B7B6C"/>
    <w:rsid w:val="543437E8"/>
    <w:rsid w:val="54444A33"/>
    <w:rsid w:val="54520C99"/>
    <w:rsid w:val="545F7ABE"/>
    <w:rsid w:val="54605177"/>
    <w:rsid w:val="54704D95"/>
    <w:rsid w:val="54713FE8"/>
    <w:rsid w:val="54781DF0"/>
    <w:rsid w:val="548B67D1"/>
    <w:rsid w:val="54A63CA7"/>
    <w:rsid w:val="54B716E4"/>
    <w:rsid w:val="54BB45D1"/>
    <w:rsid w:val="54C2692B"/>
    <w:rsid w:val="54C44F4A"/>
    <w:rsid w:val="54D75644"/>
    <w:rsid w:val="54E12281"/>
    <w:rsid w:val="54FF71DF"/>
    <w:rsid w:val="550A5C7C"/>
    <w:rsid w:val="55164621"/>
    <w:rsid w:val="551F5AC1"/>
    <w:rsid w:val="555111B5"/>
    <w:rsid w:val="55582054"/>
    <w:rsid w:val="555B64D8"/>
    <w:rsid w:val="559430BC"/>
    <w:rsid w:val="55956F1E"/>
    <w:rsid w:val="559B174B"/>
    <w:rsid w:val="559E5653"/>
    <w:rsid w:val="55C51E9F"/>
    <w:rsid w:val="55CC6FE2"/>
    <w:rsid w:val="55CE0CF4"/>
    <w:rsid w:val="55E66E1F"/>
    <w:rsid w:val="55EC39F5"/>
    <w:rsid w:val="55F16603"/>
    <w:rsid w:val="55F36710"/>
    <w:rsid w:val="56073F6A"/>
    <w:rsid w:val="56130B60"/>
    <w:rsid w:val="561D2654"/>
    <w:rsid w:val="56337186"/>
    <w:rsid w:val="564C0E6B"/>
    <w:rsid w:val="564C1AD6"/>
    <w:rsid w:val="56572253"/>
    <w:rsid w:val="565E7B86"/>
    <w:rsid w:val="56721FD6"/>
    <w:rsid w:val="569021B1"/>
    <w:rsid w:val="569E0043"/>
    <w:rsid w:val="569F23F4"/>
    <w:rsid w:val="56A93273"/>
    <w:rsid w:val="56B22A9C"/>
    <w:rsid w:val="56BE29FA"/>
    <w:rsid w:val="56DE2F1C"/>
    <w:rsid w:val="56E04EE6"/>
    <w:rsid w:val="56E77D1C"/>
    <w:rsid w:val="56EF512A"/>
    <w:rsid w:val="570C0239"/>
    <w:rsid w:val="5712706A"/>
    <w:rsid w:val="5714693E"/>
    <w:rsid w:val="57315742"/>
    <w:rsid w:val="57446087"/>
    <w:rsid w:val="57510FC7"/>
    <w:rsid w:val="575907F5"/>
    <w:rsid w:val="575B456D"/>
    <w:rsid w:val="57672F12"/>
    <w:rsid w:val="5794182D"/>
    <w:rsid w:val="57A203EE"/>
    <w:rsid w:val="57B52368"/>
    <w:rsid w:val="57B72A76"/>
    <w:rsid w:val="57C32112"/>
    <w:rsid w:val="57C408AE"/>
    <w:rsid w:val="57C6377C"/>
    <w:rsid w:val="57D141F5"/>
    <w:rsid w:val="57E82929"/>
    <w:rsid w:val="58207FE2"/>
    <w:rsid w:val="583354EA"/>
    <w:rsid w:val="583D1344"/>
    <w:rsid w:val="58453154"/>
    <w:rsid w:val="58551926"/>
    <w:rsid w:val="586C4558"/>
    <w:rsid w:val="58823D7B"/>
    <w:rsid w:val="58B63BA2"/>
    <w:rsid w:val="58B87EC9"/>
    <w:rsid w:val="58D26A6A"/>
    <w:rsid w:val="58DB71EA"/>
    <w:rsid w:val="58E0141F"/>
    <w:rsid w:val="58E42340"/>
    <w:rsid w:val="58E81F42"/>
    <w:rsid w:val="58FC1D80"/>
    <w:rsid w:val="59030A18"/>
    <w:rsid w:val="590E560F"/>
    <w:rsid w:val="591C6F87"/>
    <w:rsid w:val="5923730C"/>
    <w:rsid w:val="593D5F37"/>
    <w:rsid w:val="59505C28"/>
    <w:rsid w:val="596516D3"/>
    <w:rsid w:val="598C3104"/>
    <w:rsid w:val="59B14918"/>
    <w:rsid w:val="59B25C50"/>
    <w:rsid w:val="59C004B1"/>
    <w:rsid w:val="59DD520C"/>
    <w:rsid w:val="59F068EA"/>
    <w:rsid w:val="59F36CDF"/>
    <w:rsid w:val="5A186745"/>
    <w:rsid w:val="5A1D0200"/>
    <w:rsid w:val="5A290952"/>
    <w:rsid w:val="5A36306F"/>
    <w:rsid w:val="5A3C747D"/>
    <w:rsid w:val="5A4535FA"/>
    <w:rsid w:val="5A523AA8"/>
    <w:rsid w:val="5A5D684E"/>
    <w:rsid w:val="5A5F25C6"/>
    <w:rsid w:val="5A61633E"/>
    <w:rsid w:val="5A623E64"/>
    <w:rsid w:val="5A683600"/>
    <w:rsid w:val="5A697687"/>
    <w:rsid w:val="5A7A7F13"/>
    <w:rsid w:val="5A803993"/>
    <w:rsid w:val="5A821E11"/>
    <w:rsid w:val="5A9326CC"/>
    <w:rsid w:val="5A9F0C15"/>
    <w:rsid w:val="5AA224B3"/>
    <w:rsid w:val="5ABE2233"/>
    <w:rsid w:val="5AD22196"/>
    <w:rsid w:val="5ADA2490"/>
    <w:rsid w:val="5AE57128"/>
    <w:rsid w:val="5AF36B9D"/>
    <w:rsid w:val="5AF51E3E"/>
    <w:rsid w:val="5AF820D3"/>
    <w:rsid w:val="5B084A0C"/>
    <w:rsid w:val="5B0D1EC7"/>
    <w:rsid w:val="5B264E92"/>
    <w:rsid w:val="5B276D18"/>
    <w:rsid w:val="5B3B7F39"/>
    <w:rsid w:val="5B490AD6"/>
    <w:rsid w:val="5B5F7784"/>
    <w:rsid w:val="5B61411C"/>
    <w:rsid w:val="5B6D6AB9"/>
    <w:rsid w:val="5B8B1199"/>
    <w:rsid w:val="5BCA7FDA"/>
    <w:rsid w:val="5BCC3C8B"/>
    <w:rsid w:val="5BDF5D95"/>
    <w:rsid w:val="5BE2525D"/>
    <w:rsid w:val="5BE61256"/>
    <w:rsid w:val="5BE64AC5"/>
    <w:rsid w:val="5BEF2F01"/>
    <w:rsid w:val="5BF95F5B"/>
    <w:rsid w:val="5BFF7BE2"/>
    <w:rsid w:val="5C0F1DCA"/>
    <w:rsid w:val="5C526BEB"/>
    <w:rsid w:val="5C5872CD"/>
    <w:rsid w:val="5C5F68AD"/>
    <w:rsid w:val="5C8E6BE3"/>
    <w:rsid w:val="5CA813C0"/>
    <w:rsid w:val="5CB169DD"/>
    <w:rsid w:val="5CB564CD"/>
    <w:rsid w:val="5CED25C5"/>
    <w:rsid w:val="5CFE60C6"/>
    <w:rsid w:val="5D041D1A"/>
    <w:rsid w:val="5D147A9C"/>
    <w:rsid w:val="5D170F36"/>
    <w:rsid w:val="5D173FE3"/>
    <w:rsid w:val="5D18586B"/>
    <w:rsid w:val="5D292395"/>
    <w:rsid w:val="5D2B6790"/>
    <w:rsid w:val="5D30024A"/>
    <w:rsid w:val="5D365969"/>
    <w:rsid w:val="5D4A130C"/>
    <w:rsid w:val="5D520A9C"/>
    <w:rsid w:val="5DC97D1C"/>
    <w:rsid w:val="5DF03621"/>
    <w:rsid w:val="5DF87A0F"/>
    <w:rsid w:val="5E056FE1"/>
    <w:rsid w:val="5E0B1537"/>
    <w:rsid w:val="5E0C4813"/>
    <w:rsid w:val="5E0E57EA"/>
    <w:rsid w:val="5E244D57"/>
    <w:rsid w:val="5E4776D7"/>
    <w:rsid w:val="5E4B6F4E"/>
    <w:rsid w:val="5E5B2FBB"/>
    <w:rsid w:val="5E6076B3"/>
    <w:rsid w:val="5E6A153A"/>
    <w:rsid w:val="5EAD300D"/>
    <w:rsid w:val="5EB7335F"/>
    <w:rsid w:val="5EB769E8"/>
    <w:rsid w:val="5EC944B2"/>
    <w:rsid w:val="5EE412EC"/>
    <w:rsid w:val="5EE4309A"/>
    <w:rsid w:val="5EE70DDC"/>
    <w:rsid w:val="5EEC5FAD"/>
    <w:rsid w:val="5EF36C5F"/>
    <w:rsid w:val="5EF86B45"/>
    <w:rsid w:val="5F187E14"/>
    <w:rsid w:val="5F1A2B43"/>
    <w:rsid w:val="5F2E3A13"/>
    <w:rsid w:val="5F334021"/>
    <w:rsid w:val="5F4C2994"/>
    <w:rsid w:val="5F530220"/>
    <w:rsid w:val="5F5332B3"/>
    <w:rsid w:val="5F557AF4"/>
    <w:rsid w:val="5F593296"/>
    <w:rsid w:val="5F6D710E"/>
    <w:rsid w:val="5F7644F0"/>
    <w:rsid w:val="5F772160"/>
    <w:rsid w:val="5F960EEB"/>
    <w:rsid w:val="5F9D5550"/>
    <w:rsid w:val="5FA840C8"/>
    <w:rsid w:val="5FB837BB"/>
    <w:rsid w:val="5FBD067E"/>
    <w:rsid w:val="5FBF1411"/>
    <w:rsid w:val="5FD133B2"/>
    <w:rsid w:val="5FDA449D"/>
    <w:rsid w:val="601C17BB"/>
    <w:rsid w:val="6024062E"/>
    <w:rsid w:val="60471EFE"/>
    <w:rsid w:val="6057008B"/>
    <w:rsid w:val="60597AB8"/>
    <w:rsid w:val="60635F68"/>
    <w:rsid w:val="607600E6"/>
    <w:rsid w:val="60797EB6"/>
    <w:rsid w:val="608508AD"/>
    <w:rsid w:val="608A0A96"/>
    <w:rsid w:val="60912DAE"/>
    <w:rsid w:val="60964868"/>
    <w:rsid w:val="609D1752"/>
    <w:rsid w:val="609F04A7"/>
    <w:rsid w:val="60BD7D9C"/>
    <w:rsid w:val="60C96143"/>
    <w:rsid w:val="60CC64DC"/>
    <w:rsid w:val="60CE5DB0"/>
    <w:rsid w:val="60DD1269"/>
    <w:rsid w:val="60E05C3A"/>
    <w:rsid w:val="60E74423"/>
    <w:rsid w:val="60F021CA"/>
    <w:rsid w:val="60F135E1"/>
    <w:rsid w:val="612754C0"/>
    <w:rsid w:val="614222FA"/>
    <w:rsid w:val="61564BE3"/>
    <w:rsid w:val="616457E5"/>
    <w:rsid w:val="616E3C40"/>
    <w:rsid w:val="61B431F8"/>
    <w:rsid w:val="61B50D1E"/>
    <w:rsid w:val="61C83E7A"/>
    <w:rsid w:val="61D415F5"/>
    <w:rsid w:val="61D5316E"/>
    <w:rsid w:val="61E6537B"/>
    <w:rsid w:val="61F335F4"/>
    <w:rsid w:val="620106A8"/>
    <w:rsid w:val="621023F8"/>
    <w:rsid w:val="6214159D"/>
    <w:rsid w:val="62307304"/>
    <w:rsid w:val="62331BF9"/>
    <w:rsid w:val="62344F7C"/>
    <w:rsid w:val="62364782"/>
    <w:rsid w:val="6276435C"/>
    <w:rsid w:val="629E17B2"/>
    <w:rsid w:val="62A56FE4"/>
    <w:rsid w:val="62B26399"/>
    <w:rsid w:val="62B72874"/>
    <w:rsid w:val="62B76FEA"/>
    <w:rsid w:val="62DA2A64"/>
    <w:rsid w:val="62F54CD7"/>
    <w:rsid w:val="62F81674"/>
    <w:rsid w:val="62F85366"/>
    <w:rsid w:val="63185A08"/>
    <w:rsid w:val="63187F6A"/>
    <w:rsid w:val="631B1054"/>
    <w:rsid w:val="63206602"/>
    <w:rsid w:val="63253C81"/>
    <w:rsid w:val="63272EBA"/>
    <w:rsid w:val="632C3EF9"/>
    <w:rsid w:val="632E3234"/>
    <w:rsid w:val="634C0658"/>
    <w:rsid w:val="637C7D45"/>
    <w:rsid w:val="63860707"/>
    <w:rsid w:val="63865BE5"/>
    <w:rsid w:val="63933DBA"/>
    <w:rsid w:val="63C03219"/>
    <w:rsid w:val="63D40BE9"/>
    <w:rsid w:val="63D7141F"/>
    <w:rsid w:val="63E0211F"/>
    <w:rsid w:val="64011719"/>
    <w:rsid w:val="6414138E"/>
    <w:rsid w:val="64175CC0"/>
    <w:rsid w:val="641937E6"/>
    <w:rsid w:val="64207A48"/>
    <w:rsid w:val="643D7BA9"/>
    <w:rsid w:val="64476F4B"/>
    <w:rsid w:val="644A6469"/>
    <w:rsid w:val="64616F3B"/>
    <w:rsid w:val="64735F33"/>
    <w:rsid w:val="6487478D"/>
    <w:rsid w:val="648B2CE9"/>
    <w:rsid w:val="64B147DE"/>
    <w:rsid w:val="64E347E4"/>
    <w:rsid w:val="650820A5"/>
    <w:rsid w:val="65280049"/>
    <w:rsid w:val="65373578"/>
    <w:rsid w:val="654F11A7"/>
    <w:rsid w:val="656D0997"/>
    <w:rsid w:val="65745172"/>
    <w:rsid w:val="657A4160"/>
    <w:rsid w:val="65896749"/>
    <w:rsid w:val="6591642E"/>
    <w:rsid w:val="659A2D92"/>
    <w:rsid w:val="65C747EF"/>
    <w:rsid w:val="65C94D98"/>
    <w:rsid w:val="65CB0B10"/>
    <w:rsid w:val="65DD42AF"/>
    <w:rsid w:val="65EA3F4A"/>
    <w:rsid w:val="660F66C6"/>
    <w:rsid w:val="66172C2A"/>
    <w:rsid w:val="66303069"/>
    <w:rsid w:val="66326DE1"/>
    <w:rsid w:val="66414707"/>
    <w:rsid w:val="664858A7"/>
    <w:rsid w:val="66495ED8"/>
    <w:rsid w:val="665C2657"/>
    <w:rsid w:val="66815672"/>
    <w:rsid w:val="6688215E"/>
    <w:rsid w:val="669B6734"/>
    <w:rsid w:val="66D94F5C"/>
    <w:rsid w:val="66EF082E"/>
    <w:rsid w:val="66F9345B"/>
    <w:rsid w:val="6707116F"/>
    <w:rsid w:val="67191D4F"/>
    <w:rsid w:val="67255A8A"/>
    <w:rsid w:val="67393DF3"/>
    <w:rsid w:val="673F2C7A"/>
    <w:rsid w:val="675F2D8E"/>
    <w:rsid w:val="67713939"/>
    <w:rsid w:val="678D4D7F"/>
    <w:rsid w:val="67987117"/>
    <w:rsid w:val="67A23F07"/>
    <w:rsid w:val="67A27F96"/>
    <w:rsid w:val="67AA29A7"/>
    <w:rsid w:val="67B439CB"/>
    <w:rsid w:val="67B657F0"/>
    <w:rsid w:val="67D85766"/>
    <w:rsid w:val="67FF2CF3"/>
    <w:rsid w:val="68060525"/>
    <w:rsid w:val="680B0B2D"/>
    <w:rsid w:val="680D5788"/>
    <w:rsid w:val="681A18DB"/>
    <w:rsid w:val="681F6961"/>
    <w:rsid w:val="68231967"/>
    <w:rsid w:val="683C3F47"/>
    <w:rsid w:val="6848469A"/>
    <w:rsid w:val="68563FA8"/>
    <w:rsid w:val="68586121"/>
    <w:rsid w:val="68610A2F"/>
    <w:rsid w:val="686B65DA"/>
    <w:rsid w:val="68805514"/>
    <w:rsid w:val="688B41A9"/>
    <w:rsid w:val="68A1202E"/>
    <w:rsid w:val="68AD09A1"/>
    <w:rsid w:val="68B41D2F"/>
    <w:rsid w:val="68C1269E"/>
    <w:rsid w:val="68CD1854"/>
    <w:rsid w:val="68D45F2D"/>
    <w:rsid w:val="68EA74FF"/>
    <w:rsid w:val="69216C99"/>
    <w:rsid w:val="692549DB"/>
    <w:rsid w:val="694E2071"/>
    <w:rsid w:val="69563455"/>
    <w:rsid w:val="696F3EA8"/>
    <w:rsid w:val="697A3B33"/>
    <w:rsid w:val="69865104"/>
    <w:rsid w:val="698A05E7"/>
    <w:rsid w:val="699002DE"/>
    <w:rsid w:val="699D6C67"/>
    <w:rsid w:val="699E2456"/>
    <w:rsid w:val="69A1722F"/>
    <w:rsid w:val="69B60904"/>
    <w:rsid w:val="69B813AB"/>
    <w:rsid w:val="69E77EE2"/>
    <w:rsid w:val="6A0021AB"/>
    <w:rsid w:val="6A0A597F"/>
    <w:rsid w:val="6A0B1E23"/>
    <w:rsid w:val="6A233D95"/>
    <w:rsid w:val="6A885221"/>
    <w:rsid w:val="6A8B7404"/>
    <w:rsid w:val="6A9A31A7"/>
    <w:rsid w:val="6AB92E13"/>
    <w:rsid w:val="6ABC3623"/>
    <w:rsid w:val="6AC81AC2"/>
    <w:rsid w:val="6AD27E28"/>
    <w:rsid w:val="6ADE7537"/>
    <w:rsid w:val="6AF91C7B"/>
    <w:rsid w:val="6B0A032C"/>
    <w:rsid w:val="6B100B08"/>
    <w:rsid w:val="6B1765A5"/>
    <w:rsid w:val="6B2A6098"/>
    <w:rsid w:val="6B322639"/>
    <w:rsid w:val="6B376894"/>
    <w:rsid w:val="6B6D2669"/>
    <w:rsid w:val="6B6E0EDB"/>
    <w:rsid w:val="6B7D28AC"/>
    <w:rsid w:val="6B8C3DD7"/>
    <w:rsid w:val="6B972D20"/>
    <w:rsid w:val="6B9E7BDB"/>
    <w:rsid w:val="6BB838E4"/>
    <w:rsid w:val="6BBD539F"/>
    <w:rsid w:val="6BBE2E94"/>
    <w:rsid w:val="6BC37885"/>
    <w:rsid w:val="6BCB57BE"/>
    <w:rsid w:val="6BE81468"/>
    <w:rsid w:val="6BFF59B7"/>
    <w:rsid w:val="6C0F592C"/>
    <w:rsid w:val="6C191250"/>
    <w:rsid w:val="6C223454"/>
    <w:rsid w:val="6C2E1DF8"/>
    <w:rsid w:val="6C3162EB"/>
    <w:rsid w:val="6C343430"/>
    <w:rsid w:val="6C3F661A"/>
    <w:rsid w:val="6C464912"/>
    <w:rsid w:val="6C550199"/>
    <w:rsid w:val="6C5D448C"/>
    <w:rsid w:val="6C636C38"/>
    <w:rsid w:val="6C67530A"/>
    <w:rsid w:val="6C714583"/>
    <w:rsid w:val="6C7812C6"/>
    <w:rsid w:val="6C7A6DEC"/>
    <w:rsid w:val="6C7F3E91"/>
    <w:rsid w:val="6C8728F0"/>
    <w:rsid w:val="6C8F2699"/>
    <w:rsid w:val="6C9205D9"/>
    <w:rsid w:val="6C9F0B0C"/>
    <w:rsid w:val="6CAF118B"/>
    <w:rsid w:val="6CB22A29"/>
    <w:rsid w:val="6CDF1459"/>
    <w:rsid w:val="6CEE3336"/>
    <w:rsid w:val="6D0F1C2A"/>
    <w:rsid w:val="6D1A412B"/>
    <w:rsid w:val="6D2B458A"/>
    <w:rsid w:val="6D2F0302"/>
    <w:rsid w:val="6D34343E"/>
    <w:rsid w:val="6D36133C"/>
    <w:rsid w:val="6D4B0788"/>
    <w:rsid w:val="6D66400F"/>
    <w:rsid w:val="6D69748F"/>
    <w:rsid w:val="6D8819DC"/>
    <w:rsid w:val="6DB34098"/>
    <w:rsid w:val="6DB545B6"/>
    <w:rsid w:val="6DCC22CF"/>
    <w:rsid w:val="6DCE3893"/>
    <w:rsid w:val="6DD067A8"/>
    <w:rsid w:val="6DDE15FC"/>
    <w:rsid w:val="6DE76703"/>
    <w:rsid w:val="6DEC5AC7"/>
    <w:rsid w:val="6DF37746"/>
    <w:rsid w:val="6DFE57FA"/>
    <w:rsid w:val="6E0B0643"/>
    <w:rsid w:val="6E2214E9"/>
    <w:rsid w:val="6E394465"/>
    <w:rsid w:val="6E423939"/>
    <w:rsid w:val="6E4375A0"/>
    <w:rsid w:val="6E4779BF"/>
    <w:rsid w:val="6E514CED"/>
    <w:rsid w:val="6E533687"/>
    <w:rsid w:val="6E612FCD"/>
    <w:rsid w:val="6E663ACB"/>
    <w:rsid w:val="6E703093"/>
    <w:rsid w:val="6E783056"/>
    <w:rsid w:val="6E79491A"/>
    <w:rsid w:val="6E822D58"/>
    <w:rsid w:val="6E82467D"/>
    <w:rsid w:val="6E907C9A"/>
    <w:rsid w:val="6E942325"/>
    <w:rsid w:val="6EA63EC8"/>
    <w:rsid w:val="6EB563D5"/>
    <w:rsid w:val="6EEB17BA"/>
    <w:rsid w:val="6F084B83"/>
    <w:rsid w:val="6F0B4673"/>
    <w:rsid w:val="6F225983"/>
    <w:rsid w:val="6F4D355C"/>
    <w:rsid w:val="6F71097A"/>
    <w:rsid w:val="6F873A86"/>
    <w:rsid w:val="6F9208F0"/>
    <w:rsid w:val="6FA04DBB"/>
    <w:rsid w:val="6FAB33BB"/>
    <w:rsid w:val="6FB91A91"/>
    <w:rsid w:val="6FD95F10"/>
    <w:rsid w:val="6FDD36CC"/>
    <w:rsid w:val="6FDD600F"/>
    <w:rsid w:val="6FE27182"/>
    <w:rsid w:val="6FE4739E"/>
    <w:rsid w:val="6FFB0243"/>
    <w:rsid w:val="6FFC5590"/>
    <w:rsid w:val="6FFD220E"/>
    <w:rsid w:val="700B3949"/>
    <w:rsid w:val="70191B85"/>
    <w:rsid w:val="7020414E"/>
    <w:rsid w:val="70301DA3"/>
    <w:rsid w:val="70383246"/>
    <w:rsid w:val="704F32B8"/>
    <w:rsid w:val="70671D7D"/>
    <w:rsid w:val="706D1DD0"/>
    <w:rsid w:val="70856B87"/>
    <w:rsid w:val="70875F7B"/>
    <w:rsid w:val="70980188"/>
    <w:rsid w:val="709F2893"/>
    <w:rsid w:val="70A408DB"/>
    <w:rsid w:val="70BC5C25"/>
    <w:rsid w:val="70D527EE"/>
    <w:rsid w:val="70D94A29"/>
    <w:rsid w:val="70E46F6F"/>
    <w:rsid w:val="70E909E4"/>
    <w:rsid w:val="70F116CB"/>
    <w:rsid w:val="70FF3D63"/>
    <w:rsid w:val="710870BC"/>
    <w:rsid w:val="711D2C22"/>
    <w:rsid w:val="7121200D"/>
    <w:rsid w:val="71356CC9"/>
    <w:rsid w:val="71436346"/>
    <w:rsid w:val="7148086A"/>
    <w:rsid w:val="715B5300"/>
    <w:rsid w:val="715F4BD7"/>
    <w:rsid w:val="716D6F1F"/>
    <w:rsid w:val="719F0AE7"/>
    <w:rsid w:val="71A761BB"/>
    <w:rsid w:val="71D27F8A"/>
    <w:rsid w:val="71D54CD9"/>
    <w:rsid w:val="71F744C6"/>
    <w:rsid w:val="71F960CF"/>
    <w:rsid w:val="71FB259A"/>
    <w:rsid w:val="723E2B29"/>
    <w:rsid w:val="724063E2"/>
    <w:rsid w:val="725811C5"/>
    <w:rsid w:val="72781FBB"/>
    <w:rsid w:val="727A5D97"/>
    <w:rsid w:val="727F1191"/>
    <w:rsid w:val="72907058"/>
    <w:rsid w:val="729D1A86"/>
    <w:rsid w:val="72A45576"/>
    <w:rsid w:val="72B648F6"/>
    <w:rsid w:val="72C47BE3"/>
    <w:rsid w:val="72D134DE"/>
    <w:rsid w:val="72DA6836"/>
    <w:rsid w:val="72E31BAC"/>
    <w:rsid w:val="72ED4B32"/>
    <w:rsid w:val="72FE0AB6"/>
    <w:rsid w:val="731F5D5E"/>
    <w:rsid w:val="733272FA"/>
    <w:rsid w:val="7338355D"/>
    <w:rsid w:val="733879D8"/>
    <w:rsid w:val="734A2299"/>
    <w:rsid w:val="734D525A"/>
    <w:rsid w:val="73770529"/>
    <w:rsid w:val="738F5266"/>
    <w:rsid w:val="73A342BF"/>
    <w:rsid w:val="73A71F64"/>
    <w:rsid w:val="73AA1BE6"/>
    <w:rsid w:val="73B0192A"/>
    <w:rsid w:val="73C6500C"/>
    <w:rsid w:val="73CC165C"/>
    <w:rsid w:val="73D477EC"/>
    <w:rsid w:val="73EB5E35"/>
    <w:rsid w:val="73ED5E75"/>
    <w:rsid w:val="73F13E37"/>
    <w:rsid w:val="74041D60"/>
    <w:rsid w:val="740759EF"/>
    <w:rsid w:val="741D3BE9"/>
    <w:rsid w:val="741E793C"/>
    <w:rsid w:val="74345105"/>
    <w:rsid w:val="74462F1A"/>
    <w:rsid w:val="745148D6"/>
    <w:rsid w:val="74597C2E"/>
    <w:rsid w:val="7467234B"/>
    <w:rsid w:val="74894804"/>
    <w:rsid w:val="749649DF"/>
    <w:rsid w:val="74B11819"/>
    <w:rsid w:val="74B530B7"/>
    <w:rsid w:val="74D07EF1"/>
    <w:rsid w:val="74D929E8"/>
    <w:rsid w:val="74E43F30"/>
    <w:rsid w:val="74EB3C55"/>
    <w:rsid w:val="74F06445"/>
    <w:rsid w:val="74F11EDB"/>
    <w:rsid w:val="75011284"/>
    <w:rsid w:val="751C524A"/>
    <w:rsid w:val="753C1DA6"/>
    <w:rsid w:val="75497CA3"/>
    <w:rsid w:val="755521A4"/>
    <w:rsid w:val="75586C89"/>
    <w:rsid w:val="75644ADD"/>
    <w:rsid w:val="757D16FB"/>
    <w:rsid w:val="75804BEF"/>
    <w:rsid w:val="758D75E2"/>
    <w:rsid w:val="75A849CA"/>
    <w:rsid w:val="75AD1FE0"/>
    <w:rsid w:val="75BE41ED"/>
    <w:rsid w:val="75D720F8"/>
    <w:rsid w:val="75E02EBA"/>
    <w:rsid w:val="75F1685F"/>
    <w:rsid w:val="75FE1611"/>
    <w:rsid w:val="760A5684"/>
    <w:rsid w:val="762B6EBD"/>
    <w:rsid w:val="762E24AF"/>
    <w:rsid w:val="763B3A90"/>
    <w:rsid w:val="7641307C"/>
    <w:rsid w:val="76503024"/>
    <w:rsid w:val="765C7562"/>
    <w:rsid w:val="7662101C"/>
    <w:rsid w:val="76654669"/>
    <w:rsid w:val="766B340F"/>
    <w:rsid w:val="766C1E9B"/>
    <w:rsid w:val="767073EA"/>
    <w:rsid w:val="767B4E6D"/>
    <w:rsid w:val="76880357"/>
    <w:rsid w:val="76A432FC"/>
    <w:rsid w:val="76B95492"/>
    <w:rsid w:val="76C43A85"/>
    <w:rsid w:val="76D03BB5"/>
    <w:rsid w:val="76D33CC8"/>
    <w:rsid w:val="76E10879"/>
    <w:rsid w:val="76E25CB9"/>
    <w:rsid w:val="7718459C"/>
    <w:rsid w:val="77206CE0"/>
    <w:rsid w:val="772B3B04"/>
    <w:rsid w:val="7735228D"/>
    <w:rsid w:val="775546DD"/>
    <w:rsid w:val="77562203"/>
    <w:rsid w:val="77685E12"/>
    <w:rsid w:val="7775275E"/>
    <w:rsid w:val="77762421"/>
    <w:rsid w:val="777F7750"/>
    <w:rsid w:val="778327FA"/>
    <w:rsid w:val="779830E6"/>
    <w:rsid w:val="77AC4CF7"/>
    <w:rsid w:val="77B452E7"/>
    <w:rsid w:val="77CB2BF1"/>
    <w:rsid w:val="77E14553"/>
    <w:rsid w:val="77E93077"/>
    <w:rsid w:val="780C6600"/>
    <w:rsid w:val="780D4FB8"/>
    <w:rsid w:val="780F09F4"/>
    <w:rsid w:val="7820603E"/>
    <w:rsid w:val="78275313"/>
    <w:rsid w:val="783256BF"/>
    <w:rsid w:val="78482494"/>
    <w:rsid w:val="784A620C"/>
    <w:rsid w:val="7867290B"/>
    <w:rsid w:val="78740A03"/>
    <w:rsid w:val="787E1404"/>
    <w:rsid w:val="7880578A"/>
    <w:rsid w:val="788D3743"/>
    <w:rsid w:val="789C4F47"/>
    <w:rsid w:val="78A90480"/>
    <w:rsid w:val="78B418D7"/>
    <w:rsid w:val="78B90F72"/>
    <w:rsid w:val="78CA574E"/>
    <w:rsid w:val="78E15EF5"/>
    <w:rsid w:val="78E8500F"/>
    <w:rsid w:val="79051074"/>
    <w:rsid w:val="79070570"/>
    <w:rsid w:val="7911210C"/>
    <w:rsid w:val="79147A06"/>
    <w:rsid w:val="79202AC9"/>
    <w:rsid w:val="79276860"/>
    <w:rsid w:val="79435DCB"/>
    <w:rsid w:val="794B3FEA"/>
    <w:rsid w:val="79515378"/>
    <w:rsid w:val="795D6197"/>
    <w:rsid w:val="796B7785"/>
    <w:rsid w:val="79700F04"/>
    <w:rsid w:val="797846B3"/>
    <w:rsid w:val="79811327"/>
    <w:rsid w:val="798A023D"/>
    <w:rsid w:val="799534B7"/>
    <w:rsid w:val="79AE6327"/>
    <w:rsid w:val="79B865CF"/>
    <w:rsid w:val="79E005EE"/>
    <w:rsid w:val="79E46542"/>
    <w:rsid w:val="79F006ED"/>
    <w:rsid w:val="79F734D8"/>
    <w:rsid w:val="7A202985"/>
    <w:rsid w:val="7A2713AD"/>
    <w:rsid w:val="7A2F03BE"/>
    <w:rsid w:val="7A364017"/>
    <w:rsid w:val="7A400B0C"/>
    <w:rsid w:val="7A477AC9"/>
    <w:rsid w:val="7A5F04C5"/>
    <w:rsid w:val="7A635363"/>
    <w:rsid w:val="7A7358BD"/>
    <w:rsid w:val="7A805F15"/>
    <w:rsid w:val="7A8265E1"/>
    <w:rsid w:val="7A8A66D1"/>
    <w:rsid w:val="7A9B4AFD"/>
    <w:rsid w:val="7AA716F4"/>
    <w:rsid w:val="7AB45BBF"/>
    <w:rsid w:val="7ABE07EB"/>
    <w:rsid w:val="7ADD5115"/>
    <w:rsid w:val="7AE85F45"/>
    <w:rsid w:val="7AE87E01"/>
    <w:rsid w:val="7AE91D0C"/>
    <w:rsid w:val="7B087CB8"/>
    <w:rsid w:val="7B146D0D"/>
    <w:rsid w:val="7B18439F"/>
    <w:rsid w:val="7B205002"/>
    <w:rsid w:val="7B3665D4"/>
    <w:rsid w:val="7B51340D"/>
    <w:rsid w:val="7B5B37C9"/>
    <w:rsid w:val="7B601165"/>
    <w:rsid w:val="7B686D42"/>
    <w:rsid w:val="7B7D4202"/>
    <w:rsid w:val="7B841746"/>
    <w:rsid w:val="7B8E741F"/>
    <w:rsid w:val="7BA332C4"/>
    <w:rsid w:val="7BAC4AE8"/>
    <w:rsid w:val="7BB3231A"/>
    <w:rsid w:val="7BEC6D8E"/>
    <w:rsid w:val="7BFB7EF2"/>
    <w:rsid w:val="7BFF74B8"/>
    <w:rsid w:val="7C065015"/>
    <w:rsid w:val="7C077BA9"/>
    <w:rsid w:val="7C105077"/>
    <w:rsid w:val="7C274045"/>
    <w:rsid w:val="7C2E374F"/>
    <w:rsid w:val="7C38637B"/>
    <w:rsid w:val="7C467372"/>
    <w:rsid w:val="7C5807CC"/>
    <w:rsid w:val="7C594D0E"/>
    <w:rsid w:val="7C7750F6"/>
    <w:rsid w:val="7C85533B"/>
    <w:rsid w:val="7CA02881"/>
    <w:rsid w:val="7CAB0325"/>
    <w:rsid w:val="7CAB083D"/>
    <w:rsid w:val="7CD95DB0"/>
    <w:rsid w:val="7CE502B1"/>
    <w:rsid w:val="7CE74A44"/>
    <w:rsid w:val="7CFE1373"/>
    <w:rsid w:val="7D0239FF"/>
    <w:rsid w:val="7D0F17D2"/>
    <w:rsid w:val="7D0F532E"/>
    <w:rsid w:val="7D117CD3"/>
    <w:rsid w:val="7D1F0BD4"/>
    <w:rsid w:val="7D23702C"/>
    <w:rsid w:val="7D3A6542"/>
    <w:rsid w:val="7D480840"/>
    <w:rsid w:val="7D5E40CD"/>
    <w:rsid w:val="7D693BED"/>
    <w:rsid w:val="7D6E64F9"/>
    <w:rsid w:val="7D782ED3"/>
    <w:rsid w:val="7D8F646F"/>
    <w:rsid w:val="7DA77C5D"/>
    <w:rsid w:val="7DB54128"/>
    <w:rsid w:val="7DB879AC"/>
    <w:rsid w:val="7DD81BC4"/>
    <w:rsid w:val="7DDA357B"/>
    <w:rsid w:val="7E0E5302"/>
    <w:rsid w:val="7E165615"/>
    <w:rsid w:val="7E1F75D4"/>
    <w:rsid w:val="7EA30424"/>
    <w:rsid w:val="7EA36676"/>
    <w:rsid w:val="7ED12476"/>
    <w:rsid w:val="7ED20D09"/>
    <w:rsid w:val="7EE30820"/>
    <w:rsid w:val="7EE54599"/>
    <w:rsid w:val="7EEB2E91"/>
    <w:rsid w:val="7EED0D69"/>
    <w:rsid w:val="7EED5B43"/>
    <w:rsid w:val="7EEE70C5"/>
    <w:rsid w:val="7EF774DF"/>
    <w:rsid w:val="7F047162"/>
    <w:rsid w:val="7F1E3F4E"/>
    <w:rsid w:val="7F1E5FB8"/>
    <w:rsid w:val="7F313615"/>
    <w:rsid w:val="7F35379D"/>
    <w:rsid w:val="7F361298"/>
    <w:rsid w:val="7F376DBE"/>
    <w:rsid w:val="7F3E04A7"/>
    <w:rsid w:val="7F547970"/>
    <w:rsid w:val="7F692EDC"/>
    <w:rsid w:val="7FB4040F"/>
    <w:rsid w:val="7FC015B2"/>
    <w:rsid w:val="7FD0349B"/>
    <w:rsid w:val="7FD76F90"/>
    <w:rsid w:val="7FE47E50"/>
    <w:rsid w:val="7FE5681A"/>
    <w:rsid w:val="7FFF6E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99"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kern w:val="2"/>
      <w:sz w:val="21"/>
      <w:szCs w:val="24"/>
      <w:lang w:val="en-US" w:eastAsia="zh-CN" w:bidi="ar-SA"/>
    </w:rPr>
  </w:style>
  <w:style w:type="paragraph" w:styleId="4">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5">
    <w:name w:val="heading 2"/>
    <w:basedOn w:val="1"/>
    <w:next w:val="1"/>
    <w:link w:val="44"/>
    <w:qFormat/>
    <w:uiPriority w:val="0"/>
    <w:pPr>
      <w:keepNext/>
      <w:keepLines/>
      <w:adjustRightInd w:val="0"/>
      <w:snapToGrid w:val="0"/>
      <w:spacing w:line="520" w:lineRule="exact"/>
      <w:outlineLvl w:val="1"/>
    </w:pPr>
    <w:rPr>
      <w:rFonts w:ascii="Times New Roman"/>
      <w:b/>
      <w:bCs/>
      <w:sz w:val="24"/>
      <w:szCs w:val="32"/>
    </w:rPr>
  </w:style>
  <w:style w:type="paragraph" w:styleId="6">
    <w:name w:val="heading 3"/>
    <w:basedOn w:val="1"/>
    <w:next w:val="1"/>
    <w:qFormat/>
    <w:uiPriority w:val="0"/>
    <w:pPr>
      <w:keepNext/>
      <w:keepLines/>
      <w:spacing w:line="412" w:lineRule="auto"/>
      <w:outlineLvl w:val="2"/>
    </w:pPr>
    <w:rPr>
      <w:rFonts w:ascii="Times New Roman"/>
      <w:b/>
      <w:bCs/>
      <w:sz w:val="28"/>
      <w:szCs w:val="32"/>
    </w:rPr>
  </w:style>
  <w:style w:type="paragraph" w:styleId="7">
    <w:name w:val="heading 4"/>
    <w:basedOn w:val="1"/>
    <w:next w:val="1"/>
    <w:qFormat/>
    <w:uiPriority w:val="0"/>
    <w:pPr>
      <w:keepNext/>
      <w:keepLines/>
      <w:spacing w:before="280" w:after="290" w:line="374" w:lineRule="auto"/>
      <w:outlineLvl w:val="3"/>
    </w:pPr>
    <w:rPr>
      <w:rFonts w:ascii="Arial" w:hAnsi="Arial" w:eastAsia="黑体"/>
      <w:b/>
      <w:bCs/>
      <w:sz w:val="28"/>
      <w:szCs w:val="28"/>
    </w:rPr>
  </w:style>
  <w:style w:type="character" w:default="1" w:styleId="34">
    <w:name w:val="Default Paragraph Font"/>
    <w:semiHidden/>
    <w:qFormat/>
    <w:uiPriority w:val="0"/>
  </w:style>
  <w:style w:type="table" w:default="1" w:styleId="3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index heading"/>
    <w:basedOn w:val="1"/>
    <w:next w:val="3"/>
    <w:qFormat/>
    <w:uiPriority w:val="99"/>
    <w:rPr>
      <w:rFonts w:hint="eastAsia" w:ascii="Cambria" w:hAnsi="Cambria"/>
      <w:b/>
    </w:rPr>
  </w:style>
  <w:style w:type="paragraph" w:styleId="3">
    <w:name w:val="index 1"/>
    <w:basedOn w:val="1"/>
    <w:next w:val="1"/>
    <w:qFormat/>
    <w:uiPriority w:val="99"/>
  </w:style>
  <w:style w:type="paragraph" w:styleId="8">
    <w:name w:val="Normal Indent"/>
    <w:basedOn w:val="1"/>
    <w:next w:val="9"/>
    <w:qFormat/>
    <w:uiPriority w:val="0"/>
    <w:pPr>
      <w:widowControl/>
      <w:ind w:firstLine="420"/>
      <w:jc w:val="left"/>
    </w:pPr>
    <w:rPr>
      <w:rFonts w:ascii="Arial" w:hAnsi="Arial" w:eastAsia="仿宋_GB2312"/>
    </w:rPr>
  </w:style>
  <w:style w:type="paragraph" w:styleId="9">
    <w:name w:val="toc 1"/>
    <w:basedOn w:val="1"/>
    <w:next w:val="1"/>
    <w:qFormat/>
    <w:uiPriority w:val="39"/>
  </w:style>
  <w:style w:type="paragraph" w:styleId="10">
    <w:name w:val="Document Map"/>
    <w:basedOn w:val="1"/>
    <w:link w:val="46"/>
    <w:qFormat/>
    <w:uiPriority w:val="0"/>
    <w:rPr>
      <w:sz w:val="18"/>
      <w:szCs w:val="18"/>
    </w:rPr>
  </w:style>
  <w:style w:type="paragraph" w:styleId="11">
    <w:name w:val="annotation text"/>
    <w:basedOn w:val="1"/>
    <w:link w:val="47"/>
    <w:semiHidden/>
    <w:qFormat/>
    <w:uiPriority w:val="0"/>
    <w:pPr>
      <w:jc w:val="left"/>
    </w:pPr>
    <w:rPr>
      <w:rFonts w:ascii="Times New Roman"/>
      <w:kern w:val="0"/>
      <w:sz w:val="24"/>
      <w:szCs w:val="20"/>
    </w:rPr>
  </w:style>
  <w:style w:type="paragraph" w:styleId="12">
    <w:name w:val="Body Text"/>
    <w:basedOn w:val="1"/>
    <w:next w:val="13"/>
    <w:link w:val="45"/>
    <w:qFormat/>
    <w:uiPriority w:val="0"/>
    <w:pPr>
      <w:widowControl/>
      <w:snapToGrid w:val="0"/>
      <w:spacing w:before="60" w:after="160" w:line="259" w:lineRule="auto"/>
      <w:ind w:right="113"/>
    </w:pPr>
    <w:rPr>
      <w:rFonts w:ascii="Times New Roman"/>
      <w:kern w:val="0"/>
      <w:sz w:val="18"/>
      <w:szCs w:val="20"/>
    </w:rPr>
  </w:style>
  <w:style w:type="paragraph" w:customStyle="1" w:styleId="13">
    <w:name w:val="默认段落"/>
    <w:basedOn w:val="1"/>
    <w:qFormat/>
    <w:uiPriority w:val="0"/>
  </w:style>
  <w:style w:type="paragraph" w:styleId="14">
    <w:name w:val="Body Text Indent"/>
    <w:basedOn w:val="1"/>
    <w:next w:val="7"/>
    <w:link w:val="48"/>
    <w:semiHidden/>
    <w:qFormat/>
    <w:uiPriority w:val="0"/>
    <w:pPr>
      <w:spacing w:after="120"/>
      <w:ind w:left="420" w:leftChars="200"/>
    </w:pPr>
    <w:rPr>
      <w:rFonts w:ascii="Times New Roman"/>
      <w:kern w:val="0"/>
      <w:sz w:val="24"/>
    </w:rPr>
  </w:style>
  <w:style w:type="paragraph" w:styleId="15">
    <w:name w:val="List 2"/>
    <w:basedOn w:val="1"/>
    <w:qFormat/>
    <w:uiPriority w:val="0"/>
    <w:pPr>
      <w:ind w:left="100" w:leftChars="200" w:hanging="200" w:hangingChars="200"/>
    </w:pPr>
    <w:rPr>
      <w:rFonts w:ascii="Times New Roman"/>
      <w:spacing w:val="0"/>
      <w:sz w:val="21"/>
      <w:szCs w:val="24"/>
    </w:rPr>
  </w:style>
  <w:style w:type="paragraph" w:styleId="16">
    <w:name w:val="Block Text"/>
    <w:unhideWhenUsed/>
    <w:qFormat/>
    <w:uiPriority w:val="99"/>
    <w:pPr>
      <w:widowControl w:val="0"/>
      <w:adjustRightInd w:val="0"/>
      <w:spacing w:after="120" w:line="312" w:lineRule="atLeast"/>
      <w:ind w:left="1440" w:leftChars="700" w:right="1440" w:rightChars="700"/>
      <w:jc w:val="both"/>
      <w:textAlignment w:val="baseline"/>
    </w:pPr>
    <w:rPr>
      <w:rFonts w:ascii="Times New Roman" w:hAnsi="Times New Roman" w:eastAsia="宋体" w:cs="Times New Roman"/>
      <w:sz w:val="21"/>
      <w:lang w:val="en-US" w:eastAsia="zh-CN" w:bidi="ar-SA"/>
    </w:rPr>
  </w:style>
  <w:style w:type="paragraph" w:styleId="17">
    <w:name w:val="Plain Text"/>
    <w:basedOn w:val="1"/>
    <w:next w:val="18"/>
    <w:qFormat/>
    <w:uiPriority w:val="0"/>
    <w:rPr>
      <w:rFonts w:hAnsi="Courier New"/>
      <w:spacing w:val="5"/>
      <w:sz w:val="25"/>
      <w:szCs w:val="25"/>
    </w:rPr>
  </w:style>
  <w:style w:type="paragraph" w:customStyle="1" w:styleId="18">
    <w:name w:val="Default"/>
    <w:basedOn w:val="19"/>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19">
    <w:name w:val="标题 段落4级"/>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styleId="20">
    <w:name w:val="Date"/>
    <w:basedOn w:val="1"/>
    <w:next w:val="1"/>
    <w:link w:val="49"/>
    <w:qFormat/>
    <w:uiPriority w:val="0"/>
    <w:pPr>
      <w:ind w:left="100" w:leftChars="2500"/>
    </w:pPr>
    <w:rPr>
      <w:rFonts w:ascii="Times New Roman"/>
      <w:kern w:val="0"/>
      <w:sz w:val="24"/>
      <w:szCs w:val="20"/>
    </w:rPr>
  </w:style>
  <w:style w:type="paragraph" w:styleId="21">
    <w:name w:val="Balloon Text"/>
    <w:basedOn w:val="1"/>
    <w:link w:val="50"/>
    <w:semiHidden/>
    <w:qFormat/>
    <w:uiPriority w:val="0"/>
    <w:rPr>
      <w:rFonts w:ascii="Times New Roman"/>
      <w:kern w:val="0"/>
      <w:sz w:val="18"/>
      <w:szCs w:val="18"/>
    </w:rPr>
  </w:style>
  <w:style w:type="paragraph" w:styleId="22">
    <w:name w:val="footer"/>
    <w:basedOn w:val="1"/>
    <w:link w:val="51"/>
    <w:qFormat/>
    <w:uiPriority w:val="99"/>
    <w:pPr>
      <w:tabs>
        <w:tab w:val="center" w:pos="4153"/>
        <w:tab w:val="right" w:pos="8306"/>
      </w:tabs>
      <w:snapToGrid w:val="0"/>
      <w:jc w:val="left"/>
    </w:pPr>
    <w:rPr>
      <w:rFonts w:ascii="Times New Roman"/>
      <w:kern w:val="0"/>
      <w:sz w:val="18"/>
      <w:szCs w:val="18"/>
    </w:rPr>
  </w:style>
  <w:style w:type="paragraph" w:styleId="23">
    <w:name w:val="header"/>
    <w:basedOn w:val="1"/>
    <w:next w:val="1"/>
    <w:link w:val="52"/>
    <w:qFormat/>
    <w:uiPriority w:val="0"/>
    <w:pPr>
      <w:pBdr>
        <w:bottom w:val="single" w:color="auto" w:sz="6" w:space="1"/>
      </w:pBdr>
      <w:tabs>
        <w:tab w:val="center" w:pos="4153"/>
        <w:tab w:val="right" w:pos="8306"/>
      </w:tabs>
      <w:snapToGrid w:val="0"/>
      <w:jc w:val="center"/>
    </w:pPr>
    <w:rPr>
      <w:rFonts w:ascii="Times New Roman"/>
      <w:kern w:val="0"/>
      <w:sz w:val="18"/>
      <w:szCs w:val="18"/>
    </w:rPr>
  </w:style>
  <w:style w:type="paragraph" w:styleId="24">
    <w:name w:val="toc 4"/>
    <w:basedOn w:val="1"/>
    <w:next w:val="1"/>
    <w:qFormat/>
    <w:uiPriority w:val="0"/>
    <w:rPr>
      <w:rFonts w:ascii="Calibri" w:hAnsi="Calibri" w:eastAsia="宋体" w:cs="Times New Roman"/>
      <w:kern w:val="2"/>
      <w:sz w:val="20"/>
      <w:szCs w:val="24"/>
      <w:lang w:val="en-US" w:eastAsia="zh-CN" w:bidi="ar-SA"/>
    </w:rPr>
  </w:style>
  <w:style w:type="paragraph" w:styleId="25">
    <w:name w:val="List Number 5"/>
    <w:basedOn w:val="1"/>
    <w:qFormat/>
    <w:uiPriority w:val="0"/>
    <w:pPr>
      <w:numPr>
        <w:ilvl w:val="0"/>
        <w:numId w:val="1"/>
      </w:numPr>
    </w:pPr>
  </w:style>
  <w:style w:type="paragraph" w:styleId="26">
    <w:name w:val="List"/>
    <w:basedOn w:val="1"/>
    <w:qFormat/>
    <w:uiPriority w:val="0"/>
    <w:pPr>
      <w:ind w:left="200" w:hanging="200" w:hangingChars="200"/>
    </w:pPr>
  </w:style>
  <w:style w:type="paragraph" w:styleId="27">
    <w:name w:val="Body Text Indent 3"/>
    <w:basedOn w:val="1"/>
    <w:qFormat/>
    <w:uiPriority w:val="0"/>
    <w:pPr>
      <w:spacing w:line="480" w:lineRule="exact"/>
      <w:ind w:firstLine="720" w:firstLineChars="300"/>
    </w:pPr>
    <w:rPr>
      <w:rFonts w:ascii="Times New Roman"/>
      <w:sz w:val="24"/>
      <w:szCs w:val="24"/>
    </w:rPr>
  </w:style>
  <w:style w:type="paragraph" w:styleId="2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9">
    <w:name w:val="Normal (Web)"/>
    <w:basedOn w:val="1"/>
    <w:link w:val="53"/>
    <w:qFormat/>
    <w:uiPriority w:val="0"/>
    <w:pPr>
      <w:widowControl/>
      <w:spacing w:before="100" w:beforeAutospacing="1" w:after="100" w:afterAutospacing="1"/>
      <w:jc w:val="left"/>
    </w:pPr>
    <w:rPr>
      <w:rFonts w:hAnsi="宋体"/>
      <w:kern w:val="0"/>
      <w:sz w:val="24"/>
      <w:szCs w:val="20"/>
    </w:rPr>
  </w:style>
  <w:style w:type="paragraph" w:styleId="30">
    <w:name w:val="annotation subject"/>
    <w:basedOn w:val="11"/>
    <w:next w:val="11"/>
    <w:link w:val="54"/>
    <w:semiHidden/>
    <w:qFormat/>
    <w:uiPriority w:val="0"/>
    <w:rPr>
      <w:b/>
      <w:bCs/>
      <w:kern w:val="2"/>
      <w:sz w:val="20"/>
      <w:szCs w:val="24"/>
    </w:rPr>
  </w:style>
  <w:style w:type="paragraph" w:styleId="31">
    <w:name w:val="Body Text First Indent 2"/>
    <w:basedOn w:val="14"/>
    <w:next w:val="1"/>
    <w:qFormat/>
    <w:uiPriority w:val="0"/>
    <w:pPr>
      <w:keepNext w:val="0"/>
      <w:keepLines w:val="0"/>
      <w:widowControl w:val="0"/>
      <w:suppressLineNumbers w:val="0"/>
      <w:spacing w:before="0" w:beforeAutospacing="0" w:after="120" w:afterAutospacing="0" w:line="360" w:lineRule="auto"/>
      <w:ind w:left="420" w:leftChars="200" w:right="0" w:firstLine="420" w:firstLineChars="200"/>
      <w:jc w:val="both"/>
    </w:pPr>
    <w:rPr>
      <w:rFonts w:ascii="宋体" w:hAnsi="Calibri"/>
      <w:sz w:val="25"/>
      <w:szCs w:val="24"/>
    </w:rPr>
  </w:style>
  <w:style w:type="table" w:styleId="33">
    <w:name w:val="Table Grid"/>
    <w:basedOn w:val="32"/>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0"/>
    <w:rPr>
      <w:b/>
    </w:rPr>
  </w:style>
  <w:style w:type="character" w:styleId="36">
    <w:name w:val="page number"/>
    <w:qFormat/>
    <w:uiPriority w:val="0"/>
  </w:style>
  <w:style w:type="character" w:styleId="37">
    <w:name w:val="Emphasis"/>
    <w:qFormat/>
    <w:uiPriority w:val="0"/>
    <w:rPr>
      <w:rFonts w:eastAsia="黑体"/>
      <w:iCs/>
      <w:sz w:val="21"/>
    </w:rPr>
  </w:style>
  <w:style w:type="character" w:styleId="38">
    <w:name w:val="Hyperlink"/>
    <w:qFormat/>
    <w:uiPriority w:val="99"/>
    <w:rPr>
      <w:color w:val="0000FF"/>
      <w:u w:val="single"/>
    </w:rPr>
  </w:style>
  <w:style w:type="character" w:styleId="39">
    <w:name w:val="annotation reference"/>
    <w:semiHidden/>
    <w:qFormat/>
    <w:uiPriority w:val="0"/>
    <w:rPr>
      <w:sz w:val="21"/>
    </w:rPr>
  </w:style>
  <w:style w:type="paragraph" w:customStyle="1" w:styleId="40">
    <w:name w:val="A-表格文字"/>
    <w:basedOn w:val="1"/>
    <w:next w:val="1"/>
    <w:qFormat/>
    <w:uiPriority w:val="0"/>
    <w:pPr>
      <w:autoSpaceDE w:val="0"/>
      <w:autoSpaceDN w:val="0"/>
      <w:adjustRightInd w:val="0"/>
      <w:jc w:val="center"/>
      <w:textAlignment w:val="center"/>
    </w:pPr>
    <w:rPr>
      <w:rFonts w:ascii="Times New Roman" w:hAnsi="Times New Roman"/>
      <w:kern w:val="0"/>
      <w:szCs w:val="21"/>
    </w:rPr>
  </w:style>
  <w:style w:type="paragraph" w:customStyle="1" w:styleId="41">
    <w:name w:val="Char Char Char Char Char Char Char Char Char1 Char"/>
    <w:basedOn w:val="1"/>
    <w:next w:val="42"/>
    <w:qFormat/>
    <w:uiPriority w:val="0"/>
    <w:pPr>
      <w:spacing w:line="360" w:lineRule="auto"/>
      <w:ind w:firstLine="200" w:firstLineChars="200"/>
    </w:pPr>
    <w:rPr>
      <w:rFonts w:hAnsi="宋体" w:cs="宋体"/>
      <w:spacing w:val="0"/>
      <w:sz w:val="24"/>
      <w:szCs w:val="24"/>
    </w:rPr>
  </w:style>
  <w:style w:type="paragraph" w:customStyle="1" w:styleId="42">
    <w:name w:val="Body Text First Indent"/>
    <w:basedOn w:val="12"/>
    <w:next w:val="1"/>
    <w:qFormat/>
    <w:uiPriority w:val="0"/>
    <w:pPr>
      <w:widowControl w:val="0"/>
      <w:spacing w:after="120"/>
      <w:ind w:firstLine="420"/>
      <w:jc w:val="both"/>
    </w:pPr>
    <w:rPr>
      <w:sz w:val="21"/>
      <w:szCs w:val="22"/>
      <w:lang w:val="en-US" w:eastAsia="zh-CN" w:bidi="ar-SA"/>
    </w:rPr>
  </w:style>
  <w:style w:type="paragraph" w:customStyle="1" w:styleId="43">
    <w:name w:val="Body Text First Indent1"/>
    <w:basedOn w:val="12"/>
    <w:next w:val="1"/>
    <w:qFormat/>
    <w:uiPriority w:val="0"/>
    <w:pPr>
      <w:widowControl w:val="0"/>
      <w:spacing w:after="120"/>
      <w:ind w:firstLine="420"/>
      <w:jc w:val="both"/>
    </w:pPr>
    <w:rPr>
      <w:sz w:val="21"/>
      <w:szCs w:val="22"/>
      <w:lang w:val="en-US" w:eastAsia="zh-CN" w:bidi="ar-SA"/>
    </w:rPr>
  </w:style>
  <w:style w:type="character" w:customStyle="1" w:styleId="44">
    <w:name w:val="标题 2 Char"/>
    <w:link w:val="5"/>
    <w:qFormat/>
    <w:uiPriority w:val="0"/>
    <w:rPr>
      <w:b/>
      <w:bCs/>
      <w:kern w:val="2"/>
      <w:sz w:val="24"/>
      <w:szCs w:val="32"/>
    </w:rPr>
  </w:style>
  <w:style w:type="character" w:customStyle="1" w:styleId="45">
    <w:name w:val="正文文本 Char"/>
    <w:link w:val="12"/>
    <w:qFormat/>
    <w:uiPriority w:val="0"/>
    <w:rPr>
      <w:sz w:val="18"/>
    </w:rPr>
  </w:style>
  <w:style w:type="character" w:customStyle="1" w:styleId="46">
    <w:name w:val="文档结构图 Char"/>
    <w:basedOn w:val="34"/>
    <w:link w:val="10"/>
    <w:qFormat/>
    <w:uiPriority w:val="0"/>
    <w:rPr>
      <w:rFonts w:ascii="宋体"/>
      <w:kern w:val="2"/>
      <w:sz w:val="18"/>
      <w:szCs w:val="18"/>
    </w:rPr>
  </w:style>
  <w:style w:type="character" w:customStyle="1" w:styleId="47">
    <w:name w:val="批注文字 Char"/>
    <w:link w:val="11"/>
    <w:qFormat/>
    <w:uiPriority w:val="0"/>
    <w:rPr>
      <w:rFonts w:ascii="Times New Roman" w:hAnsi="Times New Roman" w:eastAsia="宋体"/>
      <w:sz w:val="24"/>
    </w:rPr>
  </w:style>
  <w:style w:type="character" w:customStyle="1" w:styleId="48">
    <w:name w:val="正文文本缩进 Char"/>
    <w:link w:val="14"/>
    <w:semiHidden/>
    <w:qFormat/>
    <w:uiPriority w:val="0"/>
    <w:rPr>
      <w:rFonts w:ascii="Times New Roman" w:hAnsi="Times New Roman" w:eastAsia="宋体" w:cs="Times New Roman"/>
      <w:sz w:val="24"/>
      <w:szCs w:val="24"/>
    </w:rPr>
  </w:style>
  <w:style w:type="character" w:customStyle="1" w:styleId="49">
    <w:name w:val="日期 Char"/>
    <w:link w:val="20"/>
    <w:qFormat/>
    <w:uiPriority w:val="0"/>
    <w:rPr>
      <w:rFonts w:ascii="Times New Roman" w:hAnsi="Times New Roman" w:eastAsia="宋体"/>
      <w:sz w:val="24"/>
    </w:rPr>
  </w:style>
  <w:style w:type="character" w:customStyle="1" w:styleId="50">
    <w:name w:val="批注框文本 Char"/>
    <w:link w:val="21"/>
    <w:semiHidden/>
    <w:qFormat/>
    <w:uiPriority w:val="0"/>
    <w:rPr>
      <w:rFonts w:ascii="Times New Roman" w:hAnsi="Times New Roman" w:eastAsia="宋体" w:cs="Times New Roman"/>
      <w:sz w:val="18"/>
      <w:szCs w:val="18"/>
    </w:rPr>
  </w:style>
  <w:style w:type="character" w:customStyle="1" w:styleId="51">
    <w:name w:val="页脚 Char"/>
    <w:link w:val="22"/>
    <w:qFormat/>
    <w:uiPriority w:val="99"/>
    <w:rPr>
      <w:rFonts w:cs="Times New Roman"/>
      <w:sz w:val="18"/>
      <w:szCs w:val="18"/>
    </w:rPr>
  </w:style>
  <w:style w:type="character" w:customStyle="1" w:styleId="52">
    <w:name w:val="页眉 Char"/>
    <w:link w:val="23"/>
    <w:qFormat/>
    <w:uiPriority w:val="0"/>
    <w:rPr>
      <w:rFonts w:cs="Times New Roman"/>
      <w:sz w:val="18"/>
      <w:szCs w:val="18"/>
    </w:rPr>
  </w:style>
  <w:style w:type="character" w:customStyle="1" w:styleId="53">
    <w:name w:val="普通(网站) Char1"/>
    <w:link w:val="29"/>
    <w:qFormat/>
    <w:uiPriority w:val="0"/>
    <w:rPr>
      <w:rFonts w:ascii="宋体" w:hAnsi="宋体" w:eastAsia="宋体"/>
      <w:sz w:val="24"/>
    </w:rPr>
  </w:style>
  <w:style w:type="character" w:customStyle="1" w:styleId="54">
    <w:name w:val="批注主题 Char"/>
    <w:link w:val="30"/>
    <w:semiHidden/>
    <w:qFormat/>
    <w:uiPriority w:val="0"/>
    <w:rPr>
      <w:rFonts w:cs="Times New Roman"/>
      <w:b/>
      <w:bCs/>
      <w:kern w:val="2"/>
      <w:szCs w:val="24"/>
    </w:rPr>
  </w:style>
  <w:style w:type="character" w:customStyle="1" w:styleId="55">
    <w:name w:val="日期 字符"/>
    <w:semiHidden/>
    <w:qFormat/>
    <w:uiPriority w:val="0"/>
    <w:rPr>
      <w:rFonts w:ascii="Times New Roman" w:hAnsi="Times New Roman" w:eastAsia="宋体" w:cs="Times New Roman"/>
      <w:sz w:val="24"/>
      <w:szCs w:val="24"/>
    </w:rPr>
  </w:style>
  <w:style w:type="character" w:customStyle="1" w:styleId="56">
    <w:name w:val="正文文本 字符1"/>
    <w:semiHidden/>
    <w:qFormat/>
    <w:uiPriority w:val="0"/>
    <w:rPr>
      <w:rFonts w:ascii="Times New Roman" w:hAnsi="Times New Roman" w:eastAsia="宋体" w:cs="Times New Roman"/>
      <w:sz w:val="24"/>
      <w:szCs w:val="24"/>
    </w:rPr>
  </w:style>
  <w:style w:type="paragraph" w:customStyle="1" w:styleId="57">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58">
    <w:name w:val="表格 Char"/>
    <w:link w:val="59"/>
    <w:qFormat/>
    <w:uiPriority w:val="0"/>
    <w:rPr>
      <w:rFonts w:ascii="宋体"/>
      <w:sz w:val="21"/>
    </w:rPr>
  </w:style>
  <w:style w:type="paragraph" w:customStyle="1" w:styleId="59">
    <w:name w:val="表格"/>
    <w:basedOn w:val="60"/>
    <w:next w:val="1"/>
    <w:link w:val="58"/>
    <w:qFormat/>
    <w:uiPriority w:val="0"/>
    <w:pPr>
      <w:adjustRightInd w:val="0"/>
      <w:snapToGrid w:val="0"/>
      <w:spacing w:beforeLines="10" w:afterLines="10" w:line="259" w:lineRule="auto"/>
      <w:jc w:val="center"/>
    </w:pPr>
    <w:rPr>
      <w:kern w:val="0"/>
      <w:szCs w:val="20"/>
    </w:rPr>
  </w:style>
  <w:style w:type="paragraph" w:customStyle="1" w:styleId="60">
    <w:name w:val="图片"/>
    <w:basedOn w:val="1"/>
    <w:qFormat/>
    <w:uiPriority w:val="0"/>
    <w:pPr>
      <w:spacing w:before="50" w:beforeLines="50"/>
      <w:jc w:val="center"/>
    </w:pPr>
    <w:rPr>
      <w:rFonts w:eastAsia="楷体"/>
      <w:szCs w:val="22"/>
    </w:rPr>
  </w:style>
  <w:style w:type="character" w:customStyle="1" w:styleId="61">
    <w:name w:val="批注文字 字符1"/>
    <w:semiHidden/>
    <w:qFormat/>
    <w:uiPriority w:val="0"/>
    <w:rPr>
      <w:rFonts w:ascii="Times New Roman" w:hAnsi="Times New Roman" w:eastAsia="宋体" w:cs="Times New Roman"/>
      <w:sz w:val="24"/>
      <w:szCs w:val="24"/>
    </w:rPr>
  </w:style>
  <w:style w:type="character" w:customStyle="1" w:styleId="62">
    <w:name w:val="普通(网站) Char"/>
    <w:qFormat/>
    <w:uiPriority w:val="0"/>
    <w:rPr>
      <w:rFonts w:ascii="宋体" w:hAnsi="宋体" w:eastAsia="宋体"/>
      <w:sz w:val="24"/>
    </w:rPr>
  </w:style>
  <w:style w:type="paragraph" w:customStyle="1" w:styleId="63">
    <w:name w:val="文本"/>
    <w:basedOn w:val="14"/>
    <w:qFormat/>
    <w:uiPriority w:val="0"/>
    <w:pPr>
      <w:adjustRightInd w:val="0"/>
      <w:snapToGrid w:val="0"/>
      <w:spacing w:line="520" w:lineRule="exact"/>
      <w:ind w:firstLine="200" w:firstLineChars="200"/>
    </w:pPr>
    <w:rPr>
      <w:rFonts w:ascii="宋体" w:eastAsia="仿宋_GB2312"/>
      <w:sz w:val="24"/>
      <w:szCs w:val="24"/>
    </w:rPr>
  </w:style>
  <w:style w:type="paragraph" w:customStyle="1" w:styleId="64">
    <w:name w:val="图格式"/>
    <w:basedOn w:val="63"/>
    <w:qFormat/>
    <w:uiPriority w:val="0"/>
    <w:pPr>
      <w:spacing w:line="240" w:lineRule="auto"/>
      <w:ind w:firstLine="0" w:firstLineChars="0"/>
      <w:jc w:val="center"/>
    </w:pPr>
    <w:rPr>
      <w:rFonts w:hAnsi="宋体"/>
    </w:rPr>
  </w:style>
  <w:style w:type="paragraph" w:customStyle="1" w:styleId="65">
    <w:name w:val="图表名称1"/>
    <w:basedOn w:val="66"/>
    <w:qFormat/>
    <w:uiPriority w:val="0"/>
    <w:pPr>
      <w:adjustRightInd w:val="0"/>
      <w:snapToGrid w:val="0"/>
      <w:spacing w:line="520" w:lineRule="exact"/>
      <w:jc w:val="center"/>
    </w:pPr>
    <w:rPr>
      <w:rFonts w:ascii="宋体" w:hAnsi="宋体" w:cs="宋体"/>
      <w:bCs/>
      <w:kern w:val="21"/>
      <w:sz w:val="24"/>
    </w:rPr>
  </w:style>
  <w:style w:type="paragraph" w:customStyle="1" w:styleId="66">
    <w:name w:val="图标名称"/>
    <w:basedOn w:val="67"/>
    <w:qFormat/>
    <w:uiPriority w:val="0"/>
    <w:pPr>
      <w:adjustRightInd w:val="0"/>
      <w:spacing w:line="520" w:lineRule="exact"/>
      <w:ind w:firstLine="200" w:firstLineChars="200"/>
    </w:pPr>
    <w:rPr>
      <w:rFonts w:ascii="宋体" w:hAnsi="宋体"/>
      <w:b/>
      <w:sz w:val="24"/>
    </w:rPr>
  </w:style>
  <w:style w:type="paragraph" w:customStyle="1" w:styleId="67">
    <w:name w:val="正文1"/>
    <w:basedOn w:val="1"/>
    <w:qFormat/>
    <w:uiPriority w:val="0"/>
    <w:pPr>
      <w:adjustRightInd w:val="0"/>
      <w:snapToGrid w:val="0"/>
      <w:spacing w:line="500" w:lineRule="atLeast"/>
      <w:ind w:firstLine="567"/>
    </w:pPr>
    <w:rPr>
      <w:sz w:val="28"/>
    </w:rPr>
  </w:style>
  <w:style w:type="paragraph" w:customStyle="1" w:styleId="68">
    <w:name w:val="表内文字"/>
    <w:basedOn w:val="69"/>
    <w:qFormat/>
    <w:uiPriority w:val="0"/>
    <w:pPr>
      <w:adjustRightInd w:val="0"/>
      <w:jc w:val="center"/>
    </w:pPr>
    <w:rPr>
      <w:rFonts w:ascii="宋体" w:cs="宋体"/>
      <w:szCs w:val="24"/>
    </w:rPr>
  </w:style>
  <w:style w:type="paragraph" w:customStyle="1" w:styleId="69">
    <w:name w:val="表内"/>
    <w:basedOn w:val="15"/>
    <w:qFormat/>
    <w:uiPriority w:val="0"/>
    <w:pPr>
      <w:widowControl/>
      <w:spacing w:beforeLines="0" w:line="240" w:lineRule="auto"/>
      <w:ind w:left="0" w:leftChars="0" w:firstLine="0" w:firstLineChars="0"/>
      <w:jc w:val="center"/>
    </w:pPr>
    <w:rPr>
      <w:rFonts w:ascii="宋体"/>
      <w:bCs/>
      <w:color w:val="000000"/>
      <w:szCs w:val="21"/>
    </w:rPr>
  </w:style>
  <w:style w:type="paragraph" w:customStyle="1" w:styleId="70">
    <w:name w:val="正文(首缩进)"/>
    <w:basedOn w:val="1"/>
    <w:qFormat/>
    <w:uiPriority w:val="0"/>
    <w:pPr>
      <w:spacing w:before="78" w:beforeLines="25" w:after="78" w:afterLines="25" w:line="420" w:lineRule="auto"/>
      <w:ind w:firstLine="200" w:firstLineChars="200"/>
    </w:pPr>
    <w:rPr>
      <w:rFonts w:ascii="Times New Roman"/>
      <w:sz w:val="28"/>
    </w:rPr>
  </w:style>
  <w:style w:type="paragraph" w:customStyle="1" w:styleId="71">
    <w:name w:val="font0"/>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72">
    <w:name w:val="样式 居中"/>
    <w:basedOn w:val="67"/>
    <w:qFormat/>
    <w:uiPriority w:val="0"/>
    <w:pPr>
      <w:adjustRightInd w:val="0"/>
      <w:snapToGrid w:val="0"/>
      <w:ind w:left="-9" w:leftChars="-12" w:hanging="16"/>
      <w:jc w:val="center"/>
    </w:pPr>
    <w:rPr>
      <w:rFonts w:ascii="宋体" w:hAnsi="宋体" w:cs="宋体"/>
      <w:szCs w:val="21"/>
    </w:rPr>
  </w:style>
  <w:style w:type="paragraph" w:customStyle="1" w:styleId="73">
    <w:name w:val="正文(首行缩进)"/>
    <w:basedOn w:val="1"/>
    <w:next w:val="1"/>
    <w:qFormat/>
    <w:uiPriority w:val="0"/>
    <w:pPr>
      <w:tabs>
        <w:tab w:val="left" w:pos="4584"/>
      </w:tabs>
      <w:spacing w:line="420" w:lineRule="exact"/>
      <w:ind w:firstLine="480" w:firstLineChars="200"/>
      <w:jc w:val="left"/>
    </w:pPr>
    <w:rPr>
      <w:color w:val="000000"/>
      <w:kern w:val="0"/>
      <w:sz w:val="24"/>
      <w:szCs w:val="24"/>
    </w:rPr>
  </w:style>
  <w:style w:type="paragraph" w:customStyle="1" w:styleId="74">
    <w:name w:val="样式 表内容 + 行距: 固定值 28 磅"/>
    <w:basedOn w:val="75"/>
    <w:qFormat/>
    <w:uiPriority w:val="0"/>
    <w:pPr>
      <w:spacing w:line="240" w:lineRule="auto"/>
    </w:pPr>
    <w:rPr>
      <w:rFonts w:cs="宋体"/>
      <w:szCs w:val="20"/>
    </w:rPr>
  </w:style>
  <w:style w:type="paragraph" w:customStyle="1" w:styleId="75">
    <w:name w:val="表内容"/>
    <w:basedOn w:val="1"/>
    <w:next w:val="1"/>
    <w:qFormat/>
    <w:uiPriority w:val="0"/>
    <w:pPr>
      <w:jc w:val="center"/>
    </w:pPr>
    <w:rPr>
      <w:rFonts w:ascii="宋体" w:hAnsi="宋体" w:eastAsia="宋体"/>
      <w:kern w:val="2"/>
      <w:sz w:val="21"/>
      <w:lang w:val="en-US" w:eastAsia="zh-CN" w:bidi="ar-SA"/>
    </w:rPr>
  </w:style>
  <w:style w:type="paragraph" w:styleId="76">
    <w:name w:val="List Paragraph"/>
    <w:basedOn w:val="1"/>
    <w:qFormat/>
    <w:uiPriority w:val="34"/>
    <w:pPr>
      <w:ind w:firstLine="420" w:firstLineChars="200"/>
    </w:pPr>
  </w:style>
  <w:style w:type="paragraph" w:customStyle="1" w:styleId="77">
    <w:name w:val="2"/>
    <w:basedOn w:val="1"/>
    <w:next w:val="27"/>
    <w:qFormat/>
    <w:uiPriority w:val="0"/>
    <w:pPr>
      <w:ind w:firstLine="527" w:firstLineChars="200"/>
    </w:pPr>
    <w:rPr>
      <w:spacing w:val="5"/>
    </w:rPr>
  </w:style>
  <w:style w:type="paragraph" w:customStyle="1" w:styleId="78">
    <w:name w:val="正文格式"/>
    <w:qFormat/>
    <w:uiPriority w:val="0"/>
    <w:pPr>
      <w:adjustRightInd w:val="0"/>
      <w:snapToGrid w:val="0"/>
      <w:spacing w:line="500" w:lineRule="exact"/>
      <w:ind w:firstLine="200" w:firstLineChars="200"/>
      <w:jc w:val="left"/>
      <w:textAlignment w:val="baseline"/>
    </w:pPr>
    <w:rPr>
      <w:rFonts w:ascii="Times New Roman" w:hAnsi="Times New Roman" w:eastAsia="华文中宋" w:cs="Times New Roman"/>
      <w:kern w:val="0"/>
      <w:sz w:val="24"/>
    </w:rPr>
  </w:style>
  <w:style w:type="paragraph" w:customStyle="1" w:styleId="79">
    <w:name w:val="_正文格式"/>
    <w:basedOn w:val="1"/>
    <w:qFormat/>
    <w:uiPriority w:val="0"/>
    <w:pPr>
      <w:spacing w:line="500" w:lineRule="exact"/>
      <w:ind w:firstLine="567"/>
      <w:jc w:val="left"/>
    </w:pPr>
    <w:rPr>
      <w:rFonts w:ascii="Times New Roman" w:hAnsi="Times New Roman"/>
      <w:sz w:val="24"/>
      <w:szCs w:val="24"/>
    </w:rPr>
  </w:style>
  <w:style w:type="paragraph" w:customStyle="1" w:styleId="80">
    <w:name w:val="表格内容"/>
    <w:basedOn w:val="81"/>
    <w:qFormat/>
    <w:uiPriority w:val="0"/>
    <w:pPr>
      <w:adjustRightInd w:val="0"/>
      <w:snapToGrid w:val="0"/>
      <w:jc w:val="center"/>
    </w:pPr>
    <w:rPr>
      <w:kern w:val="0"/>
      <w:szCs w:val="21"/>
    </w:rPr>
  </w:style>
  <w:style w:type="paragraph" w:customStyle="1" w:styleId="81">
    <w:name w:val="WW-正文缩进"/>
    <w:basedOn w:val="1"/>
    <w:semiHidden/>
    <w:qFormat/>
    <w:uiPriority w:val="0"/>
    <w:pPr>
      <w:spacing w:line="360" w:lineRule="auto"/>
      <w:ind w:firstLine="420"/>
    </w:pPr>
    <w:rPr>
      <w:sz w:val="28"/>
      <w:szCs w:val="20"/>
    </w:rPr>
  </w:style>
  <w:style w:type="paragraph" w:customStyle="1" w:styleId="82">
    <w:name w:val="正文11"/>
    <w:basedOn w:val="1"/>
    <w:qFormat/>
    <w:uiPriority w:val="0"/>
    <w:pPr>
      <w:spacing w:line="360" w:lineRule="auto"/>
      <w:ind w:firstLine="200" w:firstLineChars="200"/>
    </w:pPr>
    <w:rPr>
      <w:sz w:val="24"/>
      <w:szCs w:val="24"/>
    </w:rPr>
  </w:style>
  <w:style w:type="table" w:customStyle="1" w:styleId="83">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84">
    <w:name w:val="Table Text"/>
    <w:basedOn w:val="1"/>
    <w:semiHidden/>
    <w:qFormat/>
    <w:uiPriority w:val="0"/>
    <w:rPr>
      <w:rFonts w:ascii="宋体" w:hAnsi="宋体" w:eastAsia="宋体" w:cs="宋体"/>
      <w:sz w:val="20"/>
      <w:szCs w:val="20"/>
      <w:lang w:val="en-US" w:eastAsia="en-US" w:bidi="ar-SA"/>
    </w:rPr>
  </w:style>
  <w:style w:type="paragraph" w:customStyle="1" w:styleId="85">
    <w:name w:val="表格仔"/>
    <w:basedOn w:val="1"/>
    <w:next w:val="1"/>
    <w:qFormat/>
    <w:uiPriority w:val="99"/>
    <w:pPr>
      <w:spacing w:line="240" w:lineRule="auto"/>
      <w:ind w:firstLine="0" w:firstLineChars="0"/>
      <w:jc w:val="center"/>
    </w:pPr>
    <w:rPr>
      <w:sz w:val="21"/>
    </w:rPr>
  </w:style>
  <w:style w:type="paragraph" w:customStyle="1" w:styleId="86">
    <w:name w:val="List Paragraph1"/>
    <w:basedOn w:val="1"/>
    <w:semiHidden/>
    <w:qFormat/>
    <w:uiPriority w:val="0"/>
    <w:pPr>
      <w:ind w:firstLine="420"/>
    </w:pPr>
    <w:rPr>
      <w:rFonts w:ascii="Calibri" w:hAnsi="Calibri" w:cs="Times New Roman"/>
      <w:szCs w:val="28"/>
      <w:lang w:bidi="ar-SA"/>
    </w:rPr>
  </w:style>
  <w:style w:type="paragraph" w:customStyle="1" w:styleId="87">
    <w:name w:val="表内容       .."/>
    <w:basedOn w:val="1"/>
    <w:qFormat/>
    <w:uiPriority w:val="0"/>
    <w:pPr>
      <w:adjustRightInd w:val="0"/>
      <w:snapToGrid w:val="0"/>
      <w:spacing w:line="280" w:lineRule="exact"/>
      <w:ind w:firstLine="0" w:firstLineChars="0"/>
      <w:jc w:val="center"/>
      <w:textAlignment w:val="baseline"/>
    </w:pPr>
    <w:rPr>
      <w:szCs w:val="18"/>
    </w:rPr>
  </w:style>
  <w:style w:type="paragraph" w:customStyle="1" w:styleId="88">
    <w:name w:val="表头"/>
    <w:next w:val="1"/>
    <w:qFormat/>
    <w:uiPriority w:val="0"/>
    <w:pPr>
      <w:tabs>
        <w:tab w:val="left" w:pos="0"/>
        <w:tab w:val="left" w:pos="5025"/>
      </w:tabs>
      <w:adjustRightInd w:val="0"/>
      <w:snapToGrid w:val="0"/>
      <w:spacing w:line="360" w:lineRule="auto"/>
      <w:ind w:firstLine="560" w:firstLineChars="200"/>
    </w:pPr>
    <w:rPr>
      <w:rFonts w:ascii="Times New Roman" w:hAnsi="宋体" w:eastAsia="宋体" w:cs="Times New Roman"/>
      <w:color w:val="000000"/>
    </w:rPr>
  </w:style>
  <w:style w:type="character" w:customStyle="1" w:styleId="89">
    <w:name w:val="font21"/>
    <w:basedOn w:val="34"/>
    <w:qFormat/>
    <w:uiPriority w:val="0"/>
    <w:rPr>
      <w:rFonts w:hint="default" w:ascii="Times New Roman" w:hAnsi="Times New Roman" w:cs="Times New Roman"/>
      <w:color w:val="000000"/>
      <w:sz w:val="21"/>
      <w:szCs w:val="21"/>
      <w:u w:val="none"/>
    </w:rPr>
  </w:style>
  <w:style w:type="character" w:customStyle="1" w:styleId="90">
    <w:name w:val="font31"/>
    <w:basedOn w:val="34"/>
    <w:qFormat/>
    <w:uiPriority w:val="0"/>
    <w:rPr>
      <w:rFonts w:hint="default" w:ascii="Times New Roman" w:hAnsi="Times New Roman" w:cs="Times New Roman"/>
      <w:color w:val="000000"/>
      <w:sz w:val="21"/>
      <w:szCs w:val="21"/>
      <w:u w:val="none"/>
      <w:vertAlign w:val="superscript"/>
    </w:rPr>
  </w:style>
  <w:style w:type="character" w:customStyle="1" w:styleId="91">
    <w:name w:val="font41"/>
    <w:qFormat/>
    <w:uiPriority w:val="0"/>
    <w:rPr>
      <w:rFonts w:hint="default" w:ascii="Times New Roman" w:hAnsi="Times New Roman" w:cs="Times New Roman"/>
      <w:color w:val="000000"/>
      <w:sz w:val="21"/>
      <w:szCs w:val="21"/>
      <w:u w:val="none"/>
    </w:rPr>
  </w:style>
  <w:style w:type="paragraph" w:customStyle="1" w:styleId="92">
    <w:name w:val="00.正文格式"/>
    <w:basedOn w:val="8"/>
    <w:qFormat/>
    <w:uiPriority w:val="0"/>
    <w:pPr>
      <w:widowControl/>
      <w:spacing w:line="360" w:lineRule="auto"/>
      <w:ind w:firstLine="200"/>
      <w:jc w:val="left"/>
    </w:pPr>
    <w:rPr>
      <w:rFonts w:hAnsi="宋体"/>
      <w:color w:val="000000"/>
      <w:kern w:val="0"/>
      <w:sz w:val="24"/>
      <w:szCs w:val="24"/>
    </w:rPr>
  </w:style>
  <w:style w:type="character" w:customStyle="1" w:styleId="93">
    <w:name w:val="font11"/>
    <w:basedOn w:val="34"/>
    <w:qFormat/>
    <w:uiPriority w:val="0"/>
    <w:rPr>
      <w:rFonts w:hint="eastAsia" w:ascii="宋体" w:hAnsi="宋体" w:eastAsia="宋体" w:cs="宋体"/>
      <w:color w:val="FF0000"/>
      <w:sz w:val="21"/>
      <w:szCs w:val="21"/>
      <w:u w:val="none"/>
    </w:rPr>
  </w:style>
  <w:style w:type="paragraph" w:customStyle="1" w:styleId="94">
    <w:name w:val="正文_9"/>
    <w:qFormat/>
    <w:uiPriority w:val="0"/>
    <w:pPr>
      <w:widowControl w:val="0"/>
      <w:jc w:val="both"/>
    </w:pPr>
    <w:rPr>
      <w:rFonts w:ascii="Calibri" w:hAnsi="Calibri" w:eastAsia="宋体" w:cs="Times New Roman"/>
      <w:kern w:val="2"/>
      <w:sz w:val="21"/>
      <w:lang w:val="en-US" w:eastAsia="zh-CN" w:bidi="ar-SA"/>
    </w:rPr>
  </w:style>
  <w:style w:type="paragraph" w:customStyle="1" w:styleId="95">
    <w:name w:val="AA-正文"/>
    <w:basedOn w:val="1"/>
    <w:qFormat/>
    <w:uiPriority w:val="0"/>
    <w:pPr>
      <w:widowControl/>
      <w:snapToGrid w:val="0"/>
      <w:spacing w:line="440" w:lineRule="exact"/>
      <w:ind w:firstLine="420" w:firstLineChars="200"/>
    </w:pPr>
    <w:rPr>
      <w:rFonts w:ascii="Times New Roman" w:hAnsi="Times New Roman" w:eastAsia="宋体" w:cs="Times New Roman"/>
      <w:bCs/>
      <w:kern w:val="0"/>
      <w:sz w:val="24"/>
    </w:rPr>
  </w:style>
  <w:style w:type="paragraph" w:customStyle="1" w:styleId="96">
    <w:name w:val="报告正文"/>
    <w:basedOn w:val="1"/>
    <w:qFormat/>
    <w:uiPriority w:val="0"/>
    <w:pPr>
      <w:spacing w:line="360" w:lineRule="auto"/>
    </w:pPr>
    <w:rPr>
      <w:rFonts w:eastAsia="Times New Roman"/>
      <w:sz w:val="24"/>
      <w:szCs w:val="20"/>
    </w:rPr>
  </w:style>
  <w:style w:type="character" w:customStyle="1" w:styleId="97">
    <w:name w:val="16"/>
    <w:basedOn w:val="34"/>
    <w:qFormat/>
    <w:uiPriority w:val="0"/>
    <w:rPr>
      <w:rFonts w:hint="default" w:ascii="Times New Roman" w:hAnsi="Times New Roman" w:cs="Times New Roman"/>
      <w:color w:val="000000"/>
      <w:sz w:val="21"/>
      <w:szCs w:val="21"/>
      <w:vertAlign w:val="superscript"/>
    </w:rPr>
  </w:style>
  <w:style w:type="character" w:customStyle="1" w:styleId="98">
    <w:name w:val="17"/>
    <w:basedOn w:val="34"/>
    <w:qFormat/>
    <w:uiPriority w:val="0"/>
    <w:rPr>
      <w:rFonts w:hint="default" w:ascii="Times New Roman" w:hAnsi="Times New Roman" w:cs="Times New Roman"/>
    </w:rPr>
  </w:style>
  <w:style w:type="character" w:customStyle="1" w:styleId="99">
    <w:name w:val="15"/>
    <w:basedOn w:val="34"/>
    <w:qFormat/>
    <w:uiPriority w:val="0"/>
    <w:rPr>
      <w:rFonts w:hint="default" w:ascii="Times New Roman" w:hAnsi="Times New Roman" w:cs="Times New Roman"/>
      <w:color w:val="000000"/>
      <w:sz w:val="21"/>
      <w:szCs w:val="21"/>
    </w:rPr>
  </w:style>
  <w:style w:type="character" w:customStyle="1" w:styleId="100">
    <w:name w:val="10"/>
    <w:basedOn w:val="34"/>
    <w:qFormat/>
    <w:uiPriority w:val="0"/>
    <w:rPr>
      <w:rFonts w:hint="default" w:ascii="Times New Roman" w:hAnsi="Times New Roman" w:cs="Times New Roman"/>
    </w:rPr>
  </w:style>
  <w:style w:type="paragraph" w:customStyle="1" w:styleId="101">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17.png"/><Relationship Id="rId33" Type="http://schemas.openxmlformats.org/officeDocument/2006/relationships/image" Target="media/image16.emf"/><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wmf"/><Relationship Id="rId27" Type="http://schemas.openxmlformats.org/officeDocument/2006/relationships/oleObject" Target="embeddings/oleObject4.bin"/><Relationship Id="rId26" Type="http://schemas.openxmlformats.org/officeDocument/2006/relationships/image" Target="media/image10.png"/><Relationship Id="rId25" Type="http://schemas.openxmlformats.org/officeDocument/2006/relationships/image" Target="media/image9.wmf"/><Relationship Id="rId24" Type="http://schemas.openxmlformats.org/officeDocument/2006/relationships/oleObject" Target="embeddings/oleObject3.bin"/><Relationship Id="rId23" Type="http://schemas.openxmlformats.org/officeDocument/2006/relationships/image" Target="media/image8.png"/><Relationship Id="rId22" Type="http://schemas.openxmlformats.org/officeDocument/2006/relationships/image" Target="media/image7.emf"/><Relationship Id="rId21" Type="http://schemas.openxmlformats.org/officeDocument/2006/relationships/oleObject" Target="embeddings/oleObject2.bin"/><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emf"/><Relationship Id="rId17" Type="http://schemas.openxmlformats.org/officeDocument/2006/relationships/oleObject" Target="embeddings/oleObject1.bin"/><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2238"/>
    <customShpInfo spid="_x0000_s2239"/>
    <customShpInfo spid="_x0000_s2237"/>
    <customShpInfo spid="_x0000_s2240"/>
    <customShpInfo spid="_x0000_s2236"/>
    <customShpInfo spid="_x0000_s2245"/>
    <customShpInfo spid="_x0000_s2246"/>
    <customShpInfo spid="_x0000_s2244"/>
  </customShpExts>
</s:customData>
</file>

<file path=customXml/item2.xml><?xml version="1.0" encoding="utf-8"?>
<contractReview xmlns="http://schemas.wps.cn/vas-ai-hub/contract-review">
  <reviewItems>
    <reviewItem>
      <errorID>fc14bf94-cd48-4935-97fc-a89927ddb083</errorID>
      <errorWord>“十四五期间”</errorWord>
      <group>L1_Political</group>
      <groupName>政治性问题</groupName>
      <ability>L2_Keyword</ability>
      <abilityName>固定表述</abilityName>
      <candidateList>
        <item>“十四五”期间</item>
      </candidateList>
      <explain>注意检查当前固定表述标点是否使用规范。</explain>
      <paraID>64E49ADB</paraID>
      <start>0</start>
      <end>7</end>
      <status>unmodified</status>
      <modifiedWord/>
      <trackRevisions>false</trackRevisions>
    </reviewItem>
    <reviewItem>
      <errorID>a099c131-acf2-4a40-8669-19b155b2a204</errorID>
      <errorWord>国民经济与社会发展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词汇“国民经济和社会发展”在特定场景下为固定表述形式，请确认此处的“国民经济与社会发展”是否存在不当。</explain>
      <paraID>2F4E2F42</paraID>
      <start>84</start>
      <end>93</end>
      <status>unmodified</status>
      <modifiedWord/>
      <trackRevisions>false</trackRevisions>
    </reviewItem>
    <reviewItem>
      <errorID>6ceda896-6ff3-47fc-83c0-a39b50c3f0e8</errorID>
      <errorWord>国民经济与社会发展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词汇“国民经济和社会发展”在特定场景下为固定表述形式，请确认此处的“国民经济与社会发展”是否存在不当。</explain>
      <paraID>2F4E2F42</paraID>
      <start>116</start>
      <end>125</end>
      <status>unmodified</status>
      <modifiedWord/>
      <trackRevisions>false</trackRevisions>
    </reviewItem>
    <reviewItem>
      <errorID>832a4362-f362-4cbd-a5f8-1ce3368d0f9b</errorID>
      <errorWord>法律、法规</errorWord>
      <group>L1_Word</group>
      <groupName>字词问题</groupName>
      <ability>L2_Typo</ability>
      <abilityName>字词错误</abilityName>
      <candidateList>
        <item>法律法规</item>
      </candidateList>
      <explain/>
      <paraID>3D673E39</paraID>
      <start>67</start>
      <end>72</end>
      <status>unmodified</status>
      <modifiedWord/>
      <trackRevisions>false</trackRevisions>
    </reviewItem>
    <reviewItem>
      <errorID>97da3d73-0d23-4062-9109-15bbed8d4c68</errorID>
      <errorWord>其它</errorWord>
      <group>L1_Word</group>
      <groupName>字词问题</groupName>
      <ability>L2_Alias</ability>
      <abilityName>也作/曾用词</abilityName>
      <candidateList>
        <item>其他</item>
      </candidateList>
      <explain>词汇[其它]为不规范表述或旧称，其规范书面表述为[其他]。</explain>
      <paraID>2561BE05</paraID>
      <start>4</start>
      <end>6</end>
      <status>unmodified</status>
      <modifiedWord/>
      <trackRevisions>false</trackRevisions>
    </reviewItem>
    <reviewItem>
      <errorID>e5a46cdf-0361-484b-bc70-48f804c44932</errorID>
      <errorWord>生态红线</errorWord>
      <group>L1_Political</group>
      <groupName>政治性问题</groupName>
      <ability>L2_Unpolitical</ability>
      <abilityName>政治敏感错误</abilityName>
      <candidateList>
        <item>生态保护红线</item>
      </candidateList>
      <explain/>
      <paraID>7C53597D</paraID>
      <start>97</start>
      <end>101</end>
      <status>unmodified</status>
      <modifiedWord/>
      <trackRevisions>false</trackRevisions>
    </reviewItem>
    <reviewItem>
      <errorID>a8127896-2a7f-46f1-8918-b32bd5e651c6</errorID>
      <errorWord>物</errorWord>
      <group>L1_Word</group>
      <groupName>字词问题</groupName>
      <ability>L2_Typo</ability>
      <abilityName>字词错误</abilityName>
      <candidateList>
        <item>物品</item>
      </candidateList>
      <explain/>
      <paraID>5BBDA390</paraID>
      <start>24</start>
      <end>25</end>
      <status>unmodified</status>
      <modifiedWord/>
      <trackRevisions>false</trackRevisions>
    </reviewItem>
    <reviewItem>
      <errorID>aaefc861-fbd0-4aef-becd-3764c358fdbc</errorID>
      <errorWord>上线</errorWord>
      <group>L1_Word</group>
      <groupName>字词问题</groupName>
      <ability>L2_Typo</ability>
      <abilityName>字词错误</abilityName>
      <candidateList>
        <item>上限</item>
      </candidateList>
      <explain/>
      <paraID>6E3295A2</paraID>
      <start>12</start>
      <end>14</end>
      <status>unmodified</status>
      <modifiedWord/>
      <trackRevisions>false</trackRevisions>
    </reviewItem>
    <reviewItem>
      <errorID>9a3ddf8c-251d-490c-aab1-d38c1fe920fc</errorID>
      <errorWord>生态红线</errorWord>
      <group>L1_Political</group>
      <groupName>政治性问题</groupName>
      <ability>L2_Unpolitical</ability>
      <abilityName>政治敏感错误</abilityName>
      <candidateList>
        <item>生态保护红线</item>
      </candidateList>
      <explain/>
      <paraID>1FC36F91</paraID>
      <start>6</start>
      <end>10</end>
      <status>unmodified</status>
      <modifiedWord/>
      <trackRevisions>false</trackRevisions>
    </reviewItem>
    <reviewItem>
      <errorID>632d02a0-e449-489a-9d87-57e805fe6589</errorID>
      <errorWord>生态红线</errorWord>
      <group>L1_Political</group>
      <groupName>政治性问题</groupName>
      <ability>L2_Unpolitical</ability>
      <abilityName>政治敏感错误</abilityName>
      <candidateList>
        <item>生态保护红线</item>
      </candidateList>
      <explain/>
      <paraID>513B6F8E</paraID>
      <start>6</start>
      <end>10</end>
      <status>unmodified</status>
      <modifiedWord/>
      <trackRevisions>false</trackRevisions>
    </reviewItem>
    <reviewItem>
      <errorID>8ea4a886-6601-4c38-bc7d-47917899cba1</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7CE030DE</paraID>
      <start>110</start>
      <end>117</end>
      <status>unmodified</status>
      <modifiedWord/>
      <trackRevisions>false</trackRevisions>
    </reviewItem>
    <reviewItem>
      <errorID>1847e3ca-2ef8-4f22-8831-e81dc6d6c753</errorID>
      <errorWord>法律、法规</errorWord>
      <group>L1_Word</group>
      <groupName>字词问题</groupName>
      <ability>L2_Typo</ability>
      <abilityName>字词错误</abilityName>
      <candidateList>
        <item>法律法规</item>
      </candidateList>
      <explain/>
      <paraID> 18541BE</paraID>
      <start>212</start>
      <end>217</end>
      <status>unmodified</status>
      <modifiedWord/>
      <trackRevisions>false</trackRevisions>
    </reviewItem>
    <reviewItem>
      <errorID>9f482f0a-3ebb-479f-a3c4-f360a464046e</errorID>
      <errorWord>焉耆县</errorWord>
      <group>L1_Knowledge</group>
      <groupName>知识性问题</groupName>
      <ability>L2_Location</ability>
      <abilityName>地名检查</abilityName>
      <candidateList>
        <item>焉耆回族自治县</item>
      </candidateList>
      <explain>自治区州县缩写不规范。《地名管理条例》第十八条规定，标识牌、公共平台发布的信息、各类公文证件、学习类公开出版物、地图、法律法规规定等场景范围内必须使用标准地名。</explain>
      <paraID>1C5065FF</paraID>
      <start>48</start>
      <end>51</end>
      <status>unmodified</status>
      <modifiedWord/>
      <trackRevisions>false</trackRevisions>
    </reviewItem>
    <reviewItem>
      <errorID>94da29f1-3acd-4353-bbc1-5ed26ad2ce47</errorID>
      <errorWord>胶粘剂</errorWord>
      <group>L1_Word</group>
      <groupName>字词问题</groupName>
      <ability>L2_Typo</ability>
      <abilityName>字词错误</abilityName>
      <candidateList>
        <item>胶黏剂</item>
      </candidateList>
      <explain/>
      <paraID> A6896E5</paraID>
      <start>122</start>
      <end>125</end>
      <status>unmodified</status>
      <modifiedWord/>
      <trackRevisions>false</trackRevisions>
    </reviewItem>
    <reviewItem>
      <errorID>a7f6fa59-f0ca-449b-817a-c64a2fde07d7</errorID>
      <errorWord>大气污染处理</errorWord>
      <group>L1_Political</group>
      <groupName>政治性问题</groupName>
      <ability>L2_Keyword</ability>
      <abilityName>固定表述</abilityName>
      <candidateList>
        <item>大气污染治理</item>
      </candidateList>
      <explain>词汇“大气污染治理”在特定场景下为固定表述形式，请确认此处的“大气污染处理”是否存在不当。</explain>
      <paraID>42DA8484</paraID>
      <start>178</start>
      <end>184</end>
      <status>modified</status>
      <modifiedWord>大气污染治理</modifiedWord>
      <trackRevisions>false</trackRevisions>
    </reviewItem>
    <reviewItem>
      <errorID>acfbb946-7ab6-440f-9646-722eeae3cfa2</errorID>
      <errorWord>巩固脱贫攻坚成果</errorWord>
      <group>L1_Word</group>
      <groupName>字词问题</groupName>
      <ability>L2_Typo</ability>
      <abilityName>字词错误</abilityName>
      <candidateList>
        <item>巩固拓展脱贫攻坚成果</item>
      </candidateList>
      <explain/>
      <paraID>4251E2ED</paraID>
      <start>50</start>
      <end>58</end>
      <status>unmodified</status>
      <modifiedWord/>
      <trackRevisions>false</trackRevisions>
    </reviewItem>
    <reviewItem>
      <errorID>99d49e36-15dc-4ea3-9165-1e2a782fb35e</errorID>
      <errorWord>法律、法规</errorWord>
      <group>L1_Word</group>
      <groupName>字词问题</groupName>
      <ability>L2_Typo</ability>
      <abilityName>字词错误</abilityName>
      <candidateList>
        <item>法律法规</item>
      </candidateList>
      <explain/>
      <paraID> 768D1B8</paraID>
      <start>62</start>
      <end>67</end>
      <status>unmodified</status>
      <modifiedWord/>
      <trackRevisions>false</trackRevisions>
    </reviewItem>
    <reviewItem>
      <errorID>8ccfe1f0-d802-4314-a1a4-425543222d13</errorID>
      <errorWord>其它</errorWord>
      <group>L1_Word</group>
      <groupName>字词问题</groupName>
      <ability>L2_Alias</ability>
      <abilityName>也作/曾用词</abilityName>
      <candidateList>
        <item>其他</item>
      </candidateList>
      <explain>词汇[其它]为不规范表述或旧称，其规范书面表述为[其他]。</explain>
      <paraID> DAB94A0</paraID>
      <start>0</start>
      <end>2</end>
      <status>unmodified</status>
      <modifiedWord/>
      <trackRevisions>false</trackRevisions>
    </reviewItem>
    <reviewItem>
      <errorID>c23c1002-1c99-4927-89ea-4f0ef22bc7d0</errorID>
      <errorWord>干化干化</errorWord>
      <group>L1_Word</group>
      <groupName>字词问题</groupName>
      <ability>L2_Typo</ability>
      <abilityName>字词错误</abilityName>
      <candidateList>
        <item>干化</item>
      </candidateList>
      <explain/>
      <paraID>3A76CB03</paraID>
      <start>631</start>
      <end>635</end>
      <status>unmodified</status>
      <modifiedWord/>
      <trackRevisions>false</trackRevisions>
    </reviewItem>
    <reviewItem>
      <errorID>17479a3b-ea27-44e0-b593-7b747f76ee0c</errorID>
      <errorWord>其它</errorWord>
      <group>L1_Word</group>
      <groupName>字词问题</groupName>
      <ability>L2_Alias</ability>
      <abilityName>也作/曾用词</abilityName>
      <candidateList>
        <item>其他</item>
      </candidateList>
      <explain>词汇[其它]为不规范表述或旧称，其规范书面表述为[其他]。</explain>
      <paraID>19F22BB5</paraID>
      <start>159</start>
      <end>161</end>
      <status>unmodified</status>
      <modifiedWord/>
      <trackRevisions>false</trackRevisions>
    </reviewItem>
    <reviewItem>
      <errorID>c3bdd33f-60d3-4a8b-a7b1-1f8bc328419d</errorID>
      <errorWord>其它</errorWord>
      <group>L1_Word</group>
      <groupName>字词问题</groupName>
      <ability>L2_Alias</ability>
      <abilityName>也作/曾用词</abilityName>
      <candidateList>
        <item>其他</item>
      </candidateList>
      <explain>词汇[其它]为不规范表述或旧称，其规范书面表述为[其他]。</explain>
      <paraID>  240BD9</paraID>
      <start>159</start>
      <end>161</end>
      <status>unmodified</status>
      <modifiedWord/>
      <trackRevisions>false</trackRevisions>
    </reviewItem>
    <reviewItem>
      <errorID>0d8ad2e8-3964-4434-9321-1e063439b1b0</errorID>
      <errorWord>其它</errorWord>
      <group>L1_Word</group>
      <groupName>字词问题</groupName>
      <ability>L2_Alias</ability>
      <abilityName>也作/曾用词</abilityName>
      <candidateList>
        <item>其他</item>
      </candidateList>
      <explain>词汇[其它]为不规范表述或旧称，其规范书面表述为[其他]。</explain>
      <paraID>  240BD9</paraID>
      <start>293</start>
      <end>295</end>
      <status>unmodified</status>
      <modifiedWord/>
      <trackRevisions>false</trackRevisions>
    </reviewItem>
    <reviewItem>
      <errorID>f470f211-90c2-4428-9781-c4df66bf4c45</errorID>
      <errorWord>后回覆</errorWord>
      <group>L1_Word</group>
      <groupName>字词问题</groupName>
      <ability>L2_Fanti</ability>
      <abilityName>繁转简</abilityName>
      <candidateList>
        <item>后回复</item>
      </candidateList>
      <explain/>
      <paraID>56419251</paraID>
      <start>35</start>
      <end>38</end>
      <status>unmodified</status>
      <modifiedWord/>
      <trackRevisions>false</trackRevisions>
    </reviewItem>
    <reviewItem>
      <errorID>ebae528c-e922-4420-b58f-c8619ab89125</errorID>
      <errorWord>交由有</errorWord>
      <group>L1_Word</group>
      <groupName>字词问题</groupName>
      <ability>L2_Typo</ability>
      <abilityName>字词错误</abilityName>
      <candidateList>
        <item>交由</item>
      </candidateList>
      <explain/>
      <paraID> 9F7D7BA</paraID>
      <start>91</start>
      <end>94</end>
      <status>unmodified</status>
      <modifiedWord/>
      <trackRevisions>false</trackRevisions>
    </reviewItem>
    <reviewItem>
      <errorID>094c1705-548c-4e07-bba5-f1fa528ae394</errorID>
      <errorWord>流</errorWord>
      <group>L1_Word</group>
      <groupName>字词问题</groupName>
      <ability>L2_Typo</ability>
      <abilityName>字词错误</abilityName>
      <candidateList>
        <item>流入</item>
      </candidateList>
      <explain/>
      <paraID>190AE88C</paraID>
      <start>113</start>
      <end>114</end>
      <status>unmodified</status>
      <modifiedWord/>
      <trackRevisions>false</trackRevisions>
    </reviewItem>
    <reviewItem>
      <errorID>67f3e5f1-7c30-47a1-9fbc-aecb78050cb6</errorID>
      <errorWord>交通部</errorWord>
      <group>L1_Knowledge</group>
      <groupName>知识性问题</groupName>
      <ability>L2_Knowledge</ability>
      <abilityName>其他知识</abilityName>
      <candidateList>
        <item>交通运输部</item>
      </candidateList>
      <explain/>
      <paraID>12EE4064</paraID>
      <start>288</start>
      <end>291</end>
      <status>unmodified</status>
      <modifiedWord/>
      <trackRevisions>false</trackRevisions>
    </reviewItem>
    <reviewItem>
      <errorID>6071bdee-f16f-4ffd-9b26-4af3e5fde541</errorID>
      <errorWord>其它</errorWord>
      <group>L1_Word</group>
      <groupName>字词问题</groupName>
      <ability>L2_Alias</ability>
      <abilityName>也作/曾用词</abilityName>
      <candidateList>
        <item>其他</item>
      </candidateList>
      <explain>词汇[其它]为不规范表述或旧称，其规范书面表述为[其他]。</explain>
      <paraID> F396D49</paraID>
      <start>23</start>
      <end>25</end>
      <status>unmodified</status>
      <modifiedWord/>
      <trackRevisions>false</trackRevisions>
    </reviewItem>
    <reviewItem>
      <errorID>8881e543-36b0-4779-b937-4e86ce1e8d32</errorID>
      <errorWord>烦琐</errorWord>
      <group>L1_Word</group>
      <groupName>字词问题</groupName>
      <ability>L2_Typo</ability>
      <abilityName>字词错误</abilityName>
      <candidateList>
        <item>繁琐</item>
      </candidateList>
      <explain>存在发音相同字词的误用。</explain>
      <paraID>6FC4BC8C</paraID>
      <start>50</start>
      <end>52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33d2eb-2ae0-4971-a424-a0b9aeea9dd9}">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183</Pages>
  <Words>29093</Words>
  <Characters>30325</Characters>
  <Lines>1</Lines>
  <Paragraphs>1</Paragraphs>
  <TotalTime>1</TotalTime>
  <ScaleCrop>false</ScaleCrop>
  <LinksUpToDate>false</LinksUpToDate>
  <CharactersWithSpaces>30551</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2019-12-26T09:26:00Z</dcterms:created>
  <dc:creator>xiaofei li</dc:creator>
  <cp:lastModifiedBy>Administrator</cp:lastModifiedBy>
  <cp:lastPrinted>2021-11-24T02:51:00Z</cp:lastPrinted>
  <dcterms:modified xsi:type="dcterms:W3CDTF">2026-09-29T04:02:11Z</dcterms:modified>
  <dc:title>建设项目环境影响报告表</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9154559321AB4E1B9DC93CD911BF96D3_13</vt:lpwstr>
  </property>
  <property fmtid="{D5CDD505-2E9C-101B-9397-08002B2CF9AE}" pid="4" name="KSOSaveFontToCloudKey">
    <vt:lpwstr>431138535_btnclosed</vt:lpwstr>
  </property>
  <property fmtid="{D5CDD505-2E9C-101B-9397-08002B2CF9AE}" pid="5" name="KSOTemplateDocerSaveRecord">
    <vt:lpwstr>eyJoZGlkIjoiZGQ3ZjkzOWE3Y2Y4ODM4NzYzMzRiYzQxZTI2ZTI3MjciLCJ1c2VySWQiOiI0MzAwMTQxNzYifQ==</vt:lpwstr>
  </property>
</Properties>
</file>