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34311">
      <w:pPr>
        <w:ind w:firstLine="420"/>
        <w:jc w:val="center"/>
        <w:rPr>
          <w:rFonts w:hint="eastAsia" w:ascii="宋体" w:hAnsi="宋体" w:eastAsia="宋体" w:cs="宋体"/>
          <w:sz w:val="72"/>
          <w:szCs w:val="72"/>
        </w:rPr>
      </w:pPr>
    </w:p>
    <w:p w14:paraId="2F9A8C9F">
      <w:pPr>
        <w:rPr>
          <w:rFonts w:hint="eastAsia" w:ascii="宋体" w:hAnsi="宋体" w:eastAsia="宋体" w:cs="宋体"/>
        </w:rPr>
      </w:pPr>
    </w:p>
    <w:p w14:paraId="5901113B">
      <w:pPr>
        <w:jc w:val="center"/>
        <w:rPr>
          <w:rFonts w:hint="eastAsia" w:ascii="宋体" w:hAnsi="宋体" w:eastAsia="宋体" w:cs="宋体"/>
          <w:sz w:val="52"/>
          <w:szCs w:val="52"/>
        </w:rPr>
      </w:pPr>
      <w:r>
        <w:rPr>
          <w:rFonts w:hint="eastAsia" w:ascii="宋体" w:hAnsi="宋体" w:eastAsia="宋体" w:cs="宋体"/>
          <w:sz w:val="52"/>
          <w:szCs w:val="52"/>
        </w:rPr>
        <w:t>建设项目</w:t>
      </w:r>
      <w:r>
        <w:rPr>
          <w:rFonts w:hint="eastAsia" w:ascii="宋体" w:hAnsi="宋体" w:cs="宋体"/>
          <w:sz w:val="52"/>
          <w:szCs w:val="52"/>
          <w:lang w:val="en-US" w:eastAsia="zh-CN"/>
        </w:rPr>
        <w:t>生态</w:t>
      </w:r>
      <w:r>
        <w:rPr>
          <w:rFonts w:hint="eastAsia" w:ascii="宋体" w:hAnsi="宋体" w:eastAsia="宋体" w:cs="宋体"/>
          <w:sz w:val="52"/>
          <w:szCs w:val="52"/>
        </w:rPr>
        <w:t>环境影响报告表</w:t>
      </w:r>
    </w:p>
    <w:p w14:paraId="2E4D0076">
      <w:pPr>
        <w:jc w:val="center"/>
        <w:rPr>
          <w:rFonts w:hint="eastAsia" w:ascii="宋体" w:hAnsi="宋体" w:eastAsia="宋体" w:cs="宋体"/>
          <w:sz w:val="48"/>
          <w:szCs w:val="48"/>
        </w:rPr>
      </w:pPr>
      <w:r>
        <w:rPr>
          <w:rFonts w:hint="eastAsia" w:ascii="宋体" w:hAnsi="宋体" w:eastAsia="宋体" w:cs="宋体"/>
          <w:sz w:val="48"/>
          <w:szCs w:val="48"/>
        </w:rPr>
        <w:t>（</w:t>
      </w:r>
      <w:r>
        <w:rPr>
          <w:rFonts w:hint="eastAsia" w:ascii="宋体" w:hAnsi="宋体" w:cs="宋体"/>
          <w:sz w:val="48"/>
          <w:szCs w:val="48"/>
          <w:lang w:val="en-US" w:eastAsia="zh-CN"/>
        </w:rPr>
        <w:t>污染</w:t>
      </w:r>
      <w:r>
        <w:rPr>
          <w:rFonts w:hint="eastAsia" w:ascii="宋体" w:hAnsi="宋体" w:eastAsia="宋体" w:cs="宋体"/>
          <w:sz w:val="48"/>
          <w:szCs w:val="48"/>
        </w:rPr>
        <w:t>影响类）</w:t>
      </w:r>
    </w:p>
    <w:p w14:paraId="1B626ACB"/>
    <w:p w14:paraId="4356A504"/>
    <w:p w14:paraId="1BC48300"/>
    <w:p w14:paraId="44B93766"/>
    <w:p w14:paraId="2A49395A"/>
    <w:p w14:paraId="1411FC16"/>
    <w:p w14:paraId="355FF4BF"/>
    <w:p w14:paraId="24A9A883"/>
    <w:p w14:paraId="7BBCE28B"/>
    <w:p w14:paraId="67456441"/>
    <w:p w14:paraId="18887600"/>
    <w:p w14:paraId="10CC23D6"/>
    <w:p w14:paraId="1E2F2C6C"/>
    <w:p w14:paraId="505681AB"/>
    <w:p w14:paraId="45AFF829">
      <w:pPr>
        <w:keepNext w:val="0"/>
        <w:keepLines w:val="0"/>
        <w:widowControl/>
        <w:suppressLineNumbers w:val="0"/>
        <w:jc w:val="center"/>
        <w:rPr>
          <w:rFonts w:hint="eastAsia" w:ascii="仿宋" w:hAnsi="仿宋" w:eastAsia="仿宋" w:cs="仿宋"/>
          <w:sz w:val="32"/>
          <w:szCs w:val="32"/>
          <w:highlight w:val="none"/>
          <w:u w:val="single"/>
        </w:rPr>
      </w:pPr>
      <w:r>
        <w:rPr>
          <w:rFonts w:hint="eastAsia" w:ascii="仿宋" w:hAnsi="仿宋" w:eastAsia="仿宋" w:cs="仿宋"/>
          <w:sz w:val="32"/>
          <w:szCs w:val="32"/>
        </w:rPr>
        <w:t>项目名称：</w:t>
      </w:r>
      <w:r>
        <w:rPr>
          <w:rFonts w:hint="eastAsia" w:ascii="仿宋" w:hAnsi="仿宋" w:eastAsia="仿宋" w:cs="仿宋"/>
          <w:sz w:val="32"/>
          <w:szCs w:val="32"/>
          <w:highlight w:val="none"/>
          <w:u w:val="single"/>
          <w:lang w:val="en-US" w:eastAsia="zh-CN"/>
        </w:rPr>
        <w:t>巴州博湖县仓储物流园基础设施建设项目</w:t>
      </w:r>
    </w:p>
    <w:p w14:paraId="66785EA6">
      <w:pPr>
        <w:rPr>
          <w:rFonts w:hint="eastAsia" w:ascii="仿宋" w:hAnsi="仿宋" w:eastAsia="仿宋" w:cs="仿宋"/>
          <w:sz w:val="32"/>
          <w:szCs w:val="32"/>
          <w:highlight w:val="none"/>
        </w:rPr>
      </w:pPr>
      <w:r>
        <w:rPr>
          <w:rFonts w:hint="eastAsia" w:ascii="仿宋" w:hAnsi="仿宋" w:eastAsia="仿宋" w:cs="仿宋"/>
          <w:sz w:val="32"/>
          <w:szCs w:val="32"/>
          <w:highlight w:val="none"/>
        </w:rPr>
        <w:t>建设单位（盖章）：</w:t>
      </w:r>
      <w:r>
        <w:rPr>
          <w:rFonts w:hint="eastAsia" w:ascii="仿宋" w:hAnsi="仿宋" w:eastAsia="仿宋" w:cs="仿宋"/>
          <w:sz w:val="32"/>
          <w:szCs w:val="32"/>
          <w:highlight w:val="none"/>
          <w:u w:val="single"/>
          <w:lang w:eastAsia="zh-CN"/>
        </w:rPr>
        <w:t>博湖县商务和工业信息化局</w:t>
      </w:r>
      <w:r>
        <w:rPr>
          <w:rFonts w:hint="eastAsia" w:ascii="仿宋" w:hAnsi="仿宋" w:eastAsia="仿宋" w:cs="仿宋"/>
          <w:sz w:val="32"/>
          <w:szCs w:val="32"/>
          <w:highlight w:val="none"/>
          <w:u w:val="single"/>
        </w:rPr>
        <w:t xml:space="preserve">      </w:t>
      </w:r>
    </w:p>
    <w:p w14:paraId="5190D226">
      <w:pPr>
        <w:rPr>
          <w:rFonts w:hint="eastAsia" w:ascii="仿宋" w:hAnsi="仿宋" w:eastAsia="仿宋" w:cs="仿宋"/>
          <w:sz w:val="32"/>
          <w:szCs w:val="32"/>
          <w:highlight w:val="none"/>
          <w:u w:val="single"/>
        </w:rPr>
      </w:pPr>
      <w:r>
        <w:rPr>
          <w:rFonts w:hint="eastAsia" w:ascii="仿宋" w:hAnsi="仿宋" w:eastAsia="仿宋" w:cs="仿宋"/>
          <w:sz w:val="32"/>
          <w:szCs w:val="32"/>
          <w:highlight w:val="none"/>
        </w:rPr>
        <w:t>编制日期：</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eastAsia="zh-CN"/>
        </w:rPr>
        <w:t>20</w:t>
      </w:r>
      <w:r>
        <w:rPr>
          <w:rFonts w:hint="eastAsia" w:ascii="仿宋" w:hAnsi="仿宋" w:eastAsia="仿宋" w:cs="仿宋"/>
          <w:sz w:val="32"/>
          <w:szCs w:val="32"/>
          <w:highlight w:val="none"/>
          <w:u w:val="single"/>
          <w:lang w:val="en-US" w:eastAsia="zh-CN"/>
        </w:rPr>
        <w:t>26</w:t>
      </w:r>
      <w:r>
        <w:rPr>
          <w:rFonts w:hint="eastAsia" w:ascii="仿宋" w:hAnsi="仿宋" w:eastAsia="仿宋" w:cs="仿宋"/>
          <w:sz w:val="32"/>
          <w:szCs w:val="32"/>
          <w:highlight w:val="none"/>
          <w:u w:val="single"/>
          <w:lang w:eastAsia="zh-CN"/>
        </w:rPr>
        <w:t>年</w:t>
      </w:r>
      <w:r>
        <w:rPr>
          <w:rFonts w:hint="eastAsia" w:ascii="仿宋" w:hAnsi="仿宋" w:eastAsia="仿宋" w:cs="仿宋"/>
          <w:sz w:val="32"/>
          <w:szCs w:val="32"/>
          <w:highlight w:val="none"/>
          <w:u w:val="single"/>
          <w:lang w:val="en-US" w:eastAsia="zh-CN"/>
        </w:rPr>
        <w:t>8</w:t>
      </w:r>
      <w:r>
        <w:rPr>
          <w:rFonts w:hint="eastAsia" w:ascii="仿宋" w:hAnsi="仿宋" w:eastAsia="仿宋" w:cs="仿宋"/>
          <w:sz w:val="32"/>
          <w:szCs w:val="32"/>
          <w:highlight w:val="none"/>
          <w:u w:val="single"/>
          <w:lang w:eastAsia="zh-CN"/>
        </w:rPr>
        <w:t>月</w:t>
      </w:r>
      <w:r>
        <w:rPr>
          <w:rFonts w:hint="eastAsia" w:ascii="仿宋" w:hAnsi="仿宋" w:eastAsia="仿宋" w:cs="仿宋"/>
          <w:sz w:val="32"/>
          <w:szCs w:val="32"/>
          <w:highlight w:val="none"/>
          <w:u w:val="single"/>
        </w:rPr>
        <w:t xml:space="preserve">                  </w:t>
      </w:r>
    </w:p>
    <w:p w14:paraId="28036606">
      <w:pPr>
        <w:rPr>
          <w:highlight w:val="none"/>
        </w:rPr>
      </w:pPr>
      <w:bookmarkStart w:id="0" w:name="_Hlk57884087"/>
    </w:p>
    <w:bookmarkEnd w:id="0"/>
    <w:p w14:paraId="733D9FB3">
      <w:pPr>
        <w:jc w:val="center"/>
        <w:rPr>
          <w:rFonts w:eastAsia="楷体_GB2312"/>
          <w:sz w:val="36"/>
          <w:szCs w:val="36"/>
          <w:highlight w:val="none"/>
        </w:rPr>
      </w:pPr>
    </w:p>
    <w:p w14:paraId="418B0DEF">
      <w:pPr>
        <w:jc w:val="center"/>
        <w:rPr>
          <w:rFonts w:eastAsia="楷体_GB2312"/>
          <w:sz w:val="36"/>
          <w:szCs w:val="36"/>
          <w:highlight w:val="none"/>
        </w:rPr>
      </w:pPr>
    </w:p>
    <w:p w14:paraId="2288AABA">
      <w:pPr>
        <w:jc w:val="center"/>
        <w:rPr>
          <w:rFonts w:eastAsia="楷体_GB2312"/>
          <w:sz w:val="36"/>
          <w:szCs w:val="36"/>
          <w:highlight w:val="none"/>
        </w:rPr>
      </w:pPr>
      <w:r>
        <w:rPr>
          <w:rFonts w:eastAsia="楷体_GB2312"/>
          <w:sz w:val="36"/>
          <w:szCs w:val="36"/>
          <w:highlight w:val="none"/>
        </w:rPr>
        <w:t>中华人民共和国生态环境部制</w:t>
      </w:r>
    </w:p>
    <w:p w14:paraId="2BF4F42C">
      <w:pPr>
        <w:pStyle w:val="19"/>
        <w:spacing w:before="0" w:beforeAutospacing="0" w:after="0" w:afterAutospacing="0"/>
        <w:jc w:val="center"/>
        <w:outlineLvl w:val="0"/>
        <w:rPr>
          <w:rFonts w:ascii="Times New Roman" w:hAnsi="Times New Roman" w:eastAsia="黑体"/>
          <w:snapToGrid w:val="0"/>
          <w:sz w:val="30"/>
          <w:szCs w:val="30"/>
          <w:highlight w:val="none"/>
        </w:rPr>
        <w:sectPr>
          <w:pgSz w:w="11906" w:h="16838"/>
          <w:pgMar w:top="1094" w:right="1361" w:bottom="1247" w:left="1667" w:header="851" w:footer="992" w:gutter="0"/>
          <w:pgBorders>
            <w:top w:val="none" w:sz="0" w:space="0"/>
            <w:left w:val="none" w:sz="0" w:space="0"/>
            <w:bottom w:val="none" w:sz="0" w:space="0"/>
            <w:right w:val="none" w:sz="0" w:space="0"/>
          </w:pgBorders>
          <w:pgNumType w:fmt="decimal" w:start="4"/>
          <w:cols w:space="720" w:num="1"/>
          <w:docGrid w:type="lines" w:linePitch="312" w:charSpace="0"/>
        </w:sectPr>
      </w:pPr>
    </w:p>
    <w:p w14:paraId="0A2AC1F3">
      <w:pPr>
        <w:pStyle w:val="19"/>
        <w:jc w:val="center"/>
        <w:outlineLvl w:val="0"/>
        <w:rPr>
          <w:rFonts w:hint="eastAsia" w:ascii="黑体" w:hAnsi="黑体" w:eastAsia="黑体"/>
          <w:snapToGrid w:val="0"/>
          <w:sz w:val="30"/>
          <w:szCs w:val="30"/>
        </w:rPr>
      </w:pPr>
      <w:r>
        <w:rPr>
          <w:rFonts w:hint="eastAsia" w:ascii="黑体" w:hAnsi="黑体" w:eastAsia="黑体"/>
          <w:snapToGrid w:val="0"/>
          <w:sz w:val="30"/>
          <w:szCs w:val="30"/>
        </w:rPr>
        <w:t>一、建设项目基本情况</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382"/>
        <w:gridCol w:w="1637"/>
        <w:gridCol w:w="2212"/>
        <w:gridCol w:w="2639"/>
      </w:tblGrid>
      <w:tr w14:paraId="3CFF94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2E8028D6">
            <w:pPr>
              <w:adjustRightInd w:val="0"/>
              <w:snapToGrid w:val="0"/>
              <w:jc w:val="center"/>
              <w:rPr>
                <w:rFonts w:hint="default" w:cs="宋体" w:asciiTheme="minorAscii" w:hAnsiTheme="minorAscii"/>
                <w:szCs w:val="21"/>
              </w:rPr>
            </w:pPr>
            <w:r>
              <w:rPr>
                <w:rFonts w:hint="default" w:cs="宋体" w:asciiTheme="minorAscii" w:hAnsiTheme="minorAscii"/>
                <w:szCs w:val="21"/>
              </w:rPr>
              <w:t>建设项目名称</w:t>
            </w:r>
          </w:p>
        </w:tc>
        <w:tc>
          <w:tcPr>
            <w:tcW w:w="6488" w:type="dxa"/>
            <w:gridSpan w:val="3"/>
            <w:noWrap w:val="0"/>
            <w:vAlign w:val="center"/>
          </w:tcPr>
          <w:p w14:paraId="15C6C26E">
            <w:pPr>
              <w:adjustRightInd w:val="0"/>
              <w:snapToGrid w:val="0"/>
              <w:jc w:val="center"/>
              <w:rPr>
                <w:rFonts w:hint="default" w:eastAsia="宋体" w:cs="宋体" w:asciiTheme="minorAscii" w:hAnsiTheme="minorAscii"/>
                <w:szCs w:val="21"/>
                <w:lang w:eastAsia="zh-CN"/>
              </w:rPr>
            </w:pPr>
            <w:r>
              <w:rPr>
                <w:rFonts w:hint="eastAsia" w:cs="宋体" w:asciiTheme="minorAscii" w:hAnsiTheme="minorAscii"/>
                <w:szCs w:val="21"/>
                <w:lang w:eastAsia="zh-CN"/>
              </w:rPr>
              <w:t>巴州博湖县仓储物流园基础设施建设项目</w:t>
            </w:r>
          </w:p>
        </w:tc>
      </w:tr>
      <w:tr w14:paraId="6A29A4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654BEB63">
            <w:pPr>
              <w:adjustRightInd w:val="0"/>
              <w:snapToGrid w:val="0"/>
              <w:jc w:val="center"/>
              <w:rPr>
                <w:rFonts w:hint="default" w:cs="宋体" w:asciiTheme="minorAscii" w:hAnsiTheme="minorAscii"/>
                <w:szCs w:val="21"/>
              </w:rPr>
            </w:pPr>
            <w:r>
              <w:rPr>
                <w:rFonts w:hint="default" w:cs="宋体" w:asciiTheme="minorAscii" w:hAnsiTheme="minorAscii"/>
                <w:szCs w:val="21"/>
              </w:rPr>
              <w:t>项目代码</w:t>
            </w:r>
          </w:p>
        </w:tc>
        <w:tc>
          <w:tcPr>
            <w:tcW w:w="6488" w:type="dxa"/>
            <w:gridSpan w:val="3"/>
            <w:noWrap w:val="0"/>
            <w:vAlign w:val="center"/>
          </w:tcPr>
          <w:p w14:paraId="437F509D">
            <w:pPr>
              <w:adjustRightInd w:val="0"/>
              <w:snapToGrid w:val="0"/>
              <w:jc w:val="center"/>
              <w:rPr>
                <w:rFonts w:hint="default" w:cs="宋体" w:asciiTheme="minorAscii" w:hAnsiTheme="minorAscii"/>
                <w:szCs w:val="21"/>
              </w:rPr>
            </w:pPr>
          </w:p>
        </w:tc>
      </w:tr>
      <w:tr w14:paraId="1219F8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4D31FCCA">
            <w:pPr>
              <w:adjustRightInd w:val="0"/>
              <w:snapToGrid w:val="0"/>
              <w:jc w:val="center"/>
              <w:rPr>
                <w:rFonts w:hint="default" w:cs="宋体" w:asciiTheme="minorAscii" w:hAnsiTheme="minorAscii"/>
                <w:szCs w:val="21"/>
              </w:rPr>
            </w:pPr>
            <w:r>
              <w:rPr>
                <w:rFonts w:hint="default" w:cs="宋体" w:asciiTheme="minorAscii" w:hAnsiTheme="minorAscii"/>
                <w:szCs w:val="21"/>
              </w:rPr>
              <w:t>建设单位联系人</w:t>
            </w:r>
          </w:p>
        </w:tc>
        <w:tc>
          <w:tcPr>
            <w:tcW w:w="1637" w:type="dxa"/>
            <w:noWrap w:val="0"/>
            <w:vAlign w:val="center"/>
          </w:tcPr>
          <w:p w14:paraId="146A682D">
            <w:pPr>
              <w:adjustRightInd w:val="0"/>
              <w:snapToGrid w:val="0"/>
              <w:jc w:val="center"/>
              <w:rPr>
                <w:rFonts w:hint="default" w:cs="宋体" w:asciiTheme="minorAscii" w:hAnsiTheme="minorAscii"/>
                <w:szCs w:val="21"/>
              </w:rPr>
            </w:pPr>
          </w:p>
        </w:tc>
        <w:tc>
          <w:tcPr>
            <w:tcW w:w="2212" w:type="dxa"/>
            <w:noWrap w:val="0"/>
            <w:vAlign w:val="center"/>
          </w:tcPr>
          <w:p w14:paraId="74166711">
            <w:pPr>
              <w:adjustRightInd w:val="0"/>
              <w:snapToGrid w:val="0"/>
              <w:jc w:val="center"/>
              <w:rPr>
                <w:rFonts w:hint="default" w:cs="宋体" w:asciiTheme="minorAscii" w:hAnsiTheme="minorAscii"/>
                <w:szCs w:val="21"/>
              </w:rPr>
            </w:pPr>
            <w:r>
              <w:rPr>
                <w:rFonts w:hint="default" w:cs="宋体" w:asciiTheme="minorAscii" w:hAnsiTheme="minorAscii"/>
                <w:szCs w:val="21"/>
              </w:rPr>
              <w:t>联系方式</w:t>
            </w:r>
          </w:p>
        </w:tc>
        <w:tc>
          <w:tcPr>
            <w:tcW w:w="2639" w:type="dxa"/>
            <w:noWrap w:val="0"/>
            <w:vAlign w:val="center"/>
          </w:tcPr>
          <w:p w14:paraId="75FD7D5E">
            <w:pPr>
              <w:adjustRightInd w:val="0"/>
              <w:snapToGrid w:val="0"/>
              <w:jc w:val="center"/>
              <w:rPr>
                <w:rFonts w:hint="default" w:cs="宋体" w:asciiTheme="minorAscii" w:hAnsiTheme="minorAscii"/>
                <w:szCs w:val="21"/>
              </w:rPr>
            </w:pPr>
          </w:p>
        </w:tc>
      </w:tr>
      <w:tr w14:paraId="5646A1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0BA23550">
            <w:pPr>
              <w:adjustRightInd w:val="0"/>
              <w:snapToGrid w:val="0"/>
              <w:jc w:val="center"/>
              <w:rPr>
                <w:rFonts w:hint="default" w:cs="宋体" w:asciiTheme="minorAscii" w:hAnsiTheme="minorAscii"/>
                <w:szCs w:val="21"/>
              </w:rPr>
            </w:pPr>
            <w:r>
              <w:rPr>
                <w:rFonts w:hint="default" w:cs="宋体" w:asciiTheme="minorAscii" w:hAnsiTheme="minorAscii"/>
                <w:szCs w:val="21"/>
              </w:rPr>
              <w:t>建设地点</w:t>
            </w:r>
          </w:p>
        </w:tc>
        <w:tc>
          <w:tcPr>
            <w:tcW w:w="6488" w:type="dxa"/>
            <w:gridSpan w:val="3"/>
            <w:noWrap w:val="0"/>
            <w:vAlign w:val="center"/>
          </w:tcPr>
          <w:p w14:paraId="5A2CB2DB">
            <w:pPr>
              <w:adjustRightInd w:val="0"/>
              <w:snapToGrid w:val="0"/>
              <w:jc w:val="center"/>
              <w:rPr>
                <w:rFonts w:hint="default" w:cs="宋体" w:asciiTheme="minorAscii" w:hAnsiTheme="minorAscii"/>
                <w:szCs w:val="21"/>
                <w:lang w:val="en-US"/>
              </w:rPr>
            </w:pPr>
            <w:r>
              <w:rPr>
                <w:rFonts w:hint="default" w:cs="宋体" w:asciiTheme="minorAscii" w:hAnsiTheme="minorAscii"/>
                <w:szCs w:val="21"/>
              </w:rPr>
              <w:t>新疆巴州博湖县</w:t>
            </w:r>
            <w:r>
              <w:rPr>
                <w:rFonts w:hint="default" w:cs="宋体" w:asciiTheme="minorAscii" w:hAnsiTheme="minorAscii"/>
                <w:szCs w:val="21"/>
                <w:lang w:eastAsia="zh-CN"/>
              </w:rPr>
              <w:t>仓储物流园</w:t>
            </w:r>
          </w:p>
        </w:tc>
      </w:tr>
      <w:tr w14:paraId="058498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38B92B3D">
            <w:pPr>
              <w:adjustRightInd w:val="0"/>
              <w:snapToGrid w:val="0"/>
              <w:jc w:val="center"/>
              <w:rPr>
                <w:rFonts w:hint="default" w:cs="宋体" w:asciiTheme="minorAscii" w:hAnsiTheme="minorAscii"/>
                <w:szCs w:val="21"/>
              </w:rPr>
            </w:pPr>
            <w:r>
              <w:rPr>
                <w:rFonts w:hint="default" w:cs="宋体" w:asciiTheme="minorAscii" w:hAnsiTheme="minorAscii"/>
                <w:szCs w:val="21"/>
              </w:rPr>
              <w:t>地理坐标</w:t>
            </w:r>
          </w:p>
        </w:tc>
        <w:tc>
          <w:tcPr>
            <w:tcW w:w="6488" w:type="dxa"/>
            <w:gridSpan w:val="3"/>
            <w:noWrap w:val="0"/>
            <w:vAlign w:val="center"/>
          </w:tcPr>
          <w:p w14:paraId="4D4BA6B4">
            <w:pPr>
              <w:jc w:val="center"/>
              <w:rPr>
                <w:rFonts w:hint="default" w:cs="宋体" w:asciiTheme="minorAscii" w:hAnsiTheme="minorAscii"/>
                <w:szCs w:val="21"/>
              </w:rPr>
            </w:pPr>
          </w:p>
        </w:tc>
      </w:tr>
      <w:tr w14:paraId="32004F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382" w:type="dxa"/>
            <w:noWrap w:val="0"/>
            <w:tcMar>
              <w:top w:w="16" w:type="dxa"/>
              <w:left w:w="16" w:type="dxa"/>
              <w:right w:w="16" w:type="dxa"/>
            </w:tcMar>
            <w:vAlign w:val="center"/>
          </w:tcPr>
          <w:p w14:paraId="1D544901">
            <w:pPr>
              <w:adjustRightInd w:val="0"/>
              <w:snapToGrid w:val="0"/>
              <w:jc w:val="center"/>
              <w:rPr>
                <w:rFonts w:hint="default" w:cs="宋体" w:asciiTheme="minorAscii" w:hAnsiTheme="minorAscii"/>
                <w:szCs w:val="21"/>
              </w:rPr>
            </w:pPr>
            <w:r>
              <w:rPr>
                <w:rFonts w:hint="default" w:cs="宋体" w:asciiTheme="minorAscii" w:hAnsiTheme="minorAscii"/>
                <w:szCs w:val="21"/>
              </w:rPr>
              <w:t>国民经济</w:t>
            </w:r>
          </w:p>
          <w:p w14:paraId="451B54A6">
            <w:pPr>
              <w:adjustRightInd w:val="0"/>
              <w:snapToGrid w:val="0"/>
              <w:jc w:val="center"/>
              <w:rPr>
                <w:rFonts w:hint="default" w:cs="宋体" w:asciiTheme="minorAscii" w:hAnsiTheme="minorAscii"/>
                <w:szCs w:val="21"/>
              </w:rPr>
            </w:pPr>
            <w:r>
              <w:rPr>
                <w:rFonts w:hint="default" w:cs="宋体" w:asciiTheme="minorAscii" w:hAnsiTheme="minorAscii"/>
                <w:szCs w:val="21"/>
              </w:rPr>
              <w:t>行业类别</w:t>
            </w:r>
          </w:p>
        </w:tc>
        <w:tc>
          <w:tcPr>
            <w:tcW w:w="1637" w:type="dxa"/>
            <w:noWrap w:val="0"/>
            <w:vAlign w:val="center"/>
          </w:tcPr>
          <w:p w14:paraId="442A61D4">
            <w:pPr>
              <w:adjustRightInd w:val="0"/>
              <w:snapToGrid w:val="0"/>
              <w:jc w:val="center"/>
              <w:rPr>
                <w:rFonts w:hint="default" w:cs="宋体" w:asciiTheme="minorAscii" w:hAnsiTheme="minorAscii"/>
                <w:szCs w:val="21"/>
              </w:rPr>
            </w:pPr>
            <w:r>
              <w:rPr>
                <w:rFonts w:hint="default" w:cs="宋体" w:asciiTheme="minorAscii" w:hAnsiTheme="minorAscii"/>
                <w:szCs w:val="21"/>
              </w:rPr>
              <w:t>D4620污水处理及其再生利用</w:t>
            </w:r>
          </w:p>
        </w:tc>
        <w:tc>
          <w:tcPr>
            <w:tcW w:w="2212" w:type="dxa"/>
            <w:noWrap w:val="0"/>
            <w:vAlign w:val="center"/>
          </w:tcPr>
          <w:p w14:paraId="5C7F6AFB">
            <w:pPr>
              <w:adjustRightInd w:val="0"/>
              <w:snapToGrid w:val="0"/>
              <w:jc w:val="center"/>
              <w:rPr>
                <w:rFonts w:hint="default" w:cs="宋体" w:asciiTheme="minorAscii" w:hAnsiTheme="minorAscii"/>
                <w:szCs w:val="21"/>
              </w:rPr>
            </w:pPr>
            <w:bookmarkStart w:id="1" w:name="_Hlk49843745"/>
            <w:r>
              <w:rPr>
                <w:rFonts w:hint="default" w:cs="宋体" w:asciiTheme="minorAscii" w:hAnsiTheme="minorAscii"/>
                <w:szCs w:val="21"/>
              </w:rPr>
              <w:t>建设项目</w:t>
            </w:r>
          </w:p>
          <w:p w14:paraId="2B262E29">
            <w:pPr>
              <w:adjustRightInd w:val="0"/>
              <w:snapToGrid w:val="0"/>
              <w:jc w:val="center"/>
              <w:rPr>
                <w:rFonts w:hint="default" w:cs="宋体" w:asciiTheme="minorAscii" w:hAnsiTheme="minorAscii"/>
                <w:szCs w:val="21"/>
              </w:rPr>
            </w:pPr>
            <w:r>
              <w:rPr>
                <w:rFonts w:hint="default" w:cs="宋体" w:asciiTheme="minorAscii" w:hAnsiTheme="minorAscii"/>
                <w:szCs w:val="21"/>
              </w:rPr>
              <w:t>行业类别</w:t>
            </w:r>
            <w:bookmarkEnd w:id="1"/>
          </w:p>
        </w:tc>
        <w:tc>
          <w:tcPr>
            <w:tcW w:w="2639" w:type="dxa"/>
            <w:noWrap w:val="0"/>
            <w:vAlign w:val="center"/>
          </w:tcPr>
          <w:p w14:paraId="3AD86D1C">
            <w:pPr>
              <w:adjustRightInd w:val="0"/>
              <w:snapToGrid w:val="0"/>
              <w:jc w:val="center"/>
              <w:rPr>
                <w:rFonts w:hint="default" w:cs="宋体" w:asciiTheme="minorAscii" w:hAnsiTheme="minorAscii"/>
                <w:szCs w:val="21"/>
              </w:rPr>
            </w:pPr>
            <w:r>
              <w:rPr>
                <w:rFonts w:hint="default" w:cs="宋体" w:asciiTheme="minorAscii" w:hAnsiTheme="minorAscii"/>
                <w:szCs w:val="21"/>
              </w:rPr>
              <w:t>四十三、水的生产和供应业，95污水处理及再生利用，新建、扩建其他工业废水处理的（不含建设单位自建自用仅处理生活污水的；不含出水间接排入地表水体且不排放重金属的）</w:t>
            </w:r>
          </w:p>
        </w:tc>
      </w:tr>
      <w:tr w14:paraId="707A8B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382" w:type="dxa"/>
            <w:noWrap w:val="0"/>
            <w:tcMar>
              <w:top w:w="16" w:type="dxa"/>
              <w:left w:w="16" w:type="dxa"/>
              <w:right w:w="16" w:type="dxa"/>
            </w:tcMar>
            <w:vAlign w:val="center"/>
          </w:tcPr>
          <w:p w14:paraId="427C3F44">
            <w:pPr>
              <w:adjustRightInd w:val="0"/>
              <w:snapToGrid w:val="0"/>
              <w:jc w:val="center"/>
              <w:rPr>
                <w:rFonts w:hint="default" w:cs="宋体" w:asciiTheme="minorAscii" w:hAnsiTheme="minorAscii"/>
                <w:szCs w:val="21"/>
              </w:rPr>
            </w:pPr>
            <w:r>
              <w:rPr>
                <w:rFonts w:hint="default" w:cs="宋体" w:asciiTheme="minorAscii" w:hAnsiTheme="minorAscii"/>
                <w:szCs w:val="21"/>
              </w:rPr>
              <w:t>建设性质</w:t>
            </w:r>
          </w:p>
        </w:tc>
        <w:tc>
          <w:tcPr>
            <w:tcW w:w="1637" w:type="dxa"/>
            <w:noWrap w:val="0"/>
            <w:vAlign w:val="center"/>
          </w:tcPr>
          <w:p w14:paraId="2CEF2F00">
            <w:pPr>
              <w:jc w:val="left"/>
              <w:rPr>
                <w:rFonts w:hint="default" w:cs="宋体" w:asciiTheme="minorAscii" w:hAnsiTheme="minorAscii"/>
                <w:szCs w:val="21"/>
              </w:rPr>
            </w:pPr>
            <w:r>
              <w:rPr>
                <w:rFonts w:hint="default" w:cs="宋体" w:asciiTheme="minorAscii" w:hAnsiTheme="minorAscii"/>
                <w:szCs w:val="21"/>
              </w:rPr>
              <w:sym w:font="Wingdings" w:char="00A8"/>
            </w:r>
            <w:r>
              <w:rPr>
                <w:rFonts w:hint="default" w:cs="宋体" w:asciiTheme="minorAscii" w:hAnsiTheme="minorAscii"/>
                <w:szCs w:val="21"/>
              </w:rPr>
              <w:t>新建（迁建）</w:t>
            </w:r>
          </w:p>
          <w:p w14:paraId="505DCA3B">
            <w:pPr>
              <w:jc w:val="left"/>
              <w:rPr>
                <w:rFonts w:hint="default" w:cs="宋体" w:asciiTheme="minorAscii" w:hAnsiTheme="minorAscii"/>
                <w:szCs w:val="21"/>
              </w:rPr>
            </w:pPr>
            <w:r>
              <w:rPr>
                <w:rFonts w:hint="default" w:cs="宋体" w:asciiTheme="minorAscii" w:hAnsiTheme="minorAscii"/>
                <w:szCs w:val="21"/>
              </w:rPr>
              <w:sym w:font="Wingdings" w:char="00A8"/>
            </w:r>
            <w:r>
              <w:rPr>
                <w:rFonts w:hint="default" w:cs="宋体" w:asciiTheme="minorAscii" w:hAnsiTheme="minorAscii"/>
                <w:szCs w:val="21"/>
              </w:rPr>
              <w:t>改建</w:t>
            </w:r>
          </w:p>
          <w:p w14:paraId="53D31181">
            <w:pPr>
              <w:jc w:val="left"/>
              <w:rPr>
                <w:rFonts w:hint="default" w:cs="宋体" w:asciiTheme="minorAscii" w:hAnsiTheme="minorAscii"/>
                <w:szCs w:val="21"/>
              </w:rPr>
            </w:pPr>
            <w:r>
              <w:rPr>
                <w:rFonts w:hint="default" w:cs="宋体" w:asciiTheme="minorAscii" w:hAnsiTheme="minorAscii"/>
                <w:szCs w:val="21"/>
              </w:rPr>
              <w:sym w:font="Wingdings" w:char="00FE"/>
            </w:r>
            <w:r>
              <w:rPr>
                <w:rFonts w:hint="default" w:cs="宋体" w:asciiTheme="minorAscii" w:hAnsiTheme="minorAscii"/>
                <w:szCs w:val="21"/>
              </w:rPr>
              <w:t>扩建</w:t>
            </w:r>
          </w:p>
          <w:p w14:paraId="7846087A">
            <w:pPr>
              <w:jc w:val="left"/>
              <w:rPr>
                <w:rFonts w:hint="default" w:cs="宋体" w:asciiTheme="minorAscii" w:hAnsiTheme="minorAscii"/>
                <w:szCs w:val="21"/>
              </w:rPr>
            </w:pPr>
            <w:r>
              <w:rPr>
                <w:rFonts w:hint="default" w:cs="宋体" w:asciiTheme="minorAscii" w:hAnsiTheme="minorAscii"/>
                <w:szCs w:val="21"/>
              </w:rPr>
              <w:sym w:font="Wingdings" w:char="00A8"/>
            </w:r>
            <w:r>
              <w:rPr>
                <w:rFonts w:hint="default" w:cs="宋体" w:asciiTheme="minorAscii" w:hAnsiTheme="minorAscii"/>
                <w:szCs w:val="21"/>
              </w:rPr>
              <w:t>技术改造</w:t>
            </w:r>
          </w:p>
        </w:tc>
        <w:tc>
          <w:tcPr>
            <w:tcW w:w="2212" w:type="dxa"/>
            <w:noWrap w:val="0"/>
            <w:vAlign w:val="center"/>
          </w:tcPr>
          <w:p w14:paraId="7A320EE3">
            <w:pPr>
              <w:adjustRightInd w:val="0"/>
              <w:snapToGrid w:val="0"/>
              <w:jc w:val="center"/>
              <w:rPr>
                <w:rFonts w:hint="default" w:cs="宋体" w:asciiTheme="minorAscii" w:hAnsiTheme="minorAscii"/>
                <w:szCs w:val="21"/>
              </w:rPr>
            </w:pPr>
            <w:r>
              <w:rPr>
                <w:rFonts w:hint="default" w:cs="宋体" w:asciiTheme="minorAscii" w:hAnsiTheme="minorAscii"/>
                <w:szCs w:val="21"/>
              </w:rPr>
              <w:t>建设项目</w:t>
            </w:r>
          </w:p>
          <w:p w14:paraId="6B1DD97E">
            <w:pPr>
              <w:adjustRightInd w:val="0"/>
              <w:snapToGrid w:val="0"/>
              <w:jc w:val="center"/>
              <w:rPr>
                <w:rFonts w:hint="default" w:cs="宋体" w:asciiTheme="minorAscii" w:hAnsiTheme="minorAscii"/>
                <w:szCs w:val="21"/>
              </w:rPr>
            </w:pPr>
            <w:r>
              <w:rPr>
                <w:rFonts w:hint="default" w:cs="宋体" w:asciiTheme="minorAscii" w:hAnsiTheme="minorAscii"/>
                <w:szCs w:val="21"/>
              </w:rPr>
              <w:t>申报情形</w:t>
            </w:r>
          </w:p>
        </w:tc>
        <w:tc>
          <w:tcPr>
            <w:tcW w:w="2639" w:type="dxa"/>
            <w:noWrap w:val="0"/>
            <w:vAlign w:val="center"/>
          </w:tcPr>
          <w:p w14:paraId="35D796A5">
            <w:pPr>
              <w:jc w:val="left"/>
              <w:rPr>
                <w:rFonts w:hint="default" w:cs="宋体" w:asciiTheme="minorAscii" w:hAnsiTheme="minorAscii"/>
                <w:szCs w:val="21"/>
              </w:rPr>
            </w:pPr>
            <w:r>
              <w:rPr>
                <w:rFonts w:hint="default" w:cs="宋体" w:asciiTheme="minorAscii" w:hAnsiTheme="minorAscii"/>
                <w:szCs w:val="21"/>
              </w:rPr>
              <w:sym w:font="Wingdings" w:char="00FE"/>
            </w:r>
            <w:r>
              <w:rPr>
                <w:rFonts w:hint="default" w:cs="宋体" w:asciiTheme="minorAscii" w:hAnsiTheme="minorAscii"/>
                <w:szCs w:val="21"/>
              </w:rPr>
              <w:t xml:space="preserve">首次申报项目             </w:t>
            </w:r>
          </w:p>
          <w:p w14:paraId="16BDD77F">
            <w:pPr>
              <w:jc w:val="left"/>
              <w:rPr>
                <w:rFonts w:hint="default" w:cs="宋体" w:asciiTheme="minorAscii" w:hAnsiTheme="minorAscii"/>
                <w:szCs w:val="21"/>
              </w:rPr>
            </w:pPr>
            <w:r>
              <w:rPr>
                <w:rFonts w:hint="default" w:cs="宋体" w:asciiTheme="minorAscii" w:hAnsiTheme="minorAscii"/>
                <w:szCs w:val="21"/>
              </w:rPr>
              <w:sym w:font="Wingdings" w:char="00A8"/>
            </w:r>
            <w:r>
              <w:rPr>
                <w:rFonts w:hint="default" w:cs="宋体" w:asciiTheme="minorAscii" w:hAnsiTheme="minorAscii"/>
                <w:szCs w:val="21"/>
              </w:rPr>
              <w:t>不予批准后再次申报项目</w:t>
            </w:r>
          </w:p>
          <w:p w14:paraId="68507428">
            <w:pPr>
              <w:jc w:val="left"/>
              <w:rPr>
                <w:rFonts w:hint="default" w:cs="宋体" w:asciiTheme="minorAscii" w:hAnsiTheme="minorAscii"/>
                <w:szCs w:val="21"/>
              </w:rPr>
            </w:pPr>
            <w:r>
              <w:rPr>
                <w:rFonts w:hint="default" w:cs="宋体" w:asciiTheme="minorAscii" w:hAnsiTheme="minorAscii"/>
                <w:szCs w:val="21"/>
              </w:rPr>
              <w:sym w:font="Wingdings" w:char="00A8"/>
            </w:r>
            <w:r>
              <w:rPr>
                <w:rFonts w:hint="default" w:cs="宋体" w:asciiTheme="minorAscii" w:hAnsiTheme="minorAscii"/>
                <w:szCs w:val="21"/>
              </w:rPr>
              <w:t xml:space="preserve">超五年重新审核项目     </w:t>
            </w:r>
          </w:p>
          <w:p w14:paraId="2F2BDEAC">
            <w:pPr>
              <w:jc w:val="left"/>
              <w:rPr>
                <w:rFonts w:hint="default" w:cs="宋体" w:asciiTheme="minorAscii" w:hAnsiTheme="minorAscii"/>
                <w:szCs w:val="21"/>
              </w:rPr>
            </w:pPr>
            <w:r>
              <w:rPr>
                <w:rFonts w:hint="default" w:cs="宋体" w:asciiTheme="minorAscii" w:hAnsiTheme="minorAscii"/>
                <w:szCs w:val="21"/>
              </w:rPr>
              <w:sym w:font="Wingdings" w:char="00A8"/>
            </w:r>
            <w:r>
              <w:rPr>
                <w:rFonts w:hint="default" w:cs="宋体" w:asciiTheme="minorAscii" w:hAnsiTheme="minorAscii"/>
                <w:szCs w:val="21"/>
              </w:rPr>
              <w:t>重大变动重新报批项目</w:t>
            </w:r>
          </w:p>
        </w:tc>
      </w:tr>
      <w:tr w14:paraId="601736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382" w:type="dxa"/>
            <w:noWrap w:val="0"/>
            <w:tcMar>
              <w:top w:w="16" w:type="dxa"/>
              <w:left w:w="16" w:type="dxa"/>
              <w:right w:w="16" w:type="dxa"/>
            </w:tcMar>
            <w:vAlign w:val="center"/>
          </w:tcPr>
          <w:p w14:paraId="22E7B180">
            <w:pPr>
              <w:adjustRightInd w:val="0"/>
              <w:snapToGrid w:val="0"/>
              <w:jc w:val="center"/>
              <w:rPr>
                <w:rFonts w:hint="default" w:cs="宋体" w:asciiTheme="minorAscii" w:hAnsiTheme="minorAscii"/>
                <w:szCs w:val="21"/>
              </w:rPr>
            </w:pPr>
            <w:r>
              <w:rPr>
                <w:rFonts w:hint="default" w:cs="宋体" w:asciiTheme="minorAscii" w:hAnsiTheme="minorAscii"/>
                <w:szCs w:val="21"/>
              </w:rPr>
              <w:t>项目审批（核准/</w:t>
            </w:r>
          </w:p>
          <w:p w14:paraId="774A043E">
            <w:pPr>
              <w:adjustRightInd w:val="0"/>
              <w:snapToGrid w:val="0"/>
              <w:jc w:val="center"/>
              <w:rPr>
                <w:rFonts w:hint="default" w:cs="宋体" w:asciiTheme="minorAscii" w:hAnsiTheme="minorAscii"/>
                <w:szCs w:val="21"/>
              </w:rPr>
            </w:pPr>
            <w:r>
              <w:rPr>
                <w:rFonts w:hint="default" w:cs="宋体" w:asciiTheme="minorAscii" w:hAnsiTheme="minorAscii"/>
                <w:szCs w:val="21"/>
              </w:rPr>
              <w:t>备案）部门（选填）</w:t>
            </w:r>
          </w:p>
        </w:tc>
        <w:tc>
          <w:tcPr>
            <w:tcW w:w="1637" w:type="dxa"/>
            <w:noWrap w:val="0"/>
            <w:vAlign w:val="center"/>
          </w:tcPr>
          <w:p w14:paraId="3EBAA33F">
            <w:pPr>
              <w:adjustRightInd w:val="0"/>
              <w:snapToGrid w:val="0"/>
              <w:jc w:val="center"/>
              <w:rPr>
                <w:rFonts w:hint="default" w:cs="宋体" w:asciiTheme="minorAscii" w:hAnsiTheme="minorAscii"/>
                <w:szCs w:val="21"/>
              </w:rPr>
            </w:pPr>
            <w:r>
              <w:rPr>
                <w:rFonts w:hint="default" w:cs="宋体" w:asciiTheme="minorAscii" w:hAnsiTheme="minorAscii"/>
                <w:szCs w:val="21"/>
              </w:rPr>
              <w:t>博湖县发展和改革委员会</w:t>
            </w:r>
          </w:p>
        </w:tc>
        <w:tc>
          <w:tcPr>
            <w:tcW w:w="2212" w:type="dxa"/>
            <w:noWrap w:val="0"/>
            <w:vAlign w:val="center"/>
          </w:tcPr>
          <w:p w14:paraId="2A425983">
            <w:pPr>
              <w:adjustRightInd w:val="0"/>
              <w:snapToGrid w:val="0"/>
              <w:jc w:val="center"/>
              <w:rPr>
                <w:rFonts w:hint="default" w:cs="宋体" w:asciiTheme="minorAscii" w:hAnsiTheme="minorAscii"/>
                <w:szCs w:val="21"/>
              </w:rPr>
            </w:pPr>
            <w:r>
              <w:rPr>
                <w:rFonts w:hint="default" w:cs="宋体" w:asciiTheme="minorAscii" w:hAnsiTheme="minorAscii"/>
                <w:szCs w:val="21"/>
              </w:rPr>
              <w:t>项目审批（核准/</w:t>
            </w:r>
          </w:p>
          <w:p w14:paraId="3E88B0B7">
            <w:pPr>
              <w:adjustRightInd w:val="0"/>
              <w:snapToGrid w:val="0"/>
              <w:jc w:val="center"/>
              <w:rPr>
                <w:rFonts w:hint="default" w:cs="宋体" w:asciiTheme="minorAscii" w:hAnsiTheme="minorAscii"/>
                <w:szCs w:val="21"/>
              </w:rPr>
            </w:pPr>
            <w:r>
              <w:rPr>
                <w:rFonts w:hint="default" w:cs="宋体" w:asciiTheme="minorAscii" w:hAnsiTheme="minorAscii"/>
                <w:szCs w:val="21"/>
              </w:rPr>
              <w:t>备案）文号（选填）</w:t>
            </w:r>
          </w:p>
        </w:tc>
        <w:tc>
          <w:tcPr>
            <w:tcW w:w="2639" w:type="dxa"/>
            <w:noWrap w:val="0"/>
            <w:vAlign w:val="center"/>
          </w:tcPr>
          <w:p w14:paraId="78400E32">
            <w:pPr>
              <w:adjustRightInd w:val="0"/>
              <w:snapToGrid w:val="0"/>
              <w:jc w:val="center"/>
              <w:rPr>
                <w:rFonts w:hint="default" w:cs="宋体" w:asciiTheme="minorAscii" w:hAnsiTheme="minorAscii"/>
                <w:szCs w:val="21"/>
              </w:rPr>
            </w:pPr>
            <w:r>
              <w:rPr>
                <w:rFonts w:hint="default" w:cs="宋体" w:asciiTheme="minorAscii" w:hAnsiTheme="minorAscii"/>
                <w:szCs w:val="21"/>
              </w:rPr>
              <w:t>博发改项目发</w:t>
            </w:r>
            <w:r>
              <w:rPr>
                <w:rFonts w:hint="default" w:cs="宋体" w:asciiTheme="minorAscii" w:hAnsiTheme="minorAscii"/>
                <w:szCs w:val="21"/>
                <w:lang w:eastAsia="zh-CN"/>
              </w:rPr>
              <w:t>〔</w:t>
            </w:r>
            <w:r>
              <w:rPr>
                <w:rFonts w:hint="default" w:cs="宋体" w:asciiTheme="minorAscii" w:hAnsiTheme="minorAscii"/>
                <w:szCs w:val="21"/>
              </w:rPr>
              <w:t>2025</w:t>
            </w:r>
            <w:r>
              <w:rPr>
                <w:rFonts w:hint="default" w:cs="宋体" w:asciiTheme="minorAscii" w:hAnsiTheme="minorAscii"/>
                <w:szCs w:val="21"/>
                <w:lang w:eastAsia="zh-CN"/>
              </w:rPr>
              <w:t>〕</w:t>
            </w:r>
            <w:r>
              <w:rPr>
                <w:rFonts w:hint="default" w:cs="宋体" w:asciiTheme="minorAscii" w:hAnsiTheme="minorAscii"/>
                <w:szCs w:val="21"/>
              </w:rPr>
              <w:t>112号</w:t>
            </w:r>
          </w:p>
        </w:tc>
      </w:tr>
      <w:tr w14:paraId="0C05F5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1B5D4381">
            <w:pPr>
              <w:adjustRightInd w:val="0"/>
              <w:snapToGrid w:val="0"/>
              <w:jc w:val="center"/>
              <w:rPr>
                <w:rFonts w:hint="default" w:cs="宋体" w:asciiTheme="minorAscii" w:hAnsiTheme="minorAscii"/>
                <w:szCs w:val="21"/>
              </w:rPr>
            </w:pPr>
            <w:r>
              <w:rPr>
                <w:rFonts w:hint="default" w:cs="宋体" w:asciiTheme="minorAscii" w:hAnsiTheme="minorAscii"/>
                <w:szCs w:val="21"/>
              </w:rPr>
              <w:t>总投资（万元）</w:t>
            </w:r>
          </w:p>
        </w:tc>
        <w:tc>
          <w:tcPr>
            <w:tcW w:w="1637" w:type="dxa"/>
            <w:noWrap w:val="0"/>
            <w:vAlign w:val="center"/>
          </w:tcPr>
          <w:p w14:paraId="58814357">
            <w:pPr>
              <w:adjustRightInd w:val="0"/>
              <w:snapToGrid w:val="0"/>
              <w:jc w:val="center"/>
              <w:rPr>
                <w:rFonts w:hint="default" w:eastAsia="宋体" w:cs="宋体" w:asciiTheme="minorAscii" w:hAnsiTheme="minorAscii"/>
                <w:szCs w:val="21"/>
                <w:lang w:val="en-US" w:eastAsia="zh-CN"/>
              </w:rPr>
            </w:pPr>
            <w:r>
              <w:rPr>
                <w:rFonts w:hint="eastAsia" w:cs="宋体" w:asciiTheme="minorAscii" w:hAnsiTheme="minorAscii"/>
                <w:szCs w:val="21"/>
                <w:lang w:val="en-US" w:eastAsia="zh-CN"/>
              </w:rPr>
              <w:t>3750</w:t>
            </w:r>
          </w:p>
        </w:tc>
        <w:tc>
          <w:tcPr>
            <w:tcW w:w="2212" w:type="dxa"/>
            <w:noWrap w:val="0"/>
            <w:tcMar>
              <w:top w:w="16" w:type="dxa"/>
              <w:left w:w="16" w:type="dxa"/>
              <w:right w:w="16" w:type="dxa"/>
            </w:tcMar>
            <w:vAlign w:val="center"/>
          </w:tcPr>
          <w:p w14:paraId="1B0D5E63">
            <w:pPr>
              <w:adjustRightInd w:val="0"/>
              <w:snapToGrid w:val="0"/>
              <w:jc w:val="center"/>
              <w:rPr>
                <w:rFonts w:hint="default" w:cs="宋体" w:asciiTheme="minorAscii" w:hAnsiTheme="minorAscii"/>
                <w:szCs w:val="21"/>
              </w:rPr>
            </w:pPr>
            <w:r>
              <w:rPr>
                <w:rFonts w:hint="default" w:cs="宋体" w:asciiTheme="minorAscii" w:hAnsiTheme="minorAscii"/>
                <w:szCs w:val="21"/>
              </w:rPr>
              <w:t>环保投资（万元）</w:t>
            </w:r>
          </w:p>
        </w:tc>
        <w:tc>
          <w:tcPr>
            <w:tcW w:w="2639" w:type="dxa"/>
            <w:noWrap w:val="0"/>
            <w:vAlign w:val="center"/>
          </w:tcPr>
          <w:p w14:paraId="55606D84">
            <w:pPr>
              <w:adjustRightInd w:val="0"/>
              <w:snapToGrid w:val="0"/>
              <w:jc w:val="center"/>
              <w:rPr>
                <w:rFonts w:hint="default" w:eastAsia="宋体" w:cs="宋体" w:asciiTheme="minorAscii" w:hAnsiTheme="minorAscii"/>
                <w:szCs w:val="21"/>
                <w:lang w:val="en-US" w:eastAsia="zh-CN"/>
              </w:rPr>
            </w:pPr>
            <w:r>
              <w:rPr>
                <w:rFonts w:hint="eastAsia" w:cs="宋体" w:asciiTheme="minorAscii" w:hAnsiTheme="minorAscii"/>
                <w:szCs w:val="21"/>
                <w:lang w:val="en-US" w:eastAsia="zh-CN"/>
              </w:rPr>
              <w:t>133.5</w:t>
            </w:r>
          </w:p>
        </w:tc>
      </w:tr>
      <w:tr w14:paraId="66A8CC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34A73E50">
            <w:pPr>
              <w:adjustRightInd w:val="0"/>
              <w:snapToGrid w:val="0"/>
              <w:jc w:val="center"/>
              <w:rPr>
                <w:rFonts w:hint="default" w:cs="宋体" w:asciiTheme="minorAscii" w:hAnsiTheme="minorAscii"/>
                <w:szCs w:val="21"/>
              </w:rPr>
            </w:pPr>
            <w:r>
              <w:rPr>
                <w:rFonts w:hint="default" w:cs="宋体" w:asciiTheme="minorAscii" w:hAnsiTheme="minorAscii"/>
                <w:szCs w:val="21"/>
              </w:rPr>
              <w:t>环保投资占比（%）</w:t>
            </w:r>
          </w:p>
        </w:tc>
        <w:tc>
          <w:tcPr>
            <w:tcW w:w="1637" w:type="dxa"/>
            <w:noWrap w:val="0"/>
            <w:vAlign w:val="center"/>
          </w:tcPr>
          <w:p w14:paraId="5B04B4D7">
            <w:pPr>
              <w:adjustRightInd w:val="0"/>
              <w:snapToGrid w:val="0"/>
              <w:jc w:val="center"/>
              <w:rPr>
                <w:rFonts w:hint="default" w:eastAsia="宋体" w:cs="宋体" w:asciiTheme="minorAscii" w:hAnsiTheme="minorAscii"/>
                <w:szCs w:val="21"/>
                <w:lang w:val="en-US" w:eastAsia="zh-CN"/>
              </w:rPr>
            </w:pPr>
            <w:r>
              <w:rPr>
                <w:rFonts w:hint="eastAsia" w:cs="宋体" w:asciiTheme="minorAscii" w:hAnsiTheme="minorAscii"/>
                <w:szCs w:val="21"/>
                <w:lang w:val="en-US" w:eastAsia="zh-CN"/>
              </w:rPr>
              <w:t>3.6</w:t>
            </w:r>
          </w:p>
        </w:tc>
        <w:tc>
          <w:tcPr>
            <w:tcW w:w="2212" w:type="dxa"/>
            <w:noWrap w:val="0"/>
            <w:tcMar>
              <w:top w:w="16" w:type="dxa"/>
              <w:left w:w="16" w:type="dxa"/>
              <w:right w:w="16" w:type="dxa"/>
            </w:tcMar>
            <w:vAlign w:val="center"/>
          </w:tcPr>
          <w:p w14:paraId="2766A37A">
            <w:pPr>
              <w:adjustRightInd w:val="0"/>
              <w:snapToGrid w:val="0"/>
              <w:jc w:val="center"/>
              <w:rPr>
                <w:rFonts w:hint="default" w:cs="宋体" w:asciiTheme="minorAscii" w:hAnsiTheme="minorAscii"/>
                <w:szCs w:val="21"/>
              </w:rPr>
            </w:pPr>
            <w:r>
              <w:rPr>
                <w:rFonts w:hint="default" w:cs="宋体" w:asciiTheme="minorAscii" w:hAnsiTheme="minorAscii"/>
                <w:szCs w:val="21"/>
              </w:rPr>
              <w:t>施工工期</w:t>
            </w:r>
          </w:p>
        </w:tc>
        <w:tc>
          <w:tcPr>
            <w:tcW w:w="2639" w:type="dxa"/>
            <w:noWrap w:val="0"/>
            <w:vAlign w:val="center"/>
          </w:tcPr>
          <w:p w14:paraId="0A5D8842">
            <w:pPr>
              <w:adjustRightInd w:val="0"/>
              <w:snapToGrid w:val="0"/>
              <w:jc w:val="center"/>
              <w:rPr>
                <w:rFonts w:hint="default" w:cs="宋体" w:asciiTheme="minorAscii" w:hAnsiTheme="minorAscii"/>
                <w:szCs w:val="21"/>
                <w:lang w:val="en-US"/>
              </w:rPr>
            </w:pPr>
            <w:r>
              <w:rPr>
                <w:rFonts w:hint="default" w:cs="宋体" w:asciiTheme="minorAscii" w:hAnsiTheme="minorAscii"/>
                <w:szCs w:val="21"/>
                <w:lang w:val="en-US" w:eastAsia="zh-CN"/>
              </w:rPr>
              <w:t>6个月</w:t>
            </w:r>
          </w:p>
        </w:tc>
      </w:tr>
      <w:tr w14:paraId="51B6D0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3AC71720">
            <w:pPr>
              <w:adjustRightInd w:val="0"/>
              <w:snapToGrid w:val="0"/>
              <w:jc w:val="center"/>
              <w:rPr>
                <w:rFonts w:hint="default" w:cs="宋体" w:asciiTheme="minorAscii" w:hAnsiTheme="minorAscii"/>
                <w:szCs w:val="21"/>
              </w:rPr>
            </w:pPr>
            <w:r>
              <w:rPr>
                <w:rFonts w:hint="default" w:cs="宋体" w:asciiTheme="minorAscii" w:hAnsiTheme="minorAscii"/>
                <w:szCs w:val="21"/>
              </w:rPr>
              <w:t>是否开工建设</w:t>
            </w:r>
          </w:p>
        </w:tc>
        <w:tc>
          <w:tcPr>
            <w:tcW w:w="1637" w:type="dxa"/>
            <w:noWrap w:val="0"/>
            <w:vAlign w:val="center"/>
          </w:tcPr>
          <w:p w14:paraId="57CF40ED">
            <w:pPr>
              <w:adjustRightInd w:val="0"/>
              <w:snapToGrid w:val="0"/>
              <w:rPr>
                <w:rFonts w:hint="default" w:cs="宋体" w:asciiTheme="minorAscii" w:hAnsiTheme="minorAscii"/>
                <w:szCs w:val="21"/>
              </w:rPr>
            </w:pPr>
            <w:r>
              <w:rPr>
                <w:rFonts w:hint="default" w:cs="宋体" w:asciiTheme="minorAscii" w:hAnsiTheme="minorAscii"/>
                <w:szCs w:val="21"/>
              </w:rPr>
              <w:sym w:font="Wingdings" w:char="00FE"/>
            </w:r>
            <w:r>
              <w:rPr>
                <w:rFonts w:hint="default" w:cs="宋体" w:asciiTheme="minorAscii" w:hAnsiTheme="minorAscii"/>
                <w:szCs w:val="21"/>
              </w:rPr>
              <w:t>否</w:t>
            </w:r>
          </w:p>
          <w:p w14:paraId="00FECE96">
            <w:pPr>
              <w:adjustRightInd w:val="0"/>
              <w:snapToGrid w:val="0"/>
              <w:rPr>
                <w:rFonts w:hint="default" w:cs="宋体" w:asciiTheme="minorAscii" w:hAnsiTheme="minorAscii"/>
                <w:szCs w:val="21"/>
              </w:rPr>
            </w:pPr>
            <w:r>
              <w:rPr>
                <w:rFonts w:hint="default" w:cs="宋体" w:asciiTheme="minorAscii" w:hAnsiTheme="minorAscii"/>
                <w:szCs w:val="21"/>
              </w:rPr>
              <w:sym w:font="Wingdings" w:char="00A8"/>
            </w:r>
            <w:r>
              <w:rPr>
                <w:rFonts w:hint="default" w:cs="宋体" w:asciiTheme="minorAscii" w:hAnsiTheme="minorAscii"/>
                <w:szCs w:val="21"/>
              </w:rPr>
              <w:t>是：</w:t>
            </w:r>
            <w:r>
              <w:rPr>
                <w:rFonts w:hint="default" w:cs="宋体" w:asciiTheme="minorAscii" w:hAnsiTheme="minorAscii"/>
                <w:szCs w:val="21"/>
                <w:u w:val="single"/>
              </w:rPr>
              <w:t xml:space="preserve">             </w:t>
            </w:r>
          </w:p>
        </w:tc>
        <w:tc>
          <w:tcPr>
            <w:tcW w:w="2212" w:type="dxa"/>
            <w:noWrap w:val="0"/>
            <w:tcMar>
              <w:top w:w="16" w:type="dxa"/>
              <w:left w:w="16" w:type="dxa"/>
              <w:right w:w="16" w:type="dxa"/>
            </w:tcMar>
            <w:vAlign w:val="center"/>
          </w:tcPr>
          <w:p w14:paraId="0017E8F2">
            <w:pPr>
              <w:adjustRightInd w:val="0"/>
              <w:snapToGrid w:val="0"/>
              <w:jc w:val="center"/>
              <w:rPr>
                <w:rFonts w:hint="default" w:cs="宋体" w:asciiTheme="minorAscii" w:hAnsiTheme="minorAscii"/>
                <w:spacing w:val="-6"/>
                <w:szCs w:val="21"/>
              </w:rPr>
            </w:pPr>
            <w:r>
              <w:rPr>
                <w:rFonts w:hint="default" w:cs="宋体" w:asciiTheme="minorAscii" w:hAnsiTheme="minorAscii"/>
                <w:spacing w:val="-6"/>
                <w:szCs w:val="21"/>
              </w:rPr>
              <w:t>用地（用海）</w:t>
            </w:r>
          </w:p>
          <w:p w14:paraId="5F4D0ADC">
            <w:pPr>
              <w:adjustRightInd w:val="0"/>
              <w:snapToGrid w:val="0"/>
              <w:jc w:val="center"/>
              <w:rPr>
                <w:rFonts w:hint="default" w:cs="宋体" w:asciiTheme="minorAscii" w:hAnsiTheme="minorAscii"/>
                <w:szCs w:val="21"/>
              </w:rPr>
            </w:pPr>
            <w:r>
              <w:rPr>
                <w:rFonts w:hint="default" w:cs="宋体" w:asciiTheme="minorAscii" w:hAnsiTheme="minorAscii"/>
                <w:spacing w:val="-6"/>
                <w:szCs w:val="21"/>
              </w:rPr>
              <w:t>面积（m</w:t>
            </w:r>
            <w:r>
              <w:rPr>
                <w:rFonts w:hint="default" w:cs="宋体" w:asciiTheme="minorAscii" w:hAnsiTheme="minorAscii"/>
                <w:spacing w:val="-6"/>
                <w:szCs w:val="21"/>
                <w:vertAlign w:val="superscript"/>
              </w:rPr>
              <w:t>2</w:t>
            </w:r>
            <w:r>
              <w:rPr>
                <w:rFonts w:hint="default" w:cs="宋体" w:asciiTheme="minorAscii" w:hAnsiTheme="minorAscii"/>
                <w:spacing w:val="-6"/>
                <w:szCs w:val="21"/>
              </w:rPr>
              <w:t>）</w:t>
            </w:r>
          </w:p>
        </w:tc>
        <w:tc>
          <w:tcPr>
            <w:tcW w:w="2639" w:type="dxa"/>
            <w:noWrap w:val="0"/>
            <w:vAlign w:val="center"/>
          </w:tcPr>
          <w:p w14:paraId="63249E42">
            <w:pPr>
              <w:adjustRightInd w:val="0"/>
              <w:snapToGrid w:val="0"/>
              <w:jc w:val="center"/>
              <w:rPr>
                <w:rFonts w:hint="default" w:eastAsia="宋体" w:cs="宋体" w:asciiTheme="minorAscii" w:hAnsiTheme="minorAscii"/>
                <w:szCs w:val="21"/>
                <w:lang w:val="en-US" w:eastAsia="zh-CN"/>
              </w:rPr>
            </w:pPr>
            <w:r>
              <w:rPr>
                <w:rFonts w:hint="eastAsia" w:cs="宋体" w:asciiTheme="minorAscii" w:hAnsiTheme="minorAscii"/>
                <w:szCs w:val="21"/>
                <w:lang w:val="en-US" w:eastAsia="zh-CN"/>
              </w:rPr>
              <w:t>37485.92</w:t>
            </w:r>
          </w:p>
        </w:tc>
      </w:tr>
      <w:tr w14:paraId="375112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noWrap w:val="0"/>
            <w:vAlign w:val="center"/>
          </w:tcPr>
          <w:p w14:paraId="70701FFB">
            <w:pPr>
              <w:autoSpaceDE w:val="0"/>
              <w:autoSpaceDN w:val="0"/>
              <w:adjustRightInd w:val="0"/>
              <w:snapToGrid w:val="0"/>
              <w:jc w:val="center"/>
              <w:rPr>
                <w:rFonts w:hint="default" w:cs="宋体" w:asciiTheme="minorAscii" w:hAnsiTheme="minorAscii"/>
                <w:kern w:val="0"/>
                <w:szCs w:val="21"/>
              </w:rPr>
            </w:pPr>
            <w:r>
              <w:rPr>
                <w:rFonts w:hint="default" w:cs="宋体" w:asciiTheme="minorAscii" w:hAnsiTheme="minorAscii"/>
                <w:kern w:val="0"/>
                <w:szCs w:val="21"/>
              </w:rPr>
              <w:t>专项评价设置情况</w:t>
            </w:r>
          </w:p>
        </w:tc>
        <w:tc>
          <w:tcPr>
            <w:tcW w:w="6488" w:type="dxa"/>
            <w:gridSpan w:val="3"/>
            <w:noWrap w:val="0"/>
            <w:vAlign w:val="center"/>
          </w:tcPr>
          <w:p w14:paraId="053AFD2C">
            <w:pPr>
              <w:autoSpaceDE w:val="0"/>
              <w:autoSpaceDN w:val="0"/>
              <w:adjustRightInd w:val="0"/>
              <w:snapToGrid w:val="0"/>
              <w:jc w:val="center"/>
              <w:rPr>
                <w:rFonts w:hint="default" w:cs="宋体" w:asciiTheme="minorAscii" w:hAnsiTheme="minorAscii"/>
                <w:kern w:val="0"/>
                <w:szCs w:val="21"/>
              </w:rPr>
            </w:pPr>
            <w:r>
              <w:rPr>
                <w:rFonts w:hint="default" w:cs="宋体" w:asciiTheme="minorAscii" w:hAnsiTheme="minorAscii"/>
                <w:kern w:val="0"/>
                <w:szCs w:val="21"/>
              </w:rPr>
              <w:t>无</w:t>
            </w:r>
          </w:p>
        </w:tc>
      </w:tr>
      <w:tr w14:paraId="237249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noWrap w:val="0"/>
            <w:vAlign w:val="center"/>
          </w:tcPr>
          <w:p w14:paraId="1C53E9C3">
            <w:pPr>
              <w:autoSpaceDE w:val="0"/>
              <w:autoSpaceDN w:val="0"/>
              <w:adjustRightInd w:val="0"/>
              <w:snapToGrid w:val="0"/>
              <w:jc w:val="center"/>
              <w:rPr>
                <w:rFonts w:hint="default" w:cs="宋体" w:asciiTheme="minorAscii" w:hAnsiTheme="minorAscii"/>
                <w:kern w:val="0"/>
                <w:szCs w:val="21"/>
              </w:rPr>
            </w:pPr>
            <w:r>
              <w:rPr>
                <w:rFonts w:hint="default" w:cs="宋体" w:asciiTheme="minorAscii" w:hAnsiTheme="minorAscii"/>
                <w:szCs w:val="21"/>
              </w:rPr>
              <w:t>规划情况</w:t>
            </w:r>
          </w:p>
        </w:tc>
        <w:tc>
          <w:tcPr>
            <w:tcW w:w="6488" w:type="dxa"/>
            <w:gridSpan w:val="3"/>
            <w:noWrap w:val="0"/>
            <w:vAlign w:val="center"/>
          </w:tcPr>
          <w:p w14:paraId="3D017160">
            <w:pPr>
              <w:autoSpaceDE w:val="0"/>
              <w:autoSpaceDN w:val="0"/>
              <w:adjustRightInd w:val="0"/>
              <w:snapToGrid w:val="0"/>
              <w:jc w:val="center"/>
              <w:rPr>
                <w:rFonts w:hint="default" w:eastAsia="宋体" w:cs="宋体" w:asciiTheme="minorAscii" w:hAnsiTheme="minorAscii"/>
                <w:kern w:val="0"/>
                <w:szCs w:val="21"/>
                <w:lang w:val="en-US" w:eastAsia="zh-CN"/>
              </w:rPr>
            </w:pPr>
            <w:r>
              <w:rPr>
                <w:rFonts w:hint="default" w:eastAsia="宋体" w:asciiTheme="minorAscii" w:hAnsiTheme="minorAscii"/>
                <w:kern w:val="0"/>
                <w:szCs w:val="21"/>
                <w:lang w:val="en-US" w:eastAsia="zh-CN"/>
              </w:rPr>
              <w:t>无</w:t>
            </w:r>
          </w:p>
        </w:tc>
      </w:tr>
      <w:tr w14:paraId="120634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noWrap w:val="0"/>
            <w:vAlign w:val="center"/>
          </w:tcPr>
          <w:p w14:paraId="746BAB81">
            <w:pPr>
              <w:adjustRightInd w:val="0"/>
              <w:snapToGrid w:val="0"/>
              <w:jc w:val="center"/>
              <w:rPr>
                <w:rFonts w:hint="default" w:cs="宋体" w:asciiTheme="minorAscii" w:hAnsiTheme="minorAscii"/>
                <w:szCs w:val="21"/>
              </w:rPr>
            </w:pPr>
            <w:r>
              <w:rPr>
                <w:rFonts w:hint="default" w:cs="宋体" w:asciiTheme="minorAscii" w:hAnsiTheme="minorAscii"/>
                <w:szCs w:val="21"/>
              </w:rPr>
              <w:t>规划环境影响</w:t>
            </w:r>
          </w:p>
          <w:p w14:paraId="09BD469E">
            <w:pPr>
              <w:adjustRightInd w:val="0"/>
              <w:snapToGrid w:val="0"/>
              <w:jc w:val="center"/>
              <w:rPr>
                <w:rFonts w:hint="default" w:cs="宋体" w:asciiTheme="minorAscii" w:hAnsiTheme="minorAscii"/>
                <w:kern w:val="0"/>
                <w:szCs w:val="21"/>
              </w:rPr>
            </w:pPr>
            <w:r>
              <w:rPr>
                <w:rFonts w:hint="default" w:cs="宋体" w:asciiTheme="minorAscii" w:hAnsiTheme="minorAscii"/>
                <w:szCs w:val="21"/>
              </w:rPr>
              <w:t>评价情况</w:t>
            </w:r>
          </w:p>
        </w:tc>
        <w:tc>
          <w:tcPr>
            <w:tcW w:w="6488" w:type="dxa"/>
            <w:gridSpan w:val="3"/>
            <w:noWrap w:val="0"/>
            <w:vAlign w:val="center"/>
          </w:tcPr>
          <w:p w14:paraId="430121FC">
            <w:pPr>
              <w:autoSpaceDE w:val="0"/>
              <w:autoSpaceDN w:val="0"/>
              <w:adjustRightInd w:val="0"/>
              <w:snapToGrid w:val="0"/>
              <w:jc w:val="center"/>
              <w:rPr>
                <w:rFonts w:hint="default" w:cs="宋体" w:asciiTheme="minorAscii" w:hAnsiTheme="minorAscii"/>
                <w:kern w:val="0"/>
                <w:szCs w:val="21"/>
              </w:rPr>
            </w:pPr>
            <w:r>
              <w:rPr>
                <w:rFonts w:hint="default" w:eastAsia="宋体" w:cs="Times New Roman" w:asciiTheme="minorAscii" w:hAnsiTheme="minorAscii"/>
                <w:kern w:val="0"/>
                <w:szCs w:val="21"/>
                <w:lang w:val="en-US" w:eastAsia="zh-CN"/>
              </w:rPr>
              <w:t>无</w:t>
            </w:r>
          </w:p>
        </w:tc>
      </w:tr>
      <w:tr w14:paraId="575C9B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noWrap w:val="0"/>
            <w:vAlign w:val="center"/>
          </w:tcPr>
          <w:p w14:paraId="149C787B">
            <w:pPr>
              <w:autoSpaceDE w:val="0"/>
              <w:autoSpaceDN w:val="0"/>
              <w:adjustRightInd w:val="0"/>
              <w:snapToGrid w:val="0"/>
              <w:jc w:val="center"/>
              <w:rPr>
                <w:rFonts w:hint="default" w:cs="宋体" w:asciiTheme="minorAscii" w:hAnsiTheme="minorAscii"/>
                <w:kern w:val="0"/>
                <w:szCs w:val="21"/>
              </w:rPr>
            </w:pPr>
            <w:r>
              <w:rPr>
                <w:rFonts w:hint="default" w:cs="宋体" w:asciiTheme="minorAscii" w:hAnsiTheme="minorAscii"/>
                <w:kern w:val="0"/>
                <w:szCs w:val="21"/>
              </w:rPr>
              <w:t>规划及规划环境</w:t>
            </w:r>
          </w:p>
          <w:p w14:paraId="65F7572A">
            <w:pPr>
              <w:autoSpaceDE w:val="0"/>
              <w:autoSpaceDN w:val="0"/>
              <w:adjustRightInd w:val="0"/>
              <w:snapToGrid w:val="0"/>
              <w:jc w:val="center"/>
              <w:rPr>
                <w:rFonts w:hint="default" w:cs="宋体" w:asciiTheme="minorAscii" w:hAnsiTheme="minorAscii"/>
                <w:kern w:val="0"/>
                <w:szCs w:val="21"/>
              </w:rPr>
            </w:pPr>
            <w:r>
              <w:rPr>
                <w:rFonts w:hint="default" w:cs="宋体" w:asciiTheme="minorAscii" w:hAnsiTheme="minorAscii"/>
                <w:kern w:val="0"/>
                <w:szCs w:val="21"/>
              </w:rPr>
              <w:t>影响评价符合性分析</w:t>
            </w:r>
          </w:p>
        </w:tc>
        <w:tc>
          <w:tcPr>
            <w:tcW w:w="6488" w:type="dxa"/>
            <w:gridSpan w:val="3"/>
            <w:noWrap w:val="0"/>
            <w:vAlign w:val="center"/>
          </w:tcPr>
          <w:p w14:paraId="35197C6F">
            <w:pPr>
              <w:autoSpaceDE w:val="0"/>
              <w:autoSpaceDN w:val="0"/>
              <w:adjustRightInd w:val="0"/>
              <w:snapToGrid w:val="0"/>
              <w:jc w:val="center"/>
              <w:rPr>
                <w:rFonts w:hint="default" w:eastAsia="宋体" w:cs="宋体" w:asciiTheme="minorAscii" w:hAnsiTheme="minorAscii"/>
                <w:kern w:val="0"/>
                <w:szCs w:val="21"/>
                <w:lang w:val="en-US" w:eastAsia="zh-CN"/>
              </w:rPr>
            </w:pPr>
            <w:r>
              <w:rPr>
                <w:rFonts w:hint="default" w:cs="宋体" w:asciiTheme="minorAscii" w:hAnsiTheme="minorAscii"/>
                <w:kern w:val="0"/>
                <w:szCs w:val="21"/>
                <w:lang w:val="en-US" w:eastAsia="zh-CN"/>
              </w:rPr>
              <w:t>无</w:t>
            </w:r>
          </w:p>
        </w:tc>
      </w:tr>
      <w:tr w14:paraId="2A5AA6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noWrap w:val="0"/>
            <w:vAlign w:val="center"/>
          </w:tcPr>
          <w:p w14:paraId="72321265">
            <w:pPr>
              <w:autoSpaceDE w:val="0"/>
              <w:autoSpaceDN w:val="0"/>
              <w:adjustRightInd w:val="0"/>
              <w:snapToGrid w:val="0"/>
              <w:jc w:val="center"/>
              <w:rPr>
                <w:rFonts w:hint="default" w:cs="宋体" w:asciiTheme="minorAscii" w:hAnsiTheme="minorAscii"/>
                <w:kern w:val="0"/>
                <w:sz w:val="24"/>
              </w:rPr>
            </w:pPr>
            <w:r>
              <w:rPr>
                <w:rFonts w:hint="default" w:cs="宋体" w:asciiTheme="minorAscii" w:hAnsiTheme="minorAscii"/>
                <w:kern w:val="0"/>
                <w:sz w:val="24"/>
              </w:rPr>
              <w:t>其他符合性分析</w:t>
            </w:r>
          </w:p>
        </w:tc>
        <w:tc>
          <w:tcPr>
            <w:tcW w:w="6488" w:type="dxa"/>
            <w:gridSpan w:val="3"/>
            <w:noWrap w:val="0"/>
            <w:vAlign w:val="center"/>
          </w:tcPr>
          <w:p w14:paraId="5C7FE7E5">
            <w:pPr>
              <w:spacing w:line="520" w:lineRule="exact"/>
              <w:rPr>
                <w:rFonts w:hint="default" w:cs="宋体" w:asciiTheme="minorAscii" w:hAnsiTheme="minorAscii"/>
                <w:sz w:val="24"/>
              </w:rPr>
            </w:pPr>
            <w:r>
              <w:rPr>
                <w:rFonts w:hint="default" w:cs="宋体" w:asciiTheme="minorAscii" w:hAnsiTheme="minorAscii"/>
                <w:b/>
                <w:kern w:val="0"/>
                <w:sz w:val="24"/>
                <w:lang w:eastAsia="zh-CN"/>
              </w:rPr>
              <w:t>1.</w:t>
            </w:r>
            <w:r>
              <w:rPr>
                <w:rFonts w:hint="default" w:cs="宋体" w:asciiTheme="minorAscii" w:hAnsiTheme="minorAscii"/>
                <w:b/>
                <w:kern w:val="0"/>
                <w:sz w:val="24"/>
                <w:lang w:val="en-US" w:eastAsia="zh-CN"/>
              </w:rPr>
              <w:t>生态环境分区管控要求</w:t>
            </w:r>
            <w:r>
              <w:rPr>
                <w:rFonts w:hint="default" w:cs="宋体" w:asciiTheme="minorAscii" w:hAnsiTheme="minorAscii"/>
                <w:b/>
                <w:kern w:val="0"/>
                <w:sz w:val="24"/>
              </w:rPr>
              <w:t>符合性分析</w:t>
            </w:r>
          </w:p>
          <w:p w14:paraId="72D9332F">
            <w:pPr>
              <w:keepNext w:val="0"/>
              <w:keepLines w:val="0"/>
              <w:pageBreakBefore w:val="0"/>
              <w:widowControl w:val="0"/>
              <w:kinsoku/>
              <w:wordWrap/>
              <w:overflowPunct/>
              <w:topLinePunct w:val="0"/>
              <w:autoSpaceDE/>
              <w:autoSpaceDN/>
              <w:bidi w:val="0"/>
              <w:spacing w:line="480" w:lineRule="exact"/>
              <w:ind w:firstLine="480"/>
              <w:textAlignment w:val="auto"/>
              <w:rPr>
                <w:rFonts w:hint="default" w:eastAsia="黑体" w:cs="Calibri" w:asciiTheme="minorAscii" w:hAnsiTheme="minorAscii"/>
                <w:b/>
                <w:sz w:val="24"/>
                <w:szCs w:val="24"/>
              </w:rPr>
            </w:pPr>
            <w:r>
              <w:rPr>
                <w:rFonts w:hint="default" w:cs="Calibri" w:asciiTheme="minorAscii" w:hAnsiTheme="minorAscii"/>
                <w:sz w:val="24"/>
                <w:szCs w:val="24"/>
              </w:rPr>
              <w:t>（1）项目与《关于印发〈新疆维吾尔自治区生态环境分区管控动态更新成果〉的通知》（新环环评发〔2024〕157号）的相符性分析如下。</w:t>
            </w:r>
          </w:p>
          <w:p w14:paraId="380EE2F2">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eastAsia="宋体" w:cs="Times New Roman" w:asciiTheme="minorAscii" w:hAnsiTheme="minorAscii"/>
                <w:b/>
                <w:bCs/>
                <w:color w:val="auto"/>
                <w:sz w:val="24"/>
                <w:szCs w:val="24"/>
                <w:lang w:eastAsia="zh-CN"/>
              </w:rPr>
            </w:pPr>
            <w:r>
              <w:rPr>
                <w:rFonts w:hint="default" w:eastAsia="宋体" w:cs="Times New Roman" w:asciiTheme="minorAscii" w:hAnsiTheme="minorAscii"/>
                <w:b/>
                <w:bCs/>
                <w:color w:val="auto"/>
                <w:sz w:val="24"/>
                <w:szCs w:val="24"/>
                <w:lang w:eastAsia="zh-CN"/>
              </w:rPr>
              <w:t>表</w:t>
            </w:r>
            <w:r>
              <w:rPr>
                <w:rFonts w:hint="eastAsia" w:cs="Times New Roman" w:asciiTheme="minorAscii" w:hAnsiTheme="minorAscii"/>
                <w:b/>
                <w:bCs/>
                <w:color w:val="auto"/>
                <w:sz w:val="24"/>
                <w:szCs w:val="24"/>
                <w:lang w:val="en-US" w:eastAsia="zh-CN"/>
              </w:rPr>
              <w:t>1</w:t>
            </w:r>
            <w:r>
              <w:rPr>
                <w:rFonts w:hint="default" w:eastAsia="宋体" w:cs="Times New Roman" w:asciiTheme="minorAscii" w:hAnsiTheme="minorAscii"/>
                <w:b/>
                <w:bCs/>
                <w:color w:val="auto"/>
                <w:sz w:val="24"/>
                <w:szCs w:val="24"/>
                <w:lang w:val="en-US" w:eastAsia="zh-CN"/>
              </w:rPr>
              <w:t>-</w:t>
            </w:r>
            <w:r>
              <w:rPr>
                <w:rFonts w:hint="default" w:cs="Times New Roman" w:asciiTheme="minorAscii" w:hAnsiTheme="minorAscii"/>
                <w:b/>
                <w:bCs/>
                <w:color w:val="auto"/>
                <w:sz w:val="24"/>
                <w:szCs w:val="24"/>
                <w:lang w:val="en-US" w:eastAsia="zh-CN"/>
              </w:rPr>
              <w:t>1</w:t>
            </w:r>
            <w:r>
              <w:rPr>
                <w:rFonts w:hint="default" w:eastAsia="宋体" w:cs="Times New Roman" w:asciiTheme="minorAscii" w:hAnsiTheme="minorAscii"/>
                <w:b/>
                <w:bCs/>
                <w:color w:val="auto"/>
                <w:sz w:val="24"/>
                <w:szCs w:val="24"/>
                <w:lang w:val="en-US" w:eastAsia="zh-CN"/>
              </w:rPr>
              <w:t xml:space="preserve">  《新疆维吾尔自治区生态环境分区管控成果动态更新》</w:t>
            </w:r>
            <w:r>
              <w:rPr>
                <w:rFonts w:hint="default" w:eastAsia="宋体" w:cs="Times New Roman" w:asciiTheme="minorAscii" w:hAnsiTheme="minorAscii"/>
                <w:b/>
                <w:bCs/>
                <w:color w:val="auto"/>
                <w:sz w:val="24"/>
                <w:szCs w:val="24"/>
                <w:lang w:eastAsia="zh-CN"/>
              </w:rPr>
              <w:t>符合</w:t>
            </w:r>
            <w:r>
              <w:rPr>
                <w:rFonts w:hint="default" w:eastAsia="宋体" w:cs="Times New Roman" w:asciiTheme="minorAscii" w:hAnsiTheme="minorAscii"/>
                <w:b/>
                <w:bCs/>
                <w:color w:val="auto"/>
                <w:sz w:val="24"/>
                <w:szCs w:val="24"/>
                <w:lang w:val="en-US" w:eastAsia="zh-CN"/>
              </w:rPr>
              <w:t>性</w:t>
            </w:r>
            <w:r>
              <w:rPr>
                <w:rFonts w:hint="default" w:eastAsia="宋体" w:cs="Times New Roman" w:asciiTheme="minorAscii" w:hAnsiTheme="minorAscii"/>
                <w:b/>
                <w:bCs/>
                <w:color w:val="auto"/>
                <w:sz w:val="24"/>
                <w:szCs w:val="24"/>
                <w:lang w:eastAsia="zh-CN"/>
              </w:rPr>
              <w:t>分析</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89"/>
              <w:gridCol w:w="547"/>
              <w:gridCol w:w="2616"/>
              <w:gridCol w:w="1955"/>
              <w:gridCol w:w="552"/>
            </w:tblGrid>
            <w:tr w14:paraId="6796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2" w:hRule="atLeast"/>
                <w:jc w:val="center"/>
              </w:trPr>
              <w:tc>
                <w:tcPr>
                  <w:tcW w:w="907" w:type="pct"/>
                  <w:gridSpan w:val="2"/>
                  <w:tcBorders>
                    <w:top w:val="single" w:color="auto" w:sz="4" w:space="0"/>
                    <w:left w:val="single" w:color="auto" w:sz="4" w:space="0"/>
                    <w:bottom w:val="single" w:color="auto" w:sz="4" w:space="0"/>
                    <w:right w:val="single" w:color="auto" w:sz="4" w:space="0"/>
                  </w:tcBorders>
                  <w:noWrap w:val="0"/>
                  <w:vAlign w:val="center"/>
                </w:tcPr>
                <w:p w14:paraId="0DABFEA2">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管控维度</w:t>
                  </w:r>
                </w:p>
              </w:tc>
              <w:tc>
                <w:tcPr>
                  <w:tcW w:w="2089" w:type="pct"/>
                  <w:tcBorders>
                    <w:top w:val="single" w:color="auto" w:sz="4" w:space="0"/>
                    <w:left w:val="single" w:color="auto" w:sz="4" w:space="0"/>
                    <w:bottom w:val="single" w:color="auto" w:sz="4" w:space="0"/>
                    <w:right w:val="single" w:color="auto" w:sz="4" w:space="0"/>
                  </w:tcBorders>
                  <w:noWrap w:val="0"/>
                  <w:vAlign w:val="center"/>
                </w:tcPr>
                <w:p w14:paraId="6BD7848D">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管控要求</w:t>
                  </w:r>
                </w:p>
              </w:tc>
              <w:tc>
                <w:tcPr>
                  <w:tcW w:w="1561" w:type="pct"/>
                  <w:tcBorders>
                    <w:top w:val="single" w:color="auto" w:sz="4" w:space="0"/>
                    <w:left w:val="single" w:color="auto" w:sz="4" w:space="0"/>
                    <w:bottom w:val="single" w:color="auto" w:sz="4" w:space="0"/>
                    <w:right w:val="single" w:color="auto" w:sz="4" w:space="0"/>
                  </w:tcBorders>
                  <w:noWrap w:val="0"/>
                  <w:vAlign w:val="center"/>
                </w:tcPr>
                <w:p w14:paraId="7F979209">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eastAsia="zh-CN"/>
                    </w:rPr>
                  </w:pPr>
                  <w:r>
                    <w:rPr>
                      <w:rFonts w:hint="default" w:eastAsia="宋体" w:cs="Calibri" w:asciiTheme="minorAscii" w:hAnsiTheme="minorAscii"/>
                      <w:snapToGrid/>
                      <w:color w:val="000000"/>
                      <w:kern w:val="0"/>
                      <w:sz w:val="21"/>
                      <w:szCs w:val="21"/>
                      <w:lang w:eastAsia="zh-CN"/>
                    </w:rPr>
                    <w:t>本项目</w:t>
                  </w:r>
                </w:p>
              </w:tc>
              <w:tc>
                <w:tcPr>
                  <w:tcW w:w="441" w:type="pct"/>
                  <w:tcBorders>
                    <w:top w:val="single" w:color="auto" w:sz="4" w:space="0"/>
                    <w:left w:val="single" w:color="auto" w:sz="4" w:space="0"/>
                    <w:bottom w:val="single" w:color="auto" w:sz="4" w:space="0"/>
                    <w:right w:val="single" w:color="auto" w:sz="4" w:space="0"/>
                  </w:tcBorders>
                  <w:noWrap w:val="0"/>
                  <w:vAlign w:val="center"/>
                </w:tcPr>
                <w:p w14:paraId="785A64B6">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eastAsia="zh-CN"/>
                    </w:rPr>
                  </w:pPr>
                  <w:r>
                    <w:rPr>
                      <w:rFonts w:hint="default" w:eastAsia="宋体" w:cs="Calibri" w:asciiTheme="minorAscii" w:hAnsiTheme="minorAscii"/>
                      <w:snapToGrid/>
                      <w:color w:val="000000"/>
                      <w:kern w:val="0"/>
                      <w:sz w:val="21"/>
                      <w:szCs w:val="21"/>
                      <w:lang w:eastAsia="zh-CN"/>
                    </w:rPr>
                    <w:t>符合性</w:t>
                  </w:r>
                </w:p>
              </w:tc>
            </w:tr>
            <w:tr w14:paraId="6978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828" w:hRule="atLeast"/>
                <w:jc w:val="center"/>
              </w:trPr>
              <w:tc>
                <w:tcPr>
                  <w:tcW w:w="470" w:type="pct"/>
                  <w:vMerge w:val="restart"/>
                  <w:tcBorders>
                    <w:top w:val="single" w:color="auto" w:sz="4" w:space="0"/>
                    <w:left w:val="single" w:color="auto" w:sz="4" w:space="0"/>
                    <w:right w:val="single" w:color="auto" w:sz="4" w:space="0"/>
                  </w:tcBorders>
                  <w:noWrap w:val="0"/>
                  <w:vAlign w:val="center"/>
                </w:tcPr>
                <w:p w14:paraId="15A29567">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A1空间布局约束</w:t>
                  </w:r>
                </w:p>
              </w:tc>
              <w:tc>
                <w:tcPr>
                  <w:tcW w:w="437" w:type="pct"/>
                  <w:tcBorders>
                    <w:top w:val="single" w:color="auto" w:sz="4" w:space="0"/>
                    <w:left w:val="single" w:color="auto" w:sz="4" w:space="0"/>
                    <w:bottom w:val="single" w:color="auto" w:sz="4" w:space="0"/>
                    <w:right w:val="single" w:color="auto" w:sz="4" w:space="0"/>
                  </w:tcBorders>
                  <w:noWrap w:val="0"/>
                  <w:vAlign w:val="center"/>
                </w:tcPr>
                <w:p w14:paraId="2388B0ED">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A1.1禁止开发建设的活动</w:t>
                  </w:r>
                </w:p>
              </w:tc>
              <w:tc>
                <w:tcPr>
                  <w:tcW w:w="2089" w:type="pct"/>
                  <w:tcBorders>
                    <w:top w:val="single" w:color="auto" w:sz="4" w:space="0"/>
                    <w:left w:val="single" w:color="auto" w:sz="4" w:space="0"/>
                    <w:bottom w:val="single" w:color="auto" w:sz="4" w:space="0"/>
                    <w:right w:val="single" w:color="auto" w:sz="4" w:space="0"/>
                  </w:tcBorders>
                  <w:noWrap w:val="0"/>
                  <w:vAlign w:val="center"/>
                </w:tcPr>
                <w:p w14:paraId="2143A8E1">
                  <w:pPr>
                    <w:pStyle w:val="56"/>
                    <w:autoSpaceDE w:val="0"/>
                    <w:autoSpaceDN w:val="0"/>
                    <w:adjustRightInd w:val="0"/>
                    <w:snapToGrid w:val="0"/>
                    <w:spacing w:line="240" w:lineRule="auto"/>
                    <w:ind w:firstLineChars="0"/>
                    <w:jc w:val="left"/>
                    <w:rPr>
                      <w:rFonts w:hint="default" w:eastAsia="宋体" w:cs="Calibri" w:asciiTheme="minorAscii" w:hAnsiTheme="minorAscii"/>
                      <w:snapToGrid/>
                      <w:color w:val="000000"/>
                      <w:kern w:val="0"/>
                      <w:sz w:val="21"/>
                      <w:szCs w:val="21"/>
                      <w:lang w:eastAsia="zh-CN"/>
                    </w:rPr>
                  </w:pPr>
                  <w:r>
                    <w:rPr>
                      <w:rFonts w:hint="default" w:eastAsia="宋体" w:cs="Calibri" w:asciiTheme="minorAscii" w:hAnsiTheme="minorAscii"/>
                      <w:snapToGrid/>
                      <w:color w:val="000000"/>
                      <w:kern w:val="0"/>
                      <w:sz w:val="21"/>
                      <w:szCs w:val="21"/>
                      <w:lang w:eastAsia="zh-CN"/>
                    </w:rPr>
                    <w:t>〔A1.1-1〕禁止新建、扩建《产业结构调整指导目录（2024年本）》中淘汰类项目。禁止引入《市场准入负面清单（202</w:t>
                  </w:r>
                  <w:r>
                    <w:rPr>
                      <w:rFonts w:hint="default" w:cs="Calibri" w:asciiTheme="minorAscii" w:hAnsiTheme="minorAscii"/>
                      <w:snapToGrid/>
                      <w:color w:val="000000"/>
                      <w:kern w:val="0"/>
                      <w:sz w:val="21"/>
                      <w:szCs w:val="21"/>
                      <w:lang w:val="en-US" w:eastAsia="zh-CN"/>
                    </w:rPr>
                    <w:t>2</w:t>
                  </w:r>
                  <w:r>
                    <w:rPr>
                      <w:rFonts w:hint="default" w:eastAsia="宋体" w:cs="Calibri" w:asciiTheme="minorAscii" w:hAnsiTheme="minorAscii"/>
                      <w:snapToGrid/>
                      <w:color w:val="000000"/>
                      <w:kern w:val="0"/>
                      <w:sz w:val="21"/>
                      <w:szCs w:val="21"/>
                      <w:lang w:eastAsia="zh-CN"/>
                    </w:rPr>
                    <w:t>年版）》禁止准入类事项。〔A1.1-2〕禁止建设不符合国家和自治区环境保护标准的项目。〔A1.1-6〕禁止在自治区行政区域内引进能（水）耗不符合相关国家标准中准入值要求且污染物排放和环境风险防控不符合国家（地方）标准及有关产业准入条件的高污染（排放）、高能（水）耗、高环境风险的工业项目。</w:t>
                  </w:r>
                </w:p>
              </w:tc>
              <w:tc>
                <w:tcPr>
                  <w:tcW w:w="1561" w:type="pct"/>
                  <w:tcBorders>
                    <w:top w:val="single" w:color="auto" w:sz="4" w:space="0"/>
                    <w:left w:val="single" w:color="auto" w:sz="4" w:space="0"/>
                    <w:bottom w:val="single" w:color="auto" w:sz="4" w:space="0"/>
                    <w:right w:val="single" w:color="auto" w:sz="4" w:space="0"/>
                  </w:tcBorders>
                  <w:noWrap w:val="0"/>
                  <w:vAlign w:val="center"/>
                </w:tcPr>
                <w:p w14:paraId="2CDDC2E6">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eastAsia="zh-CN"/>
                    </w:rPr>
                    <w:t>本项目</w:t>
                  </w:r>
                  <w:r>
                    <w:rPr>
                      <w:rFonts w:hint="default" w:eastAsia="宋体" w:cs="Calibri" w:asciiTheme="minorAscii" w:hAnsiTheme="minorAscii"/>
                      <w:snapToGrid/>
                      <w:color w:val="000000"/>
                      <w:kern w:val="0"/>
                      <w:sz w:val="21"/>
                      <w:szCs w:val="21"/>
                      <w:lang w:val="en-US" w:eastAsia="zh-CN"/>
                    </w:rPr>
                    <w:t>不属于</w:t>
                  </w:r>
                  <w:r>
                    <w:rPr>
                      <w:rFonts w:hint="default" w:eastAsia="宋体" w:cs="Calibri" w:asciiTheme="minorAscii" w:hAnsiTheme="minorAscii"/>
                      <w:snapToGrid/>
                      <w:color w:val="000000"/>
                      <w:kern w:val="0"/>
                      <w:sz w:val="21"/>
                      <w:szCs w:val="21"/>
                      <w:lang w:eastAsia="zh-CN"/>
                    </w:rPr>
                    <w:t>《产业结构调整指导目录（2024年本）》中</w:t>
                  </w:r>
                  <w:r>
                    <w:rPr>
                      <w:rFonts w:hint="eastAsia" w:cs="Calibri" w:asciiTheme="minorAscii" w:hAnsiTheme="minorAscii"/>
                      <w:snapToGrid/>
                      <w:color w:val="000000"/>
                      <w:kern w:val="0"/>
                      <w:sz w:val="21"/>
                      <w:szCs w:val="21"/>
                      <w:lang w:val="en-US" w:eastAsia="zh-CN"/>
                    </w:rPr>
                    <w:t>禁止类、</w:t>
                  </w:r>
                  <w:r>
                    <w:rPr>
                      <w:rFonts w:hint="default" w:eastAsia="宋体" w:cs="Calibri" w:asciiTheme="minorAscii" w:hAnsiTheme="minorAscii"/>
                      <w:snapToGrid/>
                      <w:color w:val="000000"/>
                      <w:kern w:val="0"/>
                      <w:sz w:val="21"/>
                      <w:szCs w:val="21"/>
                      <w:lang w:eastAsia="zh-CN"/>
                    </w:rPr>
                    <w:t>淘汰类项目，</w:t>
                  </w:r>
                  <w:r>
                    <w:rPr>
                      <w:rFonts w:hint="default" w:eastAsia="宋体" w:cs="Calibri" w:asciiTheme="minorAscii" w:hAnsiTheme="minorAscii"/>
                      <w:snapToGrid/>
                      <w:color w:val="000000"/>
                      <w:kern w:val="0"/>
                      <w:sz w:val="21"/>
                      <w:szCs w:val="21"/>
                      <w:lang w:val="en-US" w:eastAsia="zh-CN"/>
                    </w:rPr>
                    <w:t>不属于</w:t>
                  </w:r>
                  <w:r>
                    <w:rPr>
                      <w:rFonts w:hint="default" w:eastAsia="宋体" w:cs="Calibri" w:asciiTheme="minorAscii" w:hAnsiTheme="minorAscii"/>
                      <w:snapToGrid/>
                      <w:color w:val="000000"/>
                      <w:kern w:val="0"/>
                      <w:sz w:val="21"/>
                      <w:szCs w:val="21"/>
                      <w:lang w:eastAsia="zh-CN"/>
                    </w:rPr>
                    <w:t>《市场准入负面清单（202</w:t>
                  </w:r>
                  <w:r>
                    <w:rPr>
                      <w:rFonts w:hint="default" w:cs="Calibri" w:asciiTheme="minorAscii" w:hAnsiTheme="minorAscii"/>
                      <w:snapToGrid/>
                      <w:color w:val="000000"/>
                      <w:kern w:val="0"/>
                      <w:sz w:val="21"/>
                      <w:szCs w:val="21"/>
                      <w:lang w:val="en-US" w:eastAsia="zh-CN"/>
                    </w:rPr>
                    <w:t>5</w:t>
                  </w:r>
                  <w:r>
                    <w:rPr>
                      <w:rFonts w:hint="default" w:eastAsia="宋体" w:cs="Calibri" w:asciiTheme="minorAscii" w:hAnsiTheme="minorAscii"/>
                      <w:snapToGrid/>
                      <w:color w:val="000000"/>
                      <w:kern w:val="0"/>
                      <w:sz w:val="21"/>
                      <w:szCs w:val="21"/>
                      <w:lang w:eastAsia="zh-CN"/>
                    </w:rPr>
                    <w:t>年版）》禁止准入类</w:t>
                  </w:r>
                  <w:r>
                    <w:rPr>
                      <w:rFonts w:hint="default" w:eastAsia="宋体" w:cs="Calibri" w:asciiTheme="minorAscii" w:hAnsiTheme="minorAscii"/>
                      <w:snapToGrid/>
                      <w:color w:val="000000"/>
                      <w:kern w:val="0"/>
                      <w:sz w:val="21"/>
                      <w:szCs w:val="21"/>
                      <w:lang w:val="en-US" w:eastAsia="zh-CN"/>
                    </w:rPr>
                    <w:t>项目，属于</w:t>
                  </w:r>
                  <w:r>
                    <w:rPr>
                      <w:rFonts w:hint="eastAsia" w:cs="Calibri" w:asciiTheme="minorAscii" w:hAnsiTheme="minorAscii"/>
                      <w:snapToGrid/>
                      <w:color w:val="000000"/>
                      <w:kern w:val="0"/>
                      <w:sz w:val="21"/>
                      <w:szCs w:val="21"/>
                      <w:lang w:val="en-US" w:eastAsia="zh-CN"/>
                    </w:rPr>
                    <w:t>允许类</w:t>
                  </w:r>
                  <w:r>
                    <w:rPr>
                      <w:rFonts w:hint="default" w:eastAsia="宋体" w:cs="Calibri" w:asciiTheme="minorAscii" w:hAnsiTheme="minorAscii"/>
                      <w:snapToGrid/>
                      <w:color w:val="000000"/>
                      <w:kern w:val="0"/>
                      <w:sz w:val="21"/>
                      <w:szCs w:val="21"/>
                      <w:lang w:val="en-US" w:eastAsia="zh-CN"/>
                    </w:rPr>
                    <w:t>，符合国家产业政策要求。本项目</w:t>
                  </w:r>
                  <w:r>
                    <w:rPr>
                      <w:rFonts w:hint="default" w:eastAsia="宋体" w:cs="Calibri" w:asciiTheme="minorAscii" w:hAnsiTheme="minorAscii"/>
                      <w:snapToGrid/>
                      <w:color w:val="000000"/>
                      <w:kern w:val="0"/>
                      <w:sz w:val="21"/>
                      <w:szCs w:val="21"/>
                      <w:lang w:eastAsia="zh-CN"/>
                    </w:rPr>
                    <w:t>符合国家和自治区环境保护标准。</w:t>
                  </w:r>
                  <w:r>
                    <w:rPr>
                      <w:rFonts w:hint="default" w:eastAsia="宋体" w:cs="Calibri" w:asciiTheme="minorAscii" w:hAnsiTheme="minorAscii"/>
                      <w:snapToGrid/>
                      <w:color w:val="000000"/>
                      <w:kern w:val="0"/>
                      <w:sz w:val="21"/>
                      <w:szCs w:val="21"/>
                      <w:lang w:val="en-US" w:eastAsia="zh-CN"/>
                    </w:rPr>
                    <w:t>本项目</w:t>
                  </w:r>
                  <w:r>
                    <w:rPr>
                      <w:rFonts w:hint="default" w:eastAsia="宋体" w:cs="Calibri" w:asciiTheme="minorAscii" w:hAnsiTheme="minorAscii"/>
                      <w:snapToGrid/>
                      <w:color w:val="000000"/>
                      <w:kern w:val="0"/>
                      <w:sz w:val="21"/>
                      <w:szCs w:val="21"/>
                      <w:lang w:eastAsia="zh-CN"/>
                    </w:rPr>
                    <w:t>污染物排放和环境风险防控符合相关国家标准中准入值要求。</w:t>
                  </w:r>
                </w:p>
              </w:tc>
              <w:tc>
                <w:tcPr>
                  <w:tcW w:w="441" w:type="pct"/>
                  <w:tcBorders>
                    <w:top w:val="single" w:color="auto" w:sz="4" w:space="0"/>
                    <w:left w:val="single" w:color="auto" w:sz="4" w:space="0"/>
                    <w:bottom w:val="single" w:color="auto" w:sz="4" w:space="0"/>
                    <w:right w:val="single" w:color="auto" w:sz="4" w:space="0"/>
                  </w:tcBorders>
                  <w:noWrap w:val="0"/>
                  <w:vAlign w:val="center"/>
                </w:tcPr>
                <w:p w14:paraId="56D4A9DE">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eastAsia="zh-CN"/>
                    </w:rPr>
                  </w:pPr>
                  <w:r>
                    <w:rPr>
                      <w:rFonts w:hint="default" w:eastAsia="宋体" w:cs="Calibri" w:asciiTheme="minorAscii" w:hAnsiTheme="minorAscii"/>
                      <w:snapToGrid/>
                      <w:color w:val="000000"/>
                      <w:kern w:val="0"/>
                      <w:sz w:val="21"/>
                      <w:szCs w:val="21"/>
                      <w:lang w:eastAsia="zh-CN"/>
                    </w:rPr>
                    <w:t>符合</w:t>
                  </w:r>
                </w:p>
              </w:tc>
            </w:tr>
            <w:tr w14:paraId="6E09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828" w:hRule="atLeast"/>
                <w:jc w:val="center"/>
              </w:trPr>
              <w:tc>
                <w:tcPr>
                  <w:tcW w:w="470" w:type="pct"/>
                  <w:vMerge w:val="continue"/>
                  <w:tcBorders>
                    <w:left w:val="single" w:color="auto" w:sz="4" w:space="0"/>
                    <w:right w:val="single" w:color="auto" w:sz="4" w:space="0"/>
                  </w:tcBorders>
                  <w:noWrap w:val="0"/>
                  <w:vAlign w:val="center"/>
                </w:tcPr>
                <w:p w14:paraId="33A9BD5A">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eastAsia="zh-CN"/>
                    </w:rPr>
                  </w:pPr>
                </w:p>
              </w:tc>
              <w:tc>
                <w:tcPr>
                  <w:tcW w:w="437" w:type="pct"/>
                  <w:tcBorders>
                    <w:top w:val="single" w:color="auto" w:sz="4" w:space="0"/>
                    <w:left w:val="single" w:color="auto" w:sz="4" w:space="0"/>
                    <w:bottom w:val="single" w:color="auto" w:sz="4" w:space="0"/>
                    <w:right w:val="single" w:color="auto" w:sz="4" w:space="0"/>
                  </w:tcBorders>
                  <w:noWrap w:val="0"/>
                  <w:vAlign w:val="center"/>
                </w:tcPr>
                <w:p w14:paraId="75273D23">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A1.2限制开发建设的活动</w:t>
                  </w:r>
                </w:p>
              </w:tc>
              <w:tc>
                <w:tcPr>
                  <w:tcW w:w="2089" w:type="pct"/>
                  <w:tcBorders>
                    <w:top w:val="single" w:color="auto" w:sz="4" w:space="0"/>
                    <w:left w:val="single" w:color="auto" w:sz="4" w:space="0"/>
                    <w:bottom w:val="single" w:color="auto" w:sz="4" w:space="0"/>
                    <w:right w:val="single" w:color="auto" w:sz="4" w:space="0"/>
                  </w:tcBorders>
                  <w:noWrap w:val="0"/>
                  <w:vAlign w:val="center"/>
                </w:tcPr>
                <w:p w14:paraId="34332C3A">
                  <w:pPr>
                    <w:pStyle w:val="56"/>
                    <w:autoSpaceDE w:val="0"/>
                    <w:autoSpaceDN w:val="0"/>
                    <w:adjustRightInd w:val="0"/>
                    <w:snapToGrid w:val="0"/>
                    <w:spacing w:line="240" w:lineRule="auto"/>
                    <w:ind w:firstLineChars="0"/>
                    <w:jc w:val="left"/>
                    <w:rPr>
                      <w:rFonts w:hint="default" w:eastAsia="宋体" w:cs="Calibri" w:asciiTheme="minorAscii" w:hAnsiTheme="minorAscii"/>
                      <w:snapToGrid/>
                      <w:color w:val="000000"/>
                      <w:kern w:val="0"/>
                      <w:sz w:val="21"/>
                      <w:szCs w:val="21"/>
                      <w:lang w:eastAsia="zh-CN"/>
                    </w:rPr>
                  </w:pPr>
                  <w:r>
                    <w:rPr>
                      <w:rFonts w:hint="default" w:eastAsia="宋体" w:cs="Calibri" w:asciiTheme="minorAscii" w:hAnsiTheme="minorAscii"/>
                      <w:snapToGrid/>
                      <w:color w:val="000000"/>
                      <w:kern w:val="0"/>
                      <w:sz w:val="21"/>
                      <w:szCs w:val="21"/>
                      <w:lang w:eastAsia="zh-CN"/>
                    </w:rPr>
                    <w:t>〔A1.2-2〕建设项目用地原则上不得占用永久基本农田，确需占用永久基本农田的建设项目须符合《中华人民共和国基本农田保护条例》中相关要求，占用耕地、林地或草地的建设项目须按照国家、自治区相关补偿要求进行补偿。〔A1.2-3〕以用途变更为住宅、公共管理与公共服务用地的地块为重点，严格建设用地准入管理和风险管控，未依法完成土壤污染状况调查或风险评估的地块，不得开工建设与风险管控和修复无关的项目。</w:t>
                  </w:r>
                </w:p>
              </w:tc>
              <w:tc>
                <w:tcPr>
                  <w:tcW w:w="1561" w:type="pct"/>
                  <w:tcBorders>
                    <w:top w:val="single" w:color="auto" w:sz="4" w:space="0"/>
                    <w:left w:val="single" w:color="auto" w:sz="4" w:space="0"/>
                    <w:bottom w:val="single" w:color="auto" w:sz="4" w:space="0"/>
                    <w:right w:val="single" w:color="auto" w:sz="4" w:space="0"/>
                  </w:tcBorders>
                  <w:noWrap w:val="0"/>
                  <w:vAlign w:val="center"/>
                </w:tcPr>
                <w:p w14:paraId="76BD9A1B">
                  <w:pPr>
                    <w:pStyle w:val="56"/>
                    <w:autoSpaceDE w:val="0"/>
                    <w:autoSpaceDN w:val="0"/>
                    <w:adjustRightInd w:val="0"/>
                    <w:snapToGrid w:val="0"/>
                    <w:spacing w:line="240" w:lineRule="auto"/>
                    <w:ind w:firstLineChars="0"/>
                    <w:jc w:val="left"/>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本项目</w:t>
                  </w:r>
                  <w:r>
                    <w:rPr>
                      <w:rFonts w:hint="default" w:eastAsia="宋体" w:cs="Calibri" w:asciiTheme="minorAscii" w:hAnsiTheme="minorAscii"/>
                      <w:snapToGrid/>
                      <w:color w:val="000000"/>
                      <w:kern w:val="0"/>
                      <w:sz w:val="21"/>
                      <w:szCs w:val="21"/>
                      <w:lang w:eastAsia="zh-CN"/>
                    </w:rPr>
                    <w:t>未涉及</w:t>
                  </w:r>
                  <w:r>
                    <w:rPr>
                      <w:rFonts w:hint="default" w:eastAsia="宋体" w:cs="Calibri" w:asciiTheme="minorAscii" w:hAnsiTheme="minorAscii"/>
                      <w:snapToGrid/>
                      <w:color w:val="000000"/>
                      <w:kern w:val="0"/>
                      <w:sz w:val="21"/>
                      <w:szCs w:val="21"/>
                      <w:lang w:val="en-US" w:eastAsia="zh-CN"/>
                    </w:rPr>
                    <w:t>基本农田、</w:t>
                  </w:r>
                  <w:r>
                    <w:rPr>
                      <w:rFonts w:hint="default" w:eastAsia="宋体" w:cs="Calibri" w:asciiTheme="minorAscii" w:hAnsiTheme="minorAscii"/>
                      <w:snapToGrid/>
                      <w:color w:val="000000"/>
                      <w:kern w:val="0"/>
                      <w:sz w:val="21"/>
                      <w:szCs w:val="21"/>
                      <w:lang w:eastAsia="zh-CN"/>
                    </w:rPr>
                    <w:t>林地、耕地、</w:t>
                  </w:r>
                  <w:r>
                    <w:rPr>
                      <w:rFonts w:hint="default" w:eastAsia="宋体" w:cs="Calibri" w:asciiTheme="minorAscii" w:hAnsiTheme="minorAscii"/>
                      <w:snapToGrid/>
                      <w:color w:val="000000"/>
                      <w:kern w:val="0"/>
                      <w:sz w:val="21"/>
                      <w:szCs w:val="21"/>
                      <w:lang w:val="en-US" w:eastAsia="zh-CN"/>
                    </w:rPr>
                    <w:t>草地、</w:t>
                  </w:r>
                  <w:r>
                    <w:rPr>
                      <w:rFonts w:hint="default" w:eastAsia="宋体" w:cs="Calibri" w:asciiTheme="minorAscii" w:hAnsiTheme="minorAscii"/>
                      <w:snapToGrid/>
                      <w:color w:val="000000"/>
                      <w:kern w:val="0"/>
                      <w:sz w:val="21"/>
                      <w:szCs w:val="21"/>
                      <w:lang w:eastAsia="zh-CN"/>
                    </w:rPr>
                    <w:t>基本农田保护区和自然保护区。</w:t>
                  </w:r>
                </w:p>
              </w:tc>
              <w:tc>
                <w:tcPr>
                  <w:tcW w:w="441" w:type="pct"/>
                  <w:tcBorders>
                    <w:top w:val="single" w:color="auto" w:sz="4" w:space="0"/>
                    <w:left w:val="single" w:color="auto" w:sz="4" w:space="0"/>
                    <w:bottom w:val="single" w:color="auto" w:sz="4" w:space="0"/>
                    <w:right w:val="single" w:color="auto" w:sz="4" w:space="0"/>
                  </w:tcBorders>
                  <w:noWrap w:val="0"/>
                  <w:vAlign w:val="center"/>
                </w:tcPr>
                <w:p w14:paraId="77986B5B">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eastAsia="zh-CN"/>
                    </w:rPr>
                  </w:pPr>
                  <w:r>
                    <w:rPr>
                      <w:rFonts w:hint="default" w:eastAsia="宋体" w:cs="Calibri" w:asciiTheme="minorAscii" w:hAnsiTheme="minorAscii"/>
                      <w:snapToGrid/>
                      <w:color w:val="000000"/>
                      <w:kern w:val="0"/>
                      <w:sz w:val="21"/>
                      <w:szCs w:val="21"/>
                      <w:lang w:eastAsia="zh-CN"/>
                    </w:rPr>
                    <w:t>符合</w:t>
                  </w:r>
                </w:p>
              </w:tc>
            </w:tr>
            <w:tr w14:paraId="3E19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191" w:hRule="atLeast"/>
                <w:jc w:val="center"/>
              </w:trPr>
              <w:tc>
                <w:tcPr>
                  <w:tcW w:w="470" w:type="pct"/>
                  <w:vMerge w:val="continue"/>
                  <w:tcBorders>
                    <w:left w:val="single" w:color="auto" w:sz="4" w:space="0"/>
                    <w:bottom w:val="single" w:color="auto" w:sz="4" w:space="0"/>
                    <w:right w:val="single" w:color="auto" w:sz="4" w:space="0"/>
                  </w:tcBorders>
                  <w:noWrap w:val="0"/>
                  <w:vAlign w:val="center"/>
                </w:tcPr>
                <w:p w14:paraId="15EDAE6D">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eastAsia="zh-CN"/>
                    </w:rPr>
                  </w:pPr>
                </w:p>
              </w:tc>
              <w:tc>
                <w:tcPr>
                  <w:tcW w:w="437" w:type="pct"/>
                  <w:tcBorders>
                    <w:top w:val="single" w:color="auto" w:sz="4" w:space="0"/>
                    <w:left w:val="single" w:color="auto" w:sz="4" w:space="0"/>
                    <w:bottom w:val="single" w:color="auto" w:sz="4" w:space="0"/>
                    <w:right w:val="single" w:color="auto" w:sz="4" w:space="0"/>
                  </w:tcBorders>
                  <w:noWrap w:val="0"/>
                  <w:vAlign w:val="center"/>
                </w:tcPr>
                <w:p w14:paraId="25E99B5A">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A1.4其他布局要求</w:t>
                  </w:r>
                </w:p>
              </w:tc>
              <w:tc>
                <w:tcPr>
                  <w:tcW w:w="2089" w:type="pct"/>
                  <w:tcBorders>
                    <w:top w:val="single" w:color="auto" w:sz="4" w:space="0"/>
                    <w:left w:val="single" w:color="auto" w:sz="4" w:space="0"/>
                    <w:bottom w:val="single" w:color="auto" w:sz="4" w:space="0"/>
                    <w:right w:val="single" w:color="auto" w:sz="4" w:space="0"/>
                  </w:tcBorders>
                  <w:noWrap w:val="0"/>
                  <w:vAlign w:val="center"/>
                </w:tcPr>
                <w:p w14:paraId="0E45F5D8">
                  <w:pPr>
                    <w:pStyle w:val="56"/>
                    <w:autoSpaceDE w:val="0"/>
                    <w:autoSpaceDN w:val="0"/>
                    <w:adjustRightInd w:val="0"/>
                    <w:snapToGrid w:val="0"/>
                    <w:spacing w:line="240" w:lineRule="auto"/>
                    <w:ind w:firstLineChars="0"/>
                    <w:jc w:val="left"/>
                    <w:rPr>
                      <w:rFonts w:hint="default" w:eastAsia="宋体" w:cs="Calibri" w:asciiTheme="minorAscii" w:hAnsiTheme="minorAscii"/>
                      <w:snapToGrid/>
                      <w:color w:val="000000"/>
                      <w:kern w:val="0"/>
                      <w:sz w:val="21"/>
                      <w:szCs w:val="21"/>
                      <w:lang w:eastAsia="zh-CN"/>
                    </w:rPr>
                  </w:pPr>
                  <w:r>
                    <w:rPr>
                      <w:rFonts w:hint="default" w:eastAsia="宋体" w:cs="Calibri" w:asciiTheme="minorAscii" w:hAnsiTheme="minorAscii"/>
                      <w:snapToGrid/>
                      <w:color w:val="000000"/>
                      <w:kern w:val="0"/>
                      <w:sz w:val="21"/>
                      <w:szCs w:val="21"/>
                      <w:lang w:eastAsia="zh-CN"/>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1561" w:type="pct"/>
                  <w:tcBorders>
                    <w:top w:val="single" w:color="auto" w:sz="4" w:space="0"/>
                    <w:left w:val="single" w:color="auto" w:sz="4" w:space="0"/>
                    <w:bottom w:val="single" w:color="auto" w:sz="4" w:space="0"/>
                    <w:right w:val="single" w:color="auto" w:sz="4" w:space="0"/>
                  </w:tcBorders>
                  <w:noWrap w:val="0"/>
                  <w:vAlign w:val="center"/>
                </w:tcPr>
                <w:p w14:paraId="72D346A7">
                  <w:pPr>
                    <w:pStyle w:val="56"/>
                    <w:autoSpaceDE w:val="0"/>
                    <w:autoSpaceDN w:val="0"/>
                    <w:adjustRightInd w:val="0"/>
                    <w:snapToGrid w:val="0"/>
                    <w:spacing w:line="240" w:lineRule="auto"/>
                    <w:ind w:firstLineChars="0"/>
                    <w:jc w:val="left"/>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eastAsia="zh-CN"/>
                    </w:rPr>
                    <w:t>项目</w:t>
                  </w:r>
                  <w:r>
                    <w:rPr>
                      <w:rFonts w:hint="default" w:eastAsia="宋体" w:cs="Calibri" w:asciiTheme="minorAscii" w:hAnsiTheme="minorAscii"/>
                      <w:snapToGrid/>
                      <w:color w:val="000000"/>
                      <w:kern w:val="0"/>
                      <w:sz w:val="21"/>
                      <w:szCs w:val="21"/>
                      <w:lang w:val="en-US" w:eastAsia="zh-CN"/>
                    </w:rPr>
                    <w:t>为工业污水处理站项目，符合生态环境功能区划、国民经济发展规划、产业发展规划、国土空间规划等相关规划及重点生态功能区负面清单要求</w:t>
                  </w:r>
                  <w:r>
                    <w:rPr>
                      <w:rFonts w:hint="default" w:eastAsia="宋体" w:cs="Calibri" w:asciiTheme="minorAscii" w:hAnsiTheme="minorAscii"/>
                      <w:snapToGrid/>
                      <w:color w:val="000000"/>
                      <w:kern w:val="0"/>
                      <w:sz w:val="21"/>
                      <w:szCs w:val="21"/>
                      <w:lang w:eastAsia="zh-CN"/>
                    </w:rPr>
                    <w:t>。</w:t>
                  </w:r>
                </w:p>
              </w:tc>
              <w:tc>
                <w:tcPr>
                  <w:tcW w:w="441" w:type="pct"/>
                  <w:tcBorders>
                    <w:top w:val="single" w:color="auto" w:sz="4" w:space="0"/>
                    <w:left w:val="single" w:color="auto" w:sz="4" w:space="0"/>
                    <w:bottom w:val="single" w:color="auto" w:sz="4" w:space="0"/>
                    <w:right w:val="single" w:color="auto" w:sz="4" w:space="0"/>
                  </w:tcBorders>
                  <w:noWrap w:val="0"/>
                  <w:vAlign w:val="center"/>
                </w:tcPr>
                <w:p w14:paraId="18950527">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eastAsia="zh-CN"/>
                    </w:rPr>
                  </w:pPr>
                  <w:r>
                    <w:rPr>
                      <w:rFonts w:hint="default" w:eastAsia="宋体" w:cs="Calibri" w:asciiTheme="minorAscii" w:hAnsiTheme="minorAscii"/>
                      <w:snapToGrid/>
                      <w:color w:val="000000"/>
                      <w:kern w:val="0"/>
                      <w:sz w:val="21"/>
                      <w:szCs w:val="21"/>
                      <w:lang w:eastAsia="zh-CN"/>
                    </w:rPr>
                    <w:t>符合</w:t>
                  </w:r>
                </w:p>
              </w:tc>
            </w:tr>
            <w:tr w14:paraId="70601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283" w:hRule="atLeast"/>
                <w:jc w:val="center"/>
              </w:trPr>
              <w:tc>
                <w:tcPr>
                  <w:tcW w:w="470" w:type="pct"/>
                  <w:tcBorders>
                    <w:top w:val="single" w:color="auto" w:sz="4" w:space="0"/>
                    <w:left w:val="single" w:color="auto" w:sz="4" w:space="0"/>
                    <w:right w:val="single" w:color="auto" w:sz="4" w:space="0"/>
                  </w:tcBorders>
                  <w:noWrap w:val="0"/>
                  <w:vAlign w:val="center"/>
                </w:tcPr>
                <w:p w14:paraId="3662A07B">
                  <w:pPr>
                    <w:pStyle w:val="56"/>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A2污染物排放管控</w:t>
                  </w:r>
                </w:p>
              </w:tc>
              <w:tc>
                <w:tcPr>
                  <w:tcW w:w="437" w:type="pct"/>
                  <w:tcBorders>
                    <w:top w:val="single" w:color="auto" w:sz="4" w:space="0"/>
                    <w:left w:val="single" w:color="auto" w:sz="4" w:space="0"/>
                    <w:bottom w:val="single" w:color="auto" w:sz="4" w:space="0"/>
                    <w:right w:val="single" w:color="auto" w:sz="4" w:space="0"/>
                  </w:tcBorders>
                  <w:noWrap w:val="0"/>
                  <w:vAlign w:val="center"/>
                </w:tcPr>
                <w:p w14:paraId="25F7251C">
                  <w:pPr>
                    <w:pStyle w:val="56"/>
                    <w:adjustRightInd w:val="0"/>
                    <w:snapToGrid w:val="0"/>
                    <w:spacing w:line="240" w:lineRule="auto"/>
                    <w:ind w:firstLineChars="0"/>
                    <w:jc w:val="center"/>
                    <w:rPr>
                      <w:rFonts w:hint="default" w:eastAsia="宋体" w:cs="Calibri" w:asciiTheme="minorAscii" w:hAnsiTheme="minorAscii"/>
                      <w:snapToGrid/>
                      <w:kern w:val="0"/>
                      <w:sz w:val="21"/>
                      <w:szCs w:val="21"/>
                      <w:lang w:val="en-US" w:eastAsia="zh-CN"/>
                    </w:rPr>
                  </w:pPr>
                  <w:r>
                    <w:rPr>
                      <w:rFonts w:hint="default" w:eastAsia="宋体" w:cs="Calibri" w:asciiTheme="minorAscii" w:hAnsiTheme="minorAscii"/>
                      <w:snapToGrid/>
                      <w:color w:val="000000"/>
                      <w:kern w:val="0"/>
                      <w:sz w:val="21"/>
                      <w:szCs w:val="21"/>
                      <w:lang w:val="en-US" w:eastAsia="zh-CN"/>
                    </w:rPr>
                    <w:t>A2.1污染物消减/替代要求</w:t>
                  </w:r>
                </w:p>
              </w:tc>
              <w:tc>
                <w:tcPr>
                  <w:tcW w:w="2089" w:type="pct"/>
                  <w:tcBorders>
                    <w:top w:val="single" w:color="auto" w:sz="4" w:space="0"/>
                    <w:left w:val="single" w:color="auto" w:sz="4" w:space="0"/>
                    <w:bottom w:val="single" w:color="auto" w:sz="4" w:space="0"/>
                    <w:right w:val="single" w:color="auto" w:sz="4" w:space="0"/>
                  </w:tcBorders>
                  <w:noWrap w:val="0"/>
                  <w:vAlign w:val="center"/>
                </w:tcPr>
                <w:p w14:paraId="693C8380">
                  <w:pPr>
                    <w:pStyle w:val="56"/>
                    <w:adjustRightInd w:val="0"/>
                    <w:snapToGrid w:val="0"/>
                    <w:spacing w:line="240" w:lineRule="auto"/>
                    <w:ind w:firstLineChars="0"/>
                    <w:jc w:val="left"/>
                    <w:rPr>
                      <w:rFonts w:hint="default" w:eastAsia="宋体" w:cs="Calibri" w:asciiTheme="minorAscii" w:hAnsiTheme="minorAscii"/>
                      <w:snapToGrid/>
                      <w:color w:val="000000"/>
                      <w:kern w:val="0"/>
                      <w:sz w:val="21"/>
                      <w:szCs w:val="21"/>
                      <w:lang w:eastAsia="zh-CN"/>
                    </w:rPr>
                  </w:pPr>
                  <w:r>
                    <w:rPr>
                      <w:rFonts w:hint="default" w:eastAsia="宋体" w:cs="Calibri" w:asciiTheme="minorAscii" w:hAnsiTheme="minorAscii"/>
                      <w:snapToGrid/>
                      <w:kern w:val="0"/>
                      <w:sz w:val="21"/>
                      <w:szCs w:val="21"/>
                      <w:lang w:eastAsia="zh-CN"/>
                    </w:rPr>
                    <w:t>〔A2.1-3〕促进大气污染物与温室气体协同控制。实施污染物和温室气体协同控制，实现减污降碳协同效应。开展工业、农业温室气体和污染减排协同控制研究，减少温室气体和污染物排放。强化污水、垃圾等集中处置设施环境管理，协同控制氢氟碳化物、甲烷、氧化亚氮等温室气体。加强节约能源与大气污染防治协同有效衔接促进大气污染防治协同增效。</w:t>
                  </w:r>
                </w:p>
              </w:tc>
              <w:tc>
                <w:tcPr>
                  <w:tcW w:w="1561" w:type="pct"/>
                  <w:tcBorders>
                    <w:top w:val="single" w:color="auto" w:sz="4" w:space="0"/>
                    <w:left w:val="single" w:color="auto" w:sz="4" w:space="0"/>
                    <w:bottom w:val="single" w:color="auto" w:sz="4" w:space="0"/>
                    <w:right w:val="single" w:color="auto" w:sz="4" w:space="0"/>
                  </w:tcBorders>
                  <w:noWrap w:val="0"/>
                  <w:vAlign w:val="center"/>
                </w:tcPr>
                <w:p w14:paraId="4A023A9C">
                  <w:pPr>
                    <w:pStyle w:val="56"/>
                    <w:adjustRightInd w:val="0"/>
                    <w:snapToGrid w:val="0"/>
                    <w:spacing w:line="240" w:lineRule="auto"/>
                    <w:ind w:firstLineChars="0"/>
                    <w:jc w:val="left"/>
                    <w:rPr>
                      <w:rFonts w:hint="default" w:eastAsia="宋体" w:cs="Calibri" w:asciiTheme="minorAscii" w:hAnsiTheme="minorAscii"/>
                      <w:snapToGrid/>
                      <w:color w:val="000000"/>
                      <w:kern w:val="0"/>
                      <w:sz w:val="21"/>
                      <w:szCs w:val="21"/>
                      <w:lang w:eastAsia="zh-CN"/>
                    </w:rPr>
                  </w:pPr>
                  <w:r>
                    <w:rPr>
                      <w:rFonts w:hint="default" w:eastAsia="宋体" w:cs="Calibri" w:asciiTheme="minorAscii" w:hAnsiTheme="minorAscii"/>
                      <w:snapToGrid/>
                      <w:kern w:val="0"/>
                      <w:sz w:val="21"/>
                      <w:szCs w:val="21"/>
                      <w:lang w:eastAsia="zh-CN"/>
                    </w:rPr>
                    <w:t>本项目实施后通过采取完善的污染治理措施，不会对</w:t>
                  </w:r>
                  <w:r>
                    <w:rPr>
                      <w:rFonts w:hint="default" w:eastAsia="宋体" w:cs="Calibri" w:asciiTheme="minorAscii" w:hAnsiTheme="minorAscii"/>
                      <w:snapToGrid/>
                      <w:kern w:val="0"/>
                      <w:sz w:val="21"/>
                      <w:szCs w:val="21"/>
                      <w:lang w:val="en-US" w:eastAsia="zh-CN"/>
                    </w:rPr>
                    <w:t>项目</w:t>
                  </w:r>
                  <w:r>
                    <w:rPr>
                      <w:rFonts w:hint="default" w:eastAsia="宋体" w:cs="Calibri" w:asciiTheme="minorAscii" w:hAnsiTheme="minorAscii"/>
                      <w:snapToGrid/>
                      <w:kern w:val="0"/>
                      <w:sz w:val="21"/>
                      <w:szCs w:val="21"/>
                      <w:lang w:eastAsia="zh-CN"/>
                    </w:rPr>
                    <w:t>周围大气环境、地表水环境、声环境、地下水、土壤环境产生明显影响。</w:t>
                  </w:r>
                </w:p>
              </w:tc>
              <w:tc>
                <w:tcPr>
                  <w:tcW w:w="441" w:type="pct"/>
                  <w:tcBorders>
                    <w:top w:val="single" w:color="auto" w:sz="4" w:space="0"/>
                    <w:left w:val="single" w:color="auto" w:sz="4" w:space="0"/>
                    <w:bottom w:val="single" w:color="auto" w:sz="4" w:space="0"/>
                    <w:right w:val="single" w:color="auto" w:sz="4" w:space="0"/>
                  </w:tcBorders>
                  <w:noWrap w:val="0"/>
                  <w:vAlign w:val="center"/>
                </w:tcPr>
                <w:p w14:paraId="6704B7F7">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eastAsia="zh-CN"/>
                    </w:rPr>
                  </w:pPr>
                  <w:r>
                    <w:rPr>
                      <w:rFonts w:hint="default" w:eastAsia="宋体" w:cs="Calibri" w:asciiTheme="minorAscii" w:hAnsiTheme="minorAscii"/>
                      <w:snapToGrid/>
                      <w:color w:val="000000"/>
                      <w:kern w:val="0"/>
                      <w:sz w:val="21"/>
                      <w:szCs w:val="21"/>
                      <w:lang w:eastAsia="zh-CN"/>
                    </w:rPr>
                    <w:t>符合</w:t>
                  </w:r>
                </w:p>
              </w:tc>
            </w:tr>
            <w:tr w14:paraId="4D426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296" w:hRule="atLeast"/>
                <w:jc w:val="center"/>
              </w:trPr>
              <w:tc>
                <w:tcPr>
                  <w:tcW w:w="470" w:type="pct"/>
                  <w:tcBorders>
                    <w:left w:val="single" w:color="auto" w:sz="4" w:space="0"/>
                    <w:bottom w:val="single" w:color="auto" w:sz="4" w:space="0"/>
                    <w:right w:val="single" w:color="auto" w:sz="4" w:space="0"/>
                  </w:tcBorders>
                  <w:noWrap w:val="0"/>
                  <w:vAlign w:val="center"/>
                </w:tcPr>
                <w:p w14:paraId="2D52E971">
                  <w:pPr>
                    <w:pStyle w:val="56"/>
                    <w:adjustRightInd w:val="0"/>
                    <w:snapToGrid w:val="0"/>
                    <w:spacing w:line="240" w:lineRule="auto"/>
                    <w:ind w:firstLineChars="0"/>
                    <w:jc w:val="center"/>
                    <w:rPr>
                      <w:rFonts w:hint="default" w:eastAsia="宋体" w:cs="Calibri" w:asciiTheme="minorAscii" w:hAnsiTheme="minorAscii"/>
                      <w:snapToGrid/>
                      <w:kern w:val="0"/>
                      <w:sz w:val="21"/>
                      <w:szCs w:val="21"/>
                      <w:lang w:val="en-US" w:eastAsia="zh-CN"/>
                    </w:rPr>
                  </w:pPr>
                  <w:r>
                    <w:rPr>
                      <w:rFonts w:hint="default" w:eastAsia="宋体" w:cs="Calibri" w:asciiTheme="minorAscii" w:hAnsiTheme="minorAscii"/>
                      <w:snapToGrid/>
                      <w:color w:val="000000"/>
                      <w:kern w:val="0"/>
                      <w:sz w:val="21"/>
                      <w:szCs w:val="21"/>
                      <w:lang w:val="en-US" w:eastAsia="zh-CN"/>
                    </w:rPr>
                    <w:t>A3环境风险防控</w:t>
                  </w:r>
                </w:p>
              </w:tc>
              <w:tc>
                <w:tcPr>
                  <w:tcW w:w="437" w:type="pct"/>
                  <w:tcBorders>
                    <w:top w:val="single" w:color="auto" w:sz="4" w:space="0"/>
                    <w:left w:val="single" w:color="auto" w:sz="4" w:space="0"/>
                    <w:bottom w:val="single" w:color="auto" w:sz="4" w:space="0"/>
                    <w:right w:val="single" w:color="auto" w:sz="4" w:space="0"/>
                  </w:tcBorders>
                  <w:noWrap w:val="0"/>
                  <w:vAlign w:val="center"/>
                </w:tcPr>
                <w:p w14:paraId="45E206AB">
                  <w:pPr>
                    <w:pStyle w:val="56"/>
                    <w:adjustRightInd w:val="0"/>
                    <w:snapToGrid w:val="0"/>
                    <w:spacing w:line="240" w:lineRule="auto"/>
                    <w:ind w:firstLineChars="0"/>
                    <w:jc w:val="center"/>
                    <w:rPr>
                      <w:rFonts w:hint="default" w:eastAsia="宋体" w:cs="Calibri" w:asciiTheme="minorAscii" w:hAnsiTheme="minorAscii"/>
                      <w:snapToGrid/>
                      <w:kern w:val="0"/>
                      <w:sz w:val="21"/>
                      <w:szCs w:val="21"/>
                      <w:lang w:val="en-US" w:eastAsia="zh-CN"/>
                    </w:rPr>
                  </w:pPr>
                  <w:r>
                    <w:rPr>
                      <w:rFonts w:hint="default" w:eastAsia="宋体" w:cs="Calibri" w:asciiTheme="minorAscii" w:hAnsiTheme="minorAscii"/>
                      <w:snapToGrid/>
                      <w:color w:val="000000"/>
                      <w:kern w:val="0"/>
                      <w:sz w:val="21"/>
                      <w:szCs w:val="21"/>
                      <w:lang w:val="en-US" w:eastAsia="zh-CN"/>
                    </w:rPr>
                    <w:t>A3.2联防联控要求</w:t>
                  </w:r>
                </w:p>
              </w:tc>
              <w:tc>
                <w:tcPr>
                  <w:tcW w:w="2089" w:type="pct"/>
                  <w:tcBorders>
                    <w:top w:val="single" w:color="auto" w:sz="4" w:space="0"/>
                    <w:left w:val="single" w:color="auto" w:sz="4" w:space="0"/>
                    <w:bottom w:val="single" w:color="auto" w:sz="4" w:space="0"/>
                    <w:right w:val="single" w:color="auto" w:sz="4" w:space="0"/>
                  </w:tcBorders>
                  <w:noWrap w:val="0"/>
                  <w:vAlign w:val="center"/>
                </w:tcPr>
                <w:p w14:paraId="577881E2">
                  <w:pPr>
                    <w:pStyle w:val="56"/>
                    <w:adjustRightInd w:val="0"/>
                    <w:snapToGrid w:val="0"/>
                    <w:spacing w:line="240" w:lineRule="auto"/>
                    <w:ind w:firstLineChars="0"/>
                    <w:jc w:val="left"/>
                    <w:rPr>
                      <w:rFonts w:hint="default" w:eastAsia="宋体" w:cs="Calibri" w:asciiTheme="minorAscii" w:hAnsiTheme="minorAscii"/>
                      <w:snapToGrid/>
                      <w:kern w:val="0"/>
                      <w:sz w:val="21"/>
                      <w:szCs w:val="21"/>
                      <w:lang w:eastAsia="zh-CN"/>
                    </w:rPr>
                  </w:pPr>
                  <w:r>
                    <w:rPr>
                      <w:rFonts w:hint="default" w:eastAsia="宋体" w:cs="Calibri" w:asciiTheme="minorAscii" w:hAnsiTheme="minorAscii"/>
                      <w:snapToGrid/>
                      <w:kern w:val="0"/>
                      <w:sz w:val="21"/>
                      <w:szCs w:val="21"/>
                      <w:lang w:eastAsia="zh-CN"/>
                    </w:rPr>
                    <w:t>〔A3.2-5〕强化生态环境应急管理。实施企业突发生态环境应急预案电子化备案，完成县级以上政府突发环</w:t>
                  </w:r>
                  <w:r>
                    <w:rPr>
                      <w:rFonts w:hint="default" w:eastAsia="宋体" w:cs="Calibri" w:asciiTheme="minorAscii" w:hAnsiTheme="minorAscii"/>
                      <w:color w:val="000000"/>
                      <w:sz w:val="21"/>
                      <w:szCs w:val="21"/>
                      <w:lang w:val="en-US" w:eastAsia="zh-CN"/>
                    </w:rPr>
                    <w:t>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w:t>
                  </w:r>
                  <w:r>
                    <w:rPr>
                      <w:rFonts w:hint="default" w:eastAsia="宋体" w:cs="Calibri" w:asciiTheme="minorAscii" w:hAnsiTheme="minorAscii"/>
                      <w:snapToGrid/>
                      <w:kern w:val="0"/>
                      <w:sz w:val="21"/>
                      <w:szCs w:val="21"/>
                      <w:lang w:eastAsia="zh-CN"/>
                    </w:rPr>
                    <w:t>置，定期开展应急演练，增强实战能力。</w:t>
                  </w:r>
                </w:p>
              </w:tc>
              <w:tc>
                <w:tcPr>
                  <w:tcW w:w="1561" w:type="pct"/>
                  <w:tcBorders>
                    <w:top w:val="single" w:color="auto" w:sz="4" w:space="0"/>
                    <w:left w:val="single" w:color="auto" w:sz="4" w:space="0"/>
                    <w:bottom w:val="single" w:color="auto" w:sz="4" w:space="0"/>
                    <w:right w:val="single" w:color="auto" w:sz="4" w:space="0"/>
                  </w:tcBorders>
                  <w:noWrap w:val="0"/>
                  <w:vAlign w:val="center"/>
                </w:tcPr>
                <w:p w14:paraId="59FCDC9C">
                  <w:pPr>
                    <w:pStyle w:val="56"/>
                    <w:adjustRightInd w:val="0"/>
                    <w:snapToGrid w:val="0"/>
                    <w:spacing w:line="240" w:lineRule="auto"/>
                    <w:ind w:firstLineChars="0"/>
                    <w:jc w:val="left"/>
                    <w:rPr>
                      <w:rFonts w:hint="default" w:eastAsia="宋体" w:cs="Calibri" w:asciiTheme="minorAscii" w:hAnsiTheme="minorAscii"/>
                      <w:snapToGrid/>
                      <w:kern w:val="0"/>
                      <w:sz w:val="21"/>
                      <w:szCs w:val="21"/>
                      <w:lang w:eastAsia="zh-CN"/>
                    </w:rPr>
                  </w:pPr>
                  <w:r>
                    <w:rPr>
                      <w:rFonts w:hint="default" w:eastAsia="宋体" w:cs="Calibri" w:asciiTheme="minorAscii" w:hAnsiTheme="minorAscii"/>
                      <w:color w:val="000000"/>
                      <w:sz w:val="21"/>
                      <w:szCs w:val="21"/>
                      <w:lang w:eastAsia="zh-CN"/>
                    </w:rPr>
                    <w:t>本项目按照相关规定落实完善各项环境事故防范、</w:t>
                  </w:r>
                  <w:r>
                    <w:rPr>
                      <w:rFonts w:hint="eastAsia" w:cs="Calibri" w:asciiTheme="minorAscii" w:hAnsiTheme="minorAscii"/>
                      <w:color w:val="000000"/>
                      <w:sz w:val="21"/>
                      <w:szCs w:val="21"/>
                      <w:lang w:eastAsia="zh-CN"/>
                    </w:rPr>
                    <w:t>环境风险管理</w:t>
                  </w:r>
                  <w:r>
                    <w:rPr>
                      <w:rFonts w:hint="default" w:eastAsia="宋体" w:cs="Calibri" w:asciiTheme="minorAscii" w:hAnsiTheme="minorAscii"/>
                      <w:color w:val="000000"/>
                      <w:sz w:val="21"/>
                      <w:szCs w:val="21"/>
                      <w:lang w:eastAsia="zh-CN"/>
                    </w:rPr>
                    <w:t>制度和措施</w:t>
                  </w:r>
                </w:p>
              </w:tc>
              <w:tc>
                <w:tcPr>
                  <w:tcW w:w="441" w:type="pct"/>
                  <w:tcBorders>
                    <w:top w:val="single" w:color="auto" w:sz="4" w:space="0"/>
                    <w:left w:val="single" w:color="auto" w:sz="4" w:space="0"/>
                    <w:bottom w:val="single" w:color="auto" w:sz="4" w:space="0"/>
                    <w:right w:val="single" w:color="auto" w:sz="4" w:space="0"/>
                  </w:tcBorders>
                  <w:noWrap w:val="0"/>
                  <w:vAlign w:val="center"/>
                </w:tcPr>
                <w:p w14:paraId="01DF9622">
                  <w:pPr>
                    <w:pStyle w:val="56"/>
                    <w:autoSpaceDE w:val="0"/>
                    <w:autoSpaceDN w:val="0"/>
                    <w:adjustRightInd w:val="0"/>
                    <w:snapToGrid w:val="0"/>
                    <w:spacing w:line="240" w:lineRule="auto"/>
                    <w:ind w:firstLineChars="0"/>
                    <w:jc w:val="center"/>
                    <w:rPr>
                      <w:rFonts w:hint="default" w:eastAsia="宋体" w:cs="Calibri" w:asciiTheme="minorAscii" w:hAnsiTheme="minorAscii"/>
                      <w:snapToGrid/>
                      <w:color w:val="000000"/>
                      <w:kern w:val="0"/>
                      <w:sz w:val="21"/>
                      <w:szCs w:val="21"/>
                      <w:lang w:eastAsia="zh-CN"/>
                    </w:rPr>
                  </w:pPr>
                  <w:r>
                    <w:rPr>
                      <w:rFonts w:hint="default" w:eastAsia="宋体" w:cs="Calibri" w:asciiTheme="minorAscii" w:hAnsiTheme="minorAscii"/>
                      <w:snapToGrid/>
                      <w:color w:val="000000"/>
                      <w:kern w:val="0"/>
                      <w:sz w:val="21"/>
                      <w:szCs w:val="21"/>
                      <w:lang w:eastAsia="zh-CN"/>
                    </w:rPr>
                    <w:t>符合</w:t>
                  </w:r>
                </w:p>
              </w:tc>
            </w:tr>
          </w:tbl>
          <w:p w14:paraId="601A65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default" w:eastAsia="宋体" w:cs="Times New Roman" w:asciiTheme="minorAscii" w:hAnsiTheme="minorAscii"/>
                <w:b/>
                <w:bCs/>
                <w:color w:val="auto"/>
                <w:sz w:val="24"/>
                <w:szCs w:val="24"/>
                <w:lang w:eastAsia="zh-CN"/>
              </w:rPr>
            </w:pPr>
            <w:r>
              <w:rPr>
                <w:rFonts w:hint="default" w:eastAsia="宋体" w:cs="Times New Roman" w:asciiTheme="minorAscii" w:hAnsiTheme="minorAscii"/>
                <w:b/>
                <w:bCs/>
                <w:color w:val="auto"/>
                <w:sz w:val="24"/>
                <w:szCs w:val="24"/>
                <w:lang w:eastAsia="zh-CN"/>
              </w:rPr>
              <w:t>表1</w:t>
            </w:r>
            <w:r>
              <w:rPr>
                <w:rFonts w:hint="default" w:eastAsia="宋体" w:cs="Times New Roman" w:asciiTheme="minorAscii" w:hAnsiTheme="minorAscii"/>
                <w:b/>
                <w:bCs/>
                <w:color w:val="auto"/>
                <w:sz w:val="24"/>
                <w:szCs w:val="24"/>
                <w:lang w:val="en-US" w:eastAsia="zh-CN"/>
              </w:rPr>
              <w:t>-2</w:t>
            </w:r>
            <w:r>
              <w:rPr>
                <w:rFonts w:hint="default" w:eastAsia="宋体" w:cs="Times New Roman" w:asciiTheme="minorAscii" w:hAnsiTheme="minorAscii"/>
                <w:b/>
                <w:bCs/>
                <w:color w:val="auto"/>
                <w:sz w:val="24"/>
                <w:szCs w:val="24"/>
                <w:lang w:eastAsia="zh-CN"/>
              </w:rPr>
              <w:t xml:space="preserve">  本项目与新疆维吾尔自治区七大片区生态环境分区管控要求符合性分析一览表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Layout w:type="fixed"/>
              <w:tblCellMar>
                <w:top w:w="0" w:type="dxa"/>
                <w:left w:w="108" w:type="dxa"/>
                <w:bottom w:w="0" w:type="dxa"/>
                <w:right w:w="108" w:type="dxa"/>
              </w:tblCellMar>
            </w:tblPr>
            <w:tblGrid>
              <w:gridCol w:w="594"/>
              <w:gridCol w:w="391"/>
              <w:gridCol w:w="2595"/>
              <w:gridCol w:w="1670"/>
              <w:gridCol w:w="1009"/>
            </w:tblGrid>
            <w:tr w14:paraId="716C0C3E">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trHeight w:val="340" w:hRule="atLeast"/>
                <w:jc w:val="center"/>
              </w:trPr>
              <w:tc>
                <w:tcPr>
                  <w:tcW w:w="474" w:type="pct"/>
                  <w:tcBorders>
                    <w:tl2br w:val="nil"/>
                    <w:tr2bl w:val="nil"/>
                  </w:tcBorders>
                  <w:noWrap w:val="0"/>
                  <w:vAlign w:val="center"/>
                </w:tcPr>
                <w:p w14:paraId="0D957773">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管控要求</w:t>
                  </w:r>
                </w:p>
              </w:tc>
              <w:tc>
                <w:tcPr>
                  <w:tcW w:w="2385" w:type="pct"/>
                  <w:gridSpan w:val="2"/>
                  <w:tcBorders>
                    <w:tl2br w:val="nil"/>
                    <w:tr2bl w:val="nil"/>
                  </w:tcBorders>
                  <w:noWrap w:val="0"/>
                  <w:vAlign w:val="center"/>
                </w:tcPr>
                <w:p w14:paraId="3D71E3DE">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生态环境分区管控要求</w:t>
                  </w:r>
                </w:p>
              </w:tc>
              <w:tc>
                <w:tcPr>
                  <w:tcW w:w="1333" w:type="pct"/>
                  <w:tcBorders>
                    <w:tl2br w:val="nil"/>
                    <w:tr2bl w:val="nil"/>
                  </w:tcBorders>
                  <w:noWrap w:val="0"/>
                  <w:vAlign w:val="center"/>
                </w:tcPr>
                <w:p w14:paraId="52FC9E06">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工程具体情况</w:t>
                  </w:r>
                </w:p>
              </w:tc>
              <w:tc>
                <w:tcPr>
                  <w:tcW w:w="806" w:type="pct"/>
                  <w:tcBorders>
                    <w:tl2br w:val="nil"/>
                    <w:tr2bl w:val="nil"/>
                  </w:tcBorders>
                  <w:noWrap w:val="0"/>
                  <w:vAlign w:val="center"/>
                </w:tcPr>
                <w:p w14:paraId="323B30C0">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相符性分析</w:t>
                  </w:r>
                </w:p>
              </w:tc>
            </w:tr>
            <w:tr w14:paraId="45641E8F">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trHeight w:val="340" w:hRule="atLeast"/>
                <w:jc w:val="center"/>
              </w:trPr>
              <w:tc>
                <w:tcPr>
                  <w:tcW w:w="474" w:type="pct"/>
                  <w:vMerge w:val="restart"/>
                  <w:tcBorders>
                    <w:tl2br w:val="nil"/>
                    <w:tr2bl w:val="nil"/>
                  </w:tcBorders>
                  <w:noWrap w:val="0"/>
                  <w:vAlign w:val="center"/>
                </w:tcPr>
                <w:p w14:paraId="23FA3C9C">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总体要求</w:t>
                  </w:r>
                </w:p>
              </w:tc>
              <w:tc>
                <w:tcPr>
                  <w:tcW w:w="312" w:type="pct"/>
                  <w:tcBorders>
                    <w:tl2br w:val="nil"/>
                    <w:tr2bl w:val="nil"/>
                  </w:tcBorders>
                  <w:noWrap w:val="0"/>
                  <w:vAlign w:val="center"/>
                </w:tcPr>
                <w:p w14:paraId="2126F867">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空间布局约束</w:t>
                  </w:r>
                </w:p>
              </w:tc>
              <w:tc>
                <w:tcPr>
                  <w:tcW w:w="2073" w:type="pct"/>
                  <w:tcBorders>
                    <w:tl2br w:val="nil"/>
                    <w:tr2bl w:val="nil"/>
                  </w:tcBorders>
                  <w:noWrap w:val="0"/>
                  <w:vAlign w:val="top"/>
                </w:tcPr>
                <w:p w14:paraId="5408043C">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严格执行国家、自治区产业政策和环境准入要求，严禁“三高”项目进新疆，坚决遏制“两高”项目盲目发展。不得在水源涵养区、饮用水水源保护区内和河流、湖泊、水库周围建设重化工、涉重金属等工业污染项目。推动项目集聚发展，新建、改建、扩建工业项目</w:t>
                  </w:r>
                  <w:r>
                    <w:rPr>
                      <w:rFonts w:hint="default" w:eastAsia="Times New Roman" w:cs="Calibri" w:asciiTheme="minorAscii" w:hAnsiTheme="minorAscii"/>
                      <w:snapToGrid/>
                      <w:color w:val="000000"/>
                      <w:kern w:val="0"/>
                      <w:sz w:val="21"/>
                      <w:szCs w:val="21"/>
                      <w:lang w:val="en-US" w:eastAsia="zh-CN"/>
                    </w:rPr>
                    <w:t>原则上应在</w:t>
                  </w:r>
                  <w:r>
                    <w:rPr>
                      <w:rFonts w:hint="default" w:eastAsia="宋体" w:cs="Calibri" w:asciiTheme="minorAscii" w:hAnsiTheme="minorAscii"/>
                      <w:snapToGrid/>
                      <w:color w:val="000000"/>
                      <w:kern w:val="0"/>
                      <w:sz w:val="21"/>
                      <w:szCs w:val="21"/>
                      <w:lang w:val="en-US" w:eastAsia="zh-CN"/>
                    </w:rPr>
                    <w:t>县级及以上人民政府批准建立、环境保护基础设施完善的产业园区、</w:t>
                  </w:r>
                  <w:r>
                    <w:rPr>
                      <w:rFonts w:hint="default" w:eastAsia="Times New Roman" w:cs="Calibri" w:asciiTheme="minorAscii" w:hAnsiTheme="minorAscii"/>
                      <w:snapToGrid/>
                      <w:color w:val="000000"/>
                      <w:kern w:val="0"/>
                      <w:sz w:val="21"/>
                      <w:szCs w:val="21"/>
                      <w:lang w:val="en-US" w:eastAsia="zh-CN"/>
                    </w:rPr>
                    <w:t>工业集聚区</w:t>
                  </w:r>
                  <w:r>
                    <w:rPr>
                      <w:rFonts w:hint="default" w:eastAsia="宋体" w:cs="Calibri" w:asciiTheme="minorAscii" w:hAnsiTheme="minorAscii"/>
                      <w:snapToGrid/>
                      <w:color w:val="000000"/>
                      <w:kern w:val="0"/>
                      <w:sz w:val="21"/>
                      <w:szCs w:val="21"/>
                      <w:lang w:val="en-US" w:eastAsia="zh-CN"/>
                    </w:rPr>
                    <w:t>或规划矿区</w:t>
                  </w:r>
                  <w:r>
                    <w:rPr>
                      <w:rFonts w:hint="default" w:eastAsia="Times New Roman" w:cs="Calibri" w:asciiTheme="minorAscii" w:hAnsiTheme="minorAscii"/>
                      <w:snapToGrid/>
                      <w:color w:val="000000"/>
                      <w:kern w:val="0"/>
                      <w:sz w:val="21"/>
                      <w:szCs w:val="21"/>
                      <w:lang w:val="en-US" w:eastAsia="zh-CN"/>
                    </w:rPr>
                    <w:t>建设，</w:t>
                  </w:r>
                  <w:r>
                    <w:rPr>
                      <w:rFonts w:hint="default" w:eastAsia="宋体" w:cs="Calibri" w:asciiTheme="minorAscii" w:hAnsiTheme="minorAscii"/>
                      <w:snapToGrid/>
                      <w:color w:val="000000"/>
                      <w:kern w:val="0"/>
                      <w:sz w:val="21"/>
                      <w:szCs w:val="21"/>
                      <w:lang w:val="en-US" w:eastAsia="zh-CN"/>
                    </w:rPr>
                    <w:t>并且符合相关规划和规划环评要求。</w:t>
                  </w:r>
                </w:p>
              </w:tc>
              <w:tc>
                <w:tcPr>
                  <w:tcW w:w="1333" w:type="pct"/>
                  <w:tcBorders>
                    <w:tl2br w:val="nil"/>
                    <w:tr2bl w:val="nil"/>
                  </w:tcBorders>
                  <w:noWrap w:val="0"/>
                  <w:vAlign w:val="top"/>
                </w:tcPr>
                <w:p w14:paraId="0072CA88">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本项目不属于禁止类及限制类项目，属于允许类，符合产业政策和环境准入要求。项目为工业污水处理站项目，不属于高污染、高能耗行业；本项目在巴州博湖县仓储物流园内建设，符合相关规划要求。</w:t>
                  </w:r>
                </w:p>
              </w:tc>
              <w:tc>
                <w:tcPr>
                  <w:tcW w:w="806" w:type="pct"/>
                  <w:tcBorders>
                    <w:tl2br w:val="nil"/>
                    <w:tr2bl w:val="nil"/>
                  </w:tcBorders>
                  <w:noWrap w:val="0"/>
                  <w:vAlign w:val="center"/>
                </w:tcPr>
                <w:p w14:paraId="462FFEEC">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符合</w:t>
                  </w:r>
                </w:p>
              </w:tc>
            </w:tr>
            <w:tr w14:paraId="735A8001">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trHeight w:val="340" w:hRule="atLeast"/>
                <w:jc w:val="center"/>
              </w:trPr>
              <w:tc>
                <w:tcPr>
                  <w:tcW w:w="474" w:type="pct"/>
                  <w:vMerge w:val="continue"/>
                  <w:tcBorders>
                    <w:tl2br w:val="nil"/>
                    <w:tr2bl w:val="nil"/>
                  </w:tcBorders>
                  <w:noWrap w:val="0"/>
                  <w:vAlign w:val="center"/>
                </w:tcPr>
                <w:p w14:paraId="7E470BEF">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p>
              </w:tc>
              <w:tc>
                <w:tcPr>
                  <w:tcW w:w="312" w:type="pct"/>
                  <w:tcBorders>
                    <w:tl2br w:val="nil"/>
                    <w:tr2bl w:val="nil"/>
                  </w:tcBorders>
                  <w:noWrap w:val="0"/>
                  <w:vAlign w:val="center"/>
                </w:tcPr>
                <w:p w14:paraId="3E874B28">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污</w:t>
                  </w:r>
                </w:p>
                <w:p w14:paraId="0A17BA0F">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染</w:t>
                  </w:r>
                </w:p>
                <w:p w14:paraId="2DD58BE6">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物</w:t>
                  </w:r>
                </w:p>
                <w:p w14:paraId="060CDDEC">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排</w:t>
                  </w:r>
                </w:p>
                <w:p w14:paraId="4C2550B3">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放</w:t>
                  </w:r>
                </w:p>
                <w:p w14:paraId="61D505D9">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管</w:t>
                  </w:r>
                </w:p>
                <w:p w14:paraId="7988EA35">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控</w:t>
                  </w:r>
                </w:p>
              </w:tc>
              <w:tc>
                <w:tcPr>
                  <w:tcW w:w="2073" w:type="pct"/>
                  <w:tcBorders>
                    <w:tl2br w:val="nil"/>
                    <w:tr2bl w:val="nil"/>
                  </w:tcBorders>
                  <w:noWrap w:val="0"/>
                  <w:vAlign w:val="top"/>
                </w:tcPr>
                <w:p w14:paraId="0BC146D6">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深化行业污染源头治理，深入开展火电行业减排，全力推进钢铁行业超低排放改造，有序推进石化行业“泄漏检测与修复”技术改造。强化煤化工、石化、有机化工、表面涂装、包装印刷等重点行业挥发性有机物控制。深入开展燃煤锅炉污染综合整治，深化工业炉窑综合治理。加强“散乱污”</w:t>
                  </w:r>
                </w:p>
                <w:p w14:paraId="4861D82D">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企业综合整治。优化区域交通运输结构，加快货物运输绿色转型</w:t>
                  </w:r>
                  <w:r>
                    <w:rPr>
                      <w:rFonts w:hint="default" w:eastAsia="Times New Roman" w:cs="Calibri" w:asciiTheme="minorAscii" w:hAnsiTheme="minorAscii"/>
                      <w:snapToGrid/>
                      <w:color w:val="000000"/>
                      <w:kern w:val="0"/>
                      <w:sz w:val="21"/>
                      <w:szCs w:val="21"/>
                      <w:lang w:val="en-US" w:eastAsia="zh-CN"/>
                    </w:rPr>
                    <w:t>，</w:t>
                  </w:r>
                  <w:r>
                    <w:rPr>
                      <w:rFonts w:hint="default" w:eastAsia="宋体" w:cs="Calibri" w:asciiTheme="minorAscii" w:hAnsiTheme="minorAscii"/>
                      <w:snapToGrid/>
                      <w:color w:val="000000"/>
                      <w:kern w:val="0"/>
                      <w:sz w:val="21"/>
                      <w:szCs w:val="21"/>
                      <w:lang w:val="en-US" w:eastAsia="zh-CN"/>
                    </w:rPr>
                    <w:t>做好车油联合管控。以改善流域水环境质量为核心，强化源头控制，“一河</w:t>
                  </w:r>
                  <w:r>
                    <w:rPr>
                      <w:rFonts w:hint="default" w:eastAsia="Times New Roman" w:cs="Calibri" w:asciiTheme="minorAscii" w:hAnsiTheme="minorAscii"/>
                      <w:snapToGrid/>
                      <w:color w:val="000000"/>
                      <w:kern w:val="0"/>
                      <w:sz w:val="21"/>
                      <w:szCs w:val="21"/>
                      <w:lang w:val="en-US" w:eastAsia="zh-CN"/>
                    </w:rPr>
                    <w:t>（</w:t>
                  </w:r>
                  <w:r>
                    <w:rPr>
                      <w:rFonts w:hint="default" w:eastAsia="宋体" w:cs="Calibri" w:asciiTheme="minorAscii" w:hAnsiTheme="minorAscii"/>
                      <w:snapToGrid/>
                      <w:color w:val="000000"/>
                      <w:kern w:val="0"/>
                      <w:sz w:val="21"/>
                      <w:szCs w:val="21"/>
                      <w:lang w:val="en-US" w:eastAsia="zh-CN"/>
                    </w:rPr>
                    <w:t>湖</w:t>
                  </w:r>
                  <w:r>
                    <w:rPr>
                      <w:rFonts w:hint="default" w:eastAsia="Times New Roman" w:cs="Calibri" w:asciiTheme="minorAscii" w:hAnsiTheme="minorAscii"/>
                      <w:snapToGrid/>
                      <w:color w:val="000000"/>
                      <w:kern w:val="0"/>
                      <w:sz w:val="21"/>
                      <w:szCs w:val="21"/>
                      <w:lang w:val="en-US" w:eastAsia="zh-CN"/>
                    </w:rPr>
                    <w:t>）</w:t>
                  </w:r>
                  <w:r>
                    <w:rPr>
                      <w:rFonts w:hint="default" w:eastAsia="宋体" w:cs="Calibri" w:asciiTheme="minorAscii" w:hAnsiTheme="minorAscii"/>
                      <w:snapToGrid/>
                      <w:color w:val="000000"/>
                      <w:kern w:val="0"/>
                      <w:sz w:val="21"/>
                      <w:szCs w:val="21"/>
                      <w:lang w:val="en-US" w:eastAsia="zh-CN"/>
                    </w:rPr>
                    <w:t>一策”精准施治，减少水污染物排放，持续改善</w:t>
                  </w:r>
                </w:p>
                <w:p w14:paraId="576C869B">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水环境质量。强化园区</w:t>
                  </w:r>
                  <w:r>
                    <w:rPr>
                      <w:rFonts w:hint="default" w:eastAsia="Times New Roman" w:cs="Calibri" w:asciiTheme="minorAscii" w:hAnsiTheme="minorAscii"/>
                      <w:snapToGrid/>
                      <w:color w:val="000000"/>
                      <w:kern w:val="0"/>
                      <w:sz w:val="21"/>
                      <w:szCs w:val="21"/>
                      <w:lang w:val="en-US" w:eastAsia="zh-CN"/>
                    </w:rPr>
                    <w:t>（</w:t>
                  </w:r>
                  <w:r>
                    <w:rPr>
                      <w:rFonts w:hint="default" w:eastAsia="宋体" w:cs="Calibri" w:asciiTheme="minorAscii" w:hAnsiTheme="minorAscii"/>
                      <w:snapToGrid/>
                      <w:color w:val="000000"/>
                      <w:kern w:val="0"/>
                      <w:sz w:val="21"/>
                      <w:szCs w:val="21"/>
                      <w:lang w:val="en-US" w:eastAsia="zh-CN"/>
                    </w:rPr>
                    <w:t>工业集聚区</w:t>
                  </w:r>
                  <w:r>
                    <w:rPr>
                      <w:rFonts w:hint="default" w:eastAsia="Times New Roman" w:cs="Calibri" w:asciiTheme="minorAscii" w:hAnsiTheme="minorAscii"/>
                      <w:snapToGrid/>
                      <w:color w:val="000000"/>
                      <w:kern w:val="0"/>
                      <w:sz w:val="21"/>
                      <w:szCs w:val="21"/>
                      <w:lang w:val="en-US" w:eastAsia="zh-CN"/>
                    </w:rPr>
                    <w:t>）</w:t>
                  </w:r>
                  <w:r>
                    <w:rPr>
                      <w:rFonts w:hint="default" w:eastAsia="宋体" w:cs="Calibri" w:asciiTheme="minorAscii" w:hAnsiTheme="minorAscii"/>
                      <w:snapToGrid/>
                      <w:color w:val="000000"/>
                      <w:kern w:val="0"/>
                      <w:sz w:val="21"/>
                      <w:szCs w:val="21"/>
                      <w:lang w:val="en-US" w:eastAsia="zh-CN"/>
                    </w:rPr>
                    <w:t>水污染防治，不断提高工业用水重复利用率。加快实施城镇污水处理设施提质增效，补齐生活污水收集和处理设施短板，提高再生水回用比例。持续推进农业农村污染防治。提升土壤环境监管能力，加强污染地块安全利用监管。强化工矿用地管理，严格建设用地土壤环境风险管控。加强农用地土壤污染源头控制，科学施用化肥农药，提高农膜回收率。</w:t>
                  </w:r>
                </w:p>
              </w:tc>
              <w:tc>
                <w:tcPr>
                  <w:tcW w:w="1333" w:type="pct"/>
                  <w:tcBorders>
                    <w:tl2br w:val="nil"/>
                    <w:tr2bl w:val="nil"/>
                  </w:tcBorders>
                  <w:noWrap w:val="0"/>
                  <w:vAlign w:val="top"/>
                </w:tcPr>
                <w:p w14:paraId="33E145E5">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本项目属于工业污水处理站项目</w:t>
                  </w:r>
                  <w:r>
                    <w:rPr>
                      <w:rFonts w:hint="default" w:eastAsia="Times New Roman" w:cs="Calibri" w:asciiTheme="minorAscii" w:hAnsiTheme="minorAscii"/>
                      <w:snapToGrid/>
                      <w:color w:val="000000"/>
                      <w:kern w:val="0"/>
                      <w:sz w:val="21"/>
                      <w:szCs w:val="21"/>
                      <w:lang w:val="en-US" w:eastAsia="zh-CN"/>
                    </w:rPr>
                    <w:t>，项</w:t>
                  </w:r>
                  <w:r>
                    <w:rPr>
                      <w:rFonts w:hint="default" w:eastAsia="宋体" w:cs="Calibri" w:asciiTheme="minorAscii" w:hAnsiTheme="minorAscii"/>
                      <w:snapToGrid/>
                      <w:color w:val="000000"/>
                      <w:kern w:val="0"/>
                      <w:sz w:val="21"/>
                      <w:szCs w:val="21"/>
                      <w:lang w:val="en-US" w:eastAsia="zh-CN"/>
                    </w:rPr>
                    <w:t>目运营不涉及煤</w:t>
                  </w:r>
                  <w:r>
                    <w:rPr>
                      <w:rFonts w:hint="default" w:eastAsia="Times New Roman" w:asciiTheme="minorAscii" w:hAnsiTheme="minorAscii"/>
                      <w:sz w:val="21"/>
                      <w:szCs w:val="21"/>
                      <w:lang w:val="en-US" w:eastAsia="zh-CN"/>
                    </w:rPr>
                    <w:t>等</w:t>
                  </w:r>
                  <w:r>
                    <w:rPr>
                      <w:rFonts w:hint="default" w:eastAsia="宋体" w:cs="Calibri" w:asciiTheme="minorAscii" w:hAnsiTheme="minorAscii"/>
                      <w:snapToGrid/>
                      <w:color w:val="000000"/>
                      <w:kern w:val="0"/>
                      <w:sz w:val="21"/>
                      <w:szCs w:val="21"/>
                      <w:lang w:val="en-US" w:eastAsia="zh-CN"/>
                    </w:rPr>
                    <w:t>重污染燃料。项目不涉及饮用水源等环境敏感区域，运营过程中废水处理达标后通过排碱渠排入下游苇区灌溉，不外排，可有效减少水污染物排放，符合区域水污染防治及再生水回用要求。</w:t>
                  </w:r>
                </w:p>
              </w:tc>
              <w:tc>
                <w:tcPr>
                  <w:tcW w:w="806" w:type="pct"/>
                  <w:tcBorders>
                    <w:tl2br w:val="nil"/>
                    <w:tr2bl w:val="nil"/>
                  </w:tcBorders>
                  <w:noWrap w:val="0"/>
                  <w:vAlign w:val="center"/>
                </w:tcPr>
                <w:p w14:paraId="0390DED3">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符合</w:t>
                  </w:r>
                </w:p>
              </w:tc>
            </w:tr>
            <w:tr w14:paraId="27CD9A6E">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trHeight w:val="340" w:hRule="atLeast"/>
                <w:jc w:val="center"/>
              </w:trPr>
              <w:tc>
                <w:tcPr>
                  <w:tcW w:w="474" w:type="pct"/>
                  <w:vMerge w:val="continue"/>
                  <w:tcBorders>
                    <w:tl2br w:val="nil"/>
                    <w:tr2bl w:val="nil"/>
                  </w:tcBorders>
                  <w:noWrap w:val="0"/>
                  <w:vAlign w:val="center"/>
                </w:tcPr>
                <w:p w14:paraId="35E7BAC9">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p>
              </w:tc>
              <w:tc>
                <w:tcPr>
                  <w:tcW w:w="312" w:type="pct"/>
                  <w:tcBorders>
                    <w:tl2br w:val="nil"/>
                    <w:tr2bl w:val="nil"/>
                  </w:tcBorders>
                  <w:noWrap w:val="0"/>
                  <w:vAlign w:val="center"/>
                </w:tcPr>
                <w:p w14:paraId="2B59C85D">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环境风险防控</w:t>
                  </w:r>
                </w:p>
              </w:tc>
              <w:tc>
                <w:tcPr>
                  <w:tcW w:w="2073" w:type="pct"/>
                  <w:tcBorders>
                    <w:tl2br w:val="nil"/>
                    <w:tr2bl w:val="nil"/>
                  </w:tcBorders>
                  <w:noWrap w:val="0"/>
                  <w:vAlign w:val="top"/>
                </w:tcPr>
                <w:p w14:paraId="11328540">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禁止在化工园区外新建、扩建危险化学品生产项目。严格落实危险废物处置相关要求。加强重点流域水环境风险管控，保障水环境安全。</w:t>
                  </w:r>
                </w:p>
              </w:tc>
              <w:tc>
                <w:tcPr>
                  <w:tcW w:w="1333" w:type="pct"/>
                  <w:tcBorders>
                    <w:tl2br w:val="nil"/>
                    <w:tr2bl w:val="nil"/>
                  </w:tcBorders>
                  <w:noWrap w:val="0"/>
                  <w:vAlign w:val="top"/>
                </w:tcPr>
                <w:p w14:paraId="28A4EA2F">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项目不涉及高风险化学品生产、使用，运营期产生的危险废物处置符合有关规定要求。</w:t>
                  </w:r>
                </w:p>
              </w:tc>
              <w:tc>
                <w:tcPr>
                  <w:tcW w:w="806" w:type="pct"/>
                  <w:tcBorders>
                    <w:tl2br w:val="nil"/>
                    <w:tr2bl w:val="nil"/>
                  </w:tcBorders>
                  <w:noWrap w:val="0"/>
                  <w:vAlign w:val="center"/>
                </w:tcPr>
                <w:p w14:paraId="7C5B9532">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符合</w:t>
                  </w:r>
                </w:p>
              </w:tc>
            </w:tr>
            <w:tr w14:paraId="041BC685">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trHeight w:val="340" w:hRule="atLeast"/>
                <w:jc w:val="center"/>
              </w:trPr>
              <w:tc>
                <w:tcPr>
                  <w:tcW w:w="474" w:type="pct"/>
                  <w:vMerge w:val="continue"/>
                  <w:tcBorders>
                    <w:tl2br w:val="nil"/>
                    <w:tr2bl w:val="nil"/>
                  </w:tcBorders>
                  <w:noWrap w:val="0"/>
                  <w:vAlign w:val="center"/>
                </w:tcPr>
                <w:p w14:paraId="1E97E819">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p>
              </w:tc>
              <w:tc>
                <w:tcPr>
                  <w:tcW w:w="312" w:type="pct"/>
                  <w:tcBorders>
                    <w:tl2br w:val="nil"/>
                    <w:tr2bl w:val="nil"/>
                  </w:tcBorders>
                  <w:noWrap w:val="0"/>
                  <w:vAlign w:val="center"/>
                </w:tcPr>
                <w:p w14:paraId="74D3A7D7">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资源利用效率要求</w:t>
                  </w:r>
                </w:p>
              </w:tc>
              <w:tc>
                <w:tcPr>
                  <w:tcW w:w="2073" w:type="pct"/>
                  <w:tcBorders>
                    <w:tl2br w:val="nil"/>
                    <w:tr2bl w:val="nil"/>
                  </w:tcBorders>
                  <w:noWrap w:val="0"/>
                  <w:vAlign w:val="top"/>
                </w:tcPr>
                <w:p w14:paraId="05FA3BD5">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优化能源结构，控制煤炭等化石能源使用量，鼓励使用清洁能源，协同推进减污降碳。全面实施节水工程，合理开发利用水资源，提升水资源利用效率，保障生态用水，严防地下水超采。</w:t>
                  </w:r>
                </w:p>
              </w:tc>
              <w:tc>
                <w:tcPr>
                  <w:tcW w:w="1333" w:type="pct"/>
                  <w:tcBorders>
                    <w:tl2br w:val="nil"/>
                    <w:tr2bl w:val="nil"/>
                  </w:tcBorders>
                  <w:noWrap w:val="0"/>
                  <w:vAlign w:val="top"/>
                </w:tcPr>
                <w:p w14:paraId="5684EA10">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项目运营过程由市政供水管网供给，本项目不开采地下水，项目用水量较少，不会突破地区资源利用配额。</w:t>
                  </w:r>
                </w:p>
              </w:tc>
              <w:tc>
                <w:tcPr>
                  <w:tcW w:w="806" w:type="pct"/>
                  <w:tcBorders>
                    <w:tl2br w:val="nil"/>
                    <w:tr2bl w:val="nil"/>
                  </w:tcBorders>
                  <w:noWrap w:val="0"/>
                  <w:vAlign w:val="center"/>
                </w:tcPr>
                <w:p w14:paraId="1BFC0793">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符合</w:t>
                  </w:r>
                </w:p>
              </w:tc>
            </w:tr>
            <w:tr w14:paraId="1AB505EA">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trHeight w:val="340" w:hRule="atLeast"/>
                <w:jc w:val="center"/>
              </w:trPr>
              <w:tc>
                <w:tcPr>
                  <w:tcW w:w="786" w:type="pct"/>
                  <w:gridSpan w:val="2"/>
                  <w:vMerge w:val="restart"/>
                  <w:tcBorders>
                    <w:tl2br w:val="nil"/>
                    <w:tr2bl w:val="nil"/>
                  </w:tcBorders>
                  <w:noWrap w:val="0"/>
                  <w:vAlign w:val="center"/>
                </w:tcPr>
                <w:p w14:paraId="57B80731">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天山南坡片区</w:t>
                  </w:r>
                </w:p>
              </w:tc>
              <w:tc>
                <w:tcPr>
                  <w:tcW w:w="2073" w:type="pct"/>
                  <w:tcBorders>
                    <w:tl2br w:val="nil"/>
                    <w:tr2bl w:val="nil"/>
                  </w:tcBorders>
                  <w:noWrap w:val="0"/>
                  <w:vAlign w:val="center"/>
                </w:tcPr>
                <w:p w14:paraId="701AB876">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切实保护托木尔峰和天山南坡中段冰雪水源及生物多样性保护生态功能区内的托木尔峰自然景观、高山冰川、野生动物、森林和草原，合理利用天然草地，稳步推进草原减牧，加强保护区管理，维护自然景观和生物多样性。</w:t>
                  </w:r>
                </w:p>
              </w:tc>
              <w:tc>
                <w:tcPr>
                  <w:tcW w:w="1333" w:type="pct"/>
                  <w:tcBorders>
                    <w:tl2br w:val="nil"/>
                    <w:tr2bl w:val="nil"/>
                  </w:tcBorders>
                  <w:noWrap w:val="0"/>
                  <w:vAlign w:val="center"/>
                </w:tcPr>
                <w:p w14:paraId="4C741DB8">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本项目不涉及生态保护区、天然草地</w:t>
                  </w:r>
                </w:p>
              </w:tc>
              <w:tc>
                <w:tcPr>
                  <w:tcW w:w="806" w:type="pct"/>
                  <w:tcBorders>
                    <w:tl2br w:val="nil"/>
                    <w:tr2bl w:val="nil"/>
                  </w:tcBorders>
                  <w:noWrap w:val="0"/>
                  <w:vAlign w:val="center"/>
                </w:tcPr>
                <w:p w14:paraId="2664C7CB">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符合</w:t>
                  </w:r>
                </w:p>
              </w:tc>
            </w:tr>
            <w:tr w14:paraId="10B13633">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trHeight w:val="340" w:hRule="atLeast"/>
                <w:jc w:val="center"/>
              </w:trPr>
              <w:tc>
                <w:tcPr>
                  <w:tcW w:w="786" w:type="pct"/>
                  <w:gridSpan w:val="2"/>
                  <w:vMerge w:val="continue"/>
                  <w:tcBorders>
                    <w:tl2br w:val="nil"/>
                    <w:tr2bl w:val="nil"/>
                  </w:tcBorders>
                  <w:noWrap w:val="0"/>
                  <w:vAlign w:val="center"/>
                </w:tcPr>
                <w:p w14:paraId="5B73AF4C">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p>
              </w:tc>
              <w:tc>
                <w:tcPr>
                  <w:tcW w:w="2073" w:type="pct"/>
                  <w:tcBorders>
                    <w:tl2br w:val="nil"/>
                    <w:tr2bl w:val="nil"/>
                  </w:tcBorders>
                  <w:noWrap w:val="0"/>
                  <w:vAlign w:val="center"/>
                </w:tcPr>
                <w:p w14:paraId="361654E8">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重点做好塔里木盆地北缘荒漠化防治。加强荒漠植被及河岸荒漠林保护，规范油气勘探开发作业，建立油田和公路扰动区域工程与生物相结合的防风固沙体系，逐步形成生态屏障。</w:t>
                  </w:r>
                </w:p>
              </w:tc>
              <w:tc>
                <w:tcPr>
                  <w:tcW w:w="1333" w:type="pct"/>
                  <w:tcBorders>
                    <w:tl2br w:val="nil"/>
                    <w:tr2bl w:val="nil"/>
                  </w:tcBorders>
                  <w:noWrap w:val="0"/>
                  <w:vAlign w:val="center"/>
                </w:tcPr>
                <w:p w14:paraId="2D295125">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项目不涉及油气开发。</w:t>
                  </w:r>
                </w:p>
              </w:tc>
              <w:tc>
                <w:tcPr>
                  <w:tcW w:w="806" w:type="pct"/>
                  <w:tcBorders>
                    <w:tl2br w:val="nil"/>
                    <w:tr2bl w:val="nil"/>
                  </w:tcBorders>
                  <w:noWrap w:val="0"/>
                  <w:vAlign w:val="center"/>
                </w:tcPr>
                <w:p w14:paraId="3C5F4C32">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符合</w:t>
                  </w:r>
                </w:p>
              </w:tc>
            </w:tr>
            <w:tr w14:paraId="630F4AC1">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trHeight w:val="340" w:hRule="atLeast"/>
                <w:jc w:val="center"/>
              </w:trPr>
              <w:tc>
                <w:tcPr>
                  <w:tcW w:w="786" w:type="pct"/>
                  <w:gridSpan w:val="2"/>
                  <w:vMerge w:val="continue"/>
                  <w:tcBorders>
                    <w:tl2br w:val="nil"/>
                    <w:tr2bl w:val="nil"/>
                  </w:tcBorders>
                  <w:noWrap w:val="0"/>
                  <w:vAlign w:val="center"/>
                </w:tcPr>
                <w:p w14:paraId="3C5530F3">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p>
              </w:tc>
              <w:tc>
                <w:tcPr>
                  <w:tcW w:w="2073" w:type="pct"/>
                  <w:tcBorders>
                    <w:tl2br w:val="nil"/>
                    <w:tr2bl w:val="nil"/>
                  </w:tcBorders>
                  <w:noWrap w:val="0"/>
                  <w:vAlign w:val="center"/>
                </w:tcPr>
                <w:p w14:paraId="5B2D57C7">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加强油（气）资源开发区土壤环境污染综合整治。强化涉重金属行业污染防控与工业废物处理处置。</w:t>
                  </w:r>
                </w:p>
              </w:tc>
              <w:tc>
                <w:tcPr>
                  <w:tcW w:w="1333" w:type="pct"/>
                  <w:tcBorders>
                    <w:tl2br w:val="nil"/>
                    <w:tr2bl w:val="nil"/>
                  </w:tcBorders>
                  <w:noWrap w:val="0"/>
                  <w:vAlign w:val="center"/>
                </w:tcPr>
                <w:p w14:paraId="59911F75">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项目不涉及油气资源开发区域</w:t>
                  </w:r>
                </w:p>
              </w:tc>
              <w:tc>
                <w:tcPr>
                  <w:tcW w:w="806" w:type="pct"/>
                  <w:tcBorders>
                    <w:tl2br w:val="nil"/>
                    <w:tr2bl w:val="nil"/>
                  </w:tcBorders>
                  <w:noWrap w:val="0"/>
                  <w:vAlign w:val="center"/>
                </w:tcPr>
                <w:p w14:paraId="5F9A5FC9">
                  <w:pPr>
                    <w:pStyle w:val="56"/>
                    <w:keepNext w:val="0"/>
                    <w:keepLines w:val="0"/>
                    <w:pageBreakBefore w:val="0"/>
                    <w:widowControl w:val="0"/>
                    <w:suppressLineNumbers w:val="0"/>
                    <w:kinsoku/>
                    <w:autoSpaceDE w:val="0"/>
                    <w:autoSpaceDN w:val="0"/>
                    <w:bidi w:val="0"/>
                    <w:adjustRightInd w:val="0"/>
                    <w:snapToGrid w:val="0"/>
                    <w:spacing w:before="0" w:beforeAutospacing="0" w:after="0" w:afterAutospacing="0" w:line="240" w:lineRule="auto"/>
                    <w:ind w:left="0" w:right="0" w:firstLineChars="0"/>
                    <w:jc w:val="center"/>
                    <w:rPr>
                      <w:rFonts w:hint="default" w:eastAsia="宋体" w:cs="Calibri" w:asciiTheme="minorAscii" w:hAnsiTheme="minorAscii"/>
                      <w:snapToGrid/>
                      <w:color w:val="000000"/>
                      <w:kern w:val="0"/>
                      <w:sz w:val="21"/>
                      <w:szCs w:val="21"/>
                      <w:lang w:val="en-US" w:eastAsia="zh-CN"/>
                    </w:rPr>
                  </w:pPr>
                  <w:r>
                    <w:rPr>
                      <w:rFonts w:hint="default" w:eastAsia="宋体" w:cs="Calibri" w:asciiTheme="minorAscii" w:hAnsiTheme="minorAscii"/>
                      <w:snapToGrid/>
                      <w:color w:val="000000"/>
                      <w:kern w:val="0"/>
                      <w:sz w:val="21"/>
                      <w:szCs w:val="21"/>
                      <w:lang w:val="en-US" w:eastAsia="zh-CN"/>
                    </w:rPr>
                    <w:t>符合</w:t>
                  </w:r>
                </w:p>
              </w:tc>
            </w:tr>
          </w:tbl>
          <w:p w14:paraId="6CA03EC9">
            <w:pPr>
              <w:spacing w:line="520" w:lineRule="exact"/>
              <w:ind w:firstLine="480" w:firstLineChars="200"/>
              <w:rPr>
                <w:rFonts w:hint="default" w:asciiTheme="minorAscii" w:hAnsiTheme="minorAscii"/>
                <w:b/>
                <w:color w:val="000000"/>
                <w:kern w:val="0"/>
                <w:sz w:val="24"/>
                <w:lang w:bidi="ar"/>
              </w:rPr>
            </w:pPr>
            <w:r>
              <w:rPr>
                <w:rFonts w:hint="default" w:cs="宋体" w:asciiTheme="minorAscii" w:hAnsiTheme="minorAscii"/>
                <w:sz w:val="24"/>
              </w:rPr>
              <w:t>（</w:t>
            </w:r>
            <w:r>
              <w:rPr>
                <w:rFonts w:hint="default" w:cs="宋体" w:asciiTheme="minorAscii" w:hAnsiTheme="minorAscii"/>
                <w:sz w:val="24"/>
                <w:lang w:val="en-US" w:eastAsia="zh-CN"/>
              </w:rPr>
              <w:t>2</w:t>
            </w:r>
            <w:r>
              <w:rPr>
                <w:rFonts w:hint="default" w:cs="宋体" w:asciiTheme="minorAscii" w:hAnsiTheme="minorAscii"/>
                <w:sz w:val="24"/>
              </w:rPr>
              <w:t>）本项目</w:t>
            </w:r>
            <w:r>
              <w:rPr>
                <w:rFonts w:hint="eastAsia" w:cs="宋体" w:asciiTheme="minorAscii" w:hAnsiTheme="minorAscii"/>
                <w:sz w:val="24"/>
                <w:lang w:val="en-US" w:eastAsia="zh-CN"/>
              </w:rPr>
              <w:t>所在的环境管控单元为博湖县查干诺尔乡东南农业水污染重点管控区（ZH65282920008），项目</w:t>
            </w:r>
            <w:r>
              <w:rPr>
                <w:rFonts w:hint="default" w:cs="宋体" w:asciiTheme="minorAscii" w:hAnsiTheme="minorAscii"/>
                <w:sz w:val="24"/>
              </w:rPr>
              <w:t>与巴音郭楞蒙古自治州生态环境分区管控方案（2023年版）管控要求符合性</w:t>
            </w:r>
            <w:r>
              <w:rPr>
                <w:rFonts w:hint="default" w:eastAsia="宋体" w:cs="Times New Roman" w:asciiTheme="minorAscii" w:hAnsiTheme="minorAscii"/>
                <w:color w:val="auto"/>
                <w:sz w:val="24"/>
                <w:szCs w:val="24"/>
                <w:highlight w:val="none"/>
              </w:rPr>
              <w:t>见表1-</w:t>
            </w:r>
            <w:r>
              <w:rPr>
                <w:rFonts w:hint="default" w:eastAsia="宋体" w:cs="Times New Roman" w:asciiTheme="minorAscii" w:hAnsiTheme="minorAscii"/>
                <w:color w:val="auto"/>
                <w:sz w:val="24"/>
                <w:szCs w:val="24"/>
                <w:highlight w:val="none"/>
                <w:lang w:val="en-US" w:eastAsia="zh-CN"/>
              </w:rPr>
              <w:t>3。</w:t>
            </w:r>
          </w:p>
          <w:p w14:paraId="27ACFD09">
            <w:pPr>
              <w:pStyle w:val="39"/>
              <w:spacing w:line="500" w:lineRule="exact"/>
              <w:ind w:firstLine="482"/>
              <w:jc w:val="center"/>
              <w:rPr>
                <w:rFonts w:hint="default" w:asciiTheme="minorAscii" w:hAnsiTheme="minorAscii"/>
                <w:b/>
                <w:bCs/>
                <w:color w:val="auto"/>
                <w:kern w:val="2"/>
              </w:rPr>
            </w:pPr>
            <w:r>
              <w:rPr>
                <w:rFonts w:hint="default" w:asciiTheme="minorAscii" w:hAnsiTheme="minorAscii"/>
                <w:b/>
                <w:bCs/>
                <w:color w:val="auto"/>
                <w:kern w:val="2"/>
              </w:rPr>
              <w:t>表</w:t>
            </w:r>
            <w:r>
              <w:rPr>
                <w:rFonts w:hint="default" w:asciiTheme="minorAscii" w:hAnsiTheme="minorAscii"/>
                <w:b/>
                <w:bCs/>
                <w:color w:val="auto"/>
                <w:kern w:val="2"/>
                <w:lang w:val="en-US" w:eastAsia="zh-CN"/>
              </w:rPr>
              <w:t>1-3</w:t>
            </w:r>
            <w:r>
              <w:rPr>
                <w:rFonts w:hint="default" w:asciiTheme="minorAscii" w:hAnsiTheme="minorAscii"/>
                <w:b/>
                <w:bCs/>
                <w:color w:val="auto"/>
                <w:kern w:val="2"/>
              </w:rPr>
              <w:t xml:space="preserve">   项目与</w:t>
            </w:r>
            <w:r>
              <w:rPr>
                <w:rFonts w:hint="default" w:asciiTheme="minorAscii" w:hAnsiTheme="minorAscii"/>
                <w:b/>
                <w:bCs/>
                <w:color w:val="auto"/>
                <w:kern w:val="2"/>
                <w:lang w:val="en-US" w:eastAsia="zh-CN"/>
              </w:rPr>
              <w:t>博湖县</w:t>
            </w:r>
            <w:r>
              <w:rPr>
                <w:rFonts w:hint="default" w:asciiTheme="minorAscii" w:hAnsiTheme="minorAscii"/>
                <w:b/>
                <w:bCs/>
                <w:color w:val="auto"/>
                <w:kern w:val="2"/>
              </w:rPr>
              <w:t>具体环境管控单元准入清单符合分析一览表</w:t>
            </w:r>
          </w:p>
          <w:tbl>
            <w:tblPr>
              <w:tblStyle w:val="22"/>
              <w:tblW w:w="4996"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40"/>
              <w:gridCol w:w="430"/>
              <w:gridCol w:w="2470"/>
              <w:gridCol w:w="1783"/>
              <w:gridCol w:w="534"/>
            </w:tblGrid>
            <w:tr w14:paraId="7643D7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31" w:type="pct"/>
                  <w:noWrap w:val="0"/>
                  <w:vAlign w:val="center"/>
                </w:tcPr>
                <w:p w14:paraId="1E3E49A6">
                  <w:pPr>
                    <w:tabs>
                      <w:tab w:val="left" w:pos="1264"/>
                    </w:tabs>
                    <w:jc w:val="center"/>
                    <w:rPr>
                      <w:rFonts w:hint="default" w:cs="Times New Roman" w:asciiTheme="minorAscii" w:hAnsiTheme="minorAscii"/>
                      <w:szCs w:val="21"/>
                    </w:rPr>
                  </w:pPr>
                  <w:r>
                    <w:rPr>
                      <w:rFonts w:hint="default" w:cs="Times New Roman" w:asciiTheme="minorAscii" w:hAnsiTheme="minorAscii"/>
                      <w:szCs w:val="21"/>
                    </w:rPr>
                    <w:t>环境管控单元名称及编码</w:t>
                  </w:r>
                </w:p>
              </w:tc>
              <w:tc>
                <w:tcPr>
                  <w:tcW w:w="2317" w:type="pct"/>
                  <w:gridSpan w:val="2"/>
                  <w:tcBorders>
                    <w:right w:val="single" w:color="auto" w:sz="4" w:space="0"/>
                  </w:tcBorders>
                  <w:noWrap w:val="0"/>
                  <w:vAlign w:val="center"/>
                </w:tcPr>
                <w:p w14:paraId="1AD0D9B0">
                  <w:pPr>
                    <w:widowControl/>
                    <w:jc w:val="center"/>
                    <w:rPr>
                      <w:rFonts w:hint="default" w:cs="Times New Roman" w:asciiTheme="minorAscii" w:hAnsiTheme="minorAscii"/>
                      <w:szCs w:val="21"/>
                    </w:rPr>
                  </w:pPr>
                  <w:r>
                    <w:rPr>
                      <w:rFonts w:hint="default" w:cs="Times New Roman" w:asciiTheme="minorAscii" w:hAnsiTheme="minorAscii"/>
                      <w:kern w:val="0"/>
                      <w:szCs w:val="21"/>
                      <w:lang w:val="en-US" w:eastAsia="zh-CN"/>
                    </w:rPr>
                    <w:t>生态管控</w:t>
                  </w:r>
                  <w:r>
                    <w:rPr>
                      <w:rFonts w:hint="default" w:cs="Times New Roman" w:asciiTheme="minorAscii" w:hAnsiTheme="minorAscii"/>
                      <w:kern w:val="0"/>
                      <w:szCs w:val="21"/>
                    </w:rPr>
                    <w:t>要求</w:t>
                  </w:r>
                </w:p>
              </w:tc>
              <w:tc>
                <w:tcPr>
                  <w:tcW w:w="1424" w:type="pct"/>
                  <w:tcBorders>
                    <w:left w:val="single" w:color="auto" w:sz="4" w:space="0"/>
                  </w:tcBorders>
                  <w:noWrap w:val="0"/>
                  <w:vAlign w:val="center"/>
                </w:tcPr>
                <w:p w14:paraId="518A20CE">
                  <w:pPr>
                    <w:widowControl/>
                    <w:jc w:val="center"/>
                    <w:rPr>
                      <w:rFonts w:hint="default" w:cs="Times New Roman" w:asciiTheme="minorAscii" w:hAnsiTheme="minorAscii"/>
                      <w:kern w:val="0"/>
                      <w:szCs w:val="21"/>
                    </w:rPr>
                  </w:pPr>
                  <w:r>
                    <w:rPr>
                      <w:rFonts w:hint="default" w:cs="Times New Roman" w:asciiTheme="minorAscii" w:hAnsiTheme="minorAscii"/>
                      <w:kern w:val="0"/>
                      <w:szCs w:val="21"/>
                    </w:rPr>
                    <w:t>工程具体情况</w:t>
                  </w:r>
                </w:p>
              </w:tc>
              <w:tc>
                <w:tcPr>
                  <w:tcW w:w="426" w:type="pct"/>
                  <w:noWrap w:val="0"/>
                  <w:vAlign w:val="center"/>
                </w:tcPr>
                <w:p w14:paraId="09BDB316">
                  <w:pPr>
                    <w:widowControl/>
                    <w:jc w:val="center"/>
                    <w:rPr>
                      <w:rFonts w:hint="default" w:cs="Times New Roman" w:asciiTheme="minorAscii" w:hAnsiTheme="minorAscii"/>
                      <w:szCs w:val="21"/>
                    </w:rPr>
                  </w:pPr>
                  <w:r>
                    <w:rPr>
                      <w:rFonts w:hint="default" w:cs="Times New Roman" w:asciiTheme="minorAscii" w:hAnsiTheme="minorAscii"/>
                      <w:kern w:val="0"/>
                      <w:szCs w:val="21"/>
                    </w:rPr>
                    <w:t>相符性分析</w:t>
                  </w:r>
                </w:p>
              </w:tc>
            </w:tr>
            <w:tr w14:paraId="30E30B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31" w:type="pct"/>
                  <w:vMerge w:val="restart"/>
                  <w:noWrap w:val="0"/>
                  <w:vAlign w:val="center"/>
                </w:tcPr>
                <w:p w14:paraId="07711ED6">
                  <w:pPr>
                    <w:tabs>
                      <w:tab w:val="left" w:pos="1264"/>
                    </w:tabs>
                    <w:jc w:val="center"/>
                    <w:rPr>
                      <w:rFonts w:hint="default" w:cs="Times New Roman" w:asciiTheme="minorAscii" w:hAnsiTheme="minorAscii"/>
                      <w:szCs w:val="21"/>
                    </w:rPr>
                  </w:pPr>
                  <w:r>
                    <w:rPr>
                      <w:rFonts w:hint="default" w:cs="Times New Roman" w:asciiTheme="minorAscii" w:hAnsiTheme="minorAscii"/>
                      <w:szCs w:val="21"/>
                    </w:rPr>
                    <w:t>博湖县查干诺尔乡东南农业水污染重点管控区（ZH6528292000</w:t>
                  </w:r>
                  <w:r>
                    <w:rPr>
                      <w:rFonts w:hint="eastAsia" w:cs="Times New Roman" w:asciiTheme="minorAscii" w:hAnsiTheme="minorAscii"/>
                      <w:szCs w:val="21"/>
                      <w:lang w:val="en-US" w:eastAsia="zh-CN"/>
                    </w:rPr>
                    <w:t>8</w:t>
                  </w:r>
                  <w:r>
                    <w:rPr>
                      <w:rFonts w:hint="default" w:cs="Times New Roman" w:asciiTheme="minorAscii" w:hAnsiTheme="minorAscii"/>
                      <w:szCs w:val="21"/>
                      <w:lang w:eastAsia="zh-CN"/>
                    </w:rPr>
                    <w:t>）</w:t>
                  </w:r>
                </w:p>
              </w:tc>
              <w:tc>
                <w:tcPr>
                  <w:tcW w:w="343" w:type="pct"/>
                  <w:tcBorders>
                    <w:right w:val="single" w:color="auto" w:sz="4" w:space="0"/>
                  </w:tcBorders>
                  <w:noWrap w:val="0"/>
                  <w:vAlign w:val="center"/>
                </w:tcPr>
                <w:p w14:paraId="0A197101">
                  <w:pPr>
                    <w:widowControl/>
                    <w:jc w:val="center"/>
                    <w:rPr>
                      <w:rFonts w:hint="default" w:eastAsia="宋体" w:cs="Times New Roman" w:asciiTheme="minorAscii" w:hAnsiTheme="minorAscii"/>
                      <w:szCs w:val="21"/>
                      <w:lang w:eastAsia="zh-CN"/>
                    </w:rPr>
                  </w:pPr>
                  <w:r>
                    <w:rPr>
                      <w:rFonts w:hint="default" w:cs="Times New Roman" w:asciiTheme="minorAscii" w:hAnsiTheme="minorAscii"/>
                      <w:szCs w:val="21"/>
                      <w:lang w:eastAsia="zh-CN"/>
                    </w:rPr>
                    <w:t>空间管控约束</w:t>
                  </w:r>
                </w:p>
              </w:tc>
              <w:tc>
                <w:tcPr>
                  <w:tcW w:w="1973" w:type="pct"/>
                  <w:tcBorders>
                    <w:left w:val="single" w:color="auto" w:sz="4" w:space="0"/>
                    <w:right w:val="single" w:color="auto" w:sz="4" w:space="0"/>
                  </w:tcBorders>
                  <w:noWrap w:val="0"/>
                  <w:vAlign w:val="center"/>
                </w:tcPr>
                <w:p w14:paraId="48A0DD3C">
                  <w:pPr>
                    <w:jc w:val="center"/>
                    <w:rPr>
                      <w:rFonts w:hint="default" w:cs="Times New Roman" w:asciiTheme="minorAscii" w:hAnsiTheme="minorAscii"/>
                      <w:szCs w:val="21"/>
                    </w:rPr>
                  </w:pPr>
                  <w:r>
                    <w:rPr>
                      <w:rFonts w:hint="default" w:cs="Times New Roman" w:asciiTheme="minorAscii" w:hAnsiTheme="minorAscii"/>
                      <w:szCs w:val="21"/>
                    </w:rPr>
                    <w:t>1.项目用水达到行业先进水平，节水设施与主体工程同时设计、同时施工、同时投运。</w:t>
                  </w:r>
                </w:p>
                <w:p w14:paraId="4E339E0E">
                  <w:pPr>
                    <w:jc w:val="center"/>
                    <w:rPr>
                      <w:rFonts w:hint="default" w:cs="Times New Roman" w:asciiTheme="minorAscii" w:hAnsiTheme="minorAscii"/>
                      <w:szCs w:val="21"/>
                    </w:rPr>
                  </w:pPr>
                </w:p>
              </w:tc>
              <w:tc>
                <w:tcPr>
                  <w:tcW w:w="1424" w:type="pct"/>
                  <w:tcBorders>
                    <w:left w:val="single" w:color="auto" w:sz="4" w:space="0"/>
                  </w:tcBorders>
                  <w:noWrap w:val="0"/>
                  <w:vAlign w:val="center"/>
                </w:tcPr>
                <w:p w14:paraId="54023D36">
                  <w:pPr>
                    <w:widowControl/>
                    <w:rPr>
                      <w:rFonts w:hint="default" w:cs="Times New Roman" w:asciiTheme="minorAscii" w:hAnsiTheme="minorAscii"/>
                      <w:kern w:val="0"/>
                      <w:szCs w:val="21"/>
                    </w:rPr>
                  </w:pPr>
                  <w:r>
                    <w:rPr>
                      <w:rFonts w:hint="default" w:cs="Times New Roman" w:asciiTheme="minorAscii" w:hAnsiTheme="minorAscii"/>
                      <w:szCs w:val="21"/>
                    </w:rPr>
                    <w:t>本项目属于</w:t>
                  </w:r>
                  <w:r>
                    <w:rPr>
                      <w:rFonts w:hint="default" w:cs="Times New Roman" w:asciiTheme="minorAscii" w:hAnsiTheme="minorAscii"/>
                      <w:szCs w:val="21"/>
                      <w:lang w:val="en-US" w:eastAsia="zh-CN"/>
                    </w:rPr>
                    <w:t>工业污水处理站建设项目</w:t>
                  </w:r>
                  <w:r>
                    <w:rPr>
                      <w:rFonts w:hint="default" w:cs="Times New Roman" w:asciiTheme="minorAscii" w:hAnsiTheme="minorAscii"/>
                      <w:szCs w:val="21"/>
                    </w:rPr>
                    <w:t>，</w:t>
                  </w:r>
                  <w:r>
                    <w:rPr>
                      <w:rFonts w:hint="eastAsia" w:cs="Times New Roman" w:asciiTheme="minorAscii" w:hAnsiTheme="minorAscii"/>
                      <w:szCs w:val="21"/>
                      <w:lang w:eastAsia="zh-CN"/>
                    </w:rPr>
                    <w:t>项目用水满足区域节水要求，严格落实节水设施“三同时”要求，可有效提高区域水资源重复利用率，符合空间管控约束要求。</w:t>
                  </w:r>
                </w:p>
              </w:tc>
              <w:tc>
                <w:tcPr>
                  <w:tcW w:w="426" w:type="pct"/>
                  <w:noWrap w:val="0"/>
                  <w:vAlign w:val="center"/>
                </w:tcPr>
                <w:p w14:paraId="206BF113">
                  <w:pPr>
                    <w:tabs>
                      <w:tab w:val="left" w:pos="1264"/>
                    </w:tabs>
                    <w:rPr>
                      <w:rFonts w:hint="default" w:cs="Times New Roman" w:asciiTheme="minorAscii" w:hAnsiTheme="minorAscii"/>
                      <w:szCs w:val="21"/>
                    </w:rPr>
                  </w:pPr>
                  <w:r>
                    <w:rPr>
                      <w:rFonts w:hint="default" w:cs="Times New Roman" w:asciiTheme="minorAscii" w:hAnsiTheme="minorAscii"/>
                      <w:szCs w:val="21"/>
                    </w:rPr>
                    <w:t>符合</w:t>
                  </w:r>
                </w:p>
              </w:tc>
            </w:tr>
            <w:tr w14:paraId="68E2C3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31" w:type="pct"/>
                  <w:vMerge w:val="continue"/>
                  <w:noWrap w:val="0"/>
                  <w:vAlign w:val="center"/>
                </w:tcPr>
                <w:p w14:paraId="71C5AF8E">
                  <w:pPr>
                    <w:tabs>
                      <w:tab w:val="left" w:pos="1264"/>
                    </w:tabs>
                    <w:jc w:val="center"/>
                    <w:rPr>
                      <w:rFonts w:hint="default" w:cs="Times New Roman" w:asciiTheme="minorAscii" w:hAnsiTheme="minorAscii"/>
                      <w:szCs w:val="21"/>
                    </w:rPr>
                  </w:pPr>
                </w:p>
              </w:tc>
              <w:tc>
                <w:tcPr>
                  <w:tcW w:w="343" w:type="pct"/>
                  <w:tcBorders>
                    <w:right w:val="single" w:color="auto" w:sz="4" w:space="0"/>
                  </w:tcBorders>
                  <w:noWrap w:val="0"/>
                  <w:vAlign w:val="center"/>
                </w:tcPr>
                <w:p w14:paraId="60305E8B">
                  <w:pPr>
                    <w:widowControl/>
                    <w:jc w:val="center"/>
                    <w:rPr>
                      <w:rFonts w:hint="default" w:cs="Times New Roman" w:asciiTheme="minorAscii" w:hAnsiTheme="minorAscii"/>
                      <w:szCs w:val="21"/>
                    </w:rPr>
                  </w:pPr>
                  <w:r>
                    <w:rPr>
                      <w:rFonts w:hint="default" w:cs="Times New Roman" w:asciiTheme="minorAscii" w:hAnsiTheme="minorAscii"/>
                      <w:szCs w:val="21"/>
                    </w:rPr>
                    <w:t>污</w:t>
                  </w:r>
                </w:p>
                <w:p w14:paraId="1AA07F45">
                  <w:pPr>
                    <w:widowControl/>
                    <w:jc w:val="center"/>
                    <w:rPr>
                      <w:rFonts w:hint="default" w:cs="Times New Roman" w:asciiTheme="minorAscii" w:hAnsiTheme="minorAscii"/>
                      <w:szCs w:val="21"/>
                    </w:rPr>
                  </w:pPr>
                  <w:r>
                    <w:rPr>
                      <w:rFonts w:hint="default" w:cs="Times New Roman" w:asciiTheme="minorAscii" w:hAnsiTheme="minorAscii"/>
                      <w:szCs w:val="21"/>
                    </w:rPr>
                    <w:t>染</w:t>
                  </w:r>
                </w:p>
                <w:p w14:paraId="4300A41F">
                  <w:pPr>
                    <w:widowControl/>
                    <w:jc w:val="center"/>
                    <w:rPr>
                      <w:rFonts w:hint="default" w:cs="Times New Roman" w:asciiTheme="minorAscii" w:hAnsiTheme="minorAscii"/>
                      <w:szCs w:val="21"/>
                    </w:rPr>
                  </w:pPr>
                  <w:r>
                    <w:rPr>
                      <w:rFonts w:hint="default" w:cs="Times New Roman" w:asciiTheme="minorAscii" w:hAnsiTheme="minorAscii"/>
                      <w:szCs w:val="21"/>
                    </w:rPr>
                    <w:t>物</w:t>
                  </w:r>
                </w:p>
                <w:p w14:paraId="39B4DBC3">
                  <w:pPr>
                    <w:widowControl/>
                    <w:jc w:val="center"/>
                    <w:rPr>
                      <w:rFonts w:hint="default" w:cs="Times New Roman" w:asciiTheme="minorAscii" w:hAnsiTheme="minorAscii"/>
                      <w:szCs w:val="21"/>
                    </w:rPr>
                  </w:pPr>
                  <w:r>
                    <w:rPr>
                      <w:rFonts w:hint="default" w:cs="Times New Roman" w:asciiTheme="minorAscii" w:hAnsiTheme="minorAscii"/>
                      <w:szCs w:val="21"/>
                    </w:rPr>
                    <w:t>排</w:t>
                  </w:r>
                </w:p>
                <w:p w14:paraId="4A8C4A9C">
                  <w:pPr>
                    <w:widowControl/>
                    <w:jc w:val="center"/>
                    <w:rPr>
                      <w:rFonts w:hint="default" w:cs="Times New Roman" w:asciiTheme="minorAscii" w:hAnsiTheme="minorAscii"/>
                      <w:szCs w:val="21"/>
                    </w:rPr>
                  </w:pPr>
                  <w:r>
                    <w:rPr>
                      <w:rFonts w:hint="default" w:cs="Times New Roman" w:asciiTheme="minorAscii" w:hAnsiTheme="minorAscii"/>
                      <w:szCs w:val="21"/>
                    </w:rPr>
                    <w:t>放</w:t>
                  </w:r>
                </w:p>
                <w:p w14:paraId="7102A04B">
                  <w:pPr>
                    <w:widowControl/>
                    <w:jc w:val="center"/>
                    <w:rPr>
                      <w:rFonts w:hint="default" w:cs="Times New Roman" w:asciiTheme="minorAscii" w:hAnsiTheme="minorAscii"/>
                      <w:szCs w:val="21"/>
                    </w:rPr>
                  </w:pPr>
                  <w:r>
                    <w:rPr>
                      <w:rFonts w:hint="default" w:cs="Times New Roman" w:asciiTheme="minorAscii" w:hAnsiTheme="minorAscii"/>
                      <w:szCs w:val="21"/>
                    </w:rPr>
                    <w:t>管</w:t>
                  </w:r>
                </w:p>
                <w:p w14:paraId="7D21BE39">
                  <w:pPr>
                    <w:widowControl/>
                    <w:jc w:val="center"/>
                    <w:rPr>
                      <w:rFonts w:hint="default" w:cs="Times New Roman" w:asciiTheme="minorAscii" w:hAnsiTheme="minorAscii"/>
                      <w:szCs w:val="21"/>
                    </w:rPr>
                  </w:pPr>
                  <w:r>
                    <w:rPr>
                      <w:rFonts w:hint="default" w:cs="Times New Roman" w:asciiTheme="minorAscii" w:hAnsiTheme="minorAscii"/>
                      <w:szCs w:val="21"/>
                    </w:rPr>
                    <w:t>控</w:t>
                  </w:r>
                </w:p>
              </w:tc>
              <w:tc>
                <w:tcPr>
                  <w:tcW w:w="1973" w:type="pct"/>
                  <w:tcBorders>
                    <w:left w:val="single" w:color="auto" w:sz="4" w:space="0"/>
                    <w:right w:val="single" w:color="auto" w:sz="4" w:space="0"/>
                  </w:tcBorders>
                  <w:noWrap w:val="0"/>
                  <w:vAlign w:val="center"/>
                </w:tcPr>
                <w:p w14:paraId="331592B4">
                  <w:pPr>
                    <w:widowControl/>
                    <w:jc w:val="center"/>
                    <w:rPr>
                      <w:rFonts w:hint="default" w:eastAsia="宋体" w:cs="Times New Roman" w:asciiTheme="minorAscii" w:hAnsiTheme="minorAscii"/>
                      <w:color w:val="auto"/>
                      <w:kern w:val="0"/>
                      <w:szCs w:val="21"/>
                      <w:lang w:val="en-US" w:eastAsia="zh-CN"/>
                    </w:rPr>
                  </w:pPr>
                  <w:r>
                    <w:rPr>
                      <w:rFonts w:hint="default" w:eastAsia="宋体" w:cs="Times New Roman" w:asciiTheme="minorAscii" w:hAnsiTheme="minorAscii"/>
                      <w:color w:val="auto"/>
                      <w:kern w:val="0"/>
                      <w:szCs w:val="21"/>
                      <w:lang w:val="en-US" w:eastAsia="zh-CN"/>
                    </w:rPr>
                    <w:t>1.加强规模化畜禽养殖污染防治工作，筛选、推广经济适用的污染防治和养殖废物利用技术。</w:t>
                  </w:r>
                </w:p>
                <w:p w14:paraId="7A254D4A">
                  <w:pPr>
                    <w:widowControl/>
                    <w:jc w:val="center"/>
                    <w:rPr>
                      <w:rFonts w:hint="default" w:eastAsia="宋体" w:cs="Times New Roman" w:asciiTheme="minorAscii" w:hAnsiTheme="minorAscii"/>
                      <w:color w:val="auto"/>
                      <w:kern w:val="0"/>
                      <w:szCs w:val="21"/>
                      <w:lang w:val="en-US" w:eastAsia="zh-CN"/>
                    </w:rPr>
                  </w:pPr>
                  <w:r>
                    <w:rPr>
                      <w:rFonts w:hint="default" w:eastAsia="宋体" w:cs="Times New Roman" w:asciiTheme="minorAscii" w:hAnsiTheme="minorAscii"/>
                      <w:color w:val="auto"/>
                      <w:kern w:val="0"/>
                      <w:szCs w:val="21"/>
                      <w:lang w:val="en-US" w:eastAsia="zh-CN"/>
                    </w:rPr>
                    <w:t>2.实施农村人居环境整治提升行动，开展农村环境综合整治，重点抓好改厕和污水、垃圾处理；开展美丽宜居村庄示范创建活动，深入推进村庄清洁和绿化行动。</w:t>
                  </w:r>
                </w:p>
                <w:p w14:paraId="6D9FC9F2">
                  <w:pPr>
                    <w:widowControl/>
                    <w:jc w:val="center"/>
                    <w:rPr>
                      <w:rFonts w:hint="default" w:eastAsia="宋体" w:cs="Times New Roman" w:asciiTheme="minorAscii" w:hAnsiTheme="minorAscii"/>
                      <w:color w:val="auto"/>
                      <w:kern w:val="0"/>
                      <w:szCs w:val="21"/>
                      <w:lang w:val="en-US" w:eastAsia="zh-CN"/>
                    </w:rPr>
                  </w:pPr>
                  <w:r>
                    <w:rPr>
                      <w:rFonts w:hint="default" w:eastAsia="宋体" w:cs="Times New Roman" w:asciiTheme="minorAscii" w:hAnsiTheme="minorAscii"/>
                      <w:color w:val="auto"/>
                      <w:kern w:val="0"/>
                      <w:szCs w:val="21"/>
                      <w:lang w:val="en-US" w:eastAsia="zh-CN"/>
                    </w:rPr>
                    <w:t>3.开展无公害农产品认证工作，严格控制农药、化肥施用量。推广使用有机肥及易降解低残留的农药与化肥。推广绿色食品和有机食品基地建设。</w:t>
                  </w:r>
                </w:p>
                <w:p w14:paraId="598DCE28">
                  <w:pPr>
                    <w:widowControl/>
                    <w:jc w:val="center"/>
                    <w:rPr>
                      <w:rFonts w:hint="default" w:eastAsia="宋体" w:cs="Times New Roman" w:asciiTheme="minorAscii" w:hAnsiTheme="minorAscii"/>
                      <w:color w:val="auto"/>
                      <w:kern w:val="0"/>
                      <w:szCs w:val="21"/>
                      <w:lang w:val="en-US" w:eastAsia="zh-CN"/>
                    </w:rPr>
                  </w:pPr>
                  <w:r>
                    <w:rPr>
                      <w:rFonts w:hint="default" w:eastAsia="宋体" w:cs="Times New Roman" w:asciiTheme="minorAscii" w:hAnsiTheme="minorAscii"/>
                      <w:color w:val="auto"/>
                      <w:kern w:val="0"/>
                      <w:szCs w:val="21"/>
                      <w:lang w:val="en-US" w:eastAsia="zh-CN"/>
                    </w:rPr>
                    <w:t>4.加大农业面源污染防治力度。开展农田废旧地膜污染集中整治。</w:t>
                  </w:r>
                </w:p>
                <w:p w14:paraId="4E73ED10">
                  <w:pPr>
                    <w:widowControl/>
                    <w:jc w:val="center"/>
                    <w:rPr>
                      <w:rFonts w:hint="default" w:eastAsia="宋体" w:cs="Times New Roman" w:asciiTheme="minorAscii" w:hAnsiTheme="minorAscii"/>
                      <w:color w:val="auto"/>
                      <w:kern w:val="0"/>
                      <w:szCs w:val="21"/>
                      <w:lang w:eastAsia="zh-CN"/>
                    </w:rPr>
                  </w:pPr>
                </w:p>
              </w:tc>
              <w:tc>
                <w:tcPr>
                  <w:tcW w:w="1424" w:type="pct"/>
                  <w:tcBorders>
                    <w:left w:val="single" w:color="auto" w:sz="4" w:space="0"/>
                  </w:tcBorders>
                  <w:noWrap w:val="0"/>
                  <w:vAlign w:val="center"/>
                </w:tcPr>
                <w:p w14:paraId="3617095F">
                  <w:pPr>
                    <w:widowControl/>
                    <w:jc w:val="center"/>
                    <w:rPr>
                      <w:rFonts w:hint="default" w:eastAsia="宋体" w:cs="Times New Roman" w:asciiTheme="minorAscii" w:hAnsiTheme="minorAscii"/>
                      <w:color w:val="auto"/>
                      <w:kern w:val="0"/>
                      <w:szCs w:val="21"/>
                      <w:lang w:eastAsia="zh-CN"/>
                    </w:rPr>
                  </w:pPr>
                  <w:r>
                    <w:rPr>
                      <w:rFonts w:hint="default" w:eastAsia="宋体" w:cs="Times New Roman" w:asciiTheme="minorAscii" w:hAnsiTheme="minorAscii"/>
                      <w:color w:val="auto"/>
                      <w:kern w:val="0"/>
                      <w:szCs w:val="21"/>
                      <w:lang w:eastAsia="zh-CN"/>
                    </w:rPr>
                    <w:t>本项目</w:t>
                  </w:r>
                  <w:r>
                    <w:rPr>
                      <w:rFonts w:hint="eastAsia" w:cs="Times New Roman" w:asciiTheme="minorAscii" w:hAnsiTheme="minorAscii"/>
                      <w:color w:val="auto"/>
                      <w:kern w:val="0"/>
                      <w:szCs w:val="21"/>
                      <w:lang w:val="en-US" w:eastAsia="zh-CN"/>
                    </w:rPr>
                    <w:t>为污水处理站建设项目，不涉及规模化畜禽养殖、农业种植等活动，不会增加区域农业面源污染负荷，项目建成后可规范处理物流园生产生活污水，进一步完善区域污水处理基础设施，助力农村环境综合整治工作开展。</w:t>
                  </w:r>
                </w:p>
              </w:tc>
              <w:tc>
                <w:tcPr>
                  <w:tcW w:w="426" w:type="pct"/>
                  <w:noWrap w:val="0"/>
                  <w:vAlign w:val="center"/>
                </w:tcPr>
                <w:p w14:paraId="65C9E0AA">
                  <w:pPr>
                    <w:tabs>
                      <w:tab w:val="left" w:pos="1264"/>
                    </w:tabs>
                    <w:jc w:val="center"/>
                    <w:rPr>
                      <w:rFonts w:hint="default" w:cs="Times New Roman" w:asciiTheme="minorAscii" w:hAnsiTheme="minorAscii"/>
                      <w:szCs w:val="21"/>
                    </w:rPr>
                  </w:pPr>
                  <w:r>
                    <w:rPr>
                      <w:rFonts w:hint="default" w:cs="Times New Roman" w:asciiTheme="minorAscii" w:hAnsiTheme="minorAscii"/>
                      <w:szCs w:val="21"/>
                    </w:rPr>
                    <w:t>符合</w:t>
                  </w:r>
                </w:p>
              </w:tc>
            </w:tr>
            <w:tr w14:paraId="4018203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31" w:type="pct"/>
                  <w:vMerge w:val="continue"/>
                  <w:noWrap w:val="0"/>
                  <w:vAlign w:val="center"/>
                </w:tcPr>
                <w:p w14:paraId="4A5240B1">
                  <w:pPr>
                    <w:tabs>
                      <w:tab w:val="left" w:pos="1264"/>
                    </w:tabs>
                    <w:jc w:val="center"/>
                    <w:rPr>
                      <w:rFonts w:hint="default" w:cs="Times New Roman" w:asciiTheme="minorAscii" w:hAnsiTheme="minorAscii"/>
                      <w:szCs w:val="21"/>
                    </w:rPr>
                  </w:pPr>
                </w:p>
              </w:tc>
              <w:tc>
                <w:tcPr>
                  <w:tcW w:w="343" w:type="pct"/>
                  <w:tcBorders>
                    <w:right w:val="single" w:color="auto" w:sz="4" w:space="0"/>
                  </w:tcBorders>
                  <w:noWrap w:val="0"/>
                  <w:vAlign w:val="center"/>
                </w:tcPr>
                <w:p w14:paraId="0C1D702F">
                  <w:pPr>
                    <w:widowControl/>
                    <w:jc w:val="center"/>
                    <w:rPr>
                      <w:rFonts w:hint="default" w:cs="Times New Roman" w:asciiTheme="minorAscii" w:hAnsiTheme="minorAscii"/>
                      <w:szCs w:val="21"/>
                    </w:rPr>
                  </w:pPr>
                  <w:r>
                    <w:rPr>
                      <w:rFonts w:hint="default" w:cs="Times New Roman" w:asciiTheme="minorAscii" w:hAnsiTheme="minorAscii"/>
                      <w:szCs w:val="21"/>
                    </w:rPr>
                    <w:t>环境风</w:t>
                  </w:r>
                </w:p>
                <w:p w14:paraId="25C9A80D">
                  <w:pPr>
                    <w:widowControl/>
                    <w:jc w:val="center"/>
                    <w:rPr>
                      <w:rFonts w:hint="default" w:cs="Times New Roman" w:asciiTheme="minorAscii" w:hAnsiTheme="minorAscii"/>
                      <w:szCs w:val="21"/>
                    </w:rPr>
                  </w:pPr>
                  <w:r>
                    <w:rPr>
                      <w:rFonts w:hint="default" w:cs="Times New Roman" w:asciiTheme="minorAscii" w:hAnsiTheme="minorAscii"/>
                      <w:szCs w:val="21"/>
                    </w:rPr>
                    <w:t>险防控</w:t>
                  </w:r>
                </w:p>
              </w:tc>
              <w:tc>
                <w:tcPr>
                  <w:tcW w:w="1973" w:type="pct"/>
                  <w:tcBorders>
                    <w:left w:val="single" w:color="auto" w:sz="4" w:space="0"/>
                    <w:right w:val="single" w:color="auto" w:sz="4" w:space="0"/>
                  </w:tcBorders>
                  <w:noWrap w:val="0"/>
                  <w:vAlign w:val="center"/>
                </w:tcPr>
                <w:p w14:paraId="5BC8A040">
                  <w:pPr>
                    <w:keepNext w:val="0"/>
                    <w:keepLines w:val="0"/>
                    <w:suppressLineNumbers w:val="0"/>
                    <w:spacing w:before="0" w:beforeAutospacing="0" w:after="0" w:afterAutospacing="0"/>
                    <w:ind w:left="0" w:right="0"/>
                    <w:jc w:val="center"/>
                    <w:rPr>
                      <w:rFonts w:hint="default" w:eastAsia="宋体" w:cs="Times New Roman" w:asciiTheme="minorAscii" w:hAnsiTheme="minorAscii"/>
                      <w:color w:val="auto"/>
                      <w:sz w:val="21"/>
                      <w:szCs w:val="21"/>
                      <w:lang w:val="en-US" w:eastAsia="zh-CN"/>
                    </w:rPr>
                  </w:pPr>
                  <w:r>
                    <w:rPr>
                      <w:rFonts w:hint="default" w:eastAsia="宋体" w:cs="Times New Roman" w:asciiTheme="minorAscii" w:hAnsiTheme="minorAscii"/>
                      <w:color w:val="auto"/>
                      <w:sz w:val="21"/>
                      <w:szCs w:val="21"/>
                      <w:lang w:val="en-US" w:eastAsia="zh-CN"/>
                    </w:rPr>
                    <w:t>1.建立健全现有农田和果园防护林网格体系，加大对老残次断林带更新改造力度，进一步完善农田和果园防护林网，构建完善的绿洲生态体系</w:t>
                  </w:r>
                  <w:r>
                    <w:rPr>
                      <w:rFonts w:hint="eastAsia" w:cs="Times New Roman" w:asciiTheme="minorAscii" w:hAnsiTheme="minorAscii"/>
                      <w:color w:val="auto"/>
                      <w:sz w:val="21"/>
                      <w:szCs w:val="21"/>
                      <w:lang w:val="en-US" w:eastAsia="zh-CN"/>
                    </w:rPr>
                    <w:t>，</w:t>
                  </w:r>
                  <w:r>
                    <w:rPr>
                      <w:rFonts w:hint="default" w:eastAsia="宋体" w:cs="Times New Roman" w:asciiTheme="minorAscii" w:hAnsiTheme="minorAscii"/>
                      <w:color w:val="auto"/>
                      <w:sz w:val="21"/>
                      <w:szCs w:val="21"/>
                      <w:lang w:val="en-US" w:eastAsia="zh-CN"/>
                    </w:rPr>
                    <w:t>增强果园和农田抵御病虫害、低温冻害、大风沙尘等自然灾害的能力，增加绿洲对自然灾害的防御能力。</w:t>
                  </w:r>
                </w:p>
                <w:p w14:paraId="56018A44">
                  <w:pPr>
                    <w:keepNext w:val="0"/>
                    <w:keepLines w:val="0"/>
                    <w:suppressLineNumbers w:val="0"/>
                    <w:spacing w:before="0" w:beforeAutospacing="0" w:after="0" w:afterAutospacing="0"/>
                    <w:ind w:left="0" w:right="0"/>
                    <w:jc w:val="center"/>
                    <w:rPr>
                      <w:rFonts w:hint="default" w:eastAsia="宋体" w:cs="Times New Roman" w:asciiTheme="minorAscii" w:hAnsiTheme="minorAscii"/>
                      <w:color w:val="auto"/>
                      <w:sz w:val="21"/>
                      <w:szCs w:val="21"/>
                      <w:lang w:val="en-US" w:eastAsia="zh-CN"/>
                    </w:rPr>
                  </w:pPr>
                  <w:r>
                    <w:rPr>
                      <w:rFonts w:hint="default" w:eastAsia="宋体" w:cs="Times New Roman" w:asciiTheme="minorAscii" w:hAnsiTheme="minorAscii"/>
                      <w:color w:val="auto"/>
                      <w:sz w:val="21"/>
                      <w:szCs w:val="21"/>
                      <w:lang w:val="en-US" w:eastAsia="zh-CN"/>
                    </w:rPr>
                    <w:t>2.以减轻林业生物灾害、促进特色林果业健康发展、确保生态安全为目标，政府主导、部门协作、社会参与，完善防控体系，强化能力建设，健全管理制度，创新防控机制，落实政策法规，突出科学防治，</w:t>
                  </w:r>
                  <w:r>
                    <w:rPr>
                      <w:rFonts w:hint="eastAsia" w:cs="Times New Roman" w:asciiTheme="minorAscii" w:hAnsiTheme="minorAscii"/>
                      <w:color w:val="auto"/>
                      <w:sz w:val="21"/>
                      <w:szCs w:val="21"/>
                      <w:lang w:val="en-US" w:eastAsia="zh-CN"/>
                    </w:rPr>
                    <w:t>增强</w:t>
                  </w:r>
                  <w:r>
                    <w:rPr>
                      <w:rFonts w:hint="default" w:eastAsia="宋体" w:cs="Times New Roman" w:asciiTheme="minorAscii" w:hAnsiTheme="minorAscii"/>
                      <w:color w:val="auto"/>
                      <w:sz w:val="21"/>
                      <w:szCs w:val="21"/>
                      <w:lang w:val="en-US" w:eastAsia="zh-CN"/>
                    </w:rPr>
                    <w:t>公众防范意识，开展群防群治、联防联治，为实现特色林果产业持续健康发展和新疆生态文明建设提供重要保障。</w:t>
                  </w:r>
                </w:p>
                <w:p w14:paraId="04849042">
                  <w:pPr>
                    <w:widowControl/>
                    <w:jc w:val="center"/>
                    <w:rPr>
                      <w:rFonts w:hint="default" w:cs="Times New Roman" w:asciiTheme="minorAscii" w:hAnsiTheme="minorAscii"/>
                      <w:color w:val="auto"/>
                      <w:szCs w:val="21"/>
                    </w:rPr>
                  </w:pPr>
                </w:p>
              </w:tc>
              <w:tc>
                <w:tcPr>
                  <w:tcW w:w="1424" w:type="pct"/>
                  <w:tcBorders>
                    <w:left w:val="single" w:color="auto" w:sz="4" w:space="0"/>
                  </w:tcBorders>
                  <w:noWrap w:val="0"/>
                  <w:vAlign w:val="center"/>
                </w:tcPr>
                <w:p w14:paraId="21B1C39A">
                  <w:pPr>
                    <w:widowControl/>
                    <w:jc w:val="center"/>
                    <w:rPr>
                      <w:rFonts w:hint="default" w:cs="Times New Roman" w:asciiTheme="minorAscii" w:hAnsiTheme="minorAscii"/>
                      <w:color w:val="auto"/>
                      <w:kern w:val="0"/>
                      <w:szCs w:val="21"/>
                    </w:rPr>
                  </w:pPr>
                  <w:r>
                    <w:rPr>
                      <w:rFonts w:hint="default" w:eastAsia="宋体" w:cs="Times New Roman" w:asciiTheme="minorAscii" w:hAnsiTheme="minorAscii"/>
                      <w:color w:val="auto"/>
                      <w:kern w:val="0"/>
                      <w:szCs w:val="21"/>
                      <w:lang w:eastAsia="zh-CN"/>
                    </w:rPr>
                    <w:t>本项目</w:t>
                  </w:r>
                  <w:r>
                    <w:rPr>
                      <w:rFonts w:hint="eastAsia" w:cs="Times New Roman" w:asciiTheme="minorAscii" w:hAnsiTheme="minorAscii"/>
                      <w:color w:val="auto"/>
                      <w:kern w:val="0"/>
                      <w:szCs w:val="21"/>
                      <w:lang w:val="en-US" w:eastAsia="zh-CN"/>
                    </w:rPr>
                    <w:t>为污水处理站建设项目，不涉及农田和果园防护林改造、林业生物灾害防控等相关工作，项目运营不改变区域原有生态体系功能，符合管控要求。</w:t>
                  </w:r>
                </w:p>
              </w:tc>
              <w:tc>
                <w:tcPr>
                  <w:tcW w:w="426" w:type="pct"/>
                  <w:noWrap w:val="0"/>
                  <w:vAlign w:val="center"/>
                </w:tcPr>
                <w:p w14:paraId="4CEDBFD3">
                  <w:pPr>
                    <w:tabs>
                      <w:tab w:val="left" w:pos="1264"/>
                    </w:tabs>
                    <w:jc w:val="center"/>
                    <w:rPr>
                      <w:rFonts w:hint="default" w:cs="Times New Roman" w:asciiTheme="minorAscii" w:hAnsiTheme="minorAscii"/>
                      <w:szCs w:val="21"/>
                    </w:rPr>
                  </w:pPr>
                  <w:r>
                    <w:rPr>
                      <w:rFonts w:hint="default" w:cs="Times New Roman" w:asciiTheme="minorAscii" w:hAnsiTheme="minorAscii"/>
                      <w:szCs w:val="21"/>
                    </w:rPr>
                    <w:t>符合</w:t>
                  </w:r>
                </w:p>
              </w:tc>
            </w:tr>
            <w:tr w14:paraId="296AB8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31" w:type="pct"/>
                  <w:vMerge w:val="continue"/>
                  <w:noWrap w:val="0"/>
                  <w:vAlign w:val="center"/>
                </w:tcPr>
                <w:p w14:paraId="664A5D0A">
                  <w:pPr>
                    <w:tabs>
                      <w:tab w:val="left" w:pos="1264"/>
                    </w:tabs>
                    <w:jc w:val="center"/>
                    <w:rPr>
                      <w:rFonts w:hint="default" w:cs="Times New Roman" w:asciiTheme="minorAscii" w:hAnsiTheme="minorAscii"/>
                      <w:szCs w:val="21"/>
                    </w:rPr>
                  </w:pPr>
                </w:p>
              </w:tc>
              <w:tc>
                <w:tcPr>
                  <w:tcW w:w="343" w:type="pct"/>
                  <w:tcBorders>
                    <w:right w:val="single" w:color="auto" w:sz="4" w:space="0"/>
                  </w:tcBorders>
                  <w:noWrap w:val="0"/>
                  <w:vAlign w:val="center"/>
                </w:tcPr>
                <w:p w14:paraId="55DC1FE9">
                  <w:pPr>
                    <w:widowControl/>
                    <w:jc w:val="center"/>
                    <w:rPr>
                      <w:rFonts w:hint="default" w:cs="Times New Roman" w:asciiTheme="minorAscii" w:hAnsiTheme="minorAscii"/>
                      <w:szCs w:val="21"/>
                    </w:rPr>
                  </w:pPr>
                  <w:r>
                    <w:rPr>
                      <w:rFonts w:hint="default" w:cs="Times New Roman" w:asciiTheme="minorAscii" w:hAnsiTheme="minorAscii"/>
                      <w:szCs w:val="21"/>
                    </w:rPr>
                    <w:t>资源利</w:t>
                  </w:r>
                </w:p>
                <w:p w14:paraId="0C7DD5F8">
                  <w:pPr>
                    <w:widowControl/>
                    <w:jc w:val="center"/>
                    <w:rPr>
                      <w:rFonts w:hint="default" w:cs="Times New Roman" w:asciiTheme="minorAscii" w:hAnsiTheme="minorAscii"/>
                      <w:szCs w:val="21"/>
                    </w:rPr>
                  </w:pPr>
                  <w:r>
                    <w:rPr>
                      <w:rFonts w:hint="default" w:cs="Times New Roman" w:asciiTheme="minorAscii" w:hAnsiTheme="minorAscii"/>
                      <w:szCs w:val="21"/>
                    </w:rPr>
                    <w:t>用效率</w:t>
                  </w:r>
                </w:p>
              </w:tc>
              <w:tc>
                <w:tcPr>
                  <w:tcW w:w="1973" w:type="pct"/>
                  <w:tcBorders>
                    <w:left w:val="single" w:color="auto" w:sz="4" w:space="0"/>
                    <w:right w:val="single" w:color="auto" w:sz="4" w:space="0"/>
                  </w:tcBorders>
                  <w:noWrap w:val="0"/>
                  <w:vAlign w:val="center"/>
                </w:tcPr>
                <w:p w14:paraId="6D027041">
                  <w:pPr>
                    <w:jc w:val="center"/>
                    <w:rPr>
                      <w:rFonts w:hint="default" w:cs="Times New Roman" w:asciiTheme="minorAscii" w:hAnsiTheme="minorAscii"/>
                      <w:color w:val="auto"/>
                      <w:szCs w:val="21"/>
                    </w:rPr>
                  </w:pPr>
                  <w:r>
                    <w:rPr>
                      <w:rFonts w:hint="default" w:eastAsia="宋体" w:cs="Times New Roman" w:asciiTheme="minorAscii" w:hAnsiTheme="minorAscii"/>
                      <w:color w:val="auto"/>
                      <w:sz w:val="21"/>
                      <w:szCs w:val="21"/>
                      <w:lang w:val="en-US" w:eastAsia="zh-CN"/>
                    </w:rPr>
                    <w:t>1.优化用水结构，推广高标准节水灌溉，减少农业用水量，严格执行用水总量控制，提高农业用水使用效率。</w:t>
                  </w:r>
                </w:p>
              </w:tc>
              <w:tc>
                <w:tcPr>
                  <w:tcW w:w="1424" w:type="pct"/>
                  <w:tcBorders>
                    <w:left w:val="single" w:color="auto" w:sz="4" w:space="0"/>
                  </w:tcBorders>
                  <w:noWrap w:val="0"/>
                  <w:vAlign w:val="center"/>
                </w:tcPr>
                <w:p w14:paraId="6D3F0D35">
                  <w:pPr>
                    <w:widowControl/>
                    <w:jc w:val="center"/>
                    <w:rPr>
                      <w:rFonts w:hint="default" w:cs="Times New Roman" w:asciiTheme="minorAscii" w:hAnsiTheme="minorAscii"/>
                      <w:color w:val="auto"/>
                      <w:szCs w:val="21"/>
                    </w:rPr>
                  </w:pPr>
                  <w:r>
                    <w:rPr>
                      <w:rFonts w:hint="default" w:cs="Times New Roman" w:asciiTheme="minorAscii" w:hAnsiTheme="minorAscii"/>
                      <w:color w:val="auto"/>
                      <w:szCs w:val="21"/>
                      <w:lang w:eastAsia="zh-CN"/>
                    </w:rPr>
                    <w:t>本项目用水由市政供水管网统一供给，不涉及新增地下水取水，项目用水主要为污水处理过程中的补充水及少量生活用水，用水量较小，符合水资源管理“三条红线”中关于用水总量控制的要求。同时，项目在设计和运营过程中，将严格遵循水资源综合利用原则，采用先进的污水处理工艺，提高再生水回用率，处理后的再生水将通过排碱渠排入下游苇区灌溉，实现水资源的循环利用</w:t>
                  </w:r>
                  <w:r>
                    <w:rPr>
                      <w:rFonts w:hint="default" w:cs="Times New Roman" w:asciiTheme="minorAscii" w:hAnsiTheme="minorAscii"/>
                      <w:color w:val="auto"/>
                      <w:szCs w:val="21"/>
                    </w:rPr>
                    <w:t>。</w:t>
                  </w:r>
                </w:p>
              </w:tc>
              <w:tc>
                <w:tcPr>
                  <w:tcW w:w="426" w:type="pct"/>
                  <w:noWrap w:val="0"/>
                  <w:vAlign w:val="center"/>
                </w:tcPr>
                <w:p w14:paraId="6475AF72">
                  <w:pPr>
                    <w:tabs>
                      <w:tab w:val="left" w:pos="1264"/>
                    </w:tabs>
                    <w:jc w:val="center"/>
                    <w:rPr>
                      <w:rFonts w:hint="default" w:cs="Times New Roman" w:asciiTheme="minorAscii" w:hAnsiTheme="minorAscii"/>
                      <w:szCs w:val="21"/>
                    </w:rPr>
                  </w:pPr>
                  <w:r>
                    <w:rPr>
                      <w:rFonts w:hint="default" w:cs="Times New Roman" w:asciiTheme="minorAscii" w:hAnsiTheme="minorAscii"/>
                      <w:szCs w:val="21"/>
                    </w:rPr>
                    <w:t>符合</w:t>
                  </w:r>
                </w:p>
              </w:tc>
            </w:tr>
          </w:tbl>
          <w:p w14:paraId="59532C76">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heme="minorAscii" w:hAnsiTheme="minorAscii"/>
                <w:b/>
                <w:color w:val="000000"/>
                <w:kern w:val="0"/>
                <w:sz w:val="24"/>
                <w:lang w:bidi="ar"/>
              </w:rPr>
            </w:pPr>
            <w:r>
              <w:rPr>
                <w:rFonts w:hint="default" w:asciiTheme="minorAscii" w:hAnsiTheme="minorAscii"/>
                <w:b/>
                <w:color w:val="000000"/>
                <w:kern w:val="0"/>
                <w:sz w:val="24"/>
                <w:lang w:val="en-US" w:eastAsia="zh-CN" w:bidi="ar"/>
              </w:rPr>
              <w:t>2.</w:t>
            </w:r>
            <w:r>
              <w:rPr>
                <w:rFonts w:hint="default" w:asciiTheme="minorAscii" w:hAnsiTheme="minorAscii"/>
                <w:b/>
                <w:color w:val="000000"/>
                <w:kern w:val="0"/>
                <w:sz w:val="24"/>
                <w:lang w:eastAsia="zh-CN" w:bidi="ar"/>
              </w:rPr>
              <w:t>环境管理</w:t>
            </w:r>
            <w:r>
              <w:rPr>
                <w:rFonts w:hint="default" w:cs="宋体" w:asciiTheme="minorAscii" w:hAnsiTheme="minorAscii"/>
                <w:b/>
                <w:kern w:val="0"/>
                <w:sz w:val="24"/>
              </w:rPr>
              <w:t>政策分析</w:t>
            </w:r>
          </w:p>
          <w:p w14:paraId="78C3708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cs="宋体" w:asciiTheme="minorAscii" w:hAnsiTheme="minorAscii"/>
                <w:b/>
                <w:bCs/>
                <w:sz w:val="24"/>
              </w:rPr>
            </w:pPr>
            <w:r>
              <w:rPr>
                <w:rFonts w:hint="default" w:cs="宋体" w:asciiTheme="minorAscii" w:hAnsiTheme="minorAscii"/>
                <w:b/>
                <w:bCs/>
                <w:sz w:val="24"/>
              </w:rPr>
              <w:t>表</w:t>
            </w:r>
            <w:r>
              <w:rPr>
                <w:rFonts w:hint="default" w:cs="宋体" w:asciiTheme="minorAscii" w:hAnsiTheme="minorAscii"/>
                <w:b/>
                <w:bCs/>
                <w:sz w:val="24"/>
                <w:lang w:val="en-US" w:eastAsia="zh-CN"/>
              </w:rPr>
              <w:t>1-4</w:t>
            </w:r>
            <w:r>
              <w:rPr>
                <w:rFonts w:hint="default" w:cs="宋体" w:asciiTheme="minorAscii" w:hAnsiTheme="minorAscii"/>
                <w:b/>
                <w:bCs/>
                <w:sz w:val="24"/>
              </w:rPr>
              <w:t xml:space="preserve">   环境管理政策相符性分析</w:t>
            </w:r>
          </w:p>
          <w:tbl>
            <w:tblPr>
              <w:tblStyle w:val="2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4"/>
              <w:gridCol w:w="2676"/>
              <w:gridCol w:w="1815"/>
              <w:gridCol w:w="562"/>
            </w:tblGrid>
            <w:tr w14:paraId="0FC3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962" w:type="pct"/>
                  <w:noWrap w:val="0"/>
                  <w:vAlign w:val="center"/>
                </w:tcPr>
                <w:p w14:paraId="7CE4F10B">
                  <w:pPr>
                    <w:pStyle w:val="69"/>
                    <w:keepNext w:val="0"/>
                    <w:keepLines w:val="0"/>
                    <w:pageBreakBefore w:val="0"/>
                    <w:widowControl w:val="0"/>
                    <w:kinsoku/>
                    <w:wordWrap/>
                    <w:overflowPunct/>
                    <w:topLinePunct w:val="0"/>
                    <w:bidi w:val="0"/>
                    <w:spacing w:line="240" w:lineRule="auto"/>
                    <w:jc w:val="center"/>
                    <w:textAlignment w:val="auto"/>
                    <w:rPr>
                      <w:rFonts w:hint="default" w:cs="Times New Roman" w:asciiTheme="minorAscii" w:hAnsiTheme="minorAscii"/>
                      <w:b w:val="0"/>
                      <w:bCs w:val="0"/>
                      <w:sz w:val="21"/>
                      <w:szCs w:val="21"/>
                    </w:rPr>
                  </w:pPr>
                  <w:r>
                    <w:rPr>
                      <w:rFonts w:hint="default" w:cs="Times New Roman" w:asciiTheme="minorAscii" w:hAnsiTheme="minorAscii"/>
                      <w:b w:val="0"/>
                      <w:bCs w:val="0"/>
                      <w:sz w:val="21"/>
                      <w:szCs w:val="21"/>
                    </w:rPr>
                    <w:t>文件</w:t>
                  </w:r>
                </w:p>
              </w:tc>
              <w:tc>
                <w:tcPr>
                  <w:tcW w:w="2138" w:type="pct"/>
                  <w:noWrap w:val="0"/>
                  <w:vAlign w:val="center"/>
                </w:tcPr>
                <w:p w14:paraId="24FA012A">
                  <w:pPr>
                    <w:pStyle w:val="69"/>
                    <w:keepNext w:val="0"/>
                    <w:keepLines w:val="0"/>
                    <w:pageBreakBefore w:val="0"/>
                    <w:widowControl w:val="0"/>
                    <w:kinsoku/>
                    <w:wordWrap/>
                    <w:overflowPunct/>
                    <w:topLinePunct w:val="0"/>
                    <w:bidi w:val="0"/>
                    <w:spacing w:line="240" w:lineRule="auto"/>
                    <w:jc w:val="center"/>
                    <w:textAlignment w:val="auto"/>
                    <w:rPr>
                      <w:rFonts w:hint="default" w:cs="Times New Roman" w:asciiTheme="minorAscii" w:hAnsiTheme="minorAscii"/>
                      <w:b w:val="0"/>
                      <w:bCs w:val="0"/>
                      <w:sz w:val="21"/>
                      <w:szCs w:val="21"/>
                    </w:rPr>
                  </w:pPr>
                  <w:r>
                    <w:rPr>
                      <w:rFonts w:hint="default" w:cs="Times New Roman" w:asciiTheme="minorAscii" w:hAnsiTheme="minorAscii"/>
                      <w:b w:val="0"/>
                      <w:bCs w:val="0"/>
                      <w:sz w:val="21"/>
                      <w:szCs w:val="21"/>
                    </w:rPr>
                    <w:t>环境管理政策要求</w:t>
                  </w:r>
                </w:p>
              </w:tc>
              <w:tc>
                <w:tcPr>
                  <w:tcW w:w="1450" w:type="pct"/>
                  <w:noWrap w:val="0"/>
                  <w:vAlign w:val="center"/>
                </w:tcPr>
                <w:p w14:paraId="57435433">
                  <w:pPr>
                    <w:pStyle w:val="69"/>
                    <w:keepNext w:val="0"/>
                    <w:keepLines w:val="0"/>
                    <w:pageBreakBefore w:val="0"/>
                    <w:widowControl w:val="0"/>
                    <w:kinsoku/>
                    <w:wordWrap/>
                    <w:overflowPunct/>
                    <w:topLinePunct w:val="0"/>
                    <w:bidi w:val="0"/>
                    <w:spacing w:line="240" w:lineRule="auto"/>
                    <w:jc w:val="center"/>
                    <w:textAlignment w:val="auto"/>
                    <w:rPr>
                      <w:rFonts w:hint="default" w:cs="Times New Roman" w:asciiTheme="minorAscii" w:hAnsiTheme="minorAscii"/>
                      <w:b w:val="0"/>
                      <w:bCs w:val="0"/>
                      <w:sz w:val="21"/>
                      <w:szCs w:val="21"/>
                    </w:rPr>
                  </w:pPr>
                  <w:r>
                    <w:rPr>
                      <w:rFonts w:hint="default" w:cs="Times New Roman" w:asciiTheme="minorAscii" w:hAnsiTheme="minorAscii"/>
                      <w:b w:val="0"/>
                      <w:bCs w:val="0"/>
                      <w:sz w:val="21"/>
                      <w:szCs w:val="21"/>
                    </w:rPr>
                    <w:t>本项目情况</w:t>
                  </w:r>
                </w:p>
              </w:tc>
              <w:tc>
                <w:tcPr>
                  <w:tcW w:w="449" w:type="pct"/>
                  <w:noWrap w:val="0"/>
                  <w:vAlign w:val="center"/>
                </w:tcPr>
                <w:p w14:paraId="3D138BD7">
                  <w:pPr>
                    <w:pStyle w:val="69"/>
                    <w:keepNext w:val="0"/>
                    <w:keepLines w:val="0"/>
                    <w:pageBreakBefore w:val="0"/>
                    <w:widowControl w:val="0"/>
                    <w:kinsoku/>
                    <w:wordWrap/>
                    <w:overflowPunct/>
                    <w:topLinePunct w:val="0"/>
                    <w:bidi w:val="0"/>
                    <w:spacing w:line="240" w:lineRule="auto"/>
                    <w:jc w:val="center"/>
                    <w:textAlignment w:val="auto"/>
                    <w:rPr>
                      <w:rFonts w:hint="default" w:cs="Times New Roman" w:asciiTheme="minorAscii" w:hAnsiTheme="minorAscii"/>
                      <w:b w:val="0"/>
                      <w:bCs w:val="0"/>
                      <w:sz w:val="21"/>
                      <w:szCs w:val="21"/>
                    </w:rPr>
                  </w:pPr>
                  <w:r>
                    <w:rPr>
                      <w:rFonts w:hint="default" w:cs="Times New Roman" w:asciiTheme="minorAscii" w:hAnsiTheme="minorAscii"/>
                      <w:b w:val="0"/>
                      <w:bCs w:val="0"/>
                      <w:sz w:val="21"/>
                      <w:szCs w:val="21"/>
                    </w:rPr>
                    <w:t>符合性</w:t>
                  </w:r>
                </w:p>
              </w:tc>
            </w:tr>
            <w:tr w14:paraId="4F782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962" w:type="pct"/>
                  <w:noWrap w:val="0"/>
                  <w:vAlign w:val="center"/>
                </w:tcPr>
                <w:p w14:paraId="19C40AFB">
                  <w:pPr>
                    <w:pStyle w:val="39"/>
                    <w:keepNext w:val="0"/>
                    <w:keepLines w:val="0"/>
                    <w:pageBreakBefore w:val="0"/>
                    <w:widowControl w:val="0"/>
                    <w:kinsoku/>
                    <w:wordWrap/>
                    <w:overflowPunct/>
                    <w:topLinePunct w:val="0"/>
                    <w:bidi w:val="0"/>
                    <w:spacing w:line="240" w:lineRule="auto"/>
                    <w:jc w:val="center"/>
                    <w:textAlignment w:val="auto"/>
                    <w:rPr>
                      <w:rFonts w:hint="default" w:cs="Times New Roman" w:asciiTheme="minorAscii" w:hAnsiTheme="minorAscii"/>
                      <w:b w:val="0"/>
                      <w:bCs w:val="0"/>
                      <w:sz w:val="21"/>
                      <w:szCs w:val="21"/>
                    </w:rPr>
                  </w:pPr>
                  <w:r>
                    <w:rPr>
                      <w:rFonts w:hint="default" w:asciiTheme="minorAscii" w:hAnsiTheme="minorAscii"/>
                      <w:b w:val="0"/>
                      <w:bCs w:val="0"/>
                      <w:color w:val="auto"/>
                      <w:kern w:val="2"/>
                      <w:sz w:val="21"/>
                      <w:szCs w:val="21"/>
                    </w:rPr>
                    <w:t>《</w:t>
                  </w:r>
                  <w:r>
                    <w:rPr>
                      <w:rFonts w:hint="default" w:asciiTheme="minorAscii" w:hAnsiTheme="minorAscii"/>
                      <w:b w:val="0"/>
                      <w:bCs w:val="0"/>
                      <w:color w:val="auto"/>
                      <w:kern w:val="2"/>
                      <w:sz w:val="21"/>
                      <w:szCs w:val="21"/>
                      <w:lang w:eastAsia="zh-CN"/>
                    </w:rPr>
                    <w:t>巴音郭楞蒙古自治州大气污染防治办法</w:t>
                  </w:r>
                  <w:r>
                    <w:rPr>
                      <w:rFonts w:hint="default" w:asciiTheme="minorAscii" w:hAnsiTheme="minorAscii"/>
                      <w:b w:val="0"/>
                      <w:bCs w:val="0"/>
                      <w:color w:val="auto"/>
                      <w:kern w:val="2"/>
                      <w:sz w:val="21"/>
                      <w:szCs w:val="21"/>
                    </w:rPr>
                    <w:t>》</w:t>
                  </w:r>
                </w:p>
              </w:tc>
              <w:tc>
                <w:tcPr>
                  <w:tcW w:w="2138" w:type="pct"/>
                  <w:noWrap w:val="0"/>
                  <w:vAlign w:val="center"/>
                </w:tcPr>
                <w:p w14:paraId="051E9DF8">
                  <w:pPr>
                    <w:pStyle w:val="39"/>
                    <w:keepNext w:val="0"/>
                    <w:keepLines w:val="0"/>
                    <w:pageBreakBefore w:val="0"/>
                    <w:widowControl w:val="0"/>
                    <w:kinsoku/>
                    <w:wordWrap/>
                    <w:overflowPunct/>
                    <w:topLinePunct w:val="0"/>
                    <w:bidi w:val="0"/>
                    <w:spacing w:line="240" w:lineRule="auto"/>
                    <w:jc w:val="center"/>
                    <w:textAlignment w:val="auto"/>
                    <w:rPr>
                      <w:rFonts w:hint="default" w:cs="Times New Roman" w:asciiTheme="minorAscii" w:hAnsiTheme="minorAscii"/>
                      <w:b w:val="0"/>
                      <w:bCs w:val="0"/>
                      <w:sz w:val="21"/>
                      <w:szCs w:val="21"/>
                    </w:rPr>
                  </w:pPr>
                  <w:r>
                    <w:rPr>
                      <w:rFonts w:hint="default" w:asciiTheme="minorAscii" w:hAnsiTheme="minorAscii"/>
                      <w:b w:val="0"/>
                      <w:bCs w:val="0"/>
                      <w:color w:val="auto"/>
                      <w:kern w:val="2"/>
                      <w:sz w:val="21"/>
                      <w:szCs w:val="21"/>
                    </w:rPr>
                    <w:t>禁止新建、改建、扩建严重污染大气环境的项目。向大气排放污染物的企事业单位和其他生产经营者应当履行</w:t>
                  </w:r>
                  <w:r>
                    <w:rPr>
                      <w:rFonts w:hint="eastAsia" w:asciiTheme="minorAscii" w:hAnsiTheme="minorAscii"/>
                      <w:b w:val="0"/>
                      <w:bCs w:val="0"/>
                      <w:color w:val="auto"/>
                      <w:kern w:val="2"/>
                      <w:sz w:val="21"/>
                      <w:szCs w:val="21"/>
                      <w:lang w:eastAsia="zh-CN"/>
                    </w:rPr>
                    <w:t>大气污染</w:t>
                  </w:r>
                  <w:r>
                    <w:rPr>
                      <w:rFonts w:hint="default" w:asciiTheme="minorAscii" w:hAnsiTheme="minorAscii"/>
                      <w:b w:val="0"/>
                      <w:bCs w:val="0"/>
                      <w:color w:val="auto"/>
                      <w:kern w:val="2"/>
                      <w:sz w:val="21"/>
                      <w:szCs w:val="21"/>
                    </w:rPr>
                    <w:t>防治的法治义务，执行大气污染物排放标准，遵守大气污染物排放总量控制要求。</w:t>
                  </w:r>
                </w:p>
              </w:tc>
              <w:tc>
                <w:tcPr>
                  <w:tcW w:w="1450" w:type="pct"/>
                  <w:noWrap w:val="0"/>
                  <w:vAlign w:val="center"/>
                </w:tcPr>
                <w:p w14:paraId="4C6456A7">
                  <w:pPr>
                    <w:pStyle w:val="39"/>
                    <w:keepNext w:val="0"/>
                    <w:keepLines w:val="0"/>
                    <w:pageBreakBefore w:val="0"/>
                    <w:widowControl w:val="0"/>
                    <w:kinsoku/>
                    <w:wordWrap/>
                    <w:overflowPunct/>
                    <w:topLinePunct w:val="0"/>
                    <w:bidi w:val="0"/>
                    <w:spacing w:line="240" w:lineRule="auto"/>
                    <w:jc w:val="center"/>
                    <w:textAlignment w:val="auto"/>
                    <w:rPr>
                      <w:rFonts w:hint="default" w:cs="Times New Roman" w:asciiTheme="minorAscii" w:hAnsiTheme="minorAscii"/>
                      <w:b w:val="0"/>
                      <w:bCs w:val="0"/>
                      <w:sz w:val="21"/>
                      <w:szCs w:val="21"/>
                    </w:rPr>
                  </w:pPr>
                  <w:r>
                    <w:rPr>
                      <w:rFonts w:hint="default" w:asciiTheme="minorAscii" w:hAnsiTheme="minorAscii"/>
                      <w:b w:val="0"/>
                      <w:bCs w:val="0"/>
                      <w:color w:val="auto"/>
                      <w:kern w:val="2"/>
                      <w:sz w:val="21"/>
                      <w:szCs w:val="21"/>
                    </w:rPr>
                    <w:t>本项目不属于严重污染大气环境的项目。本项目废气主要污染物为硫化氢和氨，采取相应的环保措施后，满足相应排放限值后达标排放。</w:t>
                  </w:r>
                </w:p>
              </w:tc>
              <w:tc>
                <w:tcPr>
                  <w:tcW w:w="449" w:type="pct"/>
                  <w:noWrap w:val="0"/>
                  <w:vAlign w:val="center"/>
                </w:tcPr>
                <w:p w14:paraId="58355333">
                  <w:pPr>
                    <w:pStyle w:val="39"/>
                    <w:keepNext w:val="0"/>
                    <w:keepLines w:val="0"/>
                    <w:pageBreakBefore w:val="0"/>
                    <w:widowControl w:val="0"/>
                    <w:kinsoku/>
                    <w:wordWrap/>
                    <w:overflowPunct/>
                    <w:topLinePunct w:val="0"/>
                    <w:bidi w:val="0"/>
                    <w:spacing w:line="240" w:lineRule="auto"/>
                    <w:jc w:val="center"/>
                    <w:textAlignment w:val="auto"/>
                    <w:rPr>
                      <w:rFonts w:hint="default" w:cs="Times New Roman" w:asciiTheme="minorAscii" w:hAnsiTheme="minorAscii"/>
                      <w:b w:val="0"/>
                      <w:bCs w:val="0"/>
                      <w:sz w:val="21"/>
                      <w:szCs w:val="21"/>
                    </w:rPr>
                  </w:pPr>
                  <w:r>
                    <w:rPr>
                      <w:rFonts w:hint="default" w:asciiTheme="minorAscii" w:hAnsiTheme="minorAscii"/>
                      <w:b w:val="0"/>
                      <w:bCs w:val="0"/>
                      <w:color w:val="auto"/>
                      <w:kern w:val="2"/>
                      <w:sz w:val="21"/>
                      <w:szCs w:val="21"/>
                    </w:rPr>
                    <w:t>符合</w:t>
                  </w:r>
                </w:p>
              </w:tc>
            </w:tr>
            <w:tr w14:paraId="5FF0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pct"/>
                  <w:noWrap w:val="0"/>
                  <w:vAlign w:val="center"/>
                </w:tcPr>
                <w:p w14:paraId="3F9486B8">
                  <w:pPr>
                    <w:pStyle w:val="69"/>
                    <w:keepNext w:val="0"/>
                    <w:keepLines w:val="0"/>
                    <w:pageBreakBefore w:val="0"/>
                    <w:widowControl w:val="0"/>
                    <w:kinsoku/>
                    <w:wordWrap/>
                    <w:overflowPunct/>
                    <w:topLinePunct w:val="0"/>
                    <w:bidi w:val="0"/>
                    <w:spacing w:line="240" w:lineRule="auto"/>
                    <w:jc w:val="center"/>
                    <w:textAlignment w:val="auto"/>
                    <w:rPr>
                      <w:rFonts w:hint="default" w:cs="Times New Roman" w:asciiTheme="minorAscii" w:hAnsiTheme="minorAscii"/>
                      <w:b w:val="0"/>
                      <w:bCs w:val="0"/>
                      <w:sz w:val="21"/>
                      <w:szCs w:val="21"/>
                    </w:rPr>
                  </w:pPr>
                  <w:r>
                    <w:rPr>
                      <w:rFonts w:hint="default" w:cs="Times New Roman" w:asciiTheme="minorAscii" w:hAnsiTheme="minorAscii"/>
                      <w:b w:val="0"/>
                      <w:bCs w:val="0"/>
                      <w:sz w:val="21"/>
                      <w:szCs w:val="21"/>
                    </w:rPr>
                    <w:t>《巴音郭楞蒙古自治州水污染防治工作方案》</w:t>
                  </w:r>
                </w:p>
              </w:tc>
              <w:tc>
                <w:tcPr>
                  <w:tcW w:w="2138" w:type="pct"/>
                  <w:noWrap w:val="0"/>
                  <w:vAlign w:val="center"/>
                </w:tcPr>
                <w:p w14:paraId="49D65571">
                  <w:pPr>
                    <w:pStyle w:val="39"/>
                    <w:keepNext w:val="0"/>
                    <w:keepLines w:val="0"/>
                    <w:pageBreakBefore w:val="0"/>
                    <w:widowControl w:val="0"/>
                    <w:kinsoku/>
                    <w:wordWrap/>
                    <w:overflowPunct/>
                    <w:topLinePunct w:val="0"/>
                    <w:bidi w:val="0"/>
                    <w:spacing w:line="240" w:lineRule="auto"/>
                    <w:jc w:val="center"/>
                    <w:textAlignment w:val="auto"/>
                    <w:rPr>
                      <w:rFonts w:hint="default" w:cs="Times New Roman" w:asciiTheme="minorAscii" w:hAnsiTheme="minorAscii"/>
                      <w:b w:val="0"/>
                      <w:bCs w:val="0"/>
                      <w:sz w:val="21"/>
                      <w:szCs w:val="21"/>
                    </w:rPr>
                  </w:pPr>
                  <w:r>
                    <w:rPr>
                      <w:rFonts w:hint="default" w:asciiTheme="minorAscii" w:hAnsiTheme="minorAscii"/>
                      <w:b w:val="0"/>
                      <w:bCs w:val="0"/>
                      <w:sz w:val="21"/>
                      <w:szCs w:val="21"/>
                    </w:rPr>
                    <w:t>根据“巴音郭楞蒙古自治州水污染防治工作方案”中污染防治主要工作任务：强化城镇生活污染治理。加快城镇污水处理设施建设与改造。所有县级以上城市以及重点独立建制镇均应建成污水处理设施</w:t>
                  </w:r>
                  <w:r>
                    <w:rPr>
                      <w:rFonts w:hint="eastAsia" w:asciiTheme="minorAscii" w:hAnsiTheme="minorAscii"/>
                      <w:b w:val="0"/>
                      <w:bCs w:val="0"/>
                      <w:sz w:val="21"/>
                      <w:szCs w:val="21"/>
                      <w:lang w:eastAsia="zh-CN"/>
                    </w:rPr>
                    <w:t>，对</w:t>
                  </w:r>
                  <w:r>
                    <w:rPr>
                      <w:rFonts w:hint="default" w:asciiTheme="minorAscii" w:hAnsiTheme="minorAscii"/>
                      <w:b w:val="0"/>
                      <w:bCs w:val="0"/>
                      <w:sz w:val="21"/>
                      <w:szCs w:val="21"/>
                    </w:rPr>
                    <w:t>现有城镇污水处理设施，因地制宜进行改造，2020年底前达到相应排放标准或再生利用要求。库尔勒市、和静县、和硕县、焉耆回族自治县、博湖县等博斯腾湖流域敏感区域的城镇污水处理设施力争2017年底前全面提高至一级A排放标准。到2020年，全州所有县市和重点镇具备污水收集处理能力，县城、城市污水处理率分别达到80%、90%左右。加强污水处理设施运行管理，建立和完善污水处理设施第三方运营机制，城镇污水处理厂运行负荷率达到75%以上。</w:t>
                  </w:r>
                </w:p>
              </w:tc>
              <w:tc>
                <w:tcPr>
                  <w:tcW w:w="1450" w:type="pct"/>
                  <w:noWrap w:val="0"/>
                  <w:vAlign w:val="center"/>
                </w:tcPr>
                <w:p w14:paraId="62A4D211">
                  <w:pPr>
                    <w:pStyle w:val="39"/>
                    <w:keepNext w:val="0"/>
                    <w:keepLines w:val="0"/>
                    <w:pageBreakBefore w:val="0"/>
                    <w:widowControl w:val="0"/>
                    <w:kinsoku/>
                    <w:wordWrap/>
                    <w:overflowPunct/>
                    <w:topLinePunct w:val="0"/>
                    <w:bidi w:val="0"/>
                    <w:spacing w:line="240" w:lineRule="auto"/>
                    <w:jc w:val="center"/>
                    <w:textAlignment w:val="auto"/>
                    <w:rPr>
                      <w:rFonts w:hint="default" w:asciiTheme="minorAscii" w:hAnsiTheme="minorAscii"/>
                      <w:b w:val="0"/>
                      <w:bCs w:val="0"/>
                      <w:sz w:val="21"/>
                      <w:szCs w:val="21"/>
                      <w:lang w:val="en-US" w:eastAsia="zh-CN"/>
                    </w:rPr>
                  </w:pPr>
                  <w:r>
                    <w:rPr>
                      <w:rFonts w:hint="default" w:asciiTheme="minorAscii" w:hAnsiTheme="minorAscii"/>
                      <w:b w:val="0"/>
                      <w:bCs w:val="0"/>
                      <w:sz w:val="21"/>
                      <w:szCs w:val="21"/>
                    </w:rPr>
                    <w:t>本项目</w:t>
                  </w:r>
                  <w:r>
                    <w:rPr>
                      <w:rFonts w:hint="default" w:asciiTheme="minorAscii" w:hAnsiTheme="minorAscii"/>
                      <w:b w:val="0"/>
                      <w:bCs w:val="0"/>
                      <w:sz w:val="21"/>
                      <w:szCs w:val="21"/>
                      <w:lang w:val="en-US" w:eastAsia="zh-CN"/>
                    </w:rPr>
                    <w:t>污水处理站出水标准满足</w:t>
                  </w:r>
                </w:p>
                <w:p w14:paraId="0281E12C">
                  <w:pPr>
                    <w:keepNext w:val="0"/>
                    <w:keepLines w:val="0"/>
                    <w:pageBreakBefore w:val="0"/>
                    <w:widowControl w:val="0"/>
                    <w:kinsoku/>
                    <w:wordWrap/>
                    <w:overflowPunct/>
                    <w:topLinePunct w:val="0"/>
                    <w:bidi w:val="0"/>
                    <w:spacing w:line="240" w:lineRule="auto"/>
                    <w:jc w:val="center"/>
                    <w:textAlignment w:val="auto"/>
                    <w:rPr>
                      <w:rFonts w:hint="default" w:asciiTheme="minorAscii" w:hAnsiTheme="minorAscii"/>
                      <w:b w:val="0"/>
                      <w:bCs w:val="0"/>
                      <w:sz w:val="21"/>
                      <w:szCs w:val="21"/>
                      <w:lang w:val="en-US" w:eastAsia="zh-CN"/>
                    </w:rPr>
                  </w:pPr>
                  <w:r>
                    <w:rPr>
                      <w:rFonts w:hint="default" w:asciiTheme="minorAscii" w:hAnsiTheme="minorAscii"/>
                      <w:b w:val="0"/>
                      <w:bCs w:val="0"/>
                      <w:sz w:val="21"/>
                      <w:szCs w:val="21"/>
                      <w:lang w:val="en-US" w:eastAsia="zh-CN"/>
                    </w:rPr>
                    <w:t>《城镇污水处理厂污染物排放标准》（GB18918-2002）一级A标准，处理后的再生水有助于提升区域污水收集处理能力，与该方案中强化提高污水处理设施排放标准及再生利用要求相符。</w:t>
                  </w:r>
                </w:p>
              </w:tc>
              <w:tc>
                <w:tcPr>
                  <w:tcW w:w="449" w:type="pct"/>
                  <w:noWrap w:val="0"/>
                  <w:vAlign w:val="center"/>
                </w:tcPr>
                <w:p w14:paraId="6DEC2BAB">
                  <w:pPr>
                    <w:pStyle w:val="69"/>
                    <w:keepNext w:val="0"/>
                    <w:keepLines w:val="0"/>
                    <w:pageBreakBefore w:val="0"/>
                    <w:widowControl w:val="0"/>
                    <w:kinsoku/>
                    <w:wordWrap/>
                    <w:overflowPunct/>
                    <w:topLinePunct w:val="0"/>
                    <w:bidi w:val="0"/>
                    <w:spacing w:line="240" w:lineRule="auto"/>
                    <w:jc w:val="center"/>
                    <w:textAlignment w:val="auto"/>
                    <w:rPr>
                      <w:rFonts w:hint="default" w:cs="Times New Roman" w:asciiTheme="minorAscii" w:hAnsiTheme="minorAscii"/>
                      <w:b w:val="0"/>
                      <w:bCs w:val="0"/>
                      <w:sz w:val="21"/>
                      <w:szCs w:val="21"/>
                    </w:rPr>
                  </w:pPr>
                  <w:r>
                    <w:rPr>
                      <w:rFonts w:hint="default" w:cs="Times New Roman" w:asciiTheme="minorAscii" w:hAnsiTheme="minorAscii"/>
                      <w:b w:val="0"/>
                      <w:bCs w:val="0"/>
                      <w:sz w:val="21"/>
                      <w:szCs w:val="21"/>
                    </w:rPr>
                    <w:t>符合</w:t>
                  </w:r>
                </w:p>
              </w:tc>
            </w:tr>
            <w:tr w14:paraId="2C19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pct"/>
                  <w:noWrap w:val="0"/>
                  <w:vAlign w:val="center"/>
                </w:tcPr>
                <w:p w14:paraId="54D6F56C">
                  <w:pPr>
                    <w:pStyle w:val="69"/>
                    <w:keepNext w:val="0"/>
                    <w:keepLines w:val="0"/>
                    <w:pageBreakBefore w:val="0"/>
                    <w:widowControl w:val="0"/>
                    <w:kinsoku/>
                    <w:wordWrap/>
                    <w:overflowPunct/>
                    <w:topLinePunct w:val="0"/>
                    <w:bidi w:val="0"/>
                    <w:spacing w:line="240" w:lineRule="auto"/>
                    <w:jc w:val="center"/>
                    <w:textAlignment w:val="auto"/>
                    <w:rPr>
                      <w:rFonts w:hint="default" w:cs="Times New Roman" w:asciiTheme="minorAscii" w:hAnsiTheme="minorAscii"/>
                      <w:b w:val="0"/>
                      <w:bCs w:val="0"/>
                      <w:sz w:val="21"/>
                      <w:szCs w:val="21"/>
                    </w:rPr>
                  </w:pPr>
                  <w:bookmarkStart w:id="2" w:name="OLE_LINK15"/>
                  <w:bookmarkStart w:id="3" w:name="OLE_LINK13"/>
                  <w:bookmarkStart w:id="4" w:name="OLE_LINK14"/>
                  <w:r>
                    <w:rPr>
                      <w:rFonts w:hint="default" w:asciiTheme="minorAscii" w:hAnsiTheme="minorAscii"/>
                      <w:b w:val="0"/>
                      <w:bCs w:val="0"/>
                      <w:sz w:val="21"/>
                      <w:szCs w:val="21"/>
                    </w:rPr>
                    <w:t>《巴音郭楞蒙古自治州重点流域水生态环境保护规划》</w:t>
                  </w:r>
                  <w:bookmarkEnd w:id="2"/>
                  <w:bookmarkEnd w:id="3"/>
                  <w:bookmarkEnd w:id="4"/>
                </w:p>
              </w:tc>
              <w:tc>
                <w:tcPr>
                  <w:tcW w:w="2138" w:type="pct"/>
                  <w:noWrap w:val="0"/>
                  <w:vAlign w:val="center"/>
                </w:tcPr>
                <w:p w14:paraId="5D51F676">
                  <w:pPr>
                    <w:pStyle w:val="39"/>
                    <w:keepNext w:val="0"/>
                    <w:keepLines w:val="0"/>
                    <w:pageBreakBefore w:val="0"/>
                    <w:widowControl w:val="0"/>
                    <w:kinsoku/>
                    <w:wordWrap/>
                    <w:overflowPunct/>
                    <w:topLinePunct w:val="0"/>
                    <w:bidi w:val="0"/>
                    <w:spacing w:line="240" w:lineRule="auto"/>
                    <w:jc w:val="center"/>
                    <w:textAlignment w:val="auto"/>
                    <w:rPr>
                      <w:rFonts w:hint="default" w:eastAsia="宋体" w:asciiTheme="minorAscii" w:hAnsiTheme="minorAscii"/>
                      <w:b w:val="0"/>
                      <w:bCs w:val="0"/>
                      <w:sz w:val="21"/>
                      <w:szCs w:val="21"/>
                      <w:lang w:eastAsia="zh-CN"/>
                    </w:rPr>
                  </w:pPr>
                  <w:r>
                    <w:rPr>
                      <w:rFonts w:hint="default" w:asciiTheme="minorAscii" w:hAnsiTheme="minorAscii"/>
                      <w:b w:val="0"/>
                      <w:bCs w:val="0"/>
                      <w:sz w:val="21"/>
                      <w:szCs w:val="21"/>
                    </w:rPr>
                    <w:t>提出深入推进流域水污染防治：以水生态环境质量为核心，统筹水资源利用、水生态保护和水环境治理，从污染减排和生态扩容两手发力，保好水、治差水；持续推进水污染防治攻坚行动，严格落实水污染物排放总量控制制度，确保水资源、水生态、水环境统筹推进格局初步形成</w:t>
                  </w:r>
                  <w:r>
                    <w:rPr>
                      <w:rFonts w:hint="default" w:asciiTheme="minorAscii" w:hAnsiTheme="minorAscii"/>
                      <w:b w:val="0"/>
                      <w:bCs w:val="0"/>
                      <w:sz w:val="21"/>
                      <w:szCs w:val="21"/>
                      <w:lang w:eastAsia="zh-CN"/>
                    </w:rPr>
                    <w:t>。</w:t>
                  </w:r>
                </w:p>
              </w:tc>
              <w:tc>
                <w:tcPr>
                  <w:tcW w:w="1450" w:type="pct"/>
                  <w:noWrap w:val="0"/>
                  <w:vAlign w:val="center"/>
                </w:tcPr>
                <w:p w14:paraId="60F61B03">
                  <w:pPr>
                    <w:keepNext w:val="0"/>
                    <w:keepLines w:val="0"/>
                    <w:pageBreakBefore w:val="0"/>
                    <w:widowControl w:val="0"/>
                    <w:kinsoku/>
                    <w:wordWrap/>
                    <w:overflowPunct/>
                    <w:topLinePunct w:val="0"/>
                    <w:bidi w:val="0"/>
                    <w:spacing w:line="240" w:lineRule="auto"/>
                    <w:jc w:val="center"/>
                    <w:textAlignment w:val="auto"/>
                    <w:rPr>
                      <w:rFonts w:hint="default" w:asciiTheme="minorAscii" w:hAnsiTheme="minorAscii"/>
                      <w:b w:val="0"/>
                      <w:bCs w:val="0"/>
                      <w:sz w:val="21"/>
                      <w:szCs w:val="21"/>
                      <w:lang w:val="en-US" w:eastAsia="zh-CN"/>
                    </w:rPr>
                  </w:pPr>
                </w:p>
                <w:p w14:paraId="3FD0D295">
                  <w:pPr>
                    <w:keepNext w:val="0"/>
                    <w:keepLines w:val="0"/>
                    <w:pageBreakBefore w:val="0"/>
                    <w:widowControl w:val="0"/>
                    <w:kinsoku/>
                    <w:wordWrap/>
                    <w:overflowPunct/>
                    <w:topLinePunct w:val="0"/>
                    <w:bidi w:val="0"/>
                    <w:spacing w:line="240" w:lineRule="auto"/>
                    <w:jc w:val="center"/>
                    <w:textAlignment w:val="auto"/>
                    <w:rPr>
                      <w:rFonts w:hint="default" w:asciiTheme="minorAscii" w:hAnsiTheme="minorAscii"/>
                      <w:b w:val="0"/>
                      <w:bCs w:val="0"/>
                      <w:sz w:val="21"/>
                      <w:szCs w:val="21"/>
                      <w:lang w:val="en-US" w:eastAsia="zh-CN"/>
                    </w:rPr>
                  </w:pPr>
                  <w:r>
                    <w:rPr>
                      <w:rFonts w:hint="default" w:asciiTheme="minorAscii" w:hAnsiTheme="minorAscii"/>
                      <w:b w:val="0"/>
                      <w:bCs w:val="0"/>
                      <w:sz w:val="21"/>
                      <w:szCs w:val="21"/>
                      <w:lang w:val="en-US" w:eastAsia="zh-CN"/>
                    </w:rPr>
                    <w:t>本项目作为工业污水处理站，其建设和运营将通过对食品加工企业工业废水的有效处理，减少污染物排入博斯腾湖流域，有助于改善流域水环境质量，符合该规划中深入推进流域水污染防治、严格落实水污染物排放总量控制制度的要求，为保障流域水生态环境安全贡献力量。</w:t>
                  </w:r>
                </w:p>
              </w:tc>
              <w:tc>
                <w:tcPr>
                  <w:tcW w:w="449" w:type="pct"/>
                  <w:noWrap w:val="0"/>
                  <w:vAlign w:val="center"/>
                </w:tcPr>
                <w:p w14:paraId="13A4E857">
                  <w:pPr>
                    <w:pStyle w:val="69"/>
                    <w:keepNext w:val="0"/>
                    <w:keepLines w:val="0"/>
                    <w:pageBreakBefore w:val="0"/>
                    <w:widowControl w:val="0"/>
                    <w:kinsoku/>
                    <w:wordWrap/>
                    <w:overflowPunct/>
                    <w:topLinePunct w:val="0"/>
                    <w:bidi w:val="0"/>
                    <w:spacing w:line="240" w:lineRule="auto"/>
                    <w:jc w:val="center"/>
                    <w:textAlignment w:val="auto"/>
                    <w:rPr>
                      <w:rFonts w:hint="default" w:cs="Times New Roman" w:asciiTheme="minorAscii" w:hAnsiTheme="minorAscii"/>
                      <w:b w:val="0"/>
                      <w:bCs w:val="0"/>
                      <w:sz w:val="21"/>
                      <w:szCs w:val="21"/>
                    </w:rPr>
                  </w:pPr>
                </w:p>
              </w:tc>
            </w:tr>
            <w:tr w14:paraId="4BEFB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pct"/>
                  <w:noWrap w:val="0"/>
                  <w:vAlign w:val="center"/>
                </w:tcPr>
                <w:p w14:paraId="145D819B">
                  <w:pPr>
                    <w:pStyle w:val="69"/>
                    <w:keepNext w:val="0"/>
                    <w:keepLines w:val="0"/>
                    <w:pageBreakBefore w:val="0"/>
                    <w:widowControl w:val="0"/>
                    <w:kinsoku/>
                    <w:wordWrap/>
                    <w:overflowPunct/>
                    <w:topLinePunct w:val="0"/>
                    <w:bidi w:val="0"/>
                    <w:spacing w:line="240" w:lineRule="auto"/>
                    <w:jc w:val="center"/>
                    <w:textAlignment w:val="auto"/>
                    <w:rPr>
                      <w:rFonts w:hint="eastAsia" w:eastAsia="宋体" w:asciiTheme="minorAscii" w:hAnsiTheme="minorAscii"/>
                      <w:b w:val="0"/>
                      <w:bCs w:val="0"/>
                      <w:sz w:val="21"/>
                      <w:szCs w:val="21"/>
                      <w:lang w:eastAsia="zh-CN"/>
                    </w:rPr>
                  </w:pPr>
                  <w:r>
                    <w:rPr>
                      <w:rFonts w:hint="eastAsia" w:asciiTheme="minorAscii" w:hAnsiTheme="minorAscii"/>
                      <w:b w:val="0"/>
                      <w:bCs w:val="0"/>
                      <w:sz w:val="21"/>
                      <w:szCs w:val="21"/>
                      <w:lang w:eastAsia="zh-CN"/>
                    </w:rPr>
                    <w:t>《</w:t>
                  </w:r>
                  <w:r>
                    <w:rPr>
                      <w:rFonts w:hint="default" w:asciiTheme="minorAscii" w:hAnsiTheme="minorAscii"/>
                      <w:b w:val="0"/>
                      <w:bCs w:val="0"/>
                      <w:sz w:val="21"/>
                      <w:szCs w:val="21"/>
                    </w:rPr>
                    <w:t>博湖县国土空间总体规划</w:t>
                  </w:r>
                  <w:r>
                    <w:rPr>
                      <w:rFonts w:hint="eastAsia" w:asciiTheme="minorAscii" w:hAnsiTheme="minorAscii"/>
                      <w:b w:val="0"/>
                      <w:bCs w:val="0"/>
                      <w:sz w:val="21"/>
                      <w:szCs w:val="21"/>
                      <w:lang w:eastAsia="zh-CN"/>
                    </w:rPr>
                    <w:t>（</w:t>
                  </w:r>
                  <w:r>
                    <w:rPr>
                      <w:rFonts w:hint="eastAsia" w:asciiTheme="minorAscii" w:hAnsiTheme="minorAscii"/>
                      <w:b w:val="0"/>
                      <w:bCs w:val="0"/>
                      <w:sz w:val="21"/>
                      <w:szCs w:val="21"/>
                      <w:lang w:val="en-US" w:eastAsia="zh-CN"/>
                    </w:rPr>
                    <w:t>2021—</w:t>
                  </w:r>
                  <w:r>
                    <w:rPr>
                      <w:rFonts w:hint="default" w:asciiTheme="minorAscii" w:hAnsiTheme="minorAscii"/>
                      <w:b w:val="0"/>
                      <w:bCs w:val="0"/>
                      <w:sz w:val="21"/>
                      <w:szCs w:val="21"/>
                    </w:rPr>
                    <w:t>2035年</w:t>
                  </w:r>
                  <w:r>
                    <w:rPr>
                      <w:rFonts w:hint="eastAsia" w:asciiTheme="minorAscii" w:hAnsiTheme="minorAscii"/>
                      <w:b w:val="0"/>
                      <w:bCs w:val="0"/>
                      <w:sz w:val="21"/>
                      <w:szCs w:val="21"/>
                      <w:lang w:eastAsia="zh-CN"/>
                    </w:rPr>
                    <w:t>）》</w:t>
                  </w:r>
                </w:p>
              </w:tc>
              <w:tc>
                <w:tcPr>
                  <w:tcW w:w="2138" w:type="pct"/>
                  <w:noWrap w:val="0"/>
                  <w:vAlign w:val="center"/>
                </w:tcPr>
                <w:p w14:paraId="7DF29C5B">
                  <w:pPr>
                    <w:pStyle w:val="39"/>
                    <w:keepNext w:val="0"/>
                    <w:keepLines w:val="0"/>
                    <w:pageBreakBefore w:val="0"/>
                    <w:widowControl w:val="0"/>
                    <w:kinsoku/>
                    <w:wordWrap/>
                    <w:overflowPunct/>
                    <w:topLinePunct w:val="0"/>
                    <w:bidi w:val="0"/>
                    <w:spacing w:line="240" w:lineRule="auto"/>
                    <w:jc w:val="center"/>
                    <w:textAlignment w:val="auto"/>
                    <w:rPr>
                      <w:rFonts w:hint="default" w:asciiTheme="minorAscii" w:hAnsiTheme="minorAscii"/>
                      <w:b w:val="0"/>
                      <w:bCs w:val="0"/>
                      <w:sz w:val="21"/>
                      <w:szCs w:val="21"/>
                    </w:rPr>
                  </w:pPr>
                  <w:r>
                    <w:rPr>
                      <w:rFonts w:hint="default" w:asciiTheme="minorAscii" w:hAnsiTheme="minorAscii"/>
                      <w:b w:val="0"/>
                      <w:bCs w:val="0"/>
                      <w:sz w:val="21"/>
                      <w:szCs w:val="21"/>
                    </w:rPr>
                    <w:t>以博湖县城、查干诺尔乡、本布图镇、塔温觉肯乡为中心，重点发展农业种植和畜牧养殖，以及农</w:t>
                  </w:r>
                  <w:r>
                    <w:rPr>
                      <w:rFonts w:hint="eastAsia" w:asciiTheme="minorAscii" w:hAnsiTheme="minorAscii"/>
                      <w:b w:val="0"/>
                      <w:bCs w:val="0"/>
                      <w:sz w:val="21"/>
                      <w:szCs w:val="21"/>
                      <w:lang w:eastAsia="zh-CN"/>
                    </w:rPr>
                    <w:t>业产</w:t>
                  </w:r>
                  <w:r>
                    <w:rPr>
                      <w:rFonts w:hint="default" w:asciiTheme="minorAscii" w:hAnsiTheme="minorAscii"/>
                      <w:b w:val="0"/>
                      <w:bCs w:val="0"/>
                      <w:sz w:val="21"/>
                      <w:szCs w:val="21"/>
                    </w:rPr>
                    <w:t>品加工业、食品加工业，建设工业番茄、工业辣椒基地</w:t>
                  </w:r>
                </w:p>
              </w:tc>
              <w:tc>
                <w:tcPr>
                  <w:tcW w:w="1450" w:type="pct"/>
                  <w:noWrap w:val="0"/>
                  <w:vAlign w:val="center"/>
                </w:tcPr>
                <w:p w14:paraId="42EC4802">
                  <w:pPr>
                    <w:keepNext w:val="0"/>
                    <w:keepLines w:val="0"/>
                    <w:pageBreakBefore w:val="0"/>
                    <w:widowControl w:val="0"/>
                    <w:kinsoku/>
                    <w:wordWrap/>
                    <w:overflowPunct/>
                    <w:topLinePunct w:val="0"/>
                    <w:bidi w:val="0"/>
                    <w:spacing w:line="240" w:lineRule="auto"/>
                    <w:jc w:val="center"/>
                    <w:textAlignment w:val="auto"/>
                    <w:rPr>
                      <w:rFonts w:hint="default" w:asciiTheme="minorAscii" w:hAnsiTheme="minorAscii"/>
                      <w:b w:val="0"/>
                      <w:bCs w:val="0"/>
                      <w:sz w:val="21"/>
                      <w:szCs w:val="21"/>
                      <w:lang w:val="en-US" w:eastAsia="zh-CN"/>
                    </w:rPr>
                  </w:pPr>
                  <w:r>
                    <w:rPr>
                      <w:rFonts w:hint="eastAsia" w:asciiTheme="minorAscii" w:hAnsiTheme="minorAscii"/>
                      <w:b w:val="0"/>
                      <w:bCs w:val="0"/>
                      <w:sz w:val="21"/>
                      <w:szCs w:val="21"/>
                      <w:lang w:val="en-US" w:eastAsia="zh-CN"/>
                    </w:rPr>
                    <w:t>本项目为污水处理站建设项目，主要接收巴州博湖县仓储物流园内辣椒食品加工等企业产生的工业废水，项目建设可保障食品加工企业废水得到规范处理。</w:t>
                  </w:r>
                </w:p>
              </w:tc>
              <w:tc>
                <w:tcPr>
                  <w:tcW w:w="449" w:type="pct"/>
                  <w:noWrap w:val="0"/>
                  <w:vAlign w:val="center"/>
                </w:tcPr>
                <w:p w14:paraId="59494AB5">
                  <w:pPr>
                    <w:pStyle w:val="69"/>
                    <w:keepNext w:val="0"/>
                    <w:keepLines w:val="0"/>
                    <w:pageBreakBefore w:val="0"/>
                    <w:widowControl w:val="0"/>
                    <w:kinsoku/>
                    <w:wordWrap/>
                    <w:overflowPunct/>
                    <w:topLinePunct w:val="0"/>
                    <w:bidi w:val="0"/>
                    <w:spacing w:line="240" w:lineRule="auto"/>
                    <w:jc w:val="center"/>
                    <w:textAlignment w:val="auto"/>
                    <w:rPr>
                      <w:rFonts w:hint="eastAsia" w:eastAsia="宋体" w:cs="Times New Roman" w:asciiTheme="minorAscii" w:hAnsiTheme="minorAscii"/>
                      <w:b w:val="0"/>
                      <w:bCs w:val="0"/>
                      <w:sz w:val="21"/>
                      <w:szCs w:val="21"/>
                      <w:lang w:val="en-US" w:eastAsia="zh-CN"/>
                    </w:rPr>
                  </w:pPr>
                  <w:r>
                    <w:rPr>
                      <w:rFonts w:hint="eastAsia" w:cs="Times New Roman" w:asciiTheme="minorAscii" w:hAnsiTheme="minorAscii"/>
                      <w:b w:val="0"/>
                      <w:bCs w:val="0"/>
                      <w:sz w:val="21"/>
                      <w:szCs w:val="21"/>
                      <w:lang w:val="en-US" w:eastAsia="zh-CN"/>
                    </w:rPr>
                    <w:t>符合</w:t>
                  </w:r>
                </w:p>
              </w:tc>
            </w:tr>
            <w:tr w14:paraId="2AA8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pct"/>
                  <w:noWrap w:val="0"/>
                  <w:vAlign w:val="center"/>
                </w:tcPr>
                <w:p w14:paraId="5702F80B">
                  <w:pPr>
                    <w:pStyle w:val="69"/>
                    <w:keepNext w:val="0"/>
                    <w:keepLines w:val="0"/>
                    <w:pageBreakBefore w:val="0"/>
                    <w:widowControl w:val="0"/>
                    <w:kinsoku/>
                    <w:wordWrap/>
                    <w:overflowPunct/>
                    <w:topLinePunct w:val="0"/>
                    <w:bidi w:val="0"/>
                    <w:spacing w:line="240" w:lineRule="auto"/>
                    <w:jc w:val="center"/>
                    <w:textAlignment w:val="auto"/>
                    <w:rPr>
                      <w:rFonts w:hint="eastAsia" w:asciiTheme="minorAscii" w:hAnsiTheme="minorAscii"/>
                      <w:b w:val="0"/>
                      <w:bCs w:val="0"/>
                      <w:sz w:val="21"/>
                      <w:szCs w:val="21"/>
                      <w:lang w:eastAsia="zh-CN"/>
                    </w:rPr>
                  </w:pPr>
                  <w:r>
                    <w:rPr>
                      <w:rFonts w:hint="eastAsia" w:asciiTheme="minorAscii" w:hAnsiTheme="minorAscii"/>
                      <w:b w:val="0"/>
                      <w:bCs w:val="0"/>
                      <w:sz w:val="21"/>
                      <w:szCs w:val="21"/>
                      <w:lang w:eastAsia="zh-CN"/>
                    </w:rPr>
                    <w:t>《新疆维吾尔自治区环境保护“十四五”规划》</w:t>
                  </w:r>
                </w:p>
              </w:tc>
              <w:tc>
                <w:tcPr>
                  <w:tcW w:w="2138" w:type="pct"/>
                  <w:noWrap w:val="0"/>
                  <w:vAlign w:val="center"/>
                </w:tcPr>
                <w:p w14:paraId="218AE83F">
                  <w:pPr>
                    <w:pStyle w:val="39"/>
                    <w:keepNext w:val="0"/>
                    <w:keepLines w:val="0"/>
                    <w:pageBreakBefore w:val="0"/>
                    <w:widowControl w:val="0"/>
                    <w:kinsoku/>
                    <w:wordWrap/>
                    <w:overflowPunct/>
                    <w:topLinePunct w:val="0"/>
                    <w:bidi w:val="0"/>
                    <w:spacing w:line="240" w:lineRule="auto"/>
                    <w:jc w:val="center"/>
                    <w:textAlignment w:val="auto"/>
                    <w:rPr>
                      <w:rFonts w:hint="default" w:asciiTheme="minorAscii" w:hAnsiTheme="minorAscii"/>
                      <w:b w:val="0"/>
                      <w:bCs w:val="0"/>
                      <w:sz w:val="21"/>
                      <w:szCs w:val="21"/>
                    </w:rPr>
                  </w:pPr>
                  <w:r>
                    <w:rPr>
                      <w:rFonts w:hint="default" w:asciiTheme="minorAscii" w:hAnsiTheme="minorAscii"/>
                      <w:b w:val="0"/>
                      <w:bCs w:val="0"/>
                      <w:sz w:val="21"/>
                      <w:szCs w:val="21"/>
                    </w:rPr>
                    <w:t>规划指出：加强工业污染防治。推动重点行业、重点企业绿色发展，严格落实水污染物排放标准和排污许可制度。加强农副食品加工、化工、印染、棉浆粕、粘胶纤维、制糖等企业综合治理和清洁化改造。支持企业积极实施节水技术改造，加快再生水回用设施建设，提升园区水资源循环利用水平</w:t>
                  </w:r>
                </w:p>
              </w:tc>
              <w:tc>
                <w:tcPr>
                  <w:tcW w:w="1450" w:type="pct"/>
                  <w:noWrap w:val="0"/>
                  <w:vAlign w:val="center"/>
                </w:tcPr>
                <w:p w14:paraId="21A29452">
                  <w:pPr>
                    <w:keepNext w:val="0"/>
                    <w:keepLines w:val="0"/>
                    <w:pageBreakBefore w:val="0"/>
                    <w:widowControl w:val="0"/>
                    <w:kinsoku/>
                    <w:wordWrap/>
                    <w:overflowPunct/>
                    <w:topLinePunct w:val="0"/>
                    <w:bidi w:val="0"/>
                    <w:spacing w:line="240" w:lineRule="auto"/>
                    <w:jc w:val="center"/>
                    <w:textAlignment w:val="auto"/>
                    <w:rPr>
                      <w:rFonts w:hint="default" w:asciiTheme="minorAscii" w:hAnsiTheme="minorAscii"/>
                      <w:b w:val="0"/>
                      <w:bCs w:val="0"/>
                      <w:sz w:val="21"/>
                      <w:szCs w:val="21"/>
                      <w:lang w:val="en-US" w:eastAsia="zh-CN"/>
                    </w:rPr>
                  </w:pPr>
                  <w:r>
                    <w:rPr>
                      <w:rFonts w:hint="eastAsia" w:asciiTheme="minorAscii" w:hAnsiTheme="minorAscii"/>
                      <w:b w:val="0"/>
                      <w:bCs w:val="0"/>
                      <w:sz w:val="21"/>
                      <w:szCs w:val="21"/>
                      <w:lang w:val="en-US" w:eastAsia="zh-CN"/>
                    </w:rPr>
                    <w:t>本项目为污水处理站建设项目，针对农副食品加工企业的废水进行集中处理，处理后的尾水通过排碱渠排入下游苇区灌溉，符合规划中加强工业污染防治、提升物流园水资源循环利用水平的要求，能够推动区域重点企业绿色发展，严格落实水污染物排放标准相关要求。</w:t>
                  </w:r>
                </w:p>
              </w:tc>
              <w:tc>
                <w:tcPr>
                  <w:tcW w:w="449" w:type="pct"/>
                  <w:noWrap w:val="0"/>
                  <w:vAlign w:val="center"/>
                </w:tcPr>
                <w:p w14:paraId="5C35955D">
                  <w:pPr>
                    <w:pStyle w:val="69"/>
                    <w:keepNext w:val="0"/>
                    <w:keepLines w:val="0"/>
                    <w:pageBreakBefore w:val="0"/>
                    <w:widowControl w:val="0"/>
                    <w:kinsoku/>
                    <w:wordWrap/>
                    <w:overflowPunct/>
                    <w:topLinePunct w:val="0"/>
                    <w:bidi w:val="0"/>
                    <w:spacing w:line="240" w:lineRule="auto"/>
                    <w:jc w:val="center"/>
                    <w:textAlignment w:val="auto"/>
                    <w:rPr>
                      <w:rFonts w:hint="eastAsia" w:cs="Times New Roman" w:asciiTheme="minorAscii" w:hAnsiTheme="minorAscii"/>
                      <w:b w:val="0"/>
                      <w:bCs w:val="0"/>
                      <w:sz w:val="21"/>
                      <w:szCs w:val="21"/>
                      <w:lang w:val="en-US" w:eastAsia="zh-CN"/>
                    </w:rPr>
                  </w:pPr>
                </w:p>
              </w:tc>
            </w:tr>
            <w:tr w14:paraId="6C98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pct"/>
                  <w:noWrap w:val="0"/>
                  <w:vAlign w:val="center"/>
                </w:tcPr>
                <w:p w14:paraId="3E2FB055">
                  <w:pPr>
                    <w:pStyle w:val="69"/>
                    <w:keepNext w:val="0"/>
                    <w:keepLines w:val="0"/>
                    <w:pageBreakBefore w:val="0"/>
                    <w:widowControl w:val="0"/>
                    <w:kinsoku/>
                    <w:wordWrap/>
                    <w:overflowPunct/>
                    <w:topLinePunct w:val="0"/>
                    <w:bidi w:val="0"/>
                    <w:spacing w:line="240" w:lineRule="auto"/>
                    <w:jc w:val="center"/>
                    <w:textAlignment w:val="auto"/>
                    <w:rPr>
                      <w:rFonts w:hint="eastAsia" w:asciiTheme="minorAscii" w:hAnsiTheme="minorAscii"/>
                      <w:b w:val="0"/>
                      <w:bCs w:val="0"/>
                      <w:sz w:val="21"/>
                      <w:szCs w:val="21"/>
                      <w:lang w:eastAsia="zh-CN"/>
                    </w:rPr>
                  </w:pPr>
                  <w:r>
                    <w:rPr>
                      <w:rFonts w:hint="eastAsia" w:asciiTheme="minorAscii" w:hAnsiTheme="minorAscii"/>
                      <w:b w:val="0"/>
                      <w:bCs w:val="0"/>
                      <w:sz w:val="21"/>
                      <w:szCs w:val="21"/>
                      <w:lang w:eastAsia="zh-CN"/>
                    </w:rPr>
                    <w:t>《巴音郭楞蒙古自治州生态环境“十四五”规划》</w:t>
                  </w:r>
                </w:p>
              </w:tc>
              <w:tc>
                <w:tcPr>
                  <w:tcW w:w="2138" w:type="pct"/>
                  <w:noWrap w:val="0"/>
                  <w:vAlign w:val="center"/>
                </w:tcPr>
                <w:p w14:paraId="5103BE4E">
                  <w:pPr>
                    <w:pStyle w:val="39"/>
                    <w:keepNext w:val="0"/>
                    <w:keepLines w:val="0"/>
                    <w:pageBreakBefore w:val="0"/>
                    <w:widowControl w:val="0"/>
                    <w:kinsoku/>
                    <w:wordWrap/>
                    <w:overflowPunct/>
                    <w:topLinePunct w:val="0"/>
                    <w:bidi w:val="0"/>
                    <w:spacing w:line="240" w:lineRule="auto"/>
                    <w:jc w:val="center"/>
                    <w:textAlignment w:val="auto"/>
                    <w:rPr>
                      <w:rFonts w:hint="default" w:asciiTheme="minorAscii" w:hAnsiTheme="minorAscii"/>
                      <w:b w:val="0"/>
                      <w:bCs w:val="0"/>
                      <w:sz w:val="21"/>
                      <w:szCs w:val="21"/>
                    </w:rPr>
                  </w:pPr>
                  <w:r>
                    <w:rPr>
                      <w:rFonts w:hint="default" w:asciiTheme="minorAscii" w:hAnsiTheme="minorAscii"/>
                      <w:b w:val="0"/>
                      <w:bCs w:val="0"/>
                      <w:sz w:val="21"/>
                      <w:szCs w:val="21"/>
                    </w:rPr>
                    <w:t>规划中提出：持续推进污水收集处理，扩大再生水利用；促进再生水利用。制定促进再生水利用的政策，以城市及产业集聚区为重点，持续推进污水收集处理，实施再生水利用工程，完善再生水利用设施，工业生产、城市绿化、道路清扫、车辆冲洗、建筑施工以及生态景观等用水，优先使用再生水。具备使用再生水条件但未充分利用的钢铁、火电、化工、制浆造纸、印染等项目，不得批准其新增取水许可。加强农副食品加工、化工、印染、棉浆粕、粘胶纤维、制糖等企业综合治理和清洁化改造。加大城镇污水再生利用工程建设力度，推进区域再生水循环利用，到2025年，全州城市生活污水再生利用率力争达到60%</w:t>
                  </w:r>
                </w:p>
              </w:tc>
              <w:tc>
                <w:tcPr>
                  <w:tcW w:w="1450" w:type="pct"/>
                  <w:noWrap w:val="0"/>
                  <w:vAlign w:val="center"/>
                </w:tcPr>
                <w:p w14:paraId="2298429C">
                  <w:pPr>
                    <w:keepNext w:val="0"/>
                    <w:keepLines w:val="0"/>
                    <w:pageBreakBefore w:val="0"/>
                    <w:widowControl w:val="0"/>
                    <w:kinsoku/>
                    <w:wordWrap/>
                    <w:overflowPunct/>
                    <w:topLinePunct w:val="0"/>
                    <w:bidi w:val="0"/>
                    <w:spacing w:line="240" w:lineRule="auto"/>
                    <w:jc w:val="center"/>
                    <w:textAlignment w:val="auto"/>
                    <w:rPr>
                      <w:rFonts w:hint="eastAsia" w:asciiTheme="minorAscii" w:hAnsiTheme="minorAscii"/>
                      <w:b w:val="0"/>
                      <w:bCs w:val="0"/>
                      <w:sz w:val="21"/>
                      <w:szCs w:val="21"/>
                      <w:lang w:val="en-US" w:eastAsia="zh-CN"/>
                    </w:rPr>
                  </w:pPr>
                </w:p>
                <w:p w14:paraId="21D00218">
                  <w:pPr>
                    <w:keepNext w:val="0"/>
                    <w:keepLines w:val="0"/>
                    <w:pageBreakBefore w:val="0"/>
                    <w:widowControl w:val="0"/>
                    <w:kinsoku/>
                    <w:wordWrap/>
                    <w:overflowPunct/>
                    <w:topLinePunct w:val="0"/>
                    <w:bidi w:val="0"/>
                    <w:spacing w:line="240" w:lineRule="auto"/>
                    <w:jc w:val="center"/>
                    <w:textAlignment w:val="auto"/>
                    <w:rPr>
                      <w:rFonts w:hint="eastAsia" w:asciiTheme="minorAscii" w:hAnsiTheme="minorAscii"/>
                      <w:b w:val="0"/>
                      <w:bCs w:val="0"/>
                      <w:sz w:val="21"/>
                      <w:szCs w:val="21"/>
                      <w:lang w:val="en-US" w:eastAsia="zh-CN"/>
                    </w:rPr>
                  </w:pPr>
                  <w:r>
                    <w:rPr>
                      <w:rFonts w:hint="eastAsia" w:asciiTheme="minorAscii" w:hAnsiTheme="minorAscii"/>
                      <w:b w:val="0"/>
                      <w:bCs w:val="0"/>
                      <w:sz w:val="21"/>
                      <w:szCs w:val="21"/>
                      <w:lang w:val="en-US" w:eastAsia="zh-CN"/>
                    </w:rPr>
                    <w:t>本项目作为仓储物流园配套的污水处理站，处理后的出水全部通过排碱渠排入下游苇区灌溉，全部实现再生水利用，可有效提升区域再生水利用率，同时项目可集中处理物流园内农副食品加工企业产生的废水，助力相关企业污染综合治理。</w:t>
                  </w:r>
                </w:p>
              </w:tc>
              <w:tc>
                <w:tcPr>
                  <w:tcW w:w="449" w:type="pct"/>
                  <w:noWrap w:val="0"/>
                  <w:vAlign w:val="center"/>
                </w:tcPr>
                <w:p w14:paraId="7CE64C8D">
                  <w:pPr>
                    <w:pStyle w:val="69"/>
                    <w:keepNext w:val="0"/>
                    <w:keepLines w:val="0"/>
                    <w:pageBreakBefore w:val="0"/>
                    <w:widowControl w:val="0"/>
                    <w:kinsoku/>
                    <w:wordWrap/>
                    <w:overflowPunct/>
                    <w:topLinePunct w:val="0"/>
                    <w:bidi w:val="0"/>
                    <w:spacing w:line="240" w:lineRule="auto"/>
                    <w:jc w:val="center"/>
                    <w:textAlignment w:val="auto"/>
                    <w:rPr>
                      <w:rFonts w:hint="eastAsia" w:cs="Times New Roman" w:asciiTheme="minorAscii" w:hAnsiTheme="minorAscii"/>
                      <w:b w:val="0"/>
                      <w:bCs w:val="0"/>
                      <w:sz w:val="21"/>
                      <w:szCs w:val="21"/>
                      <w:lang w:val="en-US" w:eastAsia="zh-CN"/>
                    </w:rPr>
                  </w:pPr>
                </w:p>
              </w:tc>
            </w:tr>
          </w:tbl>
          <w:p w14:paraId="5A29F96B">
            <w:pPr>
              <w:autoSpaceDE w:val="0"/>
              <w:autoSpaceDN w:val="0"/>
              <w:adjustRightInd w:val="0"/>
              <w:snapToGrid w:val="0"/>
              <w:rPr>
                <w:rFonts w:hint="default" w:cs="宋体" w:asciiTheme="minorAscii" w:hAnsiTheme="minorAscii"/>
                <w:kern w:val="0"/>
                <w:sz w:val="24"/>
              </w:rPr>
            </w:pPr>
          </w:p>
        </w:tc>
      </w:tr>
    </w:tbl>
    <w:p w14:paraId="6828E1F9">
      <w:pPr>
        <w:spacing w:line="360" w:lineRule="auto"/>
        <w:outlineLvl w:val="0"/>
        <w:rPr>
          <w:rFonts w:eastAsia="黑体"/>
          <w:sz w:val="30"/>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68ED6B5B">
      <w:pPr>
        <w:pStyle w:val="19"/>
        <w:numPr>
          <w:ilvl w:val="0"/>
          <w:numId w:val="1"/>
        </w:numPr>
        <w:jc w:val="center"/>
        <w:rPr>
          <w:rFonts w:hint="eastAsia" w:ascii="黑体" w:hAnsi="黑体" w:eastAsia="黑体"/>
          <w:snapToGrid w:val="0"/>
          <w:sz w:val="30"/>
          <w:szCs w:val="30"/>
        </w:rPr>
      </w:pPr>
      <w:r>
        <w:rPr>
          <w:rFonts w:hint="eastAsia" w:ascii="黑体" w:hAnsi="黑体" w:eastAsia="黑体"/>
          <w:snapToGrid w:val="0"/>
          <w:sz w:val="30"/>
          <w:szCs w:val="30"/>
        </w:rPr>
        <w:t>建设项目工程分析</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5"/>
        <w:gridCol w:w="8445"/>
      </w:tblGrid>
      <w:tr w14:paraId="3556D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dxa"/>
            <w:noWrap w:val="0"/>
            <w:vAlign w:val="center"/>
          </w:tcPr>
          <w:p w14:paraId="7EA2ADF8">
            <w:pPr>
              <w:pStyle w:val="19"/>
              <w:widowControl/>
              <w:numPr>
                <w:ilvl w:val="0"/>
                <w:numId w:val="0"/>
              </w:numPr>
              <w:spacing w:before="100" w:beforeAutospacing="1" w:after="100" w:afterAutospacing="1"/>
              <w:jc w:val="center"/>
              <w:rPr>
                <w:rFonts w:hint="eastAsia" w:eastAsia="宋体" w:cs="宋体"/>
                <w:bCs/>
                <w:kern w:val="2"/>
                <w:szCs w:val="24"/>
                <w:lang w:val="en-US" w:eastAsia="zh-CN"/>
              </w:rPr>
            </w:pPr>
            <w:r>
              <w:rPr>
                <w:rFonts w:hint="eastAsia" w:eastAsia="宋体" w:cs="宋体"/>
                <w:bCs/>
                <w:kern w:val="2"/>
                <w:szCs w:val="24"/>
                <w:lang w:val="en-US" w:eastAsia="zh-CN"/>
              </w:rPr>
              <w:t>建设内容</w:t>
            </w:r>
          </w:p>
        </w:tc>
        <w:tc>
          <w:tcPr>
            <w:tcW w:w="8445" w:type="dxa"/>
            <w:noWrap w:val="0"/>
            <w:vAlign w:val="top"/>
          </w:tcPr>
          <w:p w14:paraId="28C79D23">
            <w:pPr>
              <w:spacing w:line="360" w:lineRule="auto"/>
              <w:rPr>
                <w:rFonts w:hint="eastAsia" w:ascii="Times New Roman" w:hAnsi="Times New Roman" w:eastAsia="宋体" w:cs="Times New Roman"/>
                <w:b/>
                <w:bCs/>
                <w:sz w:val="24"/>
                <w:lang w:eastAsia="zh-CN"/>
              </w:rPr>
            </w:pPr>
            <w:r>
              <w:rPr>
                <w:rFonts w:hint="eastAsia" w:ascii="Times New Roman" w:hAnsi="Times New Roman" w:eastAsia="宋体" w:cs="Times New Roman"/>
                <w:b/>
                <w:bCs/>
                <w:sz w:val="24"/>
                <w:lang w:val="en-US" w:eastAsia="zh-CN"/>
              </w:rPr>
              <w:t>1.</w:t>
            </w:r>
            <w:r>
              <w:rPr>
                <w:rFonts w:hint="eastAsia" w:ascii="Times New Roman" w:hAnsi="Times New Roman" w:eastAsia="宋体" w:cs="Times New Roman"/>
                <w:b/>
                <w:bCs/>
                <w:sz w:val="24"/>
                <w:lang w:eastAsia="zh-CN"/>
              </w:rPr>
              <w:t>项目由来</w:t>
            </w:r>
          </w:p>
          <w:p w14:paraId="4CF5B742">
            <w:pPr>
              <w:spacing w:line="360" w:lineRule="auto"/>
              <w:ind w:firstLine="480" w:firstLineChars="200"/>
              <w:rPr>
                <w:rFonts w:hint="eastAsia" w:ascii="Times New Roman" w:hAnsi="Times New Roman" w:eastAsia="宋体" w:cs="Times New Roman"/>
                <w:iCs/>
                <w:sz w:val="24"/>
              </w:rPr>
            </w:pPr>
            <w:r>
              <w:rPr>
                <w:rFonts w:hint="eastAsia" w:ascii="Times New Roman" w:hAnsi="Times New Roman" w:eastAsia="宋体" w:cs="Times New Roman"/>
                <w:iCs/>
                <w:sz w:val="24"/>
              </w:rPr>
              <w:t>博湖县仓储物流园现状已建成</w:t>
            </w:r>
            <w:r>
              <w:rPr>
                <w:rFonts w:hint="eastAsia" w:cs="Times New Roman"/>
                <w:iCs/>
                <w:sz w:val="24"/>
                <w:lang w:val="en-US" w:eastAsia="zh-CN"/>
              </w:rPr>
              <w:t>1</w:t>
            </w:r>
            <w:r>
              <w:rPr>
                <w:rFonts w:hint="eastAsia" w:ascii="Times New Roman" w:hAnsi="Times New Roman" w:eastAsia="宋体" w:cs="Times New Roman"/>
                <w:iCs/>
                <w:sz w:val="24"/>
              </w:rPr>
              <w:t>座处理规模100m³/d的生活污水处理站，主要收纳处理园区职工生活污水。随着博湖县仓储物流园开发建设不断推进，为解决园区内工业废水处置问题、改善区域水环境质量，本项目拟在物流园内新建工业污水处理站，对园区入驻辣椒食品加工等企业产生的工业废水进行集中收集、处理及再生</w:t>
            </w:r>
            <w:r>
              <w:rPr>
                <w:rFonts w:hint="eastAsia" w:cs="Times New Roman"/>
                <w:iCs/>
                <w:sz w:val="24"/>
                <w:lang w:val="en-US" w:eastAsia="zh-CN"/>
              </w:rPr>
              <w:t>利用</w:t>
            </w:r>
            <w:r>
              <w:rPr>
                <w:rFonts w:hint="eastAsia" w:ascii="Times New Roman" w:hAnsi="Times New Roman" w:eastAsia="宋体" w:cs="Times New Roman"/>
                <w:iCs/>
                <w:sz w:val="24"/>
              </w:rPr>
              <w:t>。</w:t>
            </w:r>
          </w:p>
          <w:p w14:paraId="4BDA154C">
            <w:pPr>
              <w:spacing w:line="360" w:lineRule="auto"/>
              <w:ind w:firstLine="480" w:firstLineChars="200"/>
              <w:rPr>
                <w:rFonts w:hint="eastAsia" w:ascii="Times New Roman" w:hAnsi="Times New Roman" w:eastAsia="宋体" w:cs="Times New Roman"/>
                <w:iCs/>
                <w:sz w:val="24"/>
              </w:rPr>
            </w:pPr>
            <w:r>
              <w:rPr>
                <w:rFonts w:hint="eastAsia" w:ascii="Times New Roman" w:hAnsi="Times New Roman" w:eastAsia="宋体" w:cs="Times New Roman"/>
                <w:iCs/>
                <w:sz w:val="24"/>
              </w:rPr>
              <w:t>巴州博湖县仓储物流园基础设施建设项目整体建设内容为：对仓储物流园46493.83m²建（构）筑物实施提升改造，主要包括仓库、转运库、冷库；新建1#门卫室及磅房卫生间、2#门卫室、非机动车棚、污水处理站；实施室外地面硬化工程，配套建设托架、安防、控制室、冷链、装卸等附属设施及设备。本次评价对象为项目新建的工业污水处理站。</w:t>
            </w:r>
          </w:p>
          <w:p w14:paraId="360223D0">
            <w:pPr>
              <w:spacing w:line="360" w:lineRule="auto"/>
              <w:ind w:firstLine="480" w:firstLineChars="200"/>
              <w:rPr>
                <w:rFonts w:hint="default" w:eastAsia="宋体" w:cs="Times New Roman" w:asciiTheme="minorAscii" w:hAnsiTheme="minorAscii"/>
                <w:iCs/>
                <w:sz w:val="24"/>
                <w:lang w:eastAsia="zh-CN"/>
              </w:rPr>
            </w:pPr>
            <w:r>
              <w:rPr>
                <w:rFonts w:hint="default" w:eastAsia="宋体" w:cs="宋体" w:asciiTheme="minorAscii" w:hAnsiTheme="minorAscii"/>
                <w:sz w:val="24"/>
                <w:szCs w:val="24"/>
              </w:rPr>
              <w:t>本工业污水处理站为园区配套基础设施，服务对象为园区规划引入的辣椒食品加工企业。现阶段园区规划入驻企业尚未确定，暂无落地企业及明确生产规模；污水站1000</w:t>
            </w:r>
            <w:r>
              <w:rPr>
                <w:rFonts w:hint="default" w:eastAsia="宋体" w:cs="宋体" w:asciiTheme="minorAscii" w:hAnsiTheme="minorAscii"/>
                <w:sz w:val="24"/>
                <w:szCs w:val="24"/>
                <w:lang w:val="en-US" w:eastAsia="zh-CN"/>
              </w:rPr>
              <w:t>m</w:t>
            </w:r>
            <w:r>
              <w:rPr>
                <w:rFonts w:hint="default" w:eastAsia="宋体" w:cs="宋体" w:asciiTheme="minorAscii" w:hAnsiTheme="minorAscii"/>
                <w:sz w:val="24"/>
                <w:szCs w:val="24"/>
                <w:vertAlign w:val="superscript"/>
                <w:lang w:val="en-US" w:eastAsia="zh-CN"/>
              </w:rPr>
              <w:t>3</w:t>
            </w:r>
            <w:r>
              <w:rPr>
                <w:rFonts w:hint="default" w:eastAsia="宋体" w:cs="宋体" w:asciiTheme="minorAscii" w:hAnsiTheme="minorAscii"/>
                <w:sz w:val="24"/>
                <w:szCs w:val="24"/>
              </w:rPr>
              <w:t>/d处理规模依据本地辣椒加工行业同类企业废水产污水平、园区建构筑物可承载的加工业态，在项目初步设计阶段确定的最大接纳预留规模，用于接纳园区内辣椒食品加工企业经厂内预处理后的生产废水。后续入园辣椒加工企业须单独开展环评，生产废水经厂内预处理达到本项目纳管要求后方可接入</w:t>
            </w:r>
            <w:r>
              <w:rPr>
                <w:rFonts w:hint="default" w:eastAsia="宋体" w:cs="宋体" w:asciiTheme="minorAscii" w:hAnsiTheme="minorAscii"/>
                <w:sz w:val="24"/>
                <w:szCs w:val="24"/>
                <w:lang w:eastAsia="zh-CN"/>
              </w:rPr>
              <w:t>。</w:t>
            </w:r>
          </w:p>
          <w:p w14:paraId="6729DDFF">
            <w:pPr>
              <w:spacing w:line="360" w:lineRule="auto"/>
              <w:ind w:firstLine="480" w:firstLineChars="200"/>
              <w:rPr>
                <w:rFonts w:hint="eastAsia" w:ascii="Times New Roman" w:hAnsi="Times New Roman" w:eastAsia="宋体" w:cs="Times New Roman"/>
                <w:iCs/>
                <w:sz w:val="24"/>
              </w:rPr>
            </w:pPr>
            <w:r>
              <w:rPr>
                <w:rFonts w:hint="eastAsia" w:ascii="Times New Roman" w:hAnsi="Times New Roman" w:eastAsia="宋体" w:cs="Times New Roman"/>
                <w:iCs/>
                <w:sz w:val="24"/>
              </w:rPr>
              <w:t>本项目新建工业污水处理站设计处理规模为1000m³/d，采用“格栅 + 调节+隔油沉淀+气浮+厌氧+A/O生物处理+混凝沉淀+活性炭过滤+消毒”处理工艺。项目建成后，主要收集处理园区内辣椒食品加工等企业生产过</w:t>
            </w:r>
            <w:r>
              <w:rPr>
                <w:rFonts w:hint="eastAsia" w:cs="Times New Roman"/>
                <w:iCs/>
                <w:sz w:val="24"/>
                <w:lang w:eastAsia="zh-CN"/>
              </w:rPr>
              <w:t>程中</w:t>
            </w:r>
            <w:r>
              <w:rPr>
                <w:rFonts w:hint="eastAsia" w:ascii="Times New Roman" w:hAnsi="Times New Roman" w:eastAsia="宋体" w:cs="Times New Roman"/>
                <w:iCs/>
                <w:sz w:val="24"/>
              </w:rPr>
              <w:t>产生的工业废水；废水经处理后同时满足《城镇污水处理厂污染物排放标准》（GB18918</w:t>
            </w:r>
            <w:r>
              <w:rPr>
                <w:rFonts w:hint="eastAsia" w:cs="Times New Roman"/>
                <w:iCs/>
                <w:sz w:val="24"/>
                <w:lang w:val="en-US" w:eastAsia="zh-CN"/>
              </w:rPr>
              <w:t>-</w:t>
            </w:r>
            <w:r>
              <w:rPr>
                <w:rFonts w:hint="eastAsia" w:ascii="Times New Roman" w:hAnsi="Times New Roman" w:eastAsia="宋体" w:cs="Times New Roman"/>
                <w:iCs/>
                <w:sz w:val="24"/>
              </w:rPr>
              <w:t>2002）一级A标准及</w:t>
            </w:r>
            <w:r>
              <w:rPr>
                <w:rFonts w:hint="eastAsia" w:cs="Times New Roman"/>
                <w:iCs/>
                <w:sz w:val="24"/>
                <w:lang w:eastAsia="zh-CN"/>
              </w:rPr>
              <w:t>《城市污水再生利用 景观环境用水水质》（GB/T 18921-2019）中湿地环境用水相关要求</w:t>
            </w:r>
            <w:r>
              <w:rPr>
                <w:rFonts w:hint="eastAsia" w:ascii="Times New Roman" w:hAnsi="Times New Roman" w:eastAsia="宋体" w:cs="Times New Roman"/>
                <w:iCs/>
                <w:sz w:val="24"/>
              </w:rPr>
              <w:t>，出水全部通过排碱渠排入下游苇区灌溉，实现水资源循环利用，废水不向外环境地表水体排放。</w:t>
            </w:r>
          </w:p>
          <w:p w14:paraId="78529EBC">
            <w:pPr>
              <w:spacing w:line="360" w:lineRule="auto"/>
              <w:ind w:firstLine="480" w:firstLineChars="200"/>
              <w:rPr>
                <w:rFonts w:hint="eastAsia" w:ascii="Times New Roman" w:hAnsi="Times New Roman" w:eastAsia="宋体" w:cs="Times New Roman"/>
                <w:iCs/>
                <w:sz w:val="24"/>
              </w:rPr>
            </w:pPr>
            <w:r>
              <w:rPr>
                <w:rFonts w:hint="eastAsia" w:ascii="Times New Roman" w:hAnsi="Times New Roman" w:eastAsia="宋体" w:cs="Times New Roman"/>
                <w:iCs/>
                <w:sz w:val="24"/>
              </w:rPr>
              <w:t>本项目整体包含多项子工程，依据《建设项目环境影响评价分类管理名录（2021年版）》，各子工程环评管理类别逐条判定如下：</w:t>
            </w:r>
          </w:p>
          <w:p w14:paraId="7E8AD824">
            <w:pPr>
              <w:spacing w:line="360" w:lineRule="auto"/>
              <w:ind w:firstLine="480" w:firstLineChars="200"/>
              <w:rPr>
                <w:rFonts w:hint="eastAsia" w:ascii="Times New Roman" w:hAnsi="Times New Roman" w:eastAsia="宋体" w:cs="Times New Roman"/>
                <w:iCs/>
                <w:sz w:val="24"/>
              </w:rPr>
            </w:pPr>
            <w:r>
              <w:rPr>
                <w:rFonts w:hint="eastAsia" w:ascii="Times New Roman" w:hAnsi="Times New Roman" w:eastAsia="宋体" w:cs="Times New Roman"/>
                <w:iCs/>
                <w:sz w:val="24"/>
              </w:rPr>
              <w:t>1.仓储物流园内仓库、转运库、冷库提升改造，新建1#门卫室及磅房卫生间、2#门卫室、非机动车棚，室外地面硬化，配套托架、安防、控制室、冷链、装卸等附属设施及设备：上述内容</w:t>
            </w:r>
            <w:r>
              <w:rPr>
                <w:rFonts w:ascii="宋体" w:hAnsi="宋体" w:eastAsia="宋体" w:cs="宋体"/>
                <w:sz w:val="24"/>
                <w:szCs w:val="24"/>
              </w:rPr>
              <w:t>不属于《建设项目环境影响评价分类管理名录（2021版）》规定需要开展环评的建设内容</w:t>
            </w:r>
            <w:r>
              <w:rPr>
                <w:rFonts w:hint="eastAsia" w:ascii="Times New Roman" w:hAnsi="Times New Roman" w:eastAsia="宋体" w:cs="Times New Roman"/>
                <w:iCs/>
                <w:sz w:val="24"/>
              </w:rPr>
              <w:t>，本报告仅对工程内容予以列明，不再开展环境影响分析。</w:t>
            </w:r>
          </w:p>
          <w:p w14:paraId="31C5B42D">
            <w:pPr>
              <w:spacing w:line="360" w:lineRule="auto"/>
              <w:ind w:firstLine="480" w:firstLineChars="200"/>
              <w:rPr>
                <w:rFonts w:hint="eastAsia" w:ascii="Times New Roman" w:hAnsi="Times New Roman" w:eastAsia="宋体" w:cs="Times New Roman"/>
                <w:iCs/>
                <w:sz w:val="24"/>
              </w:rPr>
            </w:pPr>
            <w:r>
              <w:rPr>
                <w:rFonts w:hint="eastAsia" w:ascii="Times New Roman" w:hAnsi="Times New Roman" w:eastAsia="宋体" w:cs="Times New Roman"/>
                <w:iCs/>
                <w:sz w:val="24"/>
              </w:rPr>
              <w:t>2.新建设计处理规模1000m³/d工业污水处理站：对应名录第四十三类“水的生产和供应业</w:t>
            </w:r>
            <w:r>
              <w:rPr>
                <w:rFonts w:hint="eastAsia" w:cs="Times New Roman"/>
                <w:iCs/>
                <w:sz w:val="24"/>
                <w:lang w:val="en-US" w:eastAsia="zh-CN"/>
              </w:rPr>
              <w:t>-</w:t>
            </w:r>
            <w:r>
              <w:rPr>
                <w:rFonts w:hint="eastAsia" w:ascii="Times New Roman" w:hAnsi="Times New Roman" w:eastAsia="宋体" w:cs="Times New Roman"/>
                <w:iCs/>
                <w:sz w:val="24"/>
              </w:rPr>
              <w:t>95污水处理及其再生利用”中“新建、扩建其他工业废水处理的（不含建设单位自建自用仅处理生活污水的；不含出水间接排入地表水体且不排放重金属的）”，需编制环境影响报告表。</w:t>
            </w:r>
          </w:p>
          <w:p w14:paraId="499FABEE">
            <w:pPr>
              <w:spacing w:line="360" w:lineRule="auto"/>
              <w:ind w:firstLine="480" w:firstLineChars="200"/>
              <w:rPr>
                <w:rFonts w:hint="eastAsia"/>
                <w:b/>
                <w:bCs/>
                <w:sz w:val="24"/>
              </w:rPr>
            </w:pPr>
            <w:r>
              <w:rPr>
                <w:rFonts w:hint="eastAsia" w:ascii="Times New Roman" w:hAnsi="Times New Roman" w:eastAsia="宋体" w:cs="Times New Roman"/>
                <w:iCs/>
                <w:sz w:val="24"/>
              </w:rPr>
              <w:t>综上，本项目按照管控级别最高的子工程确定环评文件类型为环境影响报告表。接受委托后，评价单位在现场踏勘、调研及资料收集的基础上，编制完成《巴州博湖县仓储物流园基础设施建设项目环境影响报告表》，呈报生态环境主管部门，待批复后作为项目建设及运营期环境管理的技术依据</w:t>
            </w:r>
            <w:r>
              <w:rPr>
                <w:rFonts w:ascii="Times New Roman" w:hAnsi="Times New Roman" w:eastAsia="宋体" w:cs="Times New Roman"/>
                <w:iCs/>
                <w:sz w:val="24"/>
              </w:rPr>
              <w:t>。</w:t>
            </w:r>
          </w:p>
          <w:p w14:paraId="71A28541">
            <w:pPr>
              <w:spacing w:line="360" w:lineRule="auto"/>
              <w:rPr>
                <w:b/>
                <w:bCs/>
                <w:sz w:val="24"/>
              </w:rPr>
            </w:pPr>
            <w:r>
              <w:rPr>
                <w:b/>
                <w:bCs/>
                <w:sz w:val="24"/>
              </w:rPr>
              <w:t>2 建设地点</w:t>
            </w:r>
          </w:p>
          <w:p w14:paraId="109F7A0B">
            <w:pPr>
              <w:spacing w:line="360" w:lineRule="auto"/>
              <w:ind w:firstLine="480" w:firstLineChars="200"/>
              <w:rPr>
                <w:rFonts w:hint="eastAsia"/>
                <w:color w:val="000000"/>
                <w:sz w:val="24"/>
              </w:rPr>
            </w:pPr>
            <w:r>
              <w:rPr>
                <w:iCs/>
                <w:sz w:val="24"/>
              </w:rPr>
              <w:t>本项目位于</w:t>
            </w:r>
            <w:r>
              <w:rPr>
                <w:rFonts w:hint="eastAsia"/>
                <w:iCs/>
                <w:sz w:val="24"/>
              </w:rPr>
              <w:t>新疆巴州博湖县仓储物流园内</w:t>
            </w:r>
            <w:r>
              <w:rPr>
                <w:rFonts w:hint="eastAsia"/>
                <w:color w:val="000000"/>
                <w:kern w:val="0"/>
                <w:sz w:val="24"/>
              </w:rPr>
              <w:t>空地</w:t>
            </w:r>
            <w:r>
              <w:rPr>
                <w:iCs/>
                <w:sz w:val="24"/>
              </w:rPr>
              <w:t>。</w:t>
            </w:r>
            <w:r>
              <w:rPr>
                <w:color w:val="000000"/>
                <w:sz w:val="24"/>
              </w:rPr>
              <w:t>项目地理位置见附图1。</w:t>
            </w:r>
          </w:p>
          <w:p w14:paraId="67E284A1">
            <w:pPr>
              <w:spacing w:line="360" w:lineRule="auto"/>
              <w:ind w:firstLine="480" w:firstLineChars="200"/>
              <w:rPr>
                <w:rFonts w:hint="default" w:eastAsia="宋体"/>
                <w:sz w:val="24"/>
                <w:lang w:val="en-US" w:eastAsia="zh-CN"/>
              </w:rPr>
            </w:pPr>
            <w:r>
              <w:rPr>
                <w:rFonts w:hint="eastAsia"/>
                <w:color w:val="000000"/>
                <w:sz w:val="24"/>
                <w:lang w:val="en-US" w:eastAsia="zh-CN"/>
              </w:rPr>
              <w:t>项目西北、东南</w:t>
            </w:r>
            <w:r>
              <w:rPr>
                <w:rFonts w:hint="eastAsia"/>
                <w:color w:val="000000"/>
                <w:sz w:val="24"/>
              </w:rPr>
              <w:t>侧为</w:t>
            </w:r>
            <w:r>
              <w:rPr>
                <w:rFonts w:hint="eastAsia"/>
                <w:color w:val="000000"/>
                <w:sz w:val="24"/>
                <w:lang w:val="en-US" w:eastAsia="zh-CN"/>
              </w:rPr>
              <w:t>紧邻标准厂房</w:t>
            </w:r>
            <w:r>
              <w:rPr>
                <w:rFonts w:hint="eastAsia"/>
                <w:color w:val="000000"/>
                <w:sz w:val="24"/>
              </w:rPr>
              <w:t>；</w:t>
            </w:r>
            <w:r>
              <w:rPr>
                <w:rFonts w:hint="eastAsia"/>
                <w:color w:val="000000"/>
                <w:sz w:val="24"/>
                <w:lang w:val="en-US" w:eastAsia="zh-CN"/>
              </w:rPr>
              <w:t>项目东北侧为空地，西南侧为物流园空地。</w:t>
            </w:r>
            <w:r>
              <w:rPr>
                <w:rFonts w:hint="eastAsia"/>
                <w:iCs/>
                <w:sz w:val="24"/>
              </w:rPr>
              <w:t>博湖县仓储</w:t>
            </w:r>
            <w:r>
              <w:rPr>
                <w:rFonts w:hint="eastAsia"/>
                <w:color w:val="000000"/>
                <w:sz w:val="24"/>
                <w:lang w:val="en-US" w:eastAsia="zh-CN"/>
              </w:rPr>
              <w:t>物流园东北侧为防护林，隔着防护林对面为农田，防护林距离约50m，农田距离约90m，物流园东南侧为农田，距离约10m，物流园西南侧为G218国道，隔着国道对面为开都河，物流园北侧为商混站。详</w:t>
            </w:r>
            <w:r>
              <w:rPr>
                <w:rFonts w:hint="eastAsia"/>
                <w:color w:val="000000"/>
                <w:sz w:val="24"/>
                <w:lang w:eastAsia="zh-CN"/>
              </w:rPr>
              <w:t>见附图</w:t>
            </w:r>
            <w:r>
              <w:rPr>
                <w:rFonts w:hint="eastAsia"/>
                <w:color w:val="000000"/>
                <w:sz w:val="24"/>
                <w:lang w:val="en-US" w:eastAsia="zh-CN"/>
              </w:rPr>
              <w:t>2项目周边环境关系示意图。</w:t>
            </w:r>
            <w:bookmarkStart w:id="28" w:name="_GoBack"/>
            <w:bookmarkEnd w:id="28"/>
          </w:p>
          <w:p w14:paraId="66752EE6">
            <w:pPr>
              <w:spacing w:line="360" w:lineRule="auto"/>
              <w:rPr>
                <w:b/>
                <w:bCs/>
                <w:sz w:val="24"/>
              </w:rPr>
            </w:pPr>
            <w:r>
              <w:rPr>
                <w:b/>
                <w:bCs/>
                <w:sz w:val="24"/>
              </w:rPr>
              <w:t>3 工程</w:t>
            </w:r>
            <w:r>
              <w:rPr>
                <w:rFonts w:hint="eastAsia"/>
                <w:b/>
                <w:bCs/>
                <w:sz w:val="24"/>
              </w:rPr>
              <w:t>内容及</w:t>
            </w:r>
            <w:r>
              <w:rPr>
                <w:b/>
                <w:bCs/>
                <w:sz w:val="24"/>
              </w:rPr>
              <w:t>规模</w:t>
            </w:r>
          </w:p>
          <w:p w14:paraId="299774C7">
            <w:pPr>
              <w:widowControl/>
              <w:spacing w:line="360" w:lineRule="auto"/>
              <w:ind w:firstLine="480" w:firstLineChars="200"/>
              <w:jc w:val="left"/>
              <w:rPr>
                <w:sz w:val="24"/>
              </w:rPr>
            </w:pPr>
            <w:r>
              <w:rPr>
                <w:rFonts w:hint="eastAsia" w:ascii="Times New Roman" w:hAnsi="Times New Roman" w:eastAsia="宋体" w:cs="Times New Roman"/>
                <w:color w:val="000000"/>
                <w:sz w:val="24"/>
                <w:lang w:val="en-US" w:eastAsia="zh-CN"/>
              </w:rPr>
              <w:t>本项目</w:t>
            </w:r>
            <w:r>
              <w:rPr>
                <w:rFonts w:hint="eastAsia" w:cs="Times New Roman"/>
                <w:color w:val="000000"/>
                <w:sz w:val="24"/>
                <w:lang w:val="en-US" w:eastAsia="zh-CN"/>
              </w:rPr>
              <w:t>污水处理站</w:t>
            </w:r>
            <w:r>
              <w:rPr>
                <w:rFonts w:hint="eastAsia" w:ascii="Times New Roman" w:hAnsi="Times New Roman" w:eastAsia="宋体" w:cs="Times New Roman"/>
                <w:color w:val="000000"/>
                <w:sz w:val="24"/>
                <w:lang w:val="en-US" w:eastAsia="zh-CN"/>
              </w:rPr>
              <w:t>位于博湖</w:t>
            </w:r>
            <w:r>
              <w:rPr>
                <w:rFonts w:hint="eastAsia"/>
                <w:color w:val="auto"/>
                <w:kern w:val="0"/>
                <w:sz w:val="24"/>
                <w:lang w:val="en-US" w:eastAsia="zh-CN"/>
              </w:rPr>
              <w:t>县仓储物流园内，无新增占地，</w:t>
            </w:r>
            <w:r>
              <w:rPr>
                <w:rFonts w:hint="eastAsia"/>
                <w:color w:val="auto"/>
                <w:kern w:val="0"/>
                <w:sz w:val="24"/>
                <w:lang w:eastAsia="zh-CN"/>
              </w:rPr>
              <w:t>总占地面积</w:t>
            </w:r>
            <w:r>
              <w:rPr>
                <w:rFonts w:hint="eastAsia"/>
                <w:color w:val="auto"/>
                <w:kern w:val="0"/>
                <w:sz w:val="24"/>
                <w:lang w:val="en-US" w:eastAsia="zh-CN"/>
              </w:rPr>
              <w:t>1014m</w:t>
            </w:r>
            <w:r>
              <w:rPr>
                <w:rFonts w:hint="eastAsia"/>
                <w:color w:val="auto"/>
                <w:kern w:val="0"/>
                <w:sz w:val="24"/>
                <w:vertAlign w:val="superscript"/>
                <w:lang w:val="en-US" w:eastAsia="zh-CN"/>
              </w:rPr>
              <w:t>2</w:t>
            </w:r>
            <w:r>
              <w:rPr>
                <w:rFonts w:hint="eastAsia"/>
                <w:color w:val="auto"/>
                <w:kern w:val="0"/>
                <w:sz w:val="24"/>
                <w:lang w:val="en-US" w:eastAsia="zh-CN"/>
              </w:rPr>
              <w:t>，</w:t>
            </w:r>
            <w:r>
              <w:rPr>
                <w:rStyle w:val="29"/>
                <w:rFonts w:hint="eastAsia"/>
                <w:color w:val="auto"/>
                <w:kern w:val="0"/>
                <w:sz w:val="24"/>
              </w:rPr>
              <w:t>建设</w:t>
            </w:r>
            <w:r>
              <w:rPr>
                <w:rFonts w:hint="eastAsia"/>
                <w:color w:val="auto"/>
                <w:kern w:val="0"/>
                <w:sz w:val="24"/>
              </w:rPr>
              <w:t>内容为新建一座</w:t>
            </w:r>
            <w:r>
              <w:rPr>
                <w:rFonts w:hint="eastAsia" w:ascii="Times New Roman" w:hAnsi="Times New Roman" w:eastAsia="宋体" w:cs="Times New Roman"/>
                <w:iCs/>
                <w:sz w:val="24"/>
              </w:rPr>
              <w:t>1000m³/d</w:t>
            </w:r>
            <w:r>
              <w:rPr>
                <w:rFonts w:hint="eastAsia"/>
                <w:color w:val="auto"/>
                <w:kern w:val="0"/>
                <w:sz w:val="24"/>
                <w:lang w:val="en-US" w:eastAsia="zh-CN"/>
              </w:rPr>
              <w:t>工业污水处理站，</w:t>
            </w:r>
            <w:r>
              <w:rPr>
                <w:rFonts w:hint="eastAsia" w:ascii="Times New Roman" w:hAnsi="Times New Roman" w:eastAsia="宋体" w:cs="Times New Roman"/>
                <w:iCs/>
                <w:sz w:val="24"/>
                <w:lang w:val="en-US" w:eastAsia="zh-CN"/>
              </w:rPr>
              <w:t>处理工艺采用“格栅+调节+隔油沉淀+气浮+厌氧+A/O生物处理+混凝沉淀+活性炭过滤+消毒”处理工艺</w:t>
            </w:r>
            <w:r>
              <w:rPr>
                <w:rFonts w:hint="eastAsia"/>
                <w:color w:val="auto"/>
                <w:kern w:val="0"/>
                <w:sz w:val="24"/>
              </w:rPr>
              <w:t>，</w:t>
            </w:r>
            <w:r>
              <w:rPr>
                <w:rFonts w:hint="eastAsia"/>
                <w:color w:val="auto"/>
                <w:kern w:val="0"/>
                <w:sz w:val="24"/>
                <w:lang w:val="en-US" w:eastAsia="zh-CN"/>
              </w:rPr>
              <w:t>配套污泥车间等</w:t>
            </w:r>
            <w:r>
              <w:rPr>
                <w:rFonts w:hint="eastAsia"/>
                <w:color w:val="auto"/>
                <w:kern w:val="0"/>
                <w:sz w:val="24"/>
              </w:rPr>
              <w:t>配套附属设施</w:t>
            </w:r>
            <w:r>
              <w:rPr>
                <w:rFonts w:hint="eastAsia"/>
                <w:color w:val="000000"/>
                <w:kern w:val="0"/>
                <w:sz w:val="24"/>
                <w:lang w:eastAsia="zh-CN"/>
              </w:rPr>
              <w:t>。</w:t>
            </w:r>
            <w:r>
              <w:rPr>
                <w:sz w:val="24"/>
              </w:rPr>
              <w:t>项目组成</w:t>
            </w:r>
            <w:r>
              <w:rPr>
                <w:rFonts w:hint="eastAsia"/>
                <w:sz w:val="24"/>
              </w:rPr>
              <w:t>一览表</w:t>
            </w:r>
            <w:r>
              <w:rPr>
                <w:sz w:val="24"/>
              </w:rPr>
              <w:t>见</w:t>
            </w:r>
            <w:r>
              <w:rPr>
                <w:rFonts w:hint="eastAsia"/>
                <w:sz w:val="24"/>
              </w:rPr>
              <w:t>下表</w:t>
            </w:r>
            <w:r>
              <w:rPr>
                <w:sz w:val="24"/>
              </w:rPr>
              <w:t>。</w:t>
            </w:r>
          </w:p>
          <w:p w14:paraId="0E15B7B0">
            <w:pPr>
              <w:ind w:firstLine="482" w:firstLineChars="200"/>
              <w:jc w:val="center"/>
              <w:rPr>
                <w:rFonts w:hint="eastAsia"/>
                <w:b/>
                <w:color w:val="000000"/>
                <w:sz w:val="24"/>
              </w:rPr>
            </w:pPr>
            <w:r>
              <w:rPr>
                <w:b/>
                <w:color w:val="000000"/>
                <w:sz w:val="24"/>
              </w:rPr>
              <w:t>表</w:t>
            </w:r>
            <w:r>
              <w:rPr>
                <w:rFonts w:hint="eastAsia"/>
                <w:b/>
                <w:color w:val="000000"/>
                <w:sz w:val="24"/>
                <w:lang w:val="en-US" w:eastAsia="zh-CN"/>
              </w:rPr>
              <w:t>2-1</w:t>
            </w:r>
            <w:r>
              <w:rPr>
                <w:b/>
                <w:color w:val="000000"/>
                <w:sz w:val="24"/>
              </w:rPr>
              <w:t xml:space="preserve">   项目</w:t>
            </w:r>
            <w:r>
              <w:rPr>
                <w:rFonts w:hint="eastAsia"/>
                <w:b/>
                <w:color w:val="000000"/>
                <w:sz w:val="24"/>
              </w:rPr>
              <w:t>组成一览表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3"/>
              <w:gridCol w:w="1013"/>
              <w:gridCol w:w="884"/>
              <w:gridCol w:w="4221"/>
              <w:gridCol w:w="965"/>
            </w:tblGrid>
            <w:tr w14:paraId="6875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689" w:type="pct"/>
                  <w:noWrap w:val="0"/>
                  <w:vAlign w:val="center"/>
                </w:tcPr>
                <w:p w14:paraId="38D66233">
                  <w:pPr>
                    <w:spacing w:line="320" w:lineRule="exact"/>
                    <w:jc w:val="center"/>
                    <w:rPr>
                      <w:szCs w:val="21"/>
                    </w:rPr>
                  </w:pPr>
                  <w:r>
                    <w:rPr>
                      <w:szCs w:val="21"/>
                    </w:rPr>
                    <w:t>工程分类</w:t>
                  </w:r>
                </w:p>
              </w:tc>
              <w:tc>
                <w:tcPr>
                  <w:tcW w:w="1154" w:type="pct"/>
                  <w:gridSpan w:val="2"/>
                  <w:noWrap w:val="0"/>
                  <w:vAlign w:val="center"/>
                </w:tcPr>
                <w:p w14:paraId="6DABCEFF">
                  <w:pPr>
                    <w:spacing w:line="320" w:lineRule="exact"/>
                    <w:jc w:val="center"/>
                    <w:rPr>
                      <w:szCs w:val="21"/>
                    </w:rPr>
                  </w:pPr>
                  <w:r>
                    <w:rPr>
                      <w:szCs w:val="21"/>
                    </w:rPr>
                    <w:t>工程名称</w:t>
                  </w:r>
                </w:p>
              </w:tc>
              <w:tc>
                <w:tcPr>
                  <w:tcW w:w="2568" w:type="pct"/>
                  <w:noWrap w:val="0"/>
                  <w:vAlign w:val="center"/>
                </w:tcPr>
                <w:p w14:paraId="51720A0D">
                  <w:pPr>
                    <w:spacing w:line="320" w:lineRule="exact"/>
                    <w:jc w:val="center"/>
                    <w:rPr>
                      <w:szCs w:val="21"/>
                    </w:rPr>
                  </w:pPr>
                  <w:r>
                    <w:rPr>
                      <w:szCs w:val="21"/>
                    </w:rPr>
                    <w:t>建设内容</w:t>
                  </w:r>
                </w:p>
              </w:tc>
              <w:tc>
                <w:tcPr>
                  <w:tcW w:w="587" w:type="pct"/>
                  <w:noWrap w:val="0"/>
                  <w:vAlign w:val="center"/>
                </w:tcPr>
                <w:p w14:paraId="3756AD59">
                  <w:pPr>
                    <w:spacing w:line="320" w:lineRule="exact"/>
                    <w:jc w:val="center"/>
                    <w:rPr>
                      <w:szCs w:val="21"/>
                    </w:rPr>
                  </w:pPr>
                  <w:r>
                    <w:rPr>
                      <w:szCs w:val="21"/>
                    </w:rPr>
                    <w:t>备注</w:t>
                  </w:r>
                </w:p>
              </w:tc>
            </w:tr>
            <w:tr w14:paraId="34BCE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pct"/>
                  <w:vMerge w:val="restart"/>
                  <w:noWrap w:val="0"/>
                  <w:vAlign w:val="center"/>
                </w:tcPr>
                <w:p w14:paraId="65EF5318">
                  <w:pPr>
                    <w:spacing w:line="320" w:lineRule="exact"/>
                    <w:jc w:val="center"/>
                    <w:rPr>
                      <w:szCs w:val="21"/>
                    </w:rPr>
                  </w:pPr>
                  <w:r>
                    <w:rPr>
                      <w:szCs w:val="21"/>
                    </w:rPr>
                    <w:t>主体工程</w:t>
                  </w:r>
                </w:p>
              </w:tc>
              <w:tc>
                <w:tcPr>
                  <w:tcW w:w="1154" w:type="pct"/>
                  <w:gridSpan w:val="2"/>
                  <w:noWrap w:val="0"/>
                  <w:vAlign w:val="center"/>
                </w:tcPr>
                <w:p w14:paraId="62D221BA">
                  <w:pPr>
                    <w:spacing w:line="320" w:lineRule="exact"/>
                    <w:jc w:val="center"/>
                    <w:rPr>
                      <w:rFonts w:hint="default" w:eastAsia="宋体"/>
                      <w:szCs w:val="21"/>
                      <w:lang w:val="en-US" w:eastAsia="zh-CN"/>
                    </w:rPr>
                  </w:pPr>
                  <w:r>
                    <w:rPr>
                      <w:rFonts w:hint="eastAsia"/>
                      <w:szCs w:val="21"/>
                      <w:lang w:val="en-US" w:eastAsia="zh-CN"/>
                    </w:rPr>
                    <w:t>基础设施</w:t>
                  </w:r>
                </w:p>
              </w:tc>
              <w:tc>
                <w:tcPr>
                  <w:tcW w:w="2568" w:type="pct"/>
                  <w:noWrap w:val="0"/>
                  <w:vAlign w:val="center"/>
                </w:tcPr>
                <w:p w14:paraId="7571F112">
                  <w:pPr>
                    <w:spacing w:line="320" w:lineRule="exact"/>
                    <w:jc w:val="center"/>
                    <w:rPr>
                      <w:szCs w:val="21"/>
                    </w:rPr>
                  </w:pPr>
                  <w:r>
                    <w:rPr>
                      <w:rFonts w:hint="eastAsia"/>
                      <w:szCs w:val="21"/>
                    </w:rPr>
                    <w:t>仓储物流园内仓库、转运库、冷库提升改造，新建1#门卫室及磅房卫生间、2#门卫室、非机动车棚，室外地面硬化，配套托架、安防、控制室、冷链、装卸等附属设施及设备</w:t>
                  </w:r>
                </w:p>
              </w:tc>
              <w:tc>
                <w:tcPr>
                  <w:tcW w:w="587" w:type="pct"/>
                  <w:noWrap w:val="0"/>
                  <w:vAlign w:val="center"/>
                </w:tcPr>
                <w:p w14:paraId="4F05A57E">
                  <w:pPr>
                    <w:spacing w:line="320" w:lineRule="exact"/>
                    <w:jc w:val="center"/>
                    <w:rPr>
                      <w:szCs w:val="21"/>
                    </w:rPr>
                  </w:pPr>
                  <w:r>
                    <w:rPr>
                      <w:rFonts w:hint="eastAsia"/>
                      <w:szCs w:val="21"/>
                    </w:rPr>
                    <w:t>仅统计工程，不开展环境影响分析</w:t>
                  </w:r>
                </w:p>
              </w:tc>
            </w:tr>
            <w:tr w14:paraId="5808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pct"/>
                  <w:vMerge w:val="continue"/>
                  <w:noWrap w:val="0"/>
                  <w:vAlign w:val="center"/>
                </w:tcPr>
                <w:p w14:paraId="4E0589C4">
                  <w:pPr>
                    <w:spacing w:line="320" w:lineRule="exact"/>
                    <w:jc w:val="center"/>
                    <w:rPr>
                      <w:szCs w:val="21"/>
                    </w:rPr>
                  </w:pPr>
                </w:p>
              </w:tc>
              <w:tc>
                <w:tcPr>
                  <w:tcW w:w="616" w:type="pct"/>
                  <w:vMerge w:val="restart"/>
                  <w:noWrap w:val="0"/>
                  <w:vAlign w:val="center"/>
                </w:tcPr>
                <w:p w14:paraId="46931514">
                  <w:pPr>
                    <w:spacing w:line="320" w:lineRule="exact"/>
                    <w:jc w:val="center"/>
                    <w:rPr>
                      <w:rFonts w:hint="default"/>
                      <w:szCs w:val="21"/>
                      <w:lang w:val="en-US"/>
                    </w:rPr>
                  </w:pPr>
                  <w:r>
                    <w:rPr>
                      <w:rFonts w:hint="eastAsia"/>
                      <w:szCs w:val="21"/>
                      <w:lang w:val="en-US" w:eastAsia="zh-CN"/>
                    </w:rPr>
                    <w:t>污水处理站</w:t>
                  </w:r>
                </w:p>
              </w:tc>
              <w:tc>
                <w:tcPr>
                  <w:tcW w:w="537" w:type="pct"/>
                  <w:noWrap w:val="0"/>
                  <w:vAlign w:val="center"/>
                </w:tcPr>
                <w:p w14:paraId="6A235E02">
                  <w:pPr>
                    <w:spacing w:line="320" w:lineRule="exact"/>
                    <w:jc w:val="center"/>
                    <w:rPr>
                      <w:rFonts w:hint="default" w:eastAsia="宋体"/>
                      <w:szCs w:val="21"/>
                      <w:lang w:val="en-US" w:eastAsia="zh-CN"/>
                    </w:rPr>
                  </w:pPr>
                  <w:r>
                    <w:rPr>
                      <w:rFonts w:hint="eastAsia"/>
                      <w:szCs w:val="21"/>
                      <w:lang w:val="en-US" w:eastAsia="zh-CN"/>
                    </w:rPr>
                    <w:t>预处理系统</w:t>
                  </w:r>
                </w:p>
              </w:tc>
              <w:tc>
                <w:tcPr>
                  <w:tcW w:w="2568" w:type="pct"/>
                  <w:noWrap w:val="0"/>
                  <w:vAlign w:val="center"/>
                </w:tcPr>
                <w:p w14:paraId="77419D19">
                  <w:pPr>
                    <w:spacing w:line="320" w:lineRule="exact"/>
                    <w:jc w:val="center"/>
                    <w:rPr>
                      <w:rFonts w:hint="default" w:eastAsia="宋体"/>
                      <w:szCs w:val="21"/>
                      <w:lang w:val="en-US" w:eastAsia="zh-CN"/>
                    </w:rPr>
                  </w:pPr>
                  <w:r>
                    <w:rPr>
                      <w:rFonts w:hint="eastAsia"/>
                      <w:szCs w:val="21"/>
                      <w:lang w:val="en-US" w:eastAsia="zh-CN"/>
                    </w:rPr>
                    <w:t>格栅间（设有格栅池、调节池、隔油沉淀池），占地面积121.39m</w:t>
                  </w:r>
                  <w:r>
                    <w:rPr>
                      <w:rFonts w:hint="eastAsia"/>
                      <w:szCs w:val="21"/>
                      <w:vertAlign w:val="superscript"/>
                      <w:lang w:val="en-US" w:eastAsia="zh-CN"/>
                    </w:rPr>
                    <w:t>2</w:t>
                  </w:r>
                  <w:r>
                    <w:rPr>
                      <w:rFonts w:hint="eastAsia"/>
                      <w:szCs w:val="21"/>
                      <w:lang w:val="en-US" w:eastAsia="zh-CN"/>
                    </w:rPr>
                    <w:t>。</w:t>
                  </w:r>
                </w:p>
              </w:tc>
              <w:tc>
                <w:tcPr>
                  <w:tcW w:w="587" w:type="pct"/>
                  <w:noWrap w:val="0"/>
                  <w:vAlign w:val="center"/>
                </w:tcPr>
                <w:p w14:paraId="159E205A">
                  <w:pPr>
                    <w:spacing w:line="320" w:lineRule="exact"/>
                    <w:jc w:val="center"/>
                    <w:rPr>
                      <w:szCs w:val="21"/>
                    </w:rPr>
                  </w:pPr>
                  <w:r>
                    <w:rPr>
                      <w:rFonts w:hint="eastAsia"/>
                      <w:szCs w:val="21"/>
                    </w:rPr>
                    <w:t>新建</w:t>
                  </w:r>
                </w:p>
              </w:tc>
            </w:tr>
            <w:tr w14:paraId="0687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89" w:type="pct"/>
                  <w:vMerge w:val="continue"/>
                  <w:noWrap w:val="0"/>
                  <w:vAlign w:val="center"/>
                </w:tcPr>
                <w:p w14:paraId="7457FAD4">
                  <w:pPr>
                    <w:spacing w:line="320" w:lineRule="exact"/>
                    <w:jc w:val="center"/>
                    <w:rPr>
                      <w:szCs w:val="21"/>
                    </w:rPr>
                  </w:pPr>
                </w:p>
              </w:tc>
              <w:tc>
                <w:tcPr>
                  <w:tcW w:w="616" w:type="pct"/>
                  <w:vMerge w:val="continue"/>
                  <w:noWrap w:val="0"/>
                  <w:vAlign w:val="center"/>
                </w:tcPr>
                <w:p w14:paraId="65A06957">
                  <w:pPr>
                    <w:spacing w:line="320" w:lineRule="exact"/>
                    <w:jc w:val="center"/>
                    <w:rPr>
                      <w:szCs w:val="21"/>
                    </w:rPr>
                  </w:pPr>
                </w:p>
              </w:tc>
              <w:tc>
                <w:tcPr>
                  <w:tcW w:w="537" w:type="pct"/>
                  <w:noWrap w:val="0"/>
                  <w:vAlign w:val="center"/>
                </w:tcPr>
                <w:p w14:paraId="2F66F713">
                  <w:pPr>
                    <w:spacing w:line="320" w:lineRule="exact"/>
                    <w:jc w:val="center"/>
                    <w:rPr>
                      <w:rFonts w:hint="default" w:eastAsia="宋体"/>
                      <w:szCs w:val="21"/>
                      <w:lang w:val="en-US" w:eastAsia="zh-CN"/>
                    </w:rPr>
                  </w:pPr>
                  <w:r>
                    <w:rPr>
                      <w:rFonts w:hint="eastAsia"/>
                      <w:szCs w:val="21"/>
                      <w:lang w:val="en-US" w:eastAsia="zh-CN"/>
                    </w:rPr>
                    <w:t>生化处理系统</w:t>
                  </w:r>
                </w:p>
              </w:tc>
              <w:tc>
                <w:tcPr>
                  <w:tcW w:w="2568" w:type="pct"/>
                  <w:noWrap w:val="0"/>
                  <w:vAlign w:val="center"/>
                </w:tcPr>
                <w:p w14:paraId="764423C5">
                  <w:pPr>
                    <w:spacing w:line="320" w:lineRule="exact"/>
                    <w:jc w:val="center"/>
                    <w:rPr>
                      <w:rFonts w:hint="default" w:eastAsia="宋体"/>
                      <w:szCs w:val="21"/>
                      <w:lang w:val="en-US" w:eastAsia="zh-CN"/>
                    </w:rPr>
                  </w:pPr>
                  <w:r>
                    <w:rPr>
                      <w:rFonts w:hint="eastAsia"/>
                      <w:szCs w:val="21"/>
                      <w:lang w:val="en-US" w:eastAsia="zh-CN"/>
                    </w:rPr>
                    <w:t>气浮池、隔油沉淀池、厌氧塔</w:t>
                  </w:r>
                  <w:r>
                    <w:rPr>
                      <w:rFonts w:hint="eastAsia" w:ascii="Times New Roman" w:hAnsi="Times New Roman" w:eastAsia="宋体" w:cs="Times New Roman"/>
                      <w:szCs w:val="21"/>
                      <w:lang w:val="en-US" w:eastAsia="zh-CN"/>
                    </w:rPr>
                    <w:t>、A/O生物处理池，</w:t>
                  </w:r>
                  <w:r>
                    <w:rPr>
                      <w:rFonts w:hint="eastAsia"/>
                      <w:szCs w:val="21"/>
                      <w:lang w:val="en-US" w:eastAsia="zh-CN"/>
                    </w:rPr>
                    <w:t>占地面积618.40m</w:t>
                  </w:r>
                  <w:r>
                    <w:rPr>
                      <w:rFonts w:hint="eastAsia"/>
                      <w:szCs w:val="21"/>
                      <w:vertAlign w:val="superscript"/>
                      <w:lang w:val="en-US" w:eastAsia="zh-CN"/>
                    </w:rPr>
                    <w:t>2</w:t>
                  </w:r>
                </w:p>
              </w:tc>
              <w:tc>
                <w:tcPr>
                  <w:tcW w:w="587" w:type="pct"/>
                  <w:noWrap w:val="0"/>
                  <w:vAlign w:val="center"/>
                </w:tcPr>
                <w:p w14:paraId="59AD3292">
                  <w:pPr>
                    <w:spacing w:line="320" w:lineRule="exact"/>
                    <w:jc w:val="center"/>
                    <w:rPr>
                      <w:szCs w:val="21"/>
                    </w:rPr>
                  </w:pPr>
                  <w:r>
                    <w:rPr>
                      <w:rFonts w:hint="eastAsia"/>
                      <w:szCs w:val="21"/>
                    </w:rPr>
                    <w:t>新建</w:t>
                  </w:r>
                </w:p>
              </w:tc>
            </w:tr>
            <w:tr w14:paraId="7D32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pct"/>
                  <w:vMerge w:val="continue"/>
                  <w:noWrap w:val="0"/>
                  <w:vAlign w:val="center"/>
                </w:tcPr>
                <w:p w14:paraId="0F11B878">
                  <w:pPr>
                    <w:spacing w:line="320" w:lineRule="exact"/>
                    <w:jc w:val="center"/>
                    <w:rPr>
                      <w:szCs w:val="21"/>
                    </w:rPr>
                  </w:pPr>
                </w:p>
              </w:tc>
              <w:tc>
                <w:tcPr>
                  <w:tcW w:w="616" w:type="pct"/>
                  <w:vMerge w:val="continue"/>
                  <w:noWrap w:val="0"/>
                  <w:vAlign w:val="center"/>
                </w:tcPr>
                <w:p w14:paraId="7F5AB46D">
                  <w:pPr>
                    <w:spacing w:line="320" w:lineRule="exact"/>
                    <w:jc w:val="center"/>
                    <w:rPr>
                      <w:szCs w:val="21"/>
                    </w:rPr>
                  </w:pPr>
                </w:p>
              </w:tc>
              <w:tc>
                <w:tcPr>
                  <w:tcW w:w="537" w:type="pct"/>
                  <w:noWrap w:val="0"/>
                  <w:vAlign w:val="center"/>
                </w:tcPr>
                <w:p w14:paraId="091B768B">
                  <w:pPr>
                    <w:spacing w:line="320" w:lineRule="exact"/>
                    <w:jc w:val="center"/>
                    <w:rPr>
                      <w:rFonts w:hint="default" w:eastAsia="宋体"/>
                      <w:szCs w:val="21"/>
                      <w:lang w:val="en-US" w:eastAsia="zh-CN"/>
                    </w:rPr>
                  </w:pPr>
                  <w:r>
                    <w:rPr>
                      <w:rFonts w:hint="eastAsia"/>
                      <w:szCs w:val="21"/>
                      <w:lang w:val="en-US" w:eastAsia="zh-CN"/>
                    </w:rPr>
                    <w:t>深度处理系统</w:t>
                  </w:r>
                </w:p>
              </w:tc>
              <w:tc>
                <w:tcPr>
                  <w:tcW w:w="2568" w:type="pct"/>
                  <w:noWrap w:val="0"/>
                  <w:vAlign w:val="center"/>
                </w:tcPr>
                <w:p w14:paraId="49A86B3E">
                  <w:pPr>
                    <w:spacing w:line="320" w:lineRule="exact"/>
                    <w:jc w:val="center"/>
                    <w:rPr>
                      <w:rFonts w:hint="default" w:eastAsia="宋体"/>
                      <w:szCs w:val="21"/>
                      <w:lang w:val="en-US" w:eastAsia="zh-CN"/>
                    </w:rPr>
                  </w:pPr>
                  <w:r>
                    <w:rPr>
                      <w:rFonts w:hint="eastAsia"/>
                      <w:szCs w:val="21"/>
                      <w:lang w:val="en-US" w:eastAsia="zh-CN"/>
                    </w:rPr>
                    <w:t>混凝沉淀池、活性炭过滤罐、清水池，占地面积120.10m</w:t>
                  </w:r>
                  <w:r>
                    <w:rPr>
                      <w:rFonts w:hint="eastAsia"/>
                      <w:szCs w:val="21"/>
                      <w:vertAlign w:val="superscript"/>
                      <w:lang w:val="en-US" w:eastAsia="zh-CN"/>
                    </w:rPr>
                    <w:t>2</w:t>
                  </w:r>
                </w:p>
              </w:tc>
              <w:tc>
                <w:tcPr>
                  <w:tcW w:w="587" w:type="pct"/>
                  <w:noWrap w:val="0"/>
                  <w:vAlign w:val="center"/>
                </w:tcPr>
                <w:p w14:paraId="75DA3707">
                  <w:pPr>
                    <w:spacing w:line="320" w:lineRule="exact"/>
                    <w:jc w:val="center"/>
                    <w:rPr>
                      <w:szCs w:val="21"/>
                    </w:rPr>
                  </w:pPr>
                  <w:r>
                    <w:rPr>
                      <w:szCs w:val="21"/>
                    </w:rPr>
                    <w:t>新建</w:t>
                  </w:r>
                </w:p>
              </w:tc>
            </w:tr>
            <w:tr w14:paraId="6CCF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pct"/>
                  <w:vMerge w:val="continue"/>
                  <w:noWrap w:val="0"/>
                  <w:vAlign w:val="center"/>
                </w:tcPr>
                <w:p w14:paraId="3CC47F66">
                  <w:pPr>
                    <w:spacing w:line="320" w:lineRule="exact"/>
                    <w:jc w:val="center"/>
                    <w:rPr>
                      <w:szCs w:val="21"/>
                    </w:rPr>
                  </w:pPr>
                </w:p>
              </w:tc>
              <w:tc>
                <w:tcPr>
                  <w:tcW w:w="616" w:type="pct"/>
                  <w:vMerge w:val="continue"/>
                  <w:noWrap w:val="0"/>
                  <w:vAlign w:val="center"/>
                </w:tcPr>
                <w:p w14:paraId="0D98781E">
                  <w:pPr>
                    <w:spacing w:line="320" w:lineRule="exact"/>
                    <w:jc w:val="center"/>
                    <w:rPr>
                      <w:szCs w:val="21"/>
                    </w:rPr>
                  </w:pPr>
                </w:p>
              </w:tc>
              <w:tc>
                <w:tcPr>
                  <w:tcW w:w="537" w:type="pct"/>
                  <w:noWrap w:val="0"/>
                  <w:vAlign w:val="center"/>
                </w:tcPr>
                <w:p w14:paraId="2B8D4F11">
                  <w:pPr>
                    <w:spacing w:line="320" w:lineRule="exact"/>
                    <w:jc w:val="center"/>
                    <w:rPr>
                      <w:rFonts w:hint="default" w:eastAsia="宋体"/>
                      <w:szCs w:val="21"/>
                      <w:lang w:val="en-US" w:eastAsia="zh-CN"/>
                    </w:rPr>
                  </w:pPr>
                  <w:r>
                    <w:rPr>
                      <w:rFonts w:hint="eastAsia"/>
                      <w:szCs w:val="21"/>
                      <w:lang w:val="en-US" w:eastAsia="zh-CN"/>
                    </w:rPr>
                    <w:t>消毒间</w:t>
                  </w:r>
                </w:p>
              </w:tc>
              <w:tc>
                <w:tcPr>
                  <w:tcW w:w="2568" w:type="pct"/>
                  <w:noWrap w:val="0"/>
                  <w:vAlign w:val="center"/>
                </w:tcPr>
                <w:p w14:paraId="5C1CF208">
                  <w:pPr>
                    <w:spacing w:line="320" w:lineRule="exact"/>
                    <w:jc w:val="center"/>
                    <w:rPr>
                      <w:szCs w:val="21"/>
                    </w:rPr>
                  </w:pPr>
                  <w:r>
                    <w:rPr>
                      <w:rFonts w:hint="eastAsia"/>
                      <w:szCs w:val="21"/>
                      <w:lang w:val="en-US" w:eastAsia="zh-CN"/>
                    </w:rPr>
                    <w:t>消毒池，占地面积16.18m</w:t>
                  </w:r>
                  <w:r>
                    <w:rPr>
                      <w:rFonts w:hint="eastAsia"/>
                      <w:szCs w:val="21"/>
                      <w:vertAlign w:val="superscript"/>
                      <w:lang w:val="en-US" w:eastAsia="zh-CN"/>
                    </w:rPr>
                    <w:t>2</w:t>
                  </w:r>
                </w:p>
              </w:tc>
              <w:tc>
                <w:tcPr>
                  <w:tcW w:w="587" w:type="pct"/>
                  <w:noWrap w:val="0"/>
                  <w:vAlign w:val="center"/>
                </w:tcPr>
                <w:p w14:paraId="0450D265">
                  <w:pPr>
                    <w:spacing w:line="320" w:lineRule="exact"/>
                    <w:jc w:val="center"/>
                    <w:rPr>
                      <w:szCs w:val="21"/>
                    </w:rPr>
                  </w:pPr>
                  <w:r>
                    <w:rPr>
                      <w:szCs w:val="21"/>
                    </w:rPr>
                    <w:t>新建</w:t>
                  </w:r>
                </w:p>
              </w:tc>
            </w:tr>
            <w:tr w14:paraId="4743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pct"/>
                  <w:vMerge w:val="restart"/>
                  <w:noWrap w:val="0"/>
                  <w:vAlign w:val="center"/>
                </w:tcPr>
                <w:p w14:paraId="54D8203C">
                  <w:pPr>
                    <w:spacing w:line="320" w:lineRule="exact"/>
                    <w:jc w:val="center"/>
                    <w:rPr>
                      <w:szCs w:val="21"/>
                    </w:rPr>
                  </w:pPr>
                  <w:r>
                    <w:rPr>
                      <w:szCs w:val="21"/>
                    </w:rPr>
                    <w:t>辅助工程</w:t>
                  </w:r>
                </w:p>
              </w:tc>
              <w:tc>
                <w:tcPr>
                  <w:tcW w:w="1154" w:type="pct"/>
                  <w:gridSpan w:val="2"/>
                  <w:noWrap w:val="0"/>
                  <w:vAlign w:val="center"/>
                </w:tcPr>
                <w:p w14:paraId="0BDA7FD8">
                  <w:pPr>
                    <w:spacing w:line="320" w:lineRule="exact"/>
                    <w:jc w:val="center"/>
                    <w:rPr>
                      <w:rFonts w:hint="default" w:eastAsia="宋体"/>
                      <w:snapToGrid w:val="0"/>
                      <w:kern w:val="0"/>
                      <w:szCs w:val="21"/>
                      <w:lang w:val="en-US" w:eastAsia="zh-CN"/>
                    </w:rPr>
                  </w:pPr>
                  <w:r>
                    <w:rPr>
                      <w:rFonts w:hint="eastAsia"/>
                      <w:snapToGrid w:val="0"/>
                      <w:kern w:val="0"/>
                      <w:szCs w:val="21"/>
                      <w:lang w:val="en-US" w:eastAsia="zh-CN"/>
                    </w:rPr>
                    <w:t>在线监测室</w:t>
                  </w:r>
                </w:p>
              </w:tc>
              <w:tc>
                <w:tcPr>
                  <w:tcW w:w="2568" w:type="pct"/>
                  <w:noWrap w:val="0"/>
                  <w:vAlign w:val="center"/>
                </w:tcPr>
                <w:p w14:paraId="6AD202A6">
                  <w:pPr>
                    <w:spacing w:line="320" w:lineRule="exact"/>
                    <w:jc w:val="center"/>
                    <w:rPr>
                      <w:rFonts w:hint="eastAsia" w:eastAsia="宋体"/>
                      <w:snapToGrid w:val="0"/>
                      <w:kern w:val="0"/>
                      <w:szCs w:val="21"/>
                      <w:lang w:eastAsia="zh-CN"/>
                    </w:rPr>
                  </w:pPr>
                  <w:r>
                    <w:rPr>
                      <w:rFonts w:hint="eastAsia"/>
                      <w:szCs w:val="21"/>
                      <w:lang w:val="en-US" w:eastAsia="zh-CN"/>
                    </w:rPr>
                    <w:t>占地面积23.60m</w:t>
                  </w:r>
                  <w:r>
                    <w:rPr>
                      <w:rFonts w:hint="eastAsia"/>
                      <w:szCs w:val="21"/>
                      <w:vertAlign w:val="superscript"/>
                      <w:lang w:val="en-US" w:eastAsia="zh-CN"/>
                    </w:rPr>
                    <w:t>2</w:t>
                  </w:r>
                  <w:r>
                    <w:rPr>
                      <w:szCs w:val="21"/>
                    </w:rPr>
                    <w:t>，1</w:t>
                  </w:r>
                  <w:r>
                    <w:rPr>
                      <w:rFonts w:hint="eastAsia"/>
                      <w:szCs w:val="21"/>
                      <w:lang w:val="en-US" w:eastAsia="zh-CN"/>
                    </w:rPr>
                    <w:t>间</w:t>
                  </w:r>
                </w:p>
              </w:tc>
              <w:tc>
                <w:tcPr>
                  <w:tcW w:w="587" w:type="pct"/>
                  <w:noWrap w:val="0"/>
                  <w:vAlign w:val="center"/>
                </w:tcPr>
                <w:p w14:paraId="4C360BD2">
                  <w:pPr>
                    <w:spacing w:line="320" w:lineRule="exact"/>
                    <w:jc w:val="center"/>
                    <w:rPr>
                      <w:rFonts w:hint="eastAsia" w:eastAsia="宋体"/>
                      <w:szCs w:val="21"/>
                      <w:lang w:val="en-US" w:eastAsia="zh-CN"/>
                    </w:rPr>
                  </w:pPr>
                  <w:r>
                    <w:rPr>
                      <w:rFonts w:hint="eastAsia"/>
                      <w:szCs w:val="21"/>
                      <w:lang w:val="en-US" w:eastAsia="zh-CN"/>
                    </w:rPr>
                    <w:t>新建</w:t>
                  </w:r>
                </w:p>
              </w:tc>
            </w:tr>
            <w:tr w14:paraId="6FE2E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pct"/>
                  <w:vMerge w:val="continue"/>
                  <w:noWrap w:val="0"/>
                  <w:vAlign w:val="center"/>
                </w:tcPr>
                <w:p w14:paraId="72CE3929">
                  <w:pPr>
                    <w:spacing w:line="320" w:lineRule="exact"/>
                    <w:jc w:val="center"/>
                    <w:rPr>
                      <w:szCs w:val="21"/>
                    </w:rPr>
                  </w:pPr>
                </w:p>
              </w:tc>
              <w:tc>
                <w:tcPr>
                  <w:tcW w:w="1154" w:type="pct"/>
                  <w:gridSpan w:val="2"/>
                  <w:noWrap w:val="0"/>
                  <w:vAlign w:val="center"/>
                </w:tcPr>
                <w:p w14:paraId="7227F4EA">
                  <w:pPr>
                    <w:spacing w:line="320" w:lineRule="exact"/>
                    <w:jc w:val="center"/>
                    <w:rPr>
                      <w:rFonts w:hint="eastAsia" w:eastAsia="宋体"/>
                      <w:snapToGrid w:val="0"/>
                      <w:kern w:val="0"/>
                      <w:szCs w:val="21"/>
                      <w:lang w:eastAsia="zh-CN"/>
                    </w:rPr>
                  </w:pPr>
                  <w:r>
                    <w:rPr>
                      <w:rFonts w:hint="eastAsia"/>
                      <w:snapToGrid w:val="0"/>
                      <w:kern w:val="0"/>
                      <w:szCs w:val="21"/>
                      <w:lang w:val="en-US" w:eastAsia="zh-CN"/>
                    </w:rPr>
                    <w:t>电控室</w:t>
                  </w:r>
                </w:p>
              </w:tc>
              <w:tc>
                <w:tcPr>
                  <w:tcW w:w="2568" w:type="pct"/>
                  <w:noWrap w:val="0"/>
                  <w:vAlign w:val="center"/>
                </w:tcPr>
                <w:p w14:paraId="64D8C9BA">
                  <w:pPr>
                    <w:spacing w:line="320" w:lineRule="exact"/>
                    <w:jc w:val="center"/>
                    <w:rPr>
                      <w:szCs w:val="21"/>
                    </w:rPr>
                  </w:pPr>
                  <w:r>
                    <w:rPr>
                      <w:rFonts w:hint="eastAsia"/>
                      <w:szCs w:val="21"/>
                      <w:lang w:val="en-US" w:eastAsia="zh-CN"/>
                    </w:rPr>
                    <w:t>占地面积44.17m</w:t>
                  </w:r>
                  <w:r>
                    <w:rPr>
                      <w:rFonts w:hint="eastAsia"/>
                      <w:szCs w:val="21"/>
                      <w:vertAlign w:val="superscript"/>
                      <w:lang w:val="en-US" w:eastAsia="zh-CN"/>
                    </w:rPr>
                    <w:t>2</w:t>
                  </w:r>
                  <w:r>
                    <w:rPr>
                      <w:szCs w:val="21"/>
                    </w:rPr>
                    <w:t>，1</w:t>
                  </w:r>
                  <w:r>
                    <w:rPr>
                      <w:rFonts w:hint="eastAsia"/>
                      <w:szCs w:val="21"/>
                      <w:lang w:val="en-US" w:eastAsia="zh-CN"/>
                    </w:rPr>
                    <w:t>间</w:t>
                  </w:r>
                </w:p>
              </w:tc>
              <w:tc>
                <w:tcPr>
                  <w:tcW w:w="587" w:type="pct"/>
                  <w:noWrap w:val="0"/>
                  <w:vAlign w:val="center"/>
                </w:tcPr>
                <w:p w14:paraId="1A3BE5ED">
                  <w:pPr>
                    <w:spacing w:line="320" w:lineRule="exact"/>
                    <w:jc w:val="center"/>
                    <w:rPr>
                      <w:szCs w:val="21"/>
                    </w:rPr>
                  </w:pPr>
                  <w:r>
                    <w:rPr>
                      <w:szCs w:val="21"/>
                    </w:rPr>
                    <w:t>新建</w:t>
                  </w:r>
                </w:p>
              </w:tc>
            </w:tr>
            <w:tr w14:paraId="63EB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pct"/>
                  <w:vMerge w:val="continue"/>
                  <w:noWrap w:val="0"/>
                  <w:vAlign w:val="center"/>
                </w:tcPr>
                <w:p w14:paraId="7D7E78B0">
                  <w:pPr>
                    <w:spacing w:line="320" w:lineRule="exact"/>
                    <w:jc w:val="center"/>
                    <w:rPr>
                      <w:szCs w:val="21"/>
                    </w:rPr>
                  </w:pPr>
                </w:p>
              </w:tc>
              <w:tc>
                <w:tcPr>
                  <w:tcW w:w="1154" w:type="pct"/>
                  <w:gridSpan w:val="2"/>
                  <w:noWrap w:val="0"/>
                  <w:vAlign w:val="center"/>
                </w:tcPr>
                <w:p w14:paraId="29F02186">
                  <w:pPr>
                    <w:spacing w:line="320" w:lineRule="exact"/>
                    <w:jc w:val="center"/>
                    <w:rPr>
                      <w:rFonts w:hint="default"/>
                      <w:szCs w:val="21"/>
                      <w:lang w:val="en-US" w:eastAsia="zh-CN"/>
                    </w:rPr>
                  </w:pPr>
                  <w:r>
                    <w:rPr>
                      <w:rFonts w:hint="eastAsia"/>
                      <w:szCs w:val="21"/>
                      <w:lang w:val="en-US" w:eastAsia="zh-CN"/>
                    </w:rPr>
                    <w:t>污泥车间</w:t>
                  </w:r>
                </w:p>
              </w:tc>
              <w:tc>
                <w:tcPr>
                  <w:tcW w:w="2568" w:type="pct"/>
                  <w:noWrap w:val="0"/>
                  <w:vAlign w:val="center"/>
                </w:tcPr>
                <w:p w14:paraId="1E359165">
                  <w:pPr>
                    <w:spacing w:line="320" w:lineRule="exact"/>
                    <w:jc w:val="center"/>
                    <w:rPr>
                      <w:rFonts w:hint="eastAsia"/>
                      <w:szCs w:val="21"/>
                      <w:lang w:val="en-US" w:eastAsia="zh-CN"/>
                    </w:rPr>
                  </w:pPr>
                  <w:r>
                    <w:rPr>
                      <w:rFonts w:hint="eastAsia"/>
                      <w:szCs w:val="21"/>
                      <w:lang w:val="en-US" w:eastAsia="zh-CN"/>
                    </w:rPr>
                    <w:t>占地面积25.11m</w:t>
                  </w:r>
                  <w:r>
                    <w:rPr>
                      <w:rFonts w:hint="eastAsia"/>
                      <w:szCs w:val="21"/>
                      <w:vertAlign w:val="superscript"/>
                      <w:lang w:val="en-US" w:eastAsia="zh-CN"/>
                    </w:rPr>
                    <w:t>2</w:t>
                  </w:r>
                  <w:r>
                    <w:rPr>
                      <w:szCs w:val="21"/>
                    </w:rPr>
                    <w:t>，1</w:t>
                  </w:r>
                  <w:r>
                    <w:rPr>
                      <w:rFonts w:hint="eastAsia"/>
                      <w:szCs w:val="21"/>
                      <w:lang w:val="en-US" w:eastAsia="zh-CN"/>
                    </w:rPr>
                    <w:t>间</w:t>
                  </w:r>
                </w:p>
              </w:tc>
              <w:tc>
                <w:tcPr>
                  <w:tcW w:w="587" w:type="pct"/>
                  <w:noWrap w:val="0"/>
                  <w:vAlign w:val="center"/>
                </w:tcPr>
                <w:p w14:paraId="48DE7864">
                  <w:pPr>
                    <w:spacing w:line="320" w:lineRule="exact"/>
                    <w:jc w:val="center"/>
                    <w:rPr>
                      <w:szCs w:val="21"/>
                    </w:rPr>
                  </w:pPr>
                  <w:r>
                    <w:rPr>
                      <w:szCs w:val="21"/>
                    </w:rPr>
                    <w:t>新建</w:t>
                  </w:r>
                </w:p>
              </w:tc>
            </w:tr>
            <w:tr w14:paraId="329F4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689" w:type="pct"/>
                  <w:vMerge w:val="restart"/>
                  <w:noWrap w:val="0"/>
                  <w:vAlign w:val="center"/>
                </w:tcPr>
                <w:p w14:paraId="1CCC04E3">
                  <w:pPr>
                    <w:spacing w:line="320" w:lineRule="exact"/>
                    <w:jc w:val="center"/>
                    <w:rPr>
                      <w:szCs w:val="21"/>
                    </w:rPr>
                  </w:pPr>
                  <w:r>
                    <w:rPr>
                      <w:szCs w:val="21"/>
                    </w:rPr>
                    <w:t>公用工程</w:t>
                  </w:r>
                </w:p>
              </w:tc>
              <w:tc>
                <w:tcPr>
                  <w:tcW w:w="1154" w:type="pct"/>
                  <w:gridSpan w:val="2"/>
                  <w:noWrap w:val="0"/>
                  <w:vAlign w:val="center"/>
                </w:tcPr>
                <w:p w14:paraId="489B303E">
                  <w:pPr>
                    <w:spacing w:line="320" w:lineRule="exact"/>
                    <w:jc w:val="center"/>
                    <w:rPr>
                      <w:szCs w:val="21"/>
                    </w:rPr>
                  </w:pPr>
                  <w:r>
                    <w:rPr>
                      <w:szCs w:val="21"/>
                    </w:rPr>
                    <w:t>供电工程</w:t>
                  </w:r>
                </w:p>
              </w:tc>
              <w:tc>
                <w:tcPr>
                  <w:tcW w:w="2568" w:type="pct"/>
                  <w:noWrap w:val="0"/>
                  <w:vAlign w:val="center"/>
                </w:tcPr>
                <w:p w14:paraId="369D3BBD">
                  <w:pPr>
                    <w:spacing w:line="320" w:lineRule="exact"/>
                    <w:jc w:val="center"/>
                    <w:rPr>
                      <w:szCs w:val="21"/>
                    </w:rPr>
                  </w:pPr>
                  <w:r>
                    <w:rPr>
                      <w:szCs w:val="21"/>
                    </w:rPr>
                    <w:t>由市政电网提供</w:t>
                  </w:r>
                </w:p>
              </w:tc>
              <w:tc>
                <w:tcPr>
                  <w:tcW w:w="587" w:type="pct"/>
                  <w:noWrap w:val="0"/>
                  <w:vAlign w:val="center"/>
                </w:tcPr>
                <w:p w14:paraId="3D07FF87">
                  <w:pPr>
                    <w:spacing w:line="320" w:lineRule="exact"/>
                    <w:jc w:val="center"/>
                    <w:rPr>
                      <w:rFonts w:hint="default" w:eastAsia="宋体"/>
                      <w:color w:val="000000"/>
                      <w:szCs w:val="21"/>
                      <w:lang w:val="en-US" w:eastAsia="zh-CN"/>
                    </w:rPr>
                  </w:pPr>
                  <w:r>
                    <w:rPr>
                      <w:rFonts w:hint="eastAsia"/>
                      <w:color w:val="000000"/>
                      <w:szCs w:val="21"/>
                      <w:lang w:val="en-US" w:eastAsia="zh-CN"/>
                    </w:rPr>
                    <w:t>/</w:t>
                  </w:r>
                </w:p>
              </w:tc>
            </w:tr>
            <w:tr w14:paraId="4301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pct"/>
                  <w:vMerge w:val="continue"/>
                  <w:noWrap w:val="0"/>
                  <w:vAlign w:val="center"/>
                </w:tcPr>
                <w:p w14:paraId="3DA8A406">
                  <w:pPr>
                    <w:spacing w:line="320" w:lineRule="exact"/>
                    <w:jc w:val="center"/>
                    <w:rPr>
                      <w:szCs w:val="21"/>
                    </w:rPr>
                  </w:pPr>
                </w:p>
              </w:tc>
              <w:tc>
                <w:tcPr>
                  <w:tcW w:w="1154" w:type="pct"/>
                  <w:gridSpan w:val="2"/>
                  <w:noWrap w:val="0"/>
                  <w:vAlign w:val="center"/>
                </w:tcPr>
                <w:p w14:paraId="319EF2E9">
                  <w:pPr>
                    <w:adjustRightInd w:val="0"/>
                    <w:snapToGrid w:val="0"/>
                    <w:jc w:val="center"/>
                    <w:rPr>
                      <w:szCs w:val="21"/>
                    </w:rPr>
                  </w:pPr>
                  <w:r>
                    <w:rPr>
                      <w:szCs w:val="21"/>
                    </w:rPr>
                    <w:t>供暖工程</w:t>
                  </w:r>
                </w:p>
              </w:tc>
              <w:tc>
                <w:tcPr>
                  <w:tcW w:w="2568" w:type="pct"/>
                  <w:noWrap w:val="0"/>
                  <w:vAlign w:val="center"/>
                </w:tcPr>
                <w:p w14:paraId="4B2C8308">
                  <w:pPr>
                    <w:adjustRightInd w:val="0"/>
                    <w:snapToGrid w:val="0"/>
                    <w:jc w:val="center"/>
                    <w:rPr>
                      <w:rFonts w:hint="default" w:eastAsia="宋体"/>
                      <w:szCs w:val="21"/>
                      <w:lang w:val="en-US" w:eastAsia="zh-CN"/>
                    </w:rPr>
                  </w:pPr>
                  <w:r>
                    <w:rPr>
                      <w:rFonts w:hint="eastAsia" w:eastAsia="宋体"/>
                      <w:szCs w:val="21"/>
                      <w:lang w:val="en-US" w:eastAsia="zh-CN"/>
                    </w:rPr>
                    <w:t>电散热器采暖</w:t>
                  </w:r>
                </w:p>
              </w:tc>
              <w:tc>
                <w:tcPr>
                  <w:tcW w:w="587" w:type="pct"/>
                  <w:noWrap w:val="0"/>
                  <w:vAlign w:val="center"/>
                </w:tcPr>
                <w:p w14:paraId="5CD1B9F9">
                  <w:pPr>
                    <w:adjustRightInd w:val="0"/>
                    <w:snapToGrid w:val="0"/>
                    <w:jc w:val="center"/>
                    <w:rPr>
                      <w:color w:val="000000"/>
                      <w:szCs w:val="21"/>
                    </w:rPr>
                  </w:pPr>
                  <w:r>
                    <w:rPr>
                      <w:szCs w:val="21"/>
                    </w:rPr>
                    <w:t>新建</w:t>
                  </w:r>
                </w:p>
              </w:tc>
            </w:tr>
            <w:tr w14:paraId="192E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689" w:type="pct"/>
                  <w:vMerge w:val="continue"/>
                  <w:noWrap w:val="0"/>
                  <w:vAlign w:val="center"/>
                </w:tcPr>
                <w:p w14:paraId="7F6E145D">
                  <w:pPr>
                    <w:spacing w:line="320" w:lineRule="exact"/>
                    <w:jc w:val="center"/>
                    <w:rPr>
                      <w:szCs w:val="21"/>
                    </w:rPr>
                  </w:pPr>
                </w:p>
              </w:tc>
              <w:tc>
                <w:tcPr>
                  <w:tcW w:w="1154" w:type="pct"/>
                  <w:gridSpan w:val="2"/>
                  <w:noWrap w:val="0"/>
                  <w:vAlign w:val="center"/>
                </w:tcPr>
                <w:p w14:paraId="2F2828A6">
                  <w:pPr>
                    <w:adjustRightInd w:val="0"/>
                    <w:snapToGrid w:val="0"/>
                    <w:jc w:val="center"/>
                    <w:rPr>
                      <w:szCs w:val="21"/>
                    </w:rPr>
                  </w:pPr>
                  <w:r>
                    <w:rPr>
                      <w:szCs w:val="21"/>
                    </w:rPr>
                    <w:t>供水工程</w:t>
                  </w:r>
                </w:p>
              </w:tc>
              <w:tc>
                <w:tcPr>
                  <w:tcW w:w="2568" w:type="pct"/>
                  <w:noWrap w:val="0"/>
                  <w:vAlign w:val="center"/>
                </w:tcPr>
                <w:p w14:paraId="181EABBF">
                  <w:pPr>
                    <w:autoSpaceDE w:val="0"/>
                    <w:autoSpaceDN w:val="0"/>
                    <w:adjustRightInd w:val="0"/>
                    <w:snapToGrid w:val="0"/>
                    <w:jc w:val="center"/>
                    <w:rPr>
                      <w:szCs w:val="21"/>
                    </w:rPr>
                  </w:pPr>
                  <w:r>
                    <w:rPr>
                      <w:szCs w:val="21"/>
                    </w:rPr>
                    <w:t>市政供水管网系统提供</w:t>
                  </w:r>
                </w:p>
              </w:tc>
              <w:tc>
                <w:tcPr>
                  <w:tcW w:w="587" w:type="pct"/>
                  <w:noWrap w:val="0"/>
                  <w:vAlign w:val="center"/>
                </w:tcPr>
                <w:p w14:paraId="2E334668">
                  <w:pPr>
                    <w:adjustRightInd w:val="0"/>
                    <w:snapToGrid w:val="0"/>
                    <w:jc w:val="center"/>
                    <w:rPr>
                      <w:color w:val="000000"/>
                      <w:szCs w:val="21"/>
                    </w:rPr>
                  </w:pPr>
                  <w:r>
                    <w:rPr>
                      <w:szCs w:val="21"/>
                    </w:rPr>
                    <w:t>新建</w:t>
                  </w:r>
                </w:p>
              </w:tc>
            </w:tr>
            <w:tr w14:paraId="2E9C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689" w:type="pct"/>
                  <w:vMerge w:val="continue"/>
                  <w:noWrap w:val="0"/>
                  <w:vAlign w:val="center"/>
                </w:tcPr>
                <w:p w14:paraId="7A43B7A0">
                  <w:pPr>
                    <w:spacing w:line="320" w:lineRule="exact"/>
                    <w:jc w:val="center"/>
                    <w:rPr>
                      <w:szCs w:val="21"/>
                    </w:rPr>
                  </w:pPr>
                </w:p>
              </w:tc>
              <w:tc>
                <w:tcPr>
                  <w:tcW w:w="1154" w:type="pct"/>
                  <w:gridSpan w:val="2"/>
                  <w:noWrap w:val="0"/>
                  <w:vAlign w:val="center"/>
                </w:tcPr>
                <w:p w14:paraId="3C7DDEA3">
                  <w:pPr>
                    <w:adjustRightInd w:val="0"/>
                    <w:snapToGrid w:val="0"/>
                    <w:jc w:val="center"/>
                    <w:rPr>
                      <w:szCs w:val="21"/>
                    </w:rPr>
                  </w:pPr>
                  <w:r>
                    <w:rPr>
                      <w:szCs w:val="21"/>
                    </w:rPr>
                    <w:t>排水系统</w:t>
                  </w:r>
                </w:p>
              </w:tc>
              <w:tc>
                <w:tcPr>
                  <w:tcW w:w="2568" w:type="pct"/>
                  <w:noWrap w:val="0"/>
                  <w:vAlign w:val="center"/>
                </w:tcPr>
                <w:p w14:paraId="7CBCD61F">
                  <w:pPr>
                    <w:autoSpaceDE w:val="0"/>
                    <w:autoSpaceDN w:val="0"/>
                    <w:adjustRightInd w:val="0"/>
                    <w:snapToGrid w:val="0"/>
                    <w:jc w:val="center"/>
                    <w:rPr>
                      <w:rFonts w:hint="default" w:eastAsia="宋体"/>
                      <w:szCs w:val="21"/>
                      <w:lang w:val="en-US" w:eastAsia="zh-CN"/>
                    </w:rPr>
                  </w:pPr>
                  <w:r>
                    <w:rPr>
                      <w:rFonts w:hint="eastAsia"/>
                      <w:szCs w:val="21"/>
                      <w:lang w:val="en-US" w:eastAsia="zh-CN"/>
                    </w:rPr>
                    <w:t>新建项目污水管网</w:t>
                  </w:r>
                </w:p>
              </w:tc>
              <w:tc>
                <w:tcPr>
                  <w:tcW w:w="587" w:type="pct"/>
                  <w:noWrap w:val="0"/>
                  <w:vAlign w:val="center"/>
                </w:tcPr>
                <w:p w14:paraId="6FFBE0B8">
                  <w:pPr>
                    <w:adjustRightInd w:val="0"/>
                    <w:snapToGrid w:val="0"/>
                    <w:jc w:val="center"/>
                    <w:rPr>
                      <w:szCs w:val="21"/>
                    </w:rPr>
                  </w:pPr>
                  <w:r>
                    <w:rPr>
                      <w:szCs w:val="21"/>
                    </w:rPr>
                    <w:t>新建</w:t>
                  </w:r>
                </w:p>
              </w:tc>
            </w:tr>
            <w:tr w14:paraId="0630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689" w:type="pct"/>
                  <w:vMerge w:val="restart"/>
                  <w:noWrap w:val="0"/>
                  <w:vAlign w:val="center"/>
                </w:tcPr>
                <w:p w14:paraId="366D1A05">
                  <w:pPr>
                    <w:adjustRightInd w:val="0"/>
                    <w:snapToGrid w:val="0"/>
                    <w:jc w:val="center"/>
                    <w:rPr>
                      <w:szCs w:val="21"/>
                    </w:rPr>
                  </w:pPr>
                  <w:r>
                    <w:rPr>
                      <w:szCs w:val="21"/>
                    </w:rPr>
                    <w:t>环</w:t>
                  </w:r>
                </w:p>
                <w:p w14:paraId="4F3469BB">
                  <w:pPr>
                    <w:adjustRightInd w:val="0"/>
                    <w:snapToGrid w:val="0"/>
                    <w:jc w:val="center"/>
                    <w:rPr>
                      <w:szCs w:val="21"/>
                    </w:rPr>
                  </w:pPr>
                  <w:r>
                    <w:rPr>
                      <w:szCs w:val="21"/>
                    </w:rPr>
                    <w:t>保</w:t>
                  </w:r>
                </w:p>
                <w:p w14:paraId="61586F8F">
                  <w:pPr>
                    <w:adjustRightInd w:val="0"/>
                    <w:snapToGrid w:val="0"/>
                    <w:jc w:val="center"/>
                    <w:rPr>
                      <w:szCs w:val="21"/>
                    </w:rPr>
                  </w:pPr>
                  <w:r>
                    <w:rPr>
                      <w:szCs w:val="21"/>
                    </w:rPr>
                    <w:t>工</w:t>
                  </w:r>
                </w:p>
                <w:p w14:paraId="308571E4">
                  <w:pPr>
                    <w:adjustRightInd w:val="0"/>
                    <w:snapToGrid w:val="0"/>
                    <w:jc w:val="center"/>
                    <w:rPr>
                      <w:szCs w:val="21"/>
                    </w:rPr>
                  </w:pPr>
                  <w:r>
                    <w:rPr>
                      <w:szCs w:val="21"/>
                    </w:rPr>
                    <w:t>程</w:t>
                  </w:r>
                </w:p>
              </w:tc>
              <w:tc>
                <w:tcPr>
                  <w:tcW w:w="1154" w:type="pct"/>
                  <w:gridSpan w:val="2"/>
                  <w:noWrap w:val="0"/>
                  <w:vAlign w:val="center"/>
                </w:tcPr>
                <w:p w14:paraId="4FE08031">
                  <w:pPr>
                    <w:adjustRightInd w:val="0"/>
                    <w:snapToGrid w:val="0"/>
                    <w:jc w:val="center"/>
                    <w:rPr>
                      <w:szCs w:val="21"/>
                    </w:rPr>
                  </w:pPr>
                  <w:r>
                    <w:rPr>
                      <w:szCs w:val="21"/>
                    </w:rPr>
                    <w:t>废气</w:t>
                  </w:r>
                </w:p>
              </w:tc>
              <w:tc>
                <w:tcPr>
                  <w:tcW w:w="2568" w:type="pct"/>
                  <w:noWrap w:val="0"/>
                  <w:vAlign w:val="center"/>
                </w:tcPr>
                <w:p w14:paraId="54F07638">
                  <w:pPr>
                    <w:adjustRightInd w:val="0"/>
                    <w:snapToGrid w:val="0"/>
                    <w:jc w:val="center"/>
                    <w:rPr>
                      <w:szCs w:val="21"/>
                    </w:rPr>
                  </w:pPr>
                  <w:r>
                    <w:rPr>
                      <w:szCs w:val="21"/>
                    </w:rPr>
                    <w:t>采用1套</w:t>
                  </w:r>
                  <w:r>
                    <w:rPr>
                      <w:rFonts w:hint="eastAsia"/>
                      <w:szCs w:val="21"/>
                      <w:lang w:val="en-US" w:eastAsia="zh-CN"/>
                    </w:rPr>
                    <w:t>活性炭吸附装置</w:t>
                  </w:r>
                  <w:r>
                    <w:rPr>
                      <w:rStyle w:val="29"/>
                    </w:rPr>
                    <w:t>收集</w:t>
                  </w:r>
                  <w:r>
                    <w:rPr>
                      <w:szCs w:val="21"/>
                    </w:rPr>
                    <w:t>净化后通过15m排气筒排放</w:t>
                  </w:r>
                </w:p>
              </w:tc>
              <w:tc>
                <w:tcPr>
                  <w:tcW w:w="587" w:type="pct"/>
                  <w:noWrap w:val="0"/>
                  <w:vAlign w:val="center"/>
                </w:tcPr>
                <w:p w14:paraId="67F299D4">
                  <w:pPr>
                    <w:adjustRightInd w:val="0"/>
                    <w:snapToGrid w:val="0"/>
                    <w:jc w:val="center"/>
                    <w:rPr>
                      <w:color w:val="000000"/>
                      <w:szCs w:val="21"/>
                    </w:rPr>
                  </w:pPr>
                  <w:r>
                    <w:rPr>
                      <w:color w:val="000000"/>
                      <w:szCs w:val="21"/>
                    </w:rPr>
                    <w:t>/</w:t>
                  </w:r>
                </w:p>
              </w:tc>
            </w:tr>
            <w:tr w14:paraId="7101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689" w:type="pct"/>
                  <w:vMerge w:val="continue"/>
                  <w:noWrap w:val="0"/>
                  <w:vAlign w:val="center"/>
                </w:tcPr>
                <w:p w14:paraId="289E8A55">
                  <w:pPr>
                    <w:adjustRightInd w:val="0"/>
                    <w:snapToGrid w:val="0"/>
                    <w:jc w:val="center"/>
                    <w:rPr>
                      <w:szCs w:val="21"/>
                    </w:rPr>
                  </w:pPr>
                </w:p>
              </w:tc>
              <w:tc>
                <w:tcPr>
                  <w:tcW w:w="1154" w:type="pct"/>
                  <w:gridSpan w:val="2"/>
                  <w:noWrap w:val="0"/>
                  <w:vAlign w:val="center"/>
                </w:tcPr>
                <w:p w14:paraId="4F9CE596">
                  <w:pPr>
                    <w:adjustRightInd w:val="0"/>
                    <w:snapToGrid w:val="0"/>
                    <w:jc w:val="center"/>
                    <w:rPr>
                      <w:szCs w:val="21"/>
                    </w:rPr>
                  </w:pPr>
                  <w:r>
                    <w:rPr>
                      <w:szCs w:val="21"/>
                    </w:rPr>
                    <w:t>噪声</w:t>
                  </w:r>
                </w:p>
              </w:tc>
              <w:tc>
                <w:tcPr>
                  <w:tcW w:w="2568" w:type="pct"/>
                  <w:noWrap w:val="0"/>
                  <w:vAlign w:val="center"/>
                </w:tcPr>
                <w:p w14:paraId="6B19A525">
                  <w:pPr>
                    <w:adjustRightInd w:val="0"/>
                    <w:snapToGrid w:val="0"/>
                    <w:jc w:val="center"/>
                    <w:rPr>
                      <w:szCs w:val="21"/>
                    </w:rPr>
                  </w:pPr>
                  <w:r>
                    <w:rPr>
                      <w:szCs w:val="21"/>
                    </w:rPr>
                    <w:t>定期对机械进行维护，减振降噪，建筑隔声和距离衰减</w:t>
                  </w:r>
                </w:p>
              </w:tc>
              <w:tc>
                <w:tcPr>
                  <w:tcW w:w="587" w:type="pct"/>
                  <w:noWrap w:val="0"/>
                  <w:vAlign w:val="center"/>
                </w:tcPr>
                <w:p w14:paraId="70B38B5D">
                  <w:pPr>
                    <w:adjustRightInd w:val="0"/>
                    <w:snapToGrid w:val="0"/>
                    <w:jc w:val="center"/>
                    <w:rPr>
                      <w:color w:val="000000"/>
                      <w:szCs w:val="21"/>
                    </w:rPr>
                  </w:pPr>
                  <w:r>
                    <w:rPr>
                      <w:color w:val="000000"/>
                      <w:szCs w:val="21"/>
                    </w:rPr>
                    <w:t>/</w:t>
                  </w:r>
                </w:p>
              </w:tc>
            </w:tr>
            <w:tr w14:paraId="1A59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689" w:type="pct"/>
                  <w:vMerge w:val="continue"/>
                  <w:noWrap w:val="0"/>
                  <w:vAlign w:val="center"/>
                </w:tcPr>
                <w:p w14:paraId="14ADF6DF">
                  <w:pPr>
                    <w:adjustRightInd w:val="0"/>
                    <w:snapToGrid w:val="0"/>
                    <w:jc w:val="center"/>
                    <w:rPr>
                      <w:szCs w:val="21"/>
                    </w:rPr>
                  </w:pPr>
                </w:p>
              </w:tc>
              <w:tc>
                <w:tcPr>
                  <w:tcW w:w="1154" w:type="pct"/>
                  <w:gridSpan w:val="2"/>
                  <w:noWrap w:val="0"/>
                  <w:vAlign w:val="center"/>
                </w:tcPr>
                <w:p w14:paraId="732F8500">
                  <w:pPr>
                    <w:adjustRightInd w:val="0"/>
                    <w:snapToGrid w:val="0"/>
                    <w:jc w:val="center"/>
                    <w:rPr>
                      <w:color w:val="auto"/>
                      <w:szCs w:val="21"/>
                    </w:rPr>
                  </w:pPr>
                  <w:r>
                    <w:rPr>
                      <w:color w:val="auto"/>
                      <w:szCs w:val="21"/>
                    </w:rPr>
                    <w:t>固废</w:t>
                  </w:r>
                </w:p>
              </w:tc>
              <w:tc>
                <w:tcPr>
                  <w:tcW w:w="2568" w:type="pct"/>
                  <w:noWrap w:val="0"/>
                  <w:vAlign w:val="center"/>
                </w:tcPr>
                <w:p w14:paraId="0EB39C43">
                  <w:pPr>
                    <w:adjustRightInd w:val="0"/>
                    <w:snapToGrid w:val="0"/>
                    <w:jc w:val="center"/>
                    <w:rPr>
                      <w:rFonts w:hint="eastAsia"/>
                      <w:color w:val="auto"/>
                      <w:szCs w:val="21"/>
                    </w:rPr>
                  </w:pPr>
                  <w:r>
                    <w:rPr>
                      <w:rFonts w:hint="eastAsia"/>
                      <w:lang w:val="en-US" w:eastAsia="zh-CN"/>
                    </w:rPr>
                    <w:t>栅渣收集后</w:t>
                  </w:r>
                  <w:r>
                    <w:rPr>
                      <w:rFonts w:hint="eastAsia" w:ascii="Calibri" w:hAnsi="Calibri" w:cs="Calibri"/>
                      <w:sz w:val="21"/>
                      <w:szCs w:val="21"/>
                      <w:lang w:val="en-US" w:eastAsia="zh-CN"/>
                    </w:rPr>
                    <w:t>送往生活垃圾填埋场填埋；药剂废包装袋收集后</w:t>
                  </w:r>
                  <w:r>
                    <w:rPr>
                      <w:rFonts w:ascii="Calibri" w:hAnsi="Calibri" w:cs="Calibri"/>
                      <w:sz w:val="21"/>
                      <w:szCs w:val="21"/>
                      <w:lang w:eastAsia="zh-CN"/>
                    </w:rPr>
                    <w:t>外售给废品回收单位</w:t>
                  </w:r>
                  <w:r>
                    <w:rPr>
                      <w:rFonts w:hint="eastAsia" w:ascii="Calibri" w:hAnsi="Calibri" w:cs="Calibri"/>
                      <w:sz w:val="21"/>
                      <w:szCs w:val="21"/>
                      <w:lang w:eastAsia="zh-CN"/>
                    </w:rPr>
                    <w:t>；</w:t>
                  </w:r>
                  <w:r>
                    <w:rPr>
                      <w:rFonts w:hint="eastAsia"/>
                      <w:color w:val="auto"/>
                      <w:szCs w:val="21"/>
                      <w:lang w:val="en-US" w:eastAsia="zh-CN"/>
                    </w:rPr>
                    <w:t>污泥脱水含水率达到60%以下，并开展固废危险性鉴别，若属于危险废物应交由具有危废处理资质的单位处置，若不属于危险固废的，需满足填埋场入场要求后，送至生活垃圾填埋场填埋处置</w:t>
                  </w:r>
                  <w:r>
                    <w:rPr>
                      <w:rFonts w:hint="eastAsia"/>
                      <w:color w:val="auto"/>
                      <w:szCs w:val="21"/>
                    </w:rPr>
                    <w:t>；</w:t>
                  </w:r>
                  <w:r>
                    <w:rPr>
                      <w:rFonts w:hint="eastAsia"/>
                      <w:szCs w:val="21"/>
                      <w:lang w:val="en-US" w:eastAsia="zh-CN"/>
                    </w:rPr>
                    <w:t>活性炭过滤罐、</w:t>
                  </w:r>
                  <w:r>
                    <w:rPr>
                      <w:rFonts w:hint="eastAsia"/>
                      <w:color w:val="auto"/>
                      <w:szCs w:val="21"/>
                      <w:lang w:eastAsia="zh-CN"/>
                    </w:rPr>
                    <w:t>活性炭吸附装置产生的废活性炭</w:t>
                  </w:r>
                  <w:r>
                    <w:rPr>
                      <w:rFonts w:hint="eastAsia"/>
                      <w:color w:val="auto"/>
                      <w:szCs w:val="21"/>
                      <w:lang w:val="en-US" w:eastAsia="zh-CN"/>
                    </w:rPr>
                    <w:t>以及废包装桶危险废物贮存库暂存</w:t>
                  </w:r>
                  <w:r>
                    <w:rPr>
                      <w:rFonts w:hint="eastAsia"/>
                      <w:color w:val="auto"/>
                      <w:szCs w:val="21"/>
                    </w:rPr>
                    <w:t>，</w:t>
                  </w:r>
                  <w:r>
                    <w:rPr>
                      <w:rFonts w:hint="eastAsia"/>
                      <w:color w:val="auto"/>
                      <w:szCs w:val="21"/>
                      <w:lang w:val="en-US" w:eastAsia="zh-CN"/>
                    </w:rPr>
                    <w:t>定期</w:t>
                  </w:r>
                  <w:r>
                    <w:rPr>
                      <w:rFonts w:hint="eastAsia"/>
                      <w:color w:val="auto"/>
                      <w:szCs w:val="21"/>
                    </w:rPr>
                    <w:t>由有资质单位回收处置</w:t>
                  </w:r>
                </w:p>
              </w:tc>
              <w:tc>
                <w:tcPr>
                  <w:tcW w:w="587" w:type="pct"/>
                  <w:noWrap w:val="0"/>
                  <w:vAlign w:val="center"/>
                </w:tcPr>
                <w:p w14:paraId="0CBBCB46">
                  <w:pPr>
                    <w:adjustRightInd w:val="0"/>
                    <w:snapToGrid w:val="0"/>
                    <w:jc w:val="center"/>
                    <w:rPr>
                      <w:rFonts w:hint="eastAsia" w:eastAsia="宋体"/>
                      <w:color w:val="auto"/>
                      <w:szCs w:val="21"/>
                      <w:lang w:eastAsia="zh-CN"/>
                    </w:rPr>
                  </w:pPr>
                  <w:r>
                    <w:rPr>
                      <w:rStyle w:val="29"/>
                      <w:rFonts w:hint="eastAsia"/>
                      <w:color w:val="auto"/>
                      <w:lang w:val="en-US" w:eastAsia="zh-CN"/>
                    </w:rPr>
                    <w:t>/</w:t>
                  </w:r>
                </w:p>
              </w:tc>
            </w:tr>
            <w:tr w14:paraId="581E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689" w:type="pct"/>
                  <w:vMerge w:val="continue"/>
                  <w:noWrap w:val="0"/>
                  <w:vAlign w:val="center"/>
                </w:tcPr>
                <w:p w14:paraId="635D44A8">
                  <w:pPr>
                    <w:adjustRightInd w:val="0"/>
                    <w:snapToGrid w:val="0"/>
                    <w:jc w:val="center"/>
                    <w:rPr>
                      <w:szCs w:val="21"/>
                    </w:rPr>
                  </w:pPr>
                </w:p>
              </w:tc>
              <w:tc>
                <w:tcPr>
                  <w:tcW w:w="1154" w:type="pct"/>
                  <w:gridSpan w:val="2"/>
                  <w:noWrap w:val="0"/>
                  <w:vAlign w:val="center"/>
                </w:tcPr>
                <w:p w14:paraId="3C05A53D">
                  <w:pPr>
                    <w:adjustRightInd w:val="0"/>
                    <w:snapToGrid w:val="0"/>
                    <w:jc w:val="center"/>
                    <w:rPr>
                      <w:color w:val="auto"/>
                      <w:szCs w:val="21"/>
                    </w:rPr>
                  </w:pPr>
                  <w:r>
                    <w:rPr>
                      <w:color w:val="auto"/>
                      <w:szCs w:val="21"/>
                    </w:rPr>
                    <w:t>废水</w:t>
                  </w:r>
                </w:p>
              </w:tc>
              <w:tc>
                <w:tcPr>
                  <w:tcW w:w="2568" w:type="pct"/>
                  <w:noWrap w:val="0"/>
                  <w:vAlign w:val="center"/>
                </w:tcPr>
                <w:p w14:paraId="063E59BD">
                  <w:pPr>
                    <w:adjustRightInd w:val="0"/>
                    <w:snapToGrid w:val="0"/>
                    <w:jc w:val="center"/>
                    <w:rPr>
                      <w:rFonts w:hint="default" w:eastAsia="宋体"/>
                      <w:color w:val="auto"/>
                      <w:szCs w:val="21"/>
                      <w:lang w:val="en-US" w:eastAsia="zh-CN"/>
                    </w:rPr>
                  </w:pPr>
                  <w:r>
                    <w:rPr>
                      <w:color w:val="auto"/>
                      <w:szCs w:val="21"/>
                    </w:rPr>
                    <w:t>本项目污水处理</w:t>
                  </w:r>
                  <w:r>
                    <w:rPr>
                      <w:rFonts w:hint="eastAsia"/>
                      <w:color w:val="auto"/>
                      <w:szCs w:val="21"/>
                      <w:lang w:val="en-US" w:eastAsia="zh-CN"/>
                    </w:rPr>
                    <w:t>站</w:t>
                  </w:r>
                  <w:r>
                    <w:rPr>
                      <w:color w:val="auto"/>
                      <w:szCs w:val="21"/>
                    </w:rPr>
                    <w:t>处理达标后的</w:t>
                  </w:r>
                  <w:r>
                    <w:rPr>
                      <w:rFonts w:hint="eastAsia"/>
                      <w:color w:val="auto"/>
                      <w:szCs w:val="21"/>
                      <w:lang w:val="en-US" w:eastAsia="zh-CN"/>
                    </w:rPr>
                    <w:t>废水通过排碱渠排入下游苇区灌溉</w:t>
                  </w:r>
                </w:p>
              </w:tc>
              <w:tc>
                <w:tcPr>
                  <w:tcW w:w="587" w:type="pct"/>
                  <w:noWrap w:val="0"/>
                  <w:vAlign w:val="center"/>
                </w:tcPr>
                <w:p w14:paraId="247A2B81">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r>
          </w:tbl>
          <w:p w14:paraId="59968633">
            <w:pPr>
              <w:spacing w:before="120" w:beforeLines="50" w:line="360" w:lineRule="auto"/>
              <w:rPr>
                <w:rFonts w:hint="default" w:eastAsia="宋体"/>
                <w:lang w:val="en-US" w:eastAsia="zh-CN"/>
              </w:rPr>
            </w:pPr>
            <w:r>
              <w:rPr>
                <w:rFonts w:hint="eastAsia" w:ascii="Times New Roman" w:hAnsi="Times New Roman" w:eastAsia="宋体" w:cs="Times New Roman"/>
                <w:b/>
                <w:bCs/>
                <w:sz w:val="24"/>
                <w:lang w:val="en-US" w:eastAsia="zh-CN"/>
              </w:rPr>
              <w:t>4 污水处理站设计进水水质、出水水质</w:t>
            </w:r>
          </w:p>
          <w:p w14:paraId="27CCADF7">
            <w:pPr>
              <w:spacing w:line="360" w:lineRule="auto"/>
              <w:ind w:right="119" w:firstLine="480" w:firstLineChars="200"/>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（1）进水水质</w:t>
            </w:r>
          </w:p>
          <w:p w14:paraId="4B4B6230">
            <w:pPr>
              <w:spacing w:line="360" w:lineRule="auto"/>
              <w:ind w:right="119" w:firstLine="480" w:firstLineChars="200"/>
              <w:rPr>
                <w:rFonts w:hint="eastAsia" w:cs="Times New Roman"/>
                <w:sz w:val="24"/>
                <w:lang w:val="en-US" w:eastAsia="zh-CN"/>
              </w:rPr>
            </w:pPr>
            <w:r>
              <w:rPr>
                <w:rFonts w:hint="eastAsia" w:cs="Times New Roman"/>
                <w:sz w:val="24"/>
                <w:lang w:val="en-US" w:eastAsia="zh-CN"/>
              </w:rPr>
              <w:t>本项目为园区集中式工业污水处理站，污水处理站出水稳定达标依赖于入园企业纳管废水水质。本项目拟接纳的辣椒食品加工等企业废水须执行对应行业水污染物排放标准，各排污企业须落实废水预处理主体责任，对高浓度、特征污染物废水开展有效预处理，第一类污染物须在车间排放口达标，企业预处理后废水水质必须满足本污水处理站设计进水水质要求后方可纳管排入。</w:t>
            </w:r>
          </w:p>
          <w:p w14:paraId="3200F31F">
            <w:pPr>
              <w:spacing w:line="360" w:lineRule="auto"/>
              <w:ind w:right="119" w:firstLine="480" w:firstLineChars="200"/>
              <w:rPr>
                <w:rFonts w:hint="eastAsia" w:cs="Times New Roman"/>
                <w:sz w:val="24"/>
                <w:lang w:val="en-US" w:eastAsia="zh-CN"/>
              </w:rPr>
            </w:pPr>
            <w:r>
              <w:rPr>
                <w:rFonts w:hint="eastAsia" w:cs="Times New Roman"/>
                <w:sz w:val="24"/>
                <w:lang w:val="en-US" w:eastAsia="zh-CN"/>
              </w:rPr>
              <w:t>建设单位应与各纳管企业签订废水接纳协议，约定纳管水质、水量、违约责任，在污水站进水总管设置在线监测计量装置，对进水水质、水量进行实时监控。严禁接纳超出设计进水水质要求、含有有毒有害难降解物质的废水；若企业废水经预处理后仍不能满足污水站进水条件，不得接入本污水处理站。因纳管企业废水超标接入造成污水处理站出水超标、设施受损等后果，由排污企业承担相应法律责任。</w:t>
            </w:r>
          </w:p>
          <w:p w14:paraId="5BB68C48">
            <w:pPr>
              <w:spacing w:line="360" w:lineRule="auto"/>
              <w:ind w:right="119" w:firstLine="480" w:firstLineChars="200"/>
              <w:rPr>
                <w:rFonts w:hint="eastAsia" w:ascii="Times New Roman" w:hAnsi="Times New Roman" w:eastAsia="宋体" w:cs="Times New Roman"/>
                <w:sz w:val="24"/>
                <w:lang w:val="en-US" w:eastAsia="zh-CN"/>
              </w:rPr>
            </w:pPr>
            <w:r>
              <w:rPr>
                <w:rFonts w:hint="eastAsia" w:cs="Times New Roman"/>
                <w:sz w:val="24"/>
                <w:lang w:val="en-US" w:eastAsia="zh-CN"/>
              </w:rPr>
              <w:t>参照</w:t>
            </w:r>
            <w:r>
              <w:rPr>
                <w:rFonts w:hint="eastAsia" w:ascii="Times New Roman" w:hAnsi="Times New Roman" w:eastAsia="宋体" w:cs="Times New Roman"/>
                <w:sz w:val="24"/>
                <w:lang w:val="en-US" w:eastAsia="zh-CN"/>
              </w:rPr>
              <w:t>广东鸿宇建筑与工程设计顾问有限公司编制的《巴州博湖县仓储物流园基础设施建设项目初步设计报告》（</w:t>
            </w:r>
            <w:r>
              <w:rPr>
                <w:rFonts w:hint="eastAsia" w:cs="Times New Roman"/>
                <w:sz w:val="24"/>
                <w:lang w:val="en-US" w:eastAsia="zh-CN"/>
              </w:rPr>
              <w:t>批复文号：</w:t>
            </w:r>
            <w:r>
              <w:rPr>
                <w:rFonts w:hint="eastAsia" w:ascii="Times New Roman" w:hAnsi="Times New Roman" w:eastAsia="宋体" w:cs="Times New Roman"/>
                <w:sz w:val="24"/>
                <w:lang w:val="en-US" w:eastAsia="zh-CN"/>
              </w:rPr>
              <w:t>博发改项目发〔2026〕25号）进水水质，本项目进水水质主要控制指标确定如下。</w:t>
            </w:r>
          </w:p>
          <w:p w14:paraId="1DFB0512">
            <w:pPr>
              <w:pStyle w:val="72"/>
              <w:keepNext w:val="0"/>
              <w:keepLines w:val="0"/>
              <w:pageBreakBefore w:val="0"/>
              <w:widowControl/>
              <w:kinsoku/>
              <w:wordWrap/>
              <w:overflowPunct/>
              <w:topLinePunct w:val="0"/>
              <w:autoSpaceDE/>
              <w:autoSpaceDN/>
              <w:bidi w:val="0"/>
              <w:adjustRightInd/>
              <w:snapToGrid w:val="0"/>
              <w:spacing w:before="0" w:after="0" w:line="240" w:lineRule="auto"/>
              <w:ind w:right="0"/>
              <w:textAlignment w:val="auto"/>
              <w:rPr>
                <w:rFonts w:ascii="Calibri" w:hAnsi="Calibri" w:cs="Calibri"/>
                <w:sz w:val="24"/>
                <w:szCs w:val="24"/>
              </w:rPr>
            </w:pPr>
            <w:r>
              <w:rPr>
                <w:rFonts w:ascii="Calibri" w:hAnsi="Calibri" w:cs="Calibri"/>
                <w:sz w:val="24"/>
                <w:szCs w:val="24"/>
              </w:rPr>
              <w:t>表</w:t>
            </w:r>
            <w:r>
              <w:rPr>
                <w:rFonts w:hint="eastAsia" w:ascii="Calibri" w:hAnsi="Calibri" w:cs="Calibri"/>
                <w:sz w:val="24"/>
                <w:szCs w:val="24"/>
                <w:lang w:val="en-US" w:eastAsia="zh-CN"/>
              </w:rPr>
              <w:t>2-2</w:t>
            </w:r>
            <w:r>
              <w:rPr>
                <w:rFonts w:ascii="Calibri" w:hAnsi="Calibri" w:cs="Calibri"/>
                <w:sz w:val="24"/>
                <w:szCs w:val="24"/>
              </w:rPr>
              <w:t xml:space="preserve">   设计进水水质</w:t>
            </w:r>
          </w:p>
          <w:tbl>
            <w:tblPr>
              <w:tblStyle w:val="23"/>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4"/>
              <w:gridCol w:w="829"/>
              <w:gridCol w:w="1009"/>
              <w:gridCol w:w="829"/>
              <w:gridCol w:w="936"/>
              <w:gridCol w:w="598"/>
              <w:gridCol w:w="630"/>
              <w:gridCol w:w="878"/>
              <w:gridCol w:w="758"/>
            </w:tblGrid>
            <w:tr w14:paraId="1ED4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vAlign w:val="center"/>
                </w:tcPr>
                <w:p w14:paraId="56E65C28">
                  <w:pPr>
                    <w:pStyle w:val="56"/>
                    <w:rPr>
                      <w:rFonts w:hint="default" w:cs="Calibri" w:asciiTheme="minorAscii" w:hAnsiTheme="minorAscii"/>
                      <w:sz w:val="21"/>
                      <w:szCs w:val="21"/>
                    </w:rPr>
                  </w:pPr>
                  <w:r>
                    <w:rPr>
                      <w:rFonts w:hint="default" w:cs="Calibri" w:asciiTheme="minorAscii" w:hAnsiTheme="minorAscii"/>
                      <w:sz w:val="21"/>
                      <w:szCs w:val="21"/>
                    </w:rPr>
                    <w:t>指标</w:t>
                  </w:r>
                </w:p>
              </w:tc>
              <w:tc>
                <w:tcPr>
                  <w:tcW w:w="504" w:type="pct"/>
                  <w:vAlign w:val="center"/>
                </w:tcPr>
                <w:p w14:paraId="4740CEA1">
                  <w:pPr>
                    <w:pStyle w:val="56"/>
                    <w:rPr>
                      <w:rFonts w:hint="default" w:cs="Calibri" w:asciiTheme="minorAscii" w:hAnsiTheme="minorAscii"/>
                      <w:sz w:val="21"/>
                      <w:szCs w:val="21"/>
                    </w:rPr>
                  </w:pPr>
                  <w:r>
                    <w:rPr>
                      <w:rFonts w:hint="eastAsia" w:cs="Calibri" w:asciiTheme="minorAscii" w:hAnsiTheme="minorAscii"/>
                      <w:sz w:val="21"/>
                      <w:szCs w:val="21"/>
                      <w:lang w:eastAsia="zh-CN"/>
                    </w:rPr>
                    <w:t>CODcr</w:t>
                  </w:r>
                </w:p>
              </w:tc>
              <w:tc>
                <w:tcPr>
                  <w:tcW w:w="614" w:type="pct"/>
                  <w:vAlign w:val="center"/>
                </w:tcPr>
                <w:p w14:paraId="189D6276">
                  <w:pPr>
                    <w:pStyle w:val="56"/>
                    <w:rPr>
                      <w:rFonts w:hint="default" w:cs="Calibri" w:asciiTheme="minorAscii" w:hAnsiTheme="minorAscii"/>
                      <w:sz w:val="21"/>
                      <w:szCs w:val="21"/>
                    </w:rPr>
                  </w:pPr>
                  <w:r>
                    <w:rPr>
                      <w:rFonts w:hint="default" w:cs="Calibri" w:asciiTheme="minorAscii" w:hAnsiTheme="minorAscii"/>
                      <w:sz w:val="21"/>
                      <w:szCs w:val="21"/>
                      <w:lang w:eastAsia="zh-CN"/>
                    </w:rPr>
                    <w:t>BOD</w:t>
                  </w:r>
                  <w:r>
                    <w:rPr>
                      <w:rFonts w:hint="default" w:cs="Calibri" w:asciiTheme="minorAscii" w:hAnsiTheme="minorAscii"/>
                      <w:sz w:val="21"/>
                      <w:szCs w:val="21"/>
                      <w:vertAlign w:val="subscript"/>
                      <w:lang w:eastAsia="zh-CN"/>
                    </w:rPr>
                    <w:t>5</w:t>
                  </w:r>
                </w:p>
              </w:tc>
              <w:tc>
                <w:tcPr>
                  <w:tcW w:w="504" w:type="pct"/>
                  <w:vAlign w:val="center"/>
                </w:tcPr>
                <w:p w14:paraId="6ABA3A84">
                  <w:pPr>
                    <w:pStyle w:val="56"/>
                    <w:rPr>
                      <w:rFonts w:hint="default" w:cs="Calibri" w:asciiTheme="minorAscii" w:hAnsiTheme="minorAscii"/>
                      <w:sz w:val="21"/>
                      <w:szCs w:val="21"/>
                    </w:rPr>
                  </w:pPr>
                  <w:r>
                    <w:rPr>
                      <w:rFonts w:hint="default" w:cs="Calibri" w:asciiTheme="minorAscii" w:hAnsiTheme="minorAscii"/>
                      <w:sz w:val="21"/>
                      <w:szCs w:val="21"/>
                      <w:lang w:eastAsia="zh-CN"/>
                    </w:rPr>
                    <w:t>SS</w:t>
                  </w:r>
                </w:p>
              </w:tc>
              <w:tc>
                <w:tcPr>
                  <w:tcW w:w="569" w:type="pct"/>
                  <w:vAlign w:val="center"/>
                </w:tcPr>
                <w:p w14:paraId="3E8E6506">
                  <w:pPr>
                    <w:pStyle w:val="56"/>
                    <w:rPr>
                      <w:rFonts w:hint="default" w:cs="Calibri" w:asciiTheme="minorAscii" w:hAnsiTheme="minorAscii"/>
                      <w:sz w:val="21"/>
                      <w:szCs w:val="21"/>
                    </w:rPr>
                  </w:pPr>
                  <w:r>
                    <w:rPr>
                      <w:rFonts w:hint="default" w:cs="Calibri" w:asciiTheme="minorAscii" w:hAnsiTheme="minorAscii"/>
                      <w:sz w:val="21"/>
                      <w:szCs w:val="21"/>
                      <w:lang w:eastAsia="zh-CN"/>
                    </w:rPr>
                    <w:t>NH</w:t>
                  </w:r>
                  <w:r>
                    <w:rPr>
                      <w:rFonts w:hint="default" w:cs="Calibri" w:asciiTheme="minorAscii" w:hAnsiTheme="minorAscii"/>
                      <w:sz w:val="21"/>
                      <w:szCs w:val="21"/>
                      <w:vertAlign w:val="subscript"/>
                      <w:lang w:eastAsia="zh-CN"/>
                    </w:rPr>
                    <w:t>3</w:t>
                  </w:r>
                  <w:r>
                    <w:rPr>
                      <w:rFonts w:hint="default" w:cs="Calibri" w:asciiTheme="minorAscii" w:hAnsiTheme="minorAscii"/>
                      <w:sz w:val="21"/>
                      <w:szCs w:val="21"/>
                      <w:lang w:eastAsia="zh-CN"/>
                    </w:rPr>
                    <w:t>-N</w:t>
                  </w:r>
                </w:p>
              </w:tc>
              <w:tc>
                <w:tcPr>
                  <w:tcW w:w="364" w:type="pct"/>
                  <w:vAlign w:val="center"/>
                </w:tcPr>
                <w:p w14:paraId="1E04D754">
                  <w:pPr>
                    <w:pStyle w:val="56"/>
                    <w:rPr>
                      <w:rFonts w:hint="default" w:cs="Calibri" w:asciiTheme="minorAscii" w:hAnsiTheme="minorAscii"/>
                      <w:sz w:val="21"/>
                      <w:szCs w:val="21"/>
                    </w:rPr>
                  </w:pPr>
                  <w:r>
                    <w:rPr>
                      <w:rFonts w:hint="default" w:cs="Calibri" w:asciiTheme="minorAscii" w:hAnsiTheme="minorAscii"/>
                      <w:sz w:val="21"/>
                      <w:szCs w:val="21"/>
                      <w:lang w:eastAsia="zh-CN"/>
                    </w:rPr>
                    <w:t>TN</w:t>
                  </w:r>
                </w:p>
              </w:tc>
              <w:tc>
                <w:tcPr>
                  <w:tcW w:w="383" w:type="pct"/>
                  <w:vAlign w:val="center"/>
                </w:tcPr>
                <w:p w14:paraId="0A5AAC0A">
                  <w:pPr>
                    <w:pStyle w:val="56"/>
                    <w:rPr>
                      <w:rFonts w:hint="default" w:cs="Calibri" w:asciiTheme="minorAscii" w:hAnsiTheme="minorAscii"/>
                      <w:sz w:val="21"/>
                      <w:szCs w:val="21"/>
                    </w:rPr>
                  </w:pPr>
                  <w:r>
                    <w:rPr>
                      <w:rFonts w:hint="default" w:cs="Calibri" w:asciiTheme="minorAscii" w:hAnsiTheme="minorAscii"/>
                      <w:sz w:val="21"/>
                      <w:szCs w:val="21"/>
                      <w:lang w:eastAsia="zh-CN"/>
                    </w:rPr>
                    <w:t>TP</w:t>
                  </w:r>
                </w:p>
              </w:tc>
              <w:tc>
                <w:tcPr>
                  <w:tcW w:w="534" w:type="pct"/>
                  <w:tcBorders>
                    <w:top w:val="single" w:color="auto" w:sz="4" w:space="0"/>
                    <w:left w:val="single" w:color="auto" w:sz="4" w:space="0"/>
                    <w:bottom w:val="single" w:color="auto" w:sz="4" w:space="0"/>
                    <w:right w:val="single" w:color="auto" w:sz="4" w:space="0"/>
                  </w:tcBorders>
                  <w:vAlign w:val="center"/>
                </w:tcPr>
                <w:p w14:paraId="08582CD7">
                  <w:pPr>
                    <w:pStyle w:val="56"/>
                    <w:rPr>
                      <w:rFonts w:hint="default" w:cs="Calibri" w:asciiTheme="minorAscii" w:hAnsiTheme="minorAscii"/>
                      <w:sz w:val="21"/>
                      <w:szCs w:val="21"/>
                    </w:rPr>
                  </w:pPr>
                  <w:r>
                    <w:rPr>
                      <w:rFonts w:hint="default" w:cs="Calibri" w:asciiTheme="minorAscii" w:hAnsiTheme="minorAscii"/>
                      <w:sz w:val="21"/>
                      <w:szCs w:val="21"/>
                      <w:lang w:eastAsia="zh-CN"/>
                    </w:rPr>
                    <w:t>pH</w:t>
                  </w:r>
                </w:p>
              </w:tc>
              <w:tc>
                <w:tcPr>
                  <w:tcW w:w="461" w:type="pct"/>
                  <w:tcBorders>
                    <w:top w:val="single" w:color="auto" w:sz="4" w:space="0"/>
                    <w:left w:val="single" w:color="auto" w:sz="4" w:space="0"/>
                    <w:bottom w:val="single" w:color="auto" w:sz="4" w:space="0"/>
                    <w:right w:val="single" w:color="auto" w:sz="4" w:space="0"/>
                  </w:tcBorders>
                  <w:vAlign w:val="center"/>
                </w:tcPr>
                <w:p w14:paraId="12641691">
                  <w:pPr>
                    <w:pStyle w:val="56"/>
                    <w:rPr>
                      <w:rFonts w:hint="default" w:cs="Calibri" w:asciiTheme="minorAscii" w:hAnsiTheme="minorAscii"/>
                      <w:sz w:val="21"/>
                      <w:szCs w:val="21"/>
                      <w:lang w:val="en-US" w:eastAsia="zh-CN"/>
                    </w:rPr>
                  </w:pPr>
                  <w:r>
                    <w:rPr>
                      <w:rFonts w:hint="default" w:cs="Calibri" w:asciiTheme="minorAscii" w:hAnsiTheme="minorAscii"/>
                      <w:sz w:val="21"/>
                      <w:szCs w:val="21"/>
                      <w:lang w:val="en-US" w:eastAsia="zh-CN"/>
                    </w:rPr>
                    <w:t>动植物油</w:t>
                  </w:r>
                </w:p>
              </w:tc>
            </w:tr>
            <w:tr w14:paraId="6977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vAlign w:val="center"/>
                </w:tcPr>
                <w:p w14:paraId="03E23C10">
                  <w:pPr>
                    <w:pStyle w:val="56"/>
                    <w:rPr>
                      <w:rFonts w:hint="default" w:cs="Calibri" w:asciiTheme="minorAscii" w:hAnsiTheme="minorAscii"/>
                      <w:sz w:val="21"/>
                      <w:szCs w:val="21"/>
                      <w:lang w:eastAsia="zh-CN"/>
                    </w:rPr>
                  </w:pPr>
                  <w:r>
                    <w:rPr>
                      <w:rFonts w:hint="default" w:cs="Calibri" w:asciiTheme="minorAscii" w:hAnsiTheme="minorAscii"/>
                      <w:sz w:val="21"/>
                      <w:szCs w:val="21"/>
                      <w:lang w:eastAsia="zh-CN"/>
                    </w:rPr>
                    <w:t>设计进水水质（mg/L）</w:t>
                  </w:r>
                </w:p>
              </w:tc>
              <w:tc>
                <w:tcPr>
                  <w:tcW w:w="504" w:type="pct"/>
                  <w:vAlign w:val="center"/>
                </w:tcPr>
                <w:p w14:paraId="1E919846">
                  <w:pPr>
                    <w:pStyle w:val="56"/>
                    <w:rPr>
                      <w:rFonts w:hint="default" w:cs="Calibri" w:asciiTheme="minorAscii" w:hAnsiTheme="minorAscii"/>
                      <w:sz w:val="21"/>
                      <w:szCs w:val="21"/>
                      <w:lang w:val="en-US" w:eastAsia="zh-CN"/>
                    </w:rPr>
                  </w:pPr>
                  <w:r>
                    <w:rPr>
                      <w:rFonts w:hint="default" w:cs="Calibri" w:asciiTheme="minorAscii" w:hAnsiTheme="minorAscii"/>
                      <w:sz w:val="21"/>
                      <w:szCs w:val="21"/>
                      <w:lang w:eastAsia="zh-CN"/>
                    </w:rPr>
                    <w:t>≤</w:t>
                  </w:r>
                  <w:r>
                    <w:rPr>
                      <w:rFonts w:hint="default" w:cs="Calibri" w:asciiTheme="minorAscii" w:hAnsiTheme="minorAscii"/>
                      <w:sz w:val="21"/>
                      <w:szCs w:val="21"/>
                      <w:lang w:val="en-US" w:eastAsia="zh-CN"/>
                    </w:rPr>
                    <w:t>8000</w:t>
                  </w:r>
                </w:p>
              </w:tc>
              <w:tc>
                <w:tcPr>
                  <w:tcW w:w="614" w:type="pct"/>
                  <w:vAlign w:val="center"/>
                </w:tcPr>
                <w:p w14:paraId="57C3F417">
                  <w:pPr>
                    <w:pStyle w:val="56"/>
                    <w:rPr>
                      <w:rFonts w:hint="default" w:cs="Calibri" w:asciiTheme="minorAscii" w:hAnsiTheme="minorAscii"/>
                      <w:sz w:val="21"/>
                      <w:szCs w:val="21"/>
                      <w:lang w:val="en-US" w:eastAsia="zh-CN"/>
                    </w:rPr>
                  </w:pPr>
                  <w:r>
                    <w:rPr>
                      <w:rFonts w:hint="default" w:cs="Calibri" w:asciiTheme="minorAscii" w:hAnsiTheme="minorAscii"/>
                      <w:sz w:val="21"/>
                      <w:szCs w:val="21"/>
                      <w:lang w:eastAsia="zh-CN"/>
                    </w:rPr>
                    <w:t>≤</w:t>
                  </w:r>
                  <w:r>
                    <w:rPr>
                      <w:rFonts w:hint="default" w:cs="Calibri" w:asciiTheme="minorAscii" w:hAnsiTheme="minorAscii"/>
                      <w:sz w:val="21"/>
                      <w:szCs w:val="21"/>
                      <w:lang w:val="en-US" w:eastAsia="zh-CN"/>
                    </w:rPr>
                    <w:t>5000</w:t>
                  </w:r>
                </w:p>
              </w:tc>
              <w:tc>
                <w:tcPr>
                  <w:tcW w:w="504" w:type="pct"/>
                  <w:vAlign w:val="center"/>
                </w:tcPr>
                <w:p w14:paraId="62B14DBB">
                  <w:pPr>
                    <w:pStyle w:val="56"/>
                    <w:rPr>
                      <w:rFonts w:hint="default" w:cs="Calibri" w:asciiTheme="minorAscii" w:hAnsiTheme="minorAscii"/>
                      <w:sz w:val="21"/>
                      <w:szCs w:val="21"/>
                      <w:lang w:val="en-US" w:eastAsia="zh-CN"/>
                    </w:rPr>
                  </w:pPr>
                  <w:r>
                    <w:rPr>
                      <w:rFonts w:hint="default" w:cs="Calibri" w:asciiTheme="minorAscii" w:hAnsiTheme="minorAscii"/>
                      <w:sz w:val="21"/>
                      <w:szCs w:val="21"/>
                      <w:lang w:eastAsia="zh-CN"/>
                    </w:rPr>
                    <w:t>≤</w:t>
                  </w:r>
                  <w:r>
                    <w:rPr>
                      <w:rFonts w:hint="default" w:cs="Calibri" w:asciiTheme="minorAscii" w:hAnsiTheme="minorAscii"/>
                      <w:sz w:val="21"/>
                      <w:szCs w:val="21"/>
                      <w:lang w:val="en-US" w:eastAsia="zh-CN"/>
                    </w:rPr>
                    <w:t>2500</w:t>
                  </w:r>
                </w:p>
              </w:tc>
              <w:tc>
                <w:tcPr>
                  <w:tcW w:w="569" w:type="pct"/>
                  <w:vAlign w:val="center"/>
                </w:tcPr>
                <w:p w14:paraId="07494CD7">
                  <w:pPr>
                    <w:pStyle w:val="56"/>
                    <w:rPr>
                      <w:rFonts w:hint="default" w:cs="Calibri" w:asciiTheme="minorAscii" w:hAnsiTheme="minorAscii"/>
                      <w:sz w:val="21"/>
                      <w:szCs w:val="21"/>
                      <w:lang w:val="en-US" w:eastAsia="zh-CN"/>
                    </w:rPr>
                  </w:pPr>
                  <w:r>
                    <w:rPr>
                      <w:rFonts w:hint="default" w:cs="Calibri" w:asciiTheme="minorAscii" w:hAnsiTheme="minorAscii"/>
                      <w:sz w:val="21"/>
                      <w:szCs w:val="21"/>
                      <w:lang w:eastAsia="zh-CN"/>
                    </w:rPr>
                    <w:t>≤</w:t>
                  </w:r>
                  <w:r>
                    <w:rPr>
                      <w:rFonts w:hint="default" w:cs="Calibri" w:asciiTheme="minorAscii" w:hAnsiTheme="minorAscii"/>
                      <w:sz w:val="21"/>
                      <w:szCs w:val="21"/>
                      <w:lang w:val="en-US" w:eastAsia="zh-CN"/>
                    </w:rPr>
                    <w:t>45</w:t>
                  </w:r>
                </w:p>
              </w:tc>
              <w:tc>
                <w:tcPr>
                  <w:tcW w:w="364" w:type="pct"/>
                  <w:vAlign w:val="center"/>
                </w:tcPr>
                <w:p w14:paraId="22AEAB52">
                  <w:pPr>
                    <w:pStyle w:val="56"/>
                    <w:rPr>
                      <w:rFonts w:hint="default" w:cs="Calibri" w:asciiTheme="minorAscii" w:hAnsiTheme="minorAscii"/>
                      <w:sz w:val="21"/>
                      <w:szCs w:val="21"/>
                      <w:lang w:eastAsia="zh-CN"/>
                    </w:rPr>
                  </w:pPr>
                  <w:r>
                    <w:rPr>
                      <w:rFonts w:hint="default" w:cs="Calibri" w:asciiTheme="minorAscii" w:hAnsiTheme="minorAscii"/>
                      <w:sz w:val="21"/>
                      <w:szCs w:val="21"/>
                      <w:lang w:eastAsia="zh-CN"/>
                    </w:rPr>
                    <w:t>≤70</w:t>
                  </w:r>
                </w:p>
              </w:tc>
              <w:tc>
                <w:tcPr>
                  <w:tcW w:w="383" w:type="pct"/>
                  <w:vAlign w:val="center"/>
                </w:tcPr>
                <w:p w14:paraId="5CA35B6D">
                  <w:pPr>
                    <w:pStyle w:val="56"/>
                    <w:rPr>
                      <w:rFonts w:hint="default" w:cs="Calibri" w:asciiTheme="minorAscii" w:hAnsiTheme="minorAscii"/>
                      <w:sz w:val="21"/>
                      <w:szCs w:val="21"/>
                      <w:lang w:val="en-US" w:eastAsia="zh-CN"/>
                    </w:rPr>
                  </w:pPr>
                  <w:r>
                    <w:rPr>
                      <w:rFonts w:hint="default" w:cs="Calibri" w:asciiTheme="minorAscii" w:hAnsiTheme="minorAscii"/>
                      <w:sz w:val="21"/>
                      <w:szCs w:val="21"/>
                      <w:lang w:eastAsia="zh-CN"/>
                    </w:rPr>
                    <w:t>≤</w:t>
                  </w:r>
                  <w:r>
                    <w:rPr>
                      <w:rFonts w:hint="default" w:cs="Calibri" w:asciiTheme="minorAscii" w:hAnsiTheme="minorAscii"/>
                      <w:sz w:val="21"/>
                      <w:szCs w:val="21"/>
                      <w:lang w:val="en-US" w:eastAsia="zh-CN"/>
                    </w:rPr>
                    <w:t>15</w:t>
                  </w:r>
                </w:p>
              </w:tc>
              <w:tc>
                <w:tcPr>
                  <w:tcW w:w="534" w:type="pct"/>
                  <w:tcBorders>
                    <w:top w:val="single" w:color="auto" w:sz="4" w:space="0"/>
                    <w:left w:val="single" w:color="auto" w:sz="4" w:space="0"/>
                    <w:bottom w:val="single" w:color="auto" w:sz="4" w:space="0"/>
                    <w:right w:val="single" w:color="auto" w:sz="4" w:space="0"/>
                  </w:tcBorders>
                  <w:vAlign w:val="center"/>
                </w:tcPr>
                <w:p w14:paraId="0183E9F4">
                  <w:pPr>
                    <w:pStyle w:val="56"/>
                    <w:rPr>
                      <w:rFonts w:hint="default" w:cs="Calibri" w:asciiTheme="minorAscii" w:hAnsiTheme="minorAscii"/>
                      <w:sz w:val="21"/>
                      <w:szCs w:val="21"/>
                      <w:lang w:val="en-US" w:eastAsia="zh-CN"/>
                    </w:rPr>
                  </w:pPr>
                  <w:r>
                    <w:rPr>
                      <w:rFonts w:hint="default" w:cs="Calibri" w:asciiTheme="minorAscii" w:hAnsiTheme="minorAscii"/>
                      <w:sz w:val="21"/>
                      <w:szCs w:val="21"/>
                      <w:lang w:val="en-US" w:eastAsia="zh-CN"/>
                    </w:rPr>
                    <w:t>4.0</w:t>
                  </w:r>
                  <w:r>
                    <w:rPr>
                      <w:rFonts w:hint="default" w:cs="Calibri" w:asciiTheme="minorAscii" w:hAnsiTheme="minorAscii"/>
                      <w:sz w:val="21"/>
                      <w:szCs w:val="21"/>
                      <w:lang w:eastAsia="zh-CN"/>
                    </w:rPr>
                    <w:t>-</w:t>
                  </w:r>
                  <w:r>
                    <w:rPr>
                      <w:rFonts w:hint="default" w:cs="Calibri" w:asciiTheme="minorAscii" w:hAnsiTheme="minorAscii"/>
                      <w:sz w:val="21"/>
                      <w:szCs w:val="21"/>
                      <w:lang w:val="en-US" w:eastAsia="zh-CN"/>
                    </w:rPr>
                    <w:t>9.5</w:t>
                  </w:r>
                </w:p>
              </w:tc>
              <w:tc>
                <w:tcPr>
                  <w:tcW w:w="461" w:type="pct"/>
                  <w:tcBorders>
                    <w:top w:val="single" w:color="auto" w:sz="4" w:space="0"/>
                    <w:left w:val="single" w:color="auto" w:sz="4" w:space="0"/>
                    <w:bottom w:val="single" w:color="auto" w:sz="4" w:space="0"/>
                    <w:right w:val="single" w:color="auto" w:sz="4" w:space="0"/>
                  </w:tcBorders>
                  <w:vAlign w:val="center"/>
                </w:tcPr>
                <w:p w14:paraId="2088125F">
                  <w:pPr>
                    <w:pStyle w:val="56"/>
                    <w:rPr>
                      <w:rFonts w:hint="default" w:cs="Calibri" w:asciiTheme="minorAscii" w:hAnsiTheme="minorAscii"/>
                      <w:sz w:val="21"/>
                      <w:szCs w:val="21"/>
                      <w:lang w:val="en-US" w:eastAsia="zh-CN"/>
                    </w:rPr>
                  </w:pPr>
                  <w:r>
                    <w:rPr>
                      <w:rFonts w:hint="default" w:cs="Calibri" w:asciiTheme="minorAscii" w:hAnsiTheme="minorAscii"/>
                      <w:sz w:val="21"/>
                      <w:szCs w:val="21"/>
                      <w:lang w:val="en-US" w:eastAsia="zh-CN"/>
                    </w:rPr>
                    <w:t>100</w:t>
                  </w:r>
                </w:p>
              </w:tc>
            </w:tr>
          </w:tbl>
          <w:p w14:paraId="20381E90">
            <w:pPr>
              <w:spacing w:line="360" w:lineRule="auto"/>
              <w:ind w:firstLine="480" w:firstLineChars="200"/>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（2）出水水质</w:t>
            </w:r>
          </w:p>
          <w:p w14:paraId="786C8342">
            <w:pPr>
              <w:spacing w:line="360" w:lineRule="auto"/>
              <w:ind w:firstLine="480" w:firstLineChars="200"/>
              <w:rPr>
                <w:rFonts w:hint="eastAsia" w:ascii="Times New Roman" w:hAnsi="Times New Roman" w:eastAsia="宋体" w:cs="Times New Roman"/>
                <w:color w:val="000000"/>
                <w:sz w:val="24"/>
                <w:lang w:val="en-US" w:eastAsia="zh-CN"/>
              </w:rPr>
            </w:pPr>
            <w:r>
              <w:rPr>
                <w:rFonts w:hint="eastAsia" w:ascii="Times New Roman" w:hAnsi="Times New Roman" w:eastAsia="宋体" w:cs="Times New Roman"/>
                <w:sz w:val="24"/>
                <w:lang w:val="en-US" w:eastAsia="zh-CN"/>
              </w:rPr>
              <w:t>运营期</w:t>
            </w:r>
            <w:r>
              <w:rPr>
                <w:rFonts w:hint="eastAsia" w:ascii="Times New Roman" w:hAnsi="Times New Roman" w:eastAsia="宋体" w:cs="Times New Roman"/>
                <w:sz w:val="24"/>
              </w:rPr>
              <w:t>污水处理</w:t>
            </w:r>
            <w:r>
              <w:rPr>
                <w:rFonts w:hint="eastAsia" w:ascii="Times New Roman" w:hAnsi="Times New Roman" w:eastAsia="宋体" w:cs="Times New Roman"/>
                <w:sz w:val="24"/>
                <w:lang w:val="en-US" w:eastAsia="zh-CN"/>
              </w:rPr>
              <w:t>站</w:t>
            </w:r>
            <w:r>
              <w:rPr>
                <w:rFonts w:hint="eastAsia" w:ascii="Times New Roman" w:hAnsi="Times New Roman" w:eastAsia="宋体" w:cs="Times New Roman"/>
                <w:sz w:val="24"/>
              </w:rPr>
              <w:t>出水水质达到《城镇污水处理厂污染物排放标准》（GB18918-2002）一级A标准。本项目污水处理厂出水通过排碱渠排入下游苇区灌溉，出水</w:t>
            </w:r>
            <w:r>
              <w:rPr>
                <w:rFonts w:hint="eastAsia" w:ascii="Times New Roman" w:hAnsi="Times New Roman" w:eastAsia="宋体" w:cs="Times New Roman"/>
                <w:sz w:val="24"/>
                <w:lang w:val="en-US" w:eastAsia="zh-CN"/>
              </w:rPr>
              <w:t>同时</w:t>
            </w:r>
            <w:r>
              <w:rPr>
                <w:rFonts w:hint="eastAsia" w:ascii="Times New Roman" w:hAnsi="Times New Roman" w:eastAsia="宋体" w:cs="Times New Roman"/>
                <w:sz w:val="24"/>
              </w:rPr>
              <w:t>需要执行《城市污水再生利用 景观环境用水水质》（GB/T 18921-2019）中湿地环境用水相关要求</w:t>
            </w:r>
            <w:r>
              <w:rPr>
                <w:rFonts w:hint="eastAsia" w:cs="Times New Roman"/>
                <w:sz w:val="24"/>
                <w:lang w:val="en-US" w:eastAsia="zh-CN"/>
              </w:rPr>
              <w:t>标准</w:t>
            </w:r>
            <w:r>
              <w:rPr>
                <w:rFonts w:hint="eastAsia" w:ascii="Times New Roman" w:hAnsi="Times New Roman" w:eastAsia="宋体" w:cs="Times New Roman"/>
                <w:sz w:val="24"/>
                <w:lang w:eastAsia="zh-CN"/>
              </w:rPr>
              <w:t>。</w:t>
            </w:r>
          </w:p>
          <w:p w14:paraId="306AC589">
            <w:pPr>
              <w:spacing w:before="120" w:beforeLines="50" w:line="360" w:lineRule="auto"/>
              <w:rPr>
                <w:rFonts w:hint="eastAsia"/>
                <w:color w:val="000000"/>
                <w:sz w:val="24"/>
              </w:rPr>
            </w:pPr>
            <w:r>
              <w:rPr>
                <w:rFonts w:hint="eastAsia"/>
                <w:b/>
                <w:bCs/>
                <w:sz w:val="24"/>
                <w:lang w:val="en-US" w:eastAsia="zh-CN"/>
              </w:rPr>
              <w:t>5</w:t>
            </w:r>
            <w:r>
              <w:rPr>
                <w:b/>
                <w:bCs/>
                <w:sz w:val="24"/>
              </w:rPr>
              <w:t xml:space="preserve"> </w:t>
            </w:r>
            <w:r>
              <w:rPr>
                <w:rFonts w:hint="eastAsia"/>
                <w:b/>
                <w:bCs/>
                <w:sz w:val="24"/>
              </w:rPr>
              <w:t>处理服务范围及规模</w:t>
            </w:r>
          </w:p>
          <w:p w14:paraId="707F2351">
            <w:pPr>
              <w:spacing w:line="360" w:lineRule="auto"/>
              <w:ind w:firstLine="480" w:firstLineChars="200"/>
              <w:rPr>
                <w:rFonts w:hint="eastAsia" w:ascii="宋体" w:hAnsi="宋体" w:cs="宋体"/>
                <w:sz w:val="24"/>
              </w:rPr>
            </w:pPr>
            <w:r>
              <w:rPr>
                <w:rFonts w:hint="eastAsia"/>
                <w:color w:val="000000"/>
                <w:sz w:val="24"/>
                <w:lang w:val="en-US" w:eastAsia="zh-CN"/>
              </w:rPr>
              <w:t>项目污水处理站</w:t>
            </w:r>
            <w:r>
              <w:rPr>
                <w:rFonts w:hint="eastAsia"/>
                <w:color w:val="000000"/>
                <w:sz w:val="24"/>
              </w:rPr>
              <w:t>服务范围主要为巴州博湖县仓储物流园内</w:t>
            </w:r>
            <w:r>
              <w:rPr>
                <w:rFonts w:hint="eastAsia"/>
                <w:color w:val="000000"/>
                <w:sz w:val="24"/>
                <w:lang w:val="en-US" w:eastAsia="zh-CN"/>
              </w:rPr>
              <w:t>辣椒食品加工等企业</w:t>
            </w:r>
            <w:r>
              <w:rPr>
                <w:rFonts w:hint="eastAsia"/>
                <w:color w:val="000000"/>
                <w:sz w:val="24"/>
              </w:rPr>
              <w:t>产生的</w:t>
            </w:r>
            <w:r>
              <w:rPr>
                <w:rFonts w:hint="eastAsia"/>
                <w:color w:val="000000"/>
                <w:sz w:val="24"/>
                <w:lang w:val="en-US" w:eastAsia="zh-CN"/>
              </w:rPr>
              <w:t>工业废水</w:t>
            </w:r>
            <w:r>
              <w:rPr>
                <w:rFonts w:hint="eastAsia"/>
                <w:color w:val="000000"/>
                <w:sz w:val="24"/>
              </w:rPr>
              <w:t>，</w:t>
            </w:r>
            <w:r>
              <w:rPr>
                <w:rFonts w:hint="eastAsia"/>
                <w:bCs/>
                <w:sz w:val="24"/>
                <w:lang w:val="en-US" w:eastAsia="zh-CN"/>
              </w:rPr>
              <w:t>污水处理站设计</w:t>
            </w:r>
            <w:r>
              <w:rPr>
                <w:rFonts w:hint="eastAsia"/>
                <w:color w:val="000000"/>
                <w:kern w:val="0"/>
                <w:sz w:val="24"/>
              </w:rPr>
              <w:t>处理规模为</w:t>
            </w:r>
            <w:r>
              <w:rPr>
                <w:rFonts w:hint="eastAsia"/>
                <w:color w:val="000000"/>
                <w:kern w:val="0"/>
                <w:sz w:val="24"/>
                <w:lang w:val="en-US" w:eastAsia="zh-CN"/>
              </w:rPr>
              <w:t>1000</w:t>
            </w:r>
            <w:r>
              <w:rPr>
                <w:rFonts w:hint="eastAsia"/>
                <w:color w:val="000000"/>
                <w:kern w:val="0"/>
                <w:sz w:val="24"/>
              </w:rPr>
              <w:t>m</w:t>
            </w:r>
            <w:r>
              <w:rPr>
                <w:rFonts w:hint="eastAsia"/>
                <w:color w:val="000000"/>
                <w:kern w:val="0"/>
                <w:sz w:val="24"/>
                <w:vertAlign w:val="superscript"/>
              </w:rPr>
              <w:t>3</w:t>
            </w:r>
            <w:r>
              <w:rPr>
                <w:rFonts w:hint="eastAsia"/>
                <w:color w:val="000000"/>
                <w:kern w:val="0"/>
                <w:sz w:val="24"/>
              </w:rPr>
              <w:t>/d。</w:t>
            </w:r>
            <w:r>
              <w:rPr>
                <w:rFonts w:hint="eastAsia"/>
                <w:sz w:val="24"/>
              </w:rPr>
              <w:t>本</w:t>
            </w:r>
            <w:r>
              <w:rPr>
                <w:rFonts w:hint="eastAsia" w:ascii="宋体" w:hAnsi="宋体" w:cs="宋体"/>
                <w:sz w:val="24"/>
              </w:rPr>
              <w:t>项目处理服务范围及规模一览表见下表。</w:t>
            </w:r>
          </w:p>
          <w:p w14:paraId="3DA3112A">
            <w:pPr>
              <w:ind w:firstLine="482" w:firstLineChars="200"/>
              <w:jc w:val="center"/>
              <w:rPr>
                <w:b/>
                <w:sz w:val="24"/>
              </w:rPr>
            </w:pPr>
            <w:r>
              <w:rPr>
                <w:b/>
                <w:sz w:val="24"/>
              </w:rPr>
              <w:t>表</w:t>
            </w:r>
            <w:r>
              <w:rPr>
                <w:rFonts w:hint="eastAsia"/>
                <w:b/>
                <w:sz w:val="24"/>
                <w:lang w:val="en-US" w:eastAsia="zh-CN"/>
              </w:rPr>
              <w:t>2-3</w:t>
            </w:r>
            <w:r>
              <w:rPr>
                <w:rFonts w:hint="eastAsia"/>
                <w:b/>
                <w:sz w:val="24"/>
              </w:rPr>
              <w:t xml:space="preserve"> </w:t>
            </w:r>
            <w:r>
              <w:rPr>
                <w:rFonts w:hint="eastAsia"/>
                <w:b/>
                <w:sz w:val="24"/>
                <w:lang w:val="en-US" w:eastAsia="zh-CN"/>
              </w:rPr>
              <w:t xml:space="preserve"> </w:t>
            </w:r>
            <w:r>
              <w:rPr>
                <w:rFonts w:hint="eastAsia"/>
                <w:b/>
                <w:sz w:val="24"/>
              </w:rPr>
              <w:t xml:space="preserve"> 处理服务范围及规模</w:t>
            </w:r>
            <w:r>
              <w:rPr>
                <w:rFonts w:hint="eastAsia"/>
                <w:b/>
                <w:bCs/>
                <w:sz w:val="24"/>
              </w:rPr>
              <w:t>一览表</w:t>
            </w:r>
          </w:p>
          <w:tbl>
            <w:tblPr>
              <w:tblStyle w:val="22"/>
              <w:tblW w:w="4997"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58"/>
              <w:gridCol w:w="1536"/>
              <w:gridCol w:w="972"/>
              <w:gridCol w:w="1791"/>
              <w:gridCol w:w="1044"/>
              <w:gridCol w:w="2303"/>
            </w:tblGrid>
            <w:tr w14:paraId="46F915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trPr>
              <w:tc>
                <w:tcPr>
                  <w:tcW w:w="340" w:type="pct"/>
                  <w:noWrap w:val="0"/>
                  <w:vAlign w:val="center"/>
                </w:tcPr>
                <w:p w14:paraId="034B6247">
                  <w:pPr>
                    <w:jc w:val="center"/>
                    <w:rPr>
                      <w:bCs/>
                      <w:szCs w:val="21"/>
                    </w:rPr>
                  </w:pPr>
                  <w:r>
                    <w:rPr>
                      <w:bCs/>
                      <w:szCs w:val="21"/>
                    </w:rPr>
                    <w:t>序号</w:t>
                  </w:r>
                </w:p>
              </w:tc>
              <w:tc>
                <w:tcPr>
                  <w:tcW w:w="936" w:type="pct"/>
                  <w:noWrap w:val="0"/>
                  <w:vAlign w:val="center"/>
                </w:tcPr>
                <w:p w14:paraId="2ADFA88E">
                  <w:pPr>
                    <w:jc w:val="center"/>
                    <w:rPr>
                      <w:rFonts w:hint="eastAsia"/>
                      <w:bCs/>
                      <w:szCs w:val="21"/>
                    </w:rPr>
                  </w:pPr>
                  <w:r>
                    <w:rPr>
                      <w:rFonts w:hint="eastAsia"/>
                      <w:bCs/>
                      <w:szCs w:val="21"/>
                    </w:rPr>
                    <w:t>处理服务范围</w:t>
                  </w:r>
                </w:p>
              </w:tc>
              <w:tc>
                <w:tcPr>
                  <w:tcW w:w="592" w:type="pct"/>
                  <w:noWrap w:val="0"/>
                  <w:vAlign w:val="center"/>
                </w:tcPr>
                <w:p w14:paraId="3563EF2C">
                  <w:pPr>
                    <w:jc w:val="center"/>
                    <w:rPr>
                      <w:rFonts w:hint="eastAsia"/>
                      <w:szCs w:val="21"/>
                    </w:rPr>
                  </w:pPr>
                  <w:r>
                    <w:rPr>
                      <w:rFonts w:hint="eastAsia"/>
                      <w:bCs/>
                      <w:szCs w:val="21"/>
                    </w:rPr>
                    <w:t>处理规模m</w:t>
                  </w:r>
                  <w:r>
                    <w:rPr>
                      <w:rFonts w:hint="eastAsia"/>
                      <w:bCs/>
                      <w:szCs w:val="21"/>
                      <w:vertAlign w:val="superscript"/>
                    </w:rPr>
                    <w:t>3</w:t>
                  </w:r>
                  <w:r>
                    <w:rPr>
                      <w:rFonts w:hint="eastAsia"/>
                      <w:szCs w:val="21"/>
                    </w:rPr>
                    <w:t>/d</w:t>
                  </w:r>
                </w:p>
              </w:tc>
              <w:tc>
                <w:tcPr>
                  <w:tcW w:w="1091" w:type="pct"/>
                  <w:noWrap w:val="0"/>
                  <w:vAlign w:val="center"/>
                </w:tcPr>
                <w:p w14:paraId="55A35A22">
                  <w:pPr>
                    <w:jc w:val="center"/>
                    <w:rPr>
                      <w:rFonts w:hint="eastAsia"/>
                      <w:color w:val="auto"/>
                      <w:szCs w:val="21"/>
                    </w:rPr>
                  </w:pPr>
                  <w:r>
                    <w:rPr>
                      <w:rFonts w:hint="eastAsia"/>
                      <w:bCs/>
                      <w:color w:val="auto"/>
                      <w:szCs w:val="21"/>
                    </w:rPr>
                    <w:t>处理工艺</w:t>
                  </w:r>
                </w:p>
              </w:tc>
              <w:tc>
                <w:tcPr>
                  <w:tcW w:w="636" w:type="pct"/>
                  <w:noWrap w:val="0"/>
                  <w:vAlign w:val="center"/>
                </w:tcPr>
                <w:p w14:paraId="3BD2B77E">
                  <w:pPr>
                    <w:jc w:val="center"/>
                    <w:rPr>
                      <w:bCs/>
                      <w:color w:val="auto"/>
                      <w:szCs w:val="21"/>
                    </w:rPr>
                  </w:pPr>
                  <w:r>
                    <w:rPr>
                      <w:bCs/>
                      <w:color w:val="auto"/>
                      <w:szCs w:val="21"/>
                    </w:rPr>
                    <w:t>年运行</w:t>
                  </w:r>
                  <w:r>
                    <w:rPr>
                      <w:rFonts w:hint="eastAsia"/>
                      <w:bCs/>
                      <w:color w:val="auto"/>
                      <w:szCs w:val="21"/>
                    </w:rPr>
                    <w:t>天</w:t>
                  </w:r>
                  <w:r>
                    <w:rPr>
                      <w:bCs/>
                      <w:color w:val="auto"/>
                      <w:szCs w:val="21"/>
                    </w:rPr>
                    <w:t>数</w:t>
                  </w:r>
                  <w:r>
                    <w:rPr>
                      <w:rFonts w:hint="eastAsia"/>
                      <w:bCs/>
                      <w:color w:val="auto"/>
                      <w:szCs w:val="21"/>
                    </w:rPr>
                    <w:t>及小时数</w:t>
                  </w:r>
                </w:p>
              </w:tc>
              <w:tc>
                <w:tcPr>
                  <w:tcW w:w="1403" w:type="pct"/>
                  <w:noWrap w:val="0"/>
                  <w:vAlign w:val="center"/>
                </w:tcPr>
                <w:p w14:paraId="71285EA5">
                  <w:pPr>
                    <w:jc w:val="center"/>
                    <w:rPr>
                      <w:rFonts w:hint="eastAsia" w:eastAsia="宋体"/>
                      <w:bCs/>
                      <w:color w:val="auto"/>
                      <w:szCs w:val="21"/>
                      <w:lang w:eastAsia="zh-CN"/>
                    </w:rPr>
                  </w:pPr>
                  <w:r>
                    <w:rPr>
                      <w:rFonts w:hint="eastAsia"/>
                      <w:bCs/>
                      <w:color w:val="auto"/>
                      <w:szCs w:val="21"/>
                      <w:lang w:eastAsia="zh-CN"/>
                    </w:rPr>
                    <w:t>执行标准</w:t>
                  </w:r>
                </w:p>
              </w:tc>
            </w:tr>
            <w:tr w14:paraId="57F812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3" w:hRule="atLeast"/>
              </w:trPr>
              <w:tc>
                <w:tcPr>
                  <w:tcW w:w="340" w:type="pct"/>
                  <w:noWrap w:val="0"/>
                  <w:vAlign w:val="center"/>
                </w:tcPr>
                <w:p w14:paraId="004F7E10">
                  <w:pPr>
                    <w:jc w:val="center"/>
                    <w:rPr>
                      <w:rFonts w:hint="eastAsia"/>
                      <w:szCs w:val="21"/>
                    </w:rPr>
                  </w:pPr>
                  <w:r>
                    <w:rPr>
                      <w:rFonts w:hint="eastAsia"/>
                      <w:szCs w:val="21"/>
                    </w:rPr>
                    <w:t>1</w:t>
                  </w:r>
                </w:p>
              </w:tc>
              <w:tc>
                <w:tcPr>
                  <w:tcW w:w="936" w:type="pct"/>
                  <w:noWrap w:val="0"/>
                  <w:vAlign w:val="center"/>
                </w:tcPr>
                <w:p w14:paraId="6FFA7E29">
                  <w:pPr>
                    <w:jc w:val="center"/>
                    <w:rPr>
                      <w:rFonts w:hint="eastAsia"/>
                      <w:szCs w:val="21"/>
                    </w:rPr>
                  </w:pPr>
                  <w:r>
                    <w:rPr>
                      <w:rFonts w:hint="eastAsia"/>
                      <w:szCs w:val="21"/>
                    </w:rPr>
                    <w:t>巴州博湖县仓储物流园内辣椒食品加工</w:t>
                  </w:r>
                  <w:r>
                    <w:rPr>
                      <w:rFonts w:hint="eastAsia"/>
                      <w:szCs w:val="21"/>
                      <w:lang w:val="en-US" w:eastAsia="zh-CN"/>
                    </w:rPr>
                    <w:t>等企</w:t>
                  </w:r>
                  <w:r>
                    <w:rPr>
                      <w:rFonts w:hint="eastAsia"/>
                      <w:szCs w:val="21"/>
                    </w:rPr>
                    <w:t>业产生的工业废水</w:t>
                  </w:r>
                </w:p>
              </w:tc>
              <w:tc>
                <w:tcPr>
                  <w:tcW w:w="592" w:type="pct"/>
                  <w:noWrap w:val="0"/>
                  <w:vAlign w:val="center"/>
                </w:tcPr>
                <w:p w14:paraId="7F302A7D">
                  <w:pPr>
                    <w:jc w:val="center"/>
                    <w:rPr>
                      <w:rFonts w:hint="default" w:eastAsia="宋体"/>
                      <w:color w:val="000000"/>
                      <w:szCs w:val="21"/>
                      <w:lang w:val="en-US" w:eastAsia="zh-CN"/>
                    </w:rPr>
                  </w:pPr>
                  <w:r>
                    <w:rPr>
                      <w:rFonts w:hint="eastAsia"/>
                      <w:color w:val="000000"/>
                      <w:szCs w:val="21"/>
                      <w:lang w:val="en-US" w:eastAsia="zh-CN"/>
                    </w:rPr>
                    <w:t>1000</w:t>
                  </w:r>
                </w:p>
              </w:tc>
              <w:tc>
                <w:tcPr>
                  <w:tcW w:w="1091" w:type="pct"/>
                  <w:noWrap w:val="0"/>
                  <w:tcMar>
                    <w:left w:w="0" w:type="dxa"/>
                    <w:right w:w="0" w:type="dxa"/>
                  </w:tcMar>
                  <w:vAlign w:val="center"/>
                </w:tcPr>
                <w:p w14:paraId="0045801F">
                  <w:pPr>
                    <w:jc w:val="center"/>
                    <w:rPr>
                      <w:color w:val="auto"/>
                      <w:szCs w:val="21"/>
                    </w:rPr>
                  </w:pPr>
                  <w:r>
                    <w:rPr>
                      <w:rFonts w:hint="eastAsia"/>
                      <w:color w:val="auto"/>
                      <w:szCs w:val="21"/>
                    </w:rPr>
                    <w:t>“格栅+调节+隔油沉淀+气浮+厌氧+A/O生物处理+混凝沉淀+活性炭过滤+消毒”</w:t>
                  </w:r>
                </w:p>
              </w:tc>
              <w:tc>
                <w:tcPr>
                  <w:tcW w:w="636" w:type="pct"/>
                  <w:noWrap w:val="0"/>
                  <w:tcMar>
                    <w:left w:w="0" w:type="dxa"/>
                    <w:right w:w="0" w:type="dxa"/>
                  </w:tcMar>
                  <w:vAlign w:val="center"/>
                </w:tcPr>
                <w:p w14:paraId="5AA3F239">
                  <w:pPr>
                    <w:jc w:val="center"/>
                    <w:rPr>
                      <w:color w:val="auto"/>
                      <w:szCs w:val="21"/>
                    </w:rPr>
                  </w:pPr>
                  <w:r>
                    <w:rPr>
                      <w:rFonts w:hint="eastAsia"/>
                      <w:color w:val="auto"/>
                      <w:szCs w:val="21"/>
                    </w:rPr>
                    <w:t>365天、年运行8760小时</w:t>
                  </w:r>
                </w:p>
              </w:tc>
              <w:tc>
                <w:tcPr>
                  <w:tcW w:w="1403" w:type="pct"/>
                  <w:noWrap w:val="0"/>
                  <w:tcMar>
                    <w:left w:w="0" w:type="dxa"/>
                    <w:right w:w="0" w:type="dxa"/>
                  </w:tcMar>
                  <w:vAlign w:val="center"/>
                </w:tcPr>
                <w:p w14:paraId="2A580B24">
                  <w:pPr>
                    <w:jc w:val="center"/>
                    <w:rPr>
                      <w:rFonts w:hint="eastAsia" w:eastAsia="宋体"/>
                      <w:color w:val="auto"/>
                      <w:szCs w:val="21"/>
                      <w:lang w:val="en-US" w:eastAsia="zh-CN"/>
                    </w:rPr>
                  </w:pPr>
                  <w:r>
                    <w:rPr>
                      <w:rFonts w:hint="eastAsia"/>
                      <w:color w:val="auto"/>
                      <w:szCs w:val="21"/>
                    </w:rPr>
                    <w:t>《城镇污水处理厂污染物排放标准》（GB18918-2002）一级A标准</w:t>
                  </w:r>
                  <w:r>
                    <w:rPr>
                      <w:rFonts w:hint="eastAsia"/>
                      <w:color w:val="auto"/>
                      <w:szCs w:val="21"/>
                      <w:lang w:eastAsia="zh-CN"/>
                    </w:rPr>
                    <w:t>；</w:t>
                  </w:r>
                  <w:r>
                    <w:rPr>
                      <w:rFonts w:hint="eastAsia"/>
                      <w:color w:val="auto"/>
                      <w:szCs w:val="21"/>
                    </w:rPr>
                    <w:t>出水同时需要执行《城市污水再生利用 景观环境用水水质》（GB/T 18921-2019）中湿地环境用水相关要求标准</w:t>
                  </w:r>
                </w:p>
              </w:tc>
            </w:tr>
          </w:tbl>
          <w:p w14:paraId="51DC6BE3">
            <w:pPr>
              <w:spacing w:before="120" w:beforeLines="50" w:line="360" w:lineRule="auto"/>
              <w:rPr>
                <w:b/>
                <w:bCs/>
                <w:sz w:val="24"/>
              </w:rPr>
            </w:pPr>
            <w:r>
              <w:rPr>
                <w:rFonts w:hint="eastAsia"/>
                <w:b/>
                <w:bCs/>
                <w:sz w:val="24"/>
                <w:lang w:val="en-US" w:eastAsia="zh-CN"/>
              </w:rPr>
              <w:t>6</w:t>
            </w:r>
            <w:r>
              <w:rPr>
                <w:b/>
                <w:bCs/>
                <w:sz w:val="24"/>
              </w:rPr>
              <w:t xml:space="preserve"> 主要设备</w:t>
            </w:r>
          </w:p>
          <w:p w14:paraId="3D897958">
            <w:pPr>
              <w:spacing w:line="360" w:lineRule="auto"/>
              <w:ind w:firstLine="480" w:firstLineChars="200"/>
              <w:rPr>
                <w:sz w:val="24"/>
              </w:rPr>
            </w:pPr>
            <w:r>
              <w:rPr>
                <w:sz w:val="24"/>
              </w:rPr>
              <w:t>本项目主要设备见</w:t>
            </w:r>
            <w:r>
              <w:rPr>
                <w:rFonts w:hint="eastAsia"/>
                <w:sz w:val="24"/>
              </w:rPr>
              <w:t>下表</w:t>
            </w:r>
            <w:r>
              <w:rPr>
                <w:sz w:val="24"/>
              </w:rPr>
              <w:t>。</w:t>
            </w:r>
          </w:p>
          <w:p w14:paraId="57F1C308">
            <w:pPr>
              <w:ind w:firstLine="482" w:firstLineChars="200"/>
              <w:jc w:val="center"/>
              <w:rPr>
                <w:b/>
                <w:sz w:val="24"/>
              </w:rPr>
            </w:pPr>
            <w:r>
              <w:rPr>
                <w:b/>
                <w:sz w:val="24"/>
              </w:rPr>
              <w:t>表</w:t>
            </w:r>
            <w:r>
              <w:rPr>
                <w:rFonts w:hint="eastAsia"/>
                <w:b/>
                <w:sz w:val="24"/>
                <w:lang w:val="en-US" w:eastAsia="zh-CN"/>
              </w:rPr>
              <w:t>2-4</w:t>
            </w:r>
            <w:r>
              <w:rPr>
                <w:b/>
                <w:sz w:val="24"/>
              </w:rPr>
              <w:t xml:space="preserve">   主要设备一览表</w:t>
            </w:r>
          </w:p>
          <w:tbl>
            <w:tblPr>
              <w:tblStyle w:val="22"/>
              <w:tblW w:w="8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552"/>
              <w:gridCol w:w="825"/>
              <w:gridCol w:w="1211"/>
              <w:gridCol w:w="2769"/>
              <w:gridCol w:w="780"/>
              <w:gridCol w:w="690"/>
              <w:gridCol w:w="987"/>
            </w:tblGrid>
            <w:tr w14:paraId="0BC2A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blHeader/>
                <w:jc w:val="center"/>
              </w:trPr>
              <w:tc>
                <w:tcPr>
                  <w:tcW w:w="536" w:type="dxa"/>
                  <w:noWrap w:val="0"/>
                  <w:vAlign w:val="center"/>
                </w:tcPr>
                <w:p w14:paraId="2DF4001E">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rPr>
                    <w:t>序号</w:t>
                  </w:r>
                </w:p>
              </w:tc>
              <w:tc>
                <w:tcPr>
                  <w:tcW w:w="552" w:type="dxa"/>
                  <w:noWrap w:val="0"/>
                  <w:vAlign w:val="center"/>
                </w:tcPr>
                <w:p w14:paraId="63600281">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eastAsia="zh-CN"/>
                    </w:rPr>
                  </w:pPr>
                  <w:r>
                    <w:rPr>
                      <w:rFonts w:hint="default" w:asciiTheme="majorAscii" w:hAnsiTheme="majorAscii"/>
                      <w:sz w:val="21"/>
                      <w:szCs w:val="21"/>
                      <w:lang w:eastAsia="zh-CN"/>
                    </w:rPr>
                    <w:t>生产单元</w:t>
                  </w:r>
                </w:p>
              </w:tc>
              <w:tc>
                <w:tcPr>
                  <w:tcW w:w="825" w:type="dxa"/>
                  <w:noWrap w:val="0"/>
                  <w:vAlign w:val="center"/>
                </w:tcPr>
                <w:p w14:paraId="6A72246A">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eastAsia="zh-CN"/>
                    </w:rPr>
                  </w:pPr>
                  <w:r>
                    <w:rPr>
                      <w:rFonts w:hint="default" w:asciiTheme="majorAscii" w:hAnsiTheme="majorAscii"/>
                      <w:sz w:val="21"/>
                      <w:szCs w:val="21"/>
                      <w:lang w:eastAsia="zh-CN"/>
                    </w:rPr>
                    <w:t>生产工艺</w:t>
                  </w:r>
                </w:p>
              </w:tc>
              <w:tc>
                <w:tcPr>
                  <w:tcW w:w="1211" w:type="dxa"/>
                  <w:noWrap w:val="0"/>
                  <w:vAlign w:val="center"/>
                </w:tcPr>
                <w:p w14:paraId="32A2E98B">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rPr>
                    <w:t>名称</w:t>
                  </w:r>
                </w:p>
              </w:tc>
              <w:tc>
                <w:tcPr>
                  <w:tcW w:w="2769" w:type="dxa"/>
                  <w:noWrap w:val="0"/>
                  <w:vAlign w:val="center"/>
                </w:tcPr>
                <w:p w14:paraId="695915A7">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rPr>
                    <w:t>规格</w:t>
                  </w:r>
                </w:p>
              </w:tc>
              <w:tc>
                <w:tcPr>
                  <w:tcW w:w="780" w:type="dxa"/>
                  <w:noWrap w:val="0"/>
                  <w:vAlign w:val="center"/>
                </w:tcPr>
                <w:p w14:paraId="415A15DF">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rPr>
                    <w:t>单位</w:t>
                  </w:r>
                </w:p>
              </w:tc>
              <w:tc>
                <w:tcPr>
                  <w:tcW w:w="690" w:type="dxa"/>
                  <w:noWrap w:val="0"/>
                  <w:vAlign w:val="center"/>
                </w:tcPr>
                <w:p w14:paraId="1965BDCA">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rPr>
                    <w:t>数量</w:t>
                  </w:r>
                </w:p>
              </w:tc>
              <w:tc>
                <w:tcPr>
                  <w:tcW w:w="987" w:type="dxa"/>
                  <w:noWrap w:val="0"/>
                  <w:vAlign w:val="center"/>
                </w:tcPr>
                <w:p w14:paraId="45789B3E">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rPr>
                    <w:t>备注</w:t>
                  </w:r>
                </w:p>
              </w:tc>
            </w:tr>
            <w:tr w14:paraId="6D37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36" w:type="dxa"/>
                  <w:noWrap w:val="0"/>
                  <w:vAlign w:val="center"/>
                </w:tcPr>
                <w:p w14:paraId="7F404B4D">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1</w:t>
                  </w:r>
                </w:p>
              </w:tc>
              <w:tc>
                <w:tcPr>
                  <w:tcW w:w="552" w:type="dxa"/>
                  <w:vMerge w:val="restart"/>
                  <w:noWrap w:val="0"/>
                  <w:vAlign w:val="center"/>
                </w:tcPr>
                <w:p w14:paraId="741D0B84">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eastAsia="zh-CN"/>
                    </w:rPr>
                  </w:pPr>
                  <w:r>
                    <w:rPr>
                      <w:rFonts w:hint="default" w:asciiTheme="majorAscii" w:hAnsiTheme="majorAscii"/>
                      <w:sz w:val="21"/>
                      <w:szCs w:val="21"/>
                      <w:lang w:eastAsia="zh-CN"/>
                    </w:rPr>
                    <w:t>污水处理</w:t>
                  </w:r>
                </w:p>
              </w:tc>
              <w:tc>
                <w:tcPr>
                  <w:tcW w:w="825" w:type="dxa"/>
                  <w:vMerge w:val="restart"/>
                  <w:noWrap w:val="0"/>
                  <w:vAlign w:val="center"/>
                </w:tcPr>
                <w:p w14:paraId="48DDFED1">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预处理系统</w:t>
                  </w:r>
                </w:p>
              </w:tc>
              <w:tc>
                <w:tcPr>
                  <w:tcW w:w="1211" w:type="dxa"/>
                  <w:noWrap w:val="0"/>
                  <w:vAlign w:val="center"/>
                </w:tcPr>
                <w:p w14:paraId="2B0F3E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机械格栅</w:t>
                  </w:r>
                </w:p>
              </w:tc>
              <w:tc>
                <w:tcPr>
                  <w:tcW w:w="2769" w:type="dxa"/>
                  <w:noWrap w:val="0"/>
                  <w:vAlign w:val="center"/>
                </w:tcPr>
                <w:p w14:paraId="1BBFC6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渠道宽800mm，栅隙5mm，功率1.5kW</w:t>
                  </w:r>
                </w:p>
              </w:tc>
              <w:tc>
                <w:tcPr>
                  <w:tcW w:w="780" w:type="dxa"/>
                  <w:noWrap w:val="0"/>
                  <w:vAlign w:val="center"/>
                </w:tcPr>
                <w:p w14:paraId="7A7B19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台</w:t>
                  </w:r>
                </w:p>
              </w:tc>
              <w:tc>
                <w:tcPr>
                  <w:tcW w:w="690" w:type="dxa"/>
                  <w:noWrap w:val="0"/>
                  <w:vAlign w:val="center"/>
                </w:tcPr>
                <w:p w14:paraId="031B39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2</w:t>
                  </w:r>
                </w:p>
              </w:tc>
              <w:tc>
                <w:tcPr>
                  <w:tcW w:w="987" w:type="dxa"/>
                  <w:noWrap w:val="0"/>
                  <w:vAlign w:val="center"/>
                </w:tcPr>
                <w:p w14:paraId="2F9412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asciiTheme="majorAscii" w:hAnsiTheme="majorAscii"/>
                      <w:sz w:val="21"/>
                      <w:szCs w:val="21"/>
                      <w:lang w:eastAsia="zh-CN"/>
                    </w:rPr>
                  </w:pPr>
                  <w:r>
                    <w:rPr>
                      <w:rFonts w:hint="default" w:eastAsia="宋体" w:cs="宋体" w:asciiTheme="majorAscii" w:hAnsiTheme="majorAscii"/>
                      <w:i w:val="0"/>
                      <w:iCs w:val="0"/>
                      <w:color w:val="000000"/>
                      <w:kern w:val="0"/>
                      <w:sz w:val="21"/>
                      <w:szCs w:val="21"/>
                      <w:u w:val="none"/>
                      <w:lang w:val="en-US" w:eastAsia="zh-CN" w:bidi="ar"/>
                    </w:rPr>
                    <w:t>1用1备</w:t>
                  </w:r>
                </w:p>
              </w:tc>
            </w:tr>
            <w:tr w14:paraId="59FD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36" w:type="dxa"/>
                  <w:noWrap w:val="0"/>
                  <w:vAlign w:val="center"/>
                </w:tcPr>
                <w:p w14:paraId="02B5A1ED">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2</w:t>
                  </w:r>
                </w:p>
              </w:tc>
              <w:tc>
                <w:tcPr>
                  <w:tcW w:w="552" w:type="dxa"/>
                  <w:vMerge w:val="continue"/>
                  <w:noWrap w:val="0"/>
                  <w:vAlign w:val="center"/>
                </w:tcPr>
                <w:p w14:paraId="0425A236">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4DE999C0">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19A3FF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asciiTheme="majorAscii" w:hAnsiTheme="majorAscii"/>
                      <w:sz w:val="21"/>
                      <w:szCs w:val="21"/>
                      <w:lang w:eastAsia="zh-CN"/>
                    </w:rPr>
                  </w:pPr>
                  <w:r>
                    <w:rPr>
                      <w:rFonts w:hint="default" w:eastAsia="宋体" w:cs="宋体" w:asciiTheme="majorAscii" w:hAnsiTheme="majorAscii"/>
                      <w:i w:val="0"/>
                      <w:iCs w:val="0"/>
                      <w:color w:val="000000"/>
                      <w:kern w:val="0"/>
                      <w:sz w:val="21"/>
                      <w:szCs w:val="21"/>
                      <w:u w:val="none"/>
                      <w:lang w:val="en-US" w:eastAsia="zh-CN" w:bidi="ar"/>
                    </w:rPr>
                    <w:t>调节池</w:t>
                  </w:r>
                </w:p>
              </w:tc>
              <w:tc>
                <w:tcPr>
                  <w:tcW w:w="2769" w:type="dxa"/>
                  <w:noWrap w:val="0"/>
                  <w:vAlign w:val="center"/>
                </w:tcPr>
                <w:p w14:paraId="66E89F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有效容积500m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，尺寸15m×8m×4.5m</w:t>
                  </w:r>
                </w:p>
              </w:tc>
              <w:tc>
                <w:tcPr>
                  <w:tcW w:w="780" w:type="dxa"/>
                  <w:noWrap w:val="0"/>
                  <w:vAlign w:val="center"/>
                </w:tcPr>
                <w:p w14:paraId="6D1778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座</w:t>
                  </w:r>
                </w:p>
              </w:tc>
              <w:tc>
                <w:tcPr>
                  <w:tcW w:w="690" w:type="dxa"/>
                  <w:noWrap w:val="0"/>
                  <w:vAlign w:val="center"/>
                </w:tcPr>
                <w:p w14:paraId="00ECEB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575305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w:t>
                  </w:r>
                </w:p>
              </w:tc>
            </w:tr>
            <w:tr w14:paraId="39A4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36" w:type="dxa"/>
                  <w:noWrap w:val="0"/>
                  <w:vAlign w:val="center"/>
                </w:tcPr>
                <w:p w14:paraId="11A733AF">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3</w:t>
                  </w:r>
                </w:p>
              </w:tc>
              <w:tc>
                <w:tcPr>
                  <w:tcW w:w="552" w:type="dxa"/>
                  <w:vMerge w:val="continue"/>
                  <w:noWrap w:val="0"/>
                  <w:vAlign w:val="center"/>
                </w:tcPr>
                <w:p w14:paraId="206D7DDD">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4905C657">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35E597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asciiTheme="majorAscii" w:hAnsiTheme="majorAscii"/>
                      <w:sz w:val="21"/>
                      <w:szCs w:val="21"/>
                      <w:lang w:eastAsia="zh-CN"/>
                    </w:rPr>
                  </w:pPr>
                  <w:r>
                    <w:rPr>
                      <w:rFonts w:hint="default" w:eastAsia="宋体" w:cs="宋体" w:asciiTheme="majorAscii" w:hAnsiTheme="majorAscii"/>
                      <w:i w:val="0"/>
                      <w:iCs w:val="0"/>
                      <w:color w:val="000000"/>
                      <w:kern w:val="0"/>
                      <w:sz w:val="21"/>
                      <w:szCs w:val="21"/>
                      <w:u w:val="none"/>
                      <w:lang w:val="en-US" w:eastAsia="zh-CN" w:bidi="ar"/>
                    </w:rPr>
                    <w:t>调节池潜水搅拌机</w:t>
                  </w:r>
                </w:p>
              </w:tc>
              <w:tc>
                <w:tcPr>
                  <w:tcW w:w="2769" w:type="dxa"/>
                  <w:noWrap w:val="0"/>
                  <w:vAlign w:val="center"/>
                </w:tcPr>
                <w:p w14:paraId="61404C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功率5.5kW，转速600r/min，桨叶直径1200mm</w:t>
                  </w:r>
                </w:p>
              </w:tc>
              <w:tc>
                <w:tcPr>
                  <w:tcW w:w="780" w:type="dxa"/>
                  <w:noWrap w:val="0"/>
                  <w:vAlign w:val="center"/>
                </w:tcPr>
                <w:p w14:paraId="2ABC24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台</w:t>
                  </w:r>
                </w:p>
              </w:tc>
              <w:tc>
                <w:tcPr>
                  <w:tcW w:w="690" w:type="dxa"/>
                  <w:noWrap w:val="0"/>
                  <w:vAlign w:val="center"/>
                </w:tcPr>
                <w:p w14:paraId="4483704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2</w:t>
                  </w:r>
                </w:p>
              </w:tc>
              <w:tc>
                <w:tcPr>
                  <w:tcW w:w="987" w:type="dxa"/>
                  <w:noWrap w:val="0"/>
                  <w:vAlign w:val="center"/>
                </w:tcPr>
                <w:p w14:paraId="13D8944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w:t>
                  </w:r>
                </w:p>
              </w:tc>
            </w:tr>
            <w:tr w14:paraId="5D11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36" w:type="dxa"/>
                  <w:noWrap w:val="0"/>
                  <w:vAlign w:val="center"/>
                </w:tcPr>
                <w:p w14:paraId="077C63E4">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4</w:t>
                  </w:r>
                </w:p>
              </w:tc>
              <w:tc>
                <w:tcPr>
                  <w:tcW w:w="552" w:type="dxa"/>
                  <w:vMerge w:val="continue"/>
                  <w:noWrap w:val="0"/>
                  <w:vAlign w:val="center"/>
                </w:tcPr>
                <w:p w14:paraId="20EED244">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404778EC">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557103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调节池提升泵</w:t>
                  </w:r>
                </w:p>
              </w:tc>
              <w:tc>
                <w:tcPr>
                  <w:tcW w:w="2769" w:type="dxa"/>
                  <w:noWrap w:val="0"/>
                  <w:vAlign w:val="center"/>
                </w:tcPr>
                <w:p w14:paraId="3CFF5F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Q=50m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/h</w:t>
                  </w:r>
                  <w:r>
                    <w:rPr>
                      <w:rFonts w:hint="default" w:cs="宋体" w:asciiTheme="majorAscii" w:hAnsiTheme="majorAscii"/>
                      <w:i w:val="0"/>
                      <w:iCs w:val="0"/>
                      <w:color w:val="000000"/>
                      <w:kern w:val="0"/>
                      <w:sz w:val="21"/>
                      <w:szCs w:val="21"/>
                      <w:u w:val="none"/>
                      <w:lang w:val="en-US" w:eastAsia="zh-CN" w:bidi="ar"/>
                    </w:rPr>
                    <w:t xml:space="preserve">, </w:t>
                  </w:r>
                  <w:r>
                    <w:rPr>
                      <w:rFonts w:hint="default" w:eastAsia="宋体" w:cs="宋体" w:asciiTheme="majorAscii" w:hAnsiTheme="majorAscii"/>
                      <w:i w:val="0"/>
                      <w:iCs w:val="0"/>
                      <w:color w:val="000000"/>
                      <w:kern w:val="0"/>
                      <w:sz w:val="21"/>
                      <w:szCs w:val="21"/>
                      <w:u w:val="none"/>
                      <w:lang w:val="en-US" w:eastAsia="zh-CN" w:bidi="ar"/>
                    </w:rPr>
                    <w:t>H=15m</w:t>
                  </w:r>
                  <w:r>
                    <w:rPr>
                      <w:rFonts w:hint="default" w:cs="宋体" w:asciiTheme="majorAscii" w:hAnsiTheme="majorAscii"/>
                      <w:i w:val="0"/>
                      <w:iCs w:val="0"/>
                      <w:color w:val="000000"/>
                      <w:kern w:val="0"/>
                      <w:sz w:val="21"/>
                      <w:szCs w:val="21"/>
                      <w:u w:val="none"/>
                      <w:lang w:val="en-US" w:eastAsia="zh-CN" w:bidi="ar"/>
                    </w:rPr>
                    <w:t xml:space="preserve">, </w:t>
                  </w:r>
                  <w:r>
                    <w:rPr>
                      <w:rFonts w:hint="default" w:eastAsia="宋体" w:cs="宋体" w:asciiTheme="majorAscii" w:hAnsiTheme="majorAscii"/>
                      <w:i w:val="0"/>
                      <w:iCs w:val="0"/>
                      <w:color w:val="000000"/>
                      <w:kern w:val="0"/>
                      <w:sz w:val="21"/>
                      <w:szCs w:val="21"/>
                      <w:u w:val="none"/>
                      <w:lang w:val="en-US" w:eastAsia="zh-CN" w:bidi="ar"/>
                    </w:rPr>
                    <w:t>N=4kW</w:t>
                  </w:r>
                </w:p>
              </w:tc>
              <w:tc>
                <w:tcPr>
                  <w:tcW w:w="780" w:type="dxa"/>
                  <w:noWrap w:val="0"/>
                  <w:vAlign w:val="center"/>
                </w:tcPr>
                <w:p w14:paraId="2D62EB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台</w:t>
                  </w:r>
                </w:p>
              </w:tc>
              <w:tc>
                <w:tcPr>
                  <w:tcW w:w="690" w:type="dxa"/>
                  <w:noWrap w:val="0"/>
                  <w:vAlign w:val="center"/>
                </w:tcPr>
                <w:p w14:paraId="44281AB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3</w:t>
                  </w:r>
                </w:p>
              </w:tc>
              <w:tc>
                <w:tcPr>
                  <w:tcW w:w="987" w:type="dxa"/>
                  <w:noWrap w:val="0"/>
                  <w:vAlign w:val="center"/>
                </w:tcPr>
                <w:p w14:paraId="171B89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2用1备</w:t>
                  </w:r>
                </w:p>
              </w:tc>
            </w:tr>
            <w:tr w14:paraId="0458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36" w:type="dxa"/>
                  <w:noWrap w:val="0"/>
                  <w:vAlign w:val="center"/>
                </w:tcPr>
                <w:p w14:paraId="38E71418">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5</w:t>
                  </w:r>
                </w:p>
              </w:tc>
              <w:tc>
                <w:tcPr>
                  <w:tcW w:w="552" w:type="dxa"/>
                  <w:vMerge w:val="continue"/>
                  <w:noWrap w:val="0"/>
                  <w:vAlign w:val="center"/>
                </w:tcPr>
                <w:p w14:paraId="0D551D31">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587B9C5E">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139A2D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lang w:eastAsia="zh-CN"/>
                    </w:rPr>
                  </w:pPr>
                  <w:r>
                    <w:rPr>
                      <w:rFonts w:hint="default" w:eastAsia="宋体" w:cs="宋体" w:asciiTheme="majorAscii" w:hAnsiTheme="majorAscii"/>
                      <w:i w:val="0"/>
                      <w:iCs w:val="0"/>
                      <w:color w:val="000000"/>
                      <w:kern w:val="0"/>
                      <w:sz w:val="21"/>
                      <w:szCs w:val="21"/>
                      <w:u w:val="none"/>
                      <w:lang w:val="en-US" w:eastAsia="zh-CN" w:bidi="ar"/>
                    </w:rPr>
                    <w:t>隔油沉淀池</w:t>
                  </w:r>
                </w:p>
              </w:tc>
              <w:tc>
                <w:tcPr>
                  <w:tcW w:w="2769" w:type="dxa"/>
                  <w:noWrap w:val="0"/>
                  <w:vAlign w:val="center"/>
                </w:tcPr>
                <w:p w14:paraId="77136A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有效容积200m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，尺寸10m×5m×4.5m，</w:t>
                  </w:r>
                </w:p>
              </w:tc>
              <w:tc>
                <w:tcPr>
                  <w:tcW w:w="780" w:type="dxa"/>
                  <w:noWrap w:val="0"/>
                  <w:vAlign w:val="center"/>
                </w:tcPr>
                <w:p w14:paraId="038CFC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座</w:t>
                  </w:r>
                </w:p>
              </w:tc>
              <w:tc>
                <w:tcPr>
                  <w:tcW w:w="690" w:type="dxa"/>
                  <w:noWrap w:val="0"/>
                  <w:vAlign w:val="center"/>
                </w:tcPr>
                <w:p w14:paraId="6587D8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00D9ED0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w:t>
                  </w:r>
                </w:p>
              </w:tc>
            </w:tr>
            <w:tr w14:paraId="3F904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36" w:type="dxa"/>
                  <w:noWrap w:val="0"/>
                  <w:vAlign w:val="center"/>
                </w:tcPr>
                <w:p w14:paraId="56E9D49D">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6</w:t>
                  </w:r>
                </w:p>
              </w:tc>
              <w:tc>
                <w:tcPr>
                  <w:tcW w:w="552" w:type="dxa"/>
                  <w:vMerge w:val="continue"/>
                  <w:noWrap w:val="0"/>
                  <w:vAlign w:val="center"/>
                </w:tcPr>
                <w:p w14:paraId="62DA6027">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10715492">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43FD18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lang w:eastAsia="zh-CN"/>
                    </w:rPr>
                  </w:pPr>
                  <w:r>
                    <w:rPr>
                      <w:rFonts w:hint="default" w:eastAsia="宋体" w:cs="宋体" w:asciiTheme="majorAscii" w:hAnsiTheme="majorAscii"/>
                      <w:i w:val="0"/>
                      <w:iCs w:val="0"/>
                      <w:color w:val="000000"/>
                      <w:kern w:val="0"/>
                      <w:sz w:val="21"/>
                      <w:szCs w:val="21"/>
                      <w:u w:val="none"/>
                      <w:lang w:val="en-US" w:eastAsia="zh-CN" w:bidi="ar"/>
                    </w:rPr>
                    <w:t>刮油刮泥机</w:t>
                  </w:r>
                </w:p>
              </w:tc>
              <w:tc>
                <w:tcPr>
                  <w:tcW w:w="2769" w:type="dxa"/>
                  <w:noWrap w:val="0"/>
                  <w:vAlign w:val="center"/>
                </w:tcPr>
                <w:p w14:paraId="47AB454D">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跨度5m，功率1.1kW，刮板材质HDPE</w:t>
                  </w:r>
                </w:p>
              </w:tc>
              <w:tc>
                <w:tcPr>
                  <w:tcW w:w="780" w:type="dxa"/>
                  <w:noWrap w:val="0"/>
                  <w:vAlign w:val="center"/>
                </w:tcPr>
                <w:p w14:paraId="67AC31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台</w:t>
                  </w:r>
                </w:p>
              </w:tc>
              <w:tc>
                <w:tcPr>
                  <w:tcW w:w="690" w:type="dxa"/>
                  <w:noWrap w:val="0"/>
                  <w:vAlign w:val="center"/>
                </w:tcPr>
                <w:p w14:paraId="445ACD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51EADE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w:t>
                  </w:r>
                </w:p>
              </w:tc>
            </w:tr>
            <w:tr w14:paraId="6B5D6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536" w:type="dxa"/>
                  <w:noWrap w:val="0"/>
                  <w:vAlign w:val="center"/>
                </w:tcPr>
                <w:p w14:paraId="0CBEC26F">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7</w:t>
                  </w:r>
                </w:p>
              </w:tc>
              <w:tc>
                <w:tcPr>
                  <w:tcW w:w="552" w:type="dxa"/>
                  <w:vMerge w:val="continue"/>
                  <w:noWrap w:val="0"/>
                  <w:vAlign w:val="center"/>
                </w:tcPr>
                <w:p w14:paraId="041AD297">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restart"/>
                  <w:noWrap w:val="0"/>
                  <w:vAlign w:val="center"/>
                </w:tcPr>
                <w:p w14:paraId="20A17DBB">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生化处理系统</w:t>
                  </w:r>
                </w:p>
              </w:tc>
              <w:tc>
                <w:tcPr>
                  <w:tcW w:w="1211" w:type="dxa"/>
                  <w:noWrap w:val="0"/>
                  <w:vAlign w:val="center"/>
                </w:tcPr>
                <w:p w14:paraId="4AA3FC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溶气气浮机</w:t>
                  </w:r>
                </w:p>
              </w:tc>
              <w:tc>
                <w:tcPr>
                  <w:tcW w:w="2769" w:type="dxa"/>
                  <w:noWrap w:val="0"/>
                  <w:vAlign w:val="center"/>
                </w:tcPr>
                <w:p w14:paraId="7C0D47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处理量50m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/h，有效容积15m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，功率7.5kW</w:t>
                  </w:r>
                </w:p>
              </w:tc>
              <w:tc>
                <w:tcPr>
                  <w:tcW w:w="780" w:type="dxa"/>
                  <w:noWrap w:val="0"/>
                  <w:vAlign w:val="center"/>
                </w:tcPr>
                <w:p w14:paraId="6EEDBA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台</w:t>
                  </w:r>
                </w:p>
              </w:tc>
              <w:tc>
                <w:tcPr>
                  <w:tcW w:w="690" w:type="dxa"/>
                  <w:noWrap w:val="0"/>
                  <w:vAlign w:val="center"/>
                </w:tcPr>
                <w:p w14:paraId="3633EB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2</w:t>
                  </w:r>
                </w:p>
              </w:tc>
              <w:tc>
                <w:tcPr>
                  <w:tcW w:w="987" w:type="dxa"/>
                  <w:noWrap w:val="0"/>
                  <w:vAlign w:val="center"/>
                </w:tcPr>
                <w:p w14:paraId="22AA42B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1用1备</w:t>
                  </w:r>
                </w:p>
              </w:tc>
            </w:tr>
            <w:tr w14:paraId="6324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75957257">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8</w:t>
                  </w:r>
                </w:p>
              </w:tc>
              <w:tc>
                <w:tcPr>
                  <w:tcW w:w="552" w:type="dxa"/>
                  <w:vMerge w:val="continue"/>
                  <w:noWrap w:val="0"/>
                  <w:vAlign w:val="center"/>
                </w:tcPr>
                <w:p w14:paraId="453FD46B">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1F1F43BC">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eastAsia="zh-CN"/>
                    </w:rPr>
                  </w:pPr>
                </w:p>
              </w:tc>
              <w:tc>
                <w:tcPr>
                  <w:tcW w:w="1211" w:type="dxa"/>
                  <w:noWrap w:val="0"/>
                  <w:vAlign w:val="center"/>
                </w:tcPr>
                <w:p w14:paraId="3A499C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气浮机配套空压机</w:t>
                  </w:r>
                </w:p>
              </w:tc>
              <w:tc>
                <w:tcPr>
                  <w:tcW w:w="2769" w:type="dxa"/>
                  <w:noWrap w:val="0"/>
                  <w:vAlign w:val="center"/>
                </w:tcPr>
                <w:p w14:paraId="2D888E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排气量3m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/min，压力0.6MPa，功率15kW</w:t>
                  </w:r>
                </w:p>
              </w:tc>
              <w:tc>
                <w:tcPr>
                  <w:tcW w:w="780" w:type="dxa"/>
                  <w:noWrap w:val="0"/>
                  <w:vAlign w:val="center"/>
                </w:tcPr>
                <w:p w14:paraId="37AC4B0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台</w:t>
                  </w:r>
                </w:p>
              </w:tc>
              <w:tc>
                <w:tcPr>
                  <w:tcW w:w="690" w:type="dxa"/>
                  <w:noWrap w:val="0"/>
                  <w:vAlign w:val="center"/>
                </w:tcPr>
                <w:p w14:paraId="022DAF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2</w:t>
                  </w:r>
                </w:p>
              </w:tc>
              <w:tc>
                <w:tcPr>
                  <w:tcW w:w="987" w:type="dxa"/>
                  <w:noWrap w:val="0"/>
                  <w:vAlign w:val="center"/>
                </w:tcPr>
                <w:p w14:paraId="7D321D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4373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5A712FA3">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9</w:t>
                  </w:r>
                </w:p>
              </w:tc>
              <w:tc>
                <w:tcPr>
                  <w:tcW w:w="552" w:type="dxa"/>
                  <w:vMerge w:val="continue"/>
                  <w:noWrap w:val="0"/>
                  <w:vAlign w:val="center"/>
                </w:tcPr>
                <w:p w14:paraId="2DBEAEBE">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13860E08">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132C63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厌氧塔</w:t>
                  </w:r>
                </w:p>
              </w:tc>
              <w:tc>
                <w:tcPr>
                  <w:tcW w:w="2769" w:type="dxa"/>
                  <w:noWrap w:val="0"/>
                  <w:vAlign w:val="center"/>
                </w:tcPr>
                <w:p w14:paraId="6397AA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有效容积800m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，直径8m，高度16m，上升流速0.6m/h</w:t>
                  </w:r>
                </w:p>
              </w:tc>
              <w:tc>
                <w:tcPr>
                  <w:tcW w:w="780" w:type="dxa"/>
                  <w:noWrap w:val="0"/>
                  <w:vAlign w:val="center"/>
                </w:tcPr>
                <w:p w14:paraId="3C6E2D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座</w:t>
                  </w:r>
                </w:p>
              </w:tc>
              <w:tc>
                <w:tcPr>
                  <w:tcW w:w="690" w:type="dxa"/>
                  <w:noWrap w:val="0"/>
                  <w:vAlign w:val="center"/>
                </w:tcPr>
                <w:p w14:paraId="0B0A39E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514378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34C2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3F819EFE">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10</w:t>
                  </w:r>
                </w:p>
              </w:tc>
              <w:tc>
                <w:tcPr>
                  <w:tcW w:w="552" w:type="dxa"/>
                  <w:vMerge w:val="continue"/>
                  <w:noWrap w:val="0"/>
                  <w:vAlign w:val="center"/>
                </w:tcPr>
                <w:p w14:paraId="3A7B5E72">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3B43EC79">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721592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厌氧塔布水器</w:t>
                  </w:r>
                </w:p>
              </w:tc>
              <w:tc>
                <w:tcPr>
                  <w:tcW w:w="2769" w:type="dxa"/>
                  <w:noWrap w:val="0"/>
                  <w:vAlign w:val="center"/>
                </w:tcPr>
                <w:p w14:paraId="46B71A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流量50m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/h，材质304不锈钢</w:t>
                  </w:r>
                </w:p>
              </w:tc>
              <w:tc>
                <w:tcPr>
                  <w:tcW w:w="780" w:type="dxa"/>
                  <w:noWrap w:val="0"/>
                  <w:vAlign w:val="center"/>
                </w:tcPr>
                <w:p w14:paraId="6DC0AC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套</w:t>
                  </w:r>
                </w:p>
              </w:tc>
              <w:tc>
                <w:tcPr>
                  <w:tcW w:w="690" w:type="dxa"/>
                  <w:noWrap w:val="0"/>
                  <w:vAlign w:val="center"/>
                </w:tcPr>
                <w:p w14:paraId="03E88E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2931E2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6577D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01EFF3F0">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11</w:t>
                  </w:r>
                </w:p>
              </w:tc>
              <w:tc>
                <w:tcPr>
                  <w:tcW w:w="552" w:type="dxa"/>
                  <w:vMerge w:val="continue"/>
                  <w:noWrap w:val="0"/>
                  <w:vAlign w:val="center"/>
                </w:tcPr>
                <w:p w14:paraId="227426F1">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3B1AAC2A">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eastAsia="zh-CN"/>
                    </w:rPr>
                  </w:pPr>
                </w:p>
              </w:tc>
              <w:tc>
                <w:tcPr>
                  <w:tcW w:w="1211" w:type="dxa"/>
                  <w:noWrap w:val="0"/>
                  <w:vAlign w:val="center"/>
                </w:tcPr>
                <w:p w14:paraId="4A84A4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厌氧塔三相分离器</w:t>
                  </w:r>
                </w:p>
              </w:tc>
              <w:tc>
                <w:tcPr>
                  <w:tcW w:w="2769" w:type="dxa"/>
                  <w:noWrap w:val="0"/>
                  <w:vAlign w:val="center"/>
                </w:tcPr>
                <w:p w14:paraId="63960A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适配塔径8m，分离效率≥95%</w:t>
                  </w:r>
                </w:p>
              </w:tc>
              <w:tc>
                <w:tcPr>
                  <w:tcW w:w="780" w:type="dxa"/>
                  <w:noWrap w:val="0"/>
                  <w:vAlign w:val="center"/>
                </w:tcPr>
                <w:p w14:paraId="4721650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套</w:t>
                  </w:r>
                </w:p>
              </w:tc>
              <w:tc>
                <w:tcPr>
                  <w:tcW w:w="690" w:type="dxa"/>
                  <w:noWrap w:val="0"/>
                  <w:vAlign w:val="center"/>
                </w:tcPr>
                <w:p w14:paraId="5D6834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658228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07D30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63030143">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12</w:t>
                  </w:r>
                </w:p>
              </w:tc>
              <w:tc>
                <w:tcPr>
                  <w:tcW w:w="552" w:type="dxa"/>
                  <w:vMerge w:val="continue"/>
                  <w:noWrap w:val="0"/>
                  <w:vAlign w:val="center"/>
                </w:tcPr>
                <w:p w14:paraId="3595DFE4">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4A78E3A3">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600DF7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厌氧塔出水堰</w:t>
                  </w:r>
                </w:p>
              </w:tc>
              <w:tc>
                <w:tcPr>
                  <w:tcW w:w="2769" w:type="dxa"/>
                  <w:noWrap w:val="0"/>
                  <w:vAlign w:val="center"/>
                </w:tcPr>
                <w:p w14:paraId="54737C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周长25m</w:t>
                  </w:r>
                </w:p>
              </w:tc>
              <w:tc>
                <w:tcPr>
                  <w:tcW w:w="780" w:type="dxa"/>
                  <w:noWrap w:val="0"/>
                  <w:vAlign w:val="center"/>
                </w:tcPr>
                <w:p w14:paraId="24762B2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套</w:t>
                  </w:r>
                </w:p>
              </w:tc>
              <w:tc>
                <w:tcPr>
                  <w:tcW w:w="690" w:type="dxa"/>
                  <w:noWrap w:val="0"/>
                  <w:vAlign w:val="center"/>
                </w:tcPr>
                <w:p w14:paraId="6A8446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7AB05C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2CEB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57B48547">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13</w:t>
                  </w:r>
                </w:p>
              </w:tc>
              <w:tc>
                <w:tcPr>
                  <w:tcW w:w="552" w:type="dxa"/>
                  <w:vMerge w:val="continue"/>
                  <w:noWrap w:val="0"/>
                  <w:vAlign w:val="center"/>
                </w:tcPr>
                <w:p w14:paraId="670947CC">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512CAE64">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17004B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厌氧塔水封装置</w:t>
                  </w:r>
                </w:p>
              </w:tc>
              <w:tc>
                <w:tcPr>
                  <w:tcW w:w="2769" w:type="dxa"/>
                  <w:noWrap w:val="0"/>
                  <w:vAlign w:val="center"/>
                </w:tcPr>
                <w:p w14:paraId="49B9C0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容积0.5m³，材质碳钢防腐</w:t>
                  </w:r>
                </w:p>
              </w:tc>
              <w:tc>
                <w:tcPr>
                  <w:tcW w:w="780" w:type="dxa"/>
                  <w:noWrap w:val="0"/>
                  <w:vAlign w:val="center"/>
                </w:tcPr>
                <w:p w14:paraId="0A14B0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套</w:t>
                  </w:r>
                </w:p>
              </w:tc>
              <w:tc>
                <w:tcPr>
                  <w:tcW w:w="690" w:type="dxa"/>
                  <w:noWrap w:val="0"/>
                  <w:vAlign w:val="center"/>
                </w:tcPr>
                <w:p w14:paraId="1D1FF9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100B961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0F45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3A5CCD80">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14</w:t>
                  </w:r>
                </w:p>
              </w:tc>
              <w:tc>
                <w:tcPr>
                  <w:tcW w:w="552" w:type="dxa"/>
                  <w:vMerge w:val="continue"/>
                  <w:noWrap w:val="0"/>
                  <w:vAlign w:val="center"/>
                </w:tcPr>
                <w:p w14:paraId="61BE4765">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5B989DA0">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277EA3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A/O生物反应器（缺氧池+好氧池）</w:t>
                  </w:r>
                </w:p>
              </w:tc>
              <w:tc>
                <w:tcPr>
                  <w:tcW w:w="2769" w:type="dxa"/>
                  <w:noWrap w:val="0"/>
                  <w:vAlign w:val="center"/>
                </w:tcPr>
                <w:p w14:paraId="0F649A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有效容积1200m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（缺氧池400m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+好氧池800m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），尺寸20m×15m×4.5m</w:t>
                  </w:r>
                </w:p>
              </w:tc>
              <w:tc>
                <w:tcPr>
                  <w:tcW w:w="780" w:type="dxa"/>
                  <w:noWrap w:val="0"/>
                  <w:vAlign w:val="center"/>
                </w:tcPr>
                <w:p w14:paraId="443169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座</w:t>
                  </w:r>
                </w:p>
              </w:tc>
              <w:tc>
                <w:tcPr>
                  <w:tcW w:w="690" w:type="dxa"/>
                  <w:noWrap w:val="0"/>
                  <w:vAlign w:val="center"/>
                </w:tcPr>
                <w:p w14:paraId="2A6238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281D079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006F1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0B530161">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15</w:t>
                  </w:r>
                </w:p>
              </w:tc>
              <w:tc>
                <w:tcPr>
                  <w:tcW w:w="552" w:type="dxa"/>
                  <w:vMerge w:val="continue"/>
                  <w:noWrap w:val="0"/>
                  <w:vAlign w:val="center"/>
                </w:tcPr>
                <w:p w14:paraId="0BD81A4E">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07FD222B">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5FB7EB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缺氧池潜水搅拌机</w:t>
                  </w:r>
                </w:p>
              </w:tc>
              <w:tc>
                <w:tcPr>
                  <w:tcW w:w="2769" w:type="dxa"/>
                  <w:noWrap w:val="0"/>
                  <w:vAlign w:val="center"/>
                </w:tcPr>
                <w:p w14:paraId="3A1E07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功率 4kW，转速 750r/min，桨叶直径1000mm</w:t>
                  </w:r>
                </w:p>
              </w:tc>
              <w:tc>
                <w:tcPr>
                  <w:tcW w:w="780" w:type="dxa"/>
                  <w:noWrap w:val="0"/>
                  <w:vAlign w:val="center"/>
                </w:tcPr>
                <w:p w14:paraId="4B0653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台</w:t>
                  </w:r>
                </w:p>
              </w:tc>
              <w:tc>
                <w:tcPr>
                  <w:tcW w:w="690" w:type="dxa"/>
                  <w:noWrap w:val="0"/>
                  <w:vAlign w:val="center"/>
                </w:tcPr>
                <w:p w14:paraId="4C50B58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2</w:t>
                  </w:r>
                </w:p>
              </w:tc>
              <w:tc>
                <w:tcPr>
                  <w:tcW w:w="987" w:type="dxa"/>
                  <w:noWrap w:val="0"/>
                  <w:vAlign w:val="center"/>
                </w:tcPr>
                <w:p w14:paraId="61ABF7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3598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6262BB13">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16</w:t>
                  </w:r>
                </w:p>
              </w:tc>
              <w:tc>
                <w:tcPr>
                  <w:tcW w:w="552" w:type="dxa"/>
                  <w:vMerge w:val="continue"/>
                  <w:noWrap w:val="0"/>
                  <w:vAlign w:val="center"/>
                </w:tcPr>
                <w:p w14:paraId="228E3338">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6407328C">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05C100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好氧池曝气器</w:t>
                  </w:r>
                </w:p>
              </w:tc>
              <w:tc>
                <w:tcPr>
                  <w:tcW w:w="2769" w:type="dxa"/>
                  <w:noWrap w:val="0"/>
                  <w:vAlign w:val="center"/>
                </w:tcPr>
                <w:p w14:paraId="158230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膜片式，孔径2μm，服务面积0.5m</w:t>
                  </w:r>
                  <w:r>
                    <w:rPr>
                      <w:rFonts w:hint="default" w:eastAsia="宋体" w:cs="宋体" w:asciiTheme="majorAscii" w:hAnsiTheme="majorAscii"/>
                      <w:i w:val="0"/>
                      <w:iCs w:val="0"/>
                      <w:color w:val="000000"/>
                      <w:kern w:val="0"/>
                      <w:sz w:val="21"/>
                      <w:szCs w:val="21"/>
                      <w:u w:val="none"/>
                      <w:vertAlign w:val="superscript"/>
                      <w:lang w:val="en-US" w:eastAsia="zh-CN" w:bidi="ar"/>
                    </w:rPr>
                    <w:t>2</w:t>
                  </w:r>
                  <w:r>
                    <w:rPr>
                      <w:rFonts w:hint="default" w:eastAsia="宋体" w:cs="宋体" w:asciiTheme="majorAscii" w:hAnsiTheme="majorAscii"/>
                      <w:i w:val="0"/>
                      <w:iCs w:val="0"/>
                      <w:color w:val="000000"/>
                      <w:kern w:val="0"/>
                      <w:sz w:val="21"/>
                      <w:szCs w:val="21"/>
                      <w:u w:val="none"/>
                      <w:lang w:val="en-US" w:eastAsia="zh-CN" w:bidi="ar"/>
                    </w:rPr>
                    <w:t>/个</w:t>
                  </w:r>
                </w:p>
              </w:tc>
              <w:tc>
                <w:tcPr>
                  <w:tcW w:w="780" w:type="dxa"/>
                  <w:noWrap w:val="0"/>
                  <w:vAlign w:val="center"/>
                </w:tcPr>
                <w:p w14:paraId="7AB8F9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cs="宋体" w:asciiTheme="majorAscii" w:hAnsiTheme="majorAscii"/>
                      <w:i w:val="0"/>
                      <w:iCs w:val="0"/>
                      <w:color w:val="000000"/>
                      <w:kern w:val="0"/>
                      <w:sz w:val="21"/>
                      <w:szCs w:val="21"/>
                      <w:u w:val="none"/>
                      <w:lang w:val="en-US" w:eastAsia="zh-CN" w:bidi="ar"/>
                    </w:rPr>
                    <w:t>套</w:t>
                  </w:r>
                </w:p>
              </w:tc>
              <w:tc>
                <w:tcPr>
                  <w:tcW w:w="690" w:type="dxa"/>
                  <w:noWrap w:val="0"/>
                  <w:vAlign w:val="center"/>
                </w:tcPr>
                <w:p w14:paraId="792991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67B415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72CFA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5B788728">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17</w:t>
                  </w:r>
                </w:p>
              </w:tc>
              <w:tc>
                <w:tcPr>
                  <w:tcW w:w="552" w:type="dxa"/>
                  <w:vMerge w:val="continue"/>
                  <w:noWrap w:val="0"/>
                  <w:vAlign w:val="center"/>
                </w:tcPr>
                <w:p w14:paraId="63337E37">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29F3F6BE">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004528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曝气风机</w:t>
                  </w:r>
                </w:p>
              </w:tc>
              <w:tc>
                <w:tcPr>
                  <w:tcW w:w="2769" w:type="dxa"/>
                  <w:noWrap w:val="0"/>
                  <w:vAlign w:val="center"/>
                </w:tcPr>
                <w:p w14:paraId="623512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风量8m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/min，压力0.06MPa，功率18.5kW</w:t>
                  </w:r>
                </w:p>
              </w:tc>
              <w:tc>
                <w:tcPr>
                  <w:tcW w:w="780" w:type="dxa"/>
                  <w:noWrap w:val="0"/>
                  <w:vAlign w:val="center"/>
                </w:tcPr>
                <w:p w14:paraId="00D13B7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台</w:t>
                  </w:r>
                </w:p>
              </w:tc>
              <w:tc>
                <w:tcPr>
                  <w:tcW w:w="690" w:type="dxa"/>
                  <w:noWrap w:val="0"/>
                  <w:vAlign w:val="center"/>
                </w:tcPr>
                <w:p w14:paraId="58E049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3</w:t>
                  </w:r>
                </w:p>
              </w:tc>
              <w:tc>
                <w:tcPr>
                  <w:tcW w:w="987" w:type="dxa"/>
                  <w:noWrap w:val="0"/>
                  <w:vAlign w:val="center"/>
                </w:tcPr>
                <w:p w14:paraId="18052B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2用1备</w:t>
                  </w:r>
                </w:p>
              </w:tc>
            </w:tr>
            <w:tr w14:paraId="5211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564EBF28">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18</w:t>
                  </w:r>
                </w:p>
              </w:tc>
              <w:tc>
                <w:tcPr>
                  <w:tcW w:w="552" w:type="dxa"/>
                  <w:vMerge w:val="continue"/>
                  <w:noWrap w:val="0"/>
                  <w:vAlign w:val="center"/>
                </w:tcPr>
                <w:p w14:paraId="19CA7BAB">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6794266D">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0E7321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硝化液回流泵</w:t>
                  </w:r>
                </w:p>
              </w:tc>
              <w:tc>
                <w:tcPr>
                  <w:tcW w:w="2769" w:type="dxa"/>
                  <w:noWrap w:val="0"/>
                  <w:vAlign w:val="center"/>
                </w:tcPr>
                <w:p w14:paraId="05573A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Q=100m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/h</w:t>
                  </w:r>
                  <w:r>
                    <w:rPr>
                      <w:rFonts w:hint="default" w:cs="宋体" w:asciiTheme="majorAscii" w:hAnsiTheme="majorAscii"/>
                      <w:i w:val="0"/>
                      <w:iCs w:val="0"/>
                      <w:color w:val="000000"/>
                      <w:kern w:val="0"/>
                      <w:sz w:val="21"/>
                      <w:szCs w:val="21"/>
                      <w:u w:val="none"/>
                      <w:lang w:val="en-US" w:eastAsia="zh-CN" w:bidi="ar"/>
                    </w:rPr>
                    <w:t xml:space="preserve">, </w:t>
                  </w:r>
                  <w:r>
                    <w:rPr>
                      <w:rFonts w:hint="default" w:eastAsia="宋体" w:cs="宋体" w:asciiTheme="majorAscii" w:hAnsiTheme="majorAscii"/>
                      <w:i w:val="0"/>
                      <w:iCs w:val="0"/>
                      <w:color w:val="000000"/>
                      <w:kern w:val="0"/>
                      <w:sz w:val="21"/>
                      <w:szCs w:val="21"/>
                      <w:u w:val="none"/>
                      <w:lang w:val="en-US" w:eastAsia="zh-CN" w:bidi="ar"/>
                    </w:rPr>
                    <w:t>H=10m</w:t>
                  </w:r>
                  <w:r>
                    <w:rPr>
                      <w:rFonts w:hint="default" w:cs="宋体" w:asciiTheme="majorAscii" w:hAnsiTheme="majorAscii"/>
                      <w:i w:val="0"/>
                      <w:iCs w:val="0"/>
                      <w:color w:val="000000"/>
                      <w:kern w:val="0"/>
                      <w:sz w:val="21"/>
                      <w:szCs w:val="21"/>
                      <w:u w:val="none"/>
                      <w:lang w:val="en-US" w:eastAsia="zh-CN" w:bidi="ar"/>
                    </w:rPr>
                    <w:t xml:space="preserve">, </w:t>
                  </w:r>
                  <w:r>
                    <w:rPr>
                      <w:rFonts w:hint="default" w:eastAsia="宋体" w:cs="宋体" w:asciiTheme="majorAscii" w:hAnsiTheme="majorAscii"/>
                      <w:i w:val="0"/>
                      <w:iCs w:val="0"/>
                      <w:color w:val="000000"/>
                      <w:kern w:val="0"/>
                      <w:sz w:val="21"/>
                      <w:szCs w:val="21"/>
                      <w:u w:val="none"/>
                      <w:lang w:val="en-US" w:eastAsia="zh-CN" w:bidi="ar"/>
                    </w:rPr>
                    <w:t>N=5.5kW</w:t>
                  </w:r>
                </w:p>
              </w:tc>
              <w:tc>
                <w:tcPr>
                  <w:tcW w:w="780" w:type="dxa"/>
                  <w:noWrap w:val="0"/>
                  <w:vAlign w:val="center"/>
                </w:tcPr>
                <w:p w14:paraId="358533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台</w:t>
                  </w:r>
                </w:p>
              </w:tc>
              <w:tc>
                <w:tcPr>
                  <w:tcW w:w="690" w:type="dxa"/>
                  <w:noWrap w:val="0"/>
                  <w:vAlign w:val="center"/>
                </w:tcPr>
                <w:p w14:paraId="201DE1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2</w:t>
                  </w:r>
                </w:p>
              </w:tc>
              <w:tc>
                <w:tcPr>
                  <w:tcW w:w="987" w:type="dxa"/>
                  <w:noWrap w:val="0"/>
                  <w:vAlign w:val="center"/>
                </w:tcPr>
                <w:p w14:paraId="5A86FC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1用1备</w:t>
                  </w:r>
                </w:p>
              </w:tc>
            </w:tr>
            <w:tr w14:paraId="2F90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61F02119">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19</w:t>
                  </w:r>
                </w:p>
              </w:tc>
              <w:tc>
                <w:tcPr>
                  <w:tcW w:w="552" w:type="dxa"/>
                  <w:vMerge w:val="continue"/>
                  <w:noWrap w:val="0"/>
                  <w:vAlign w:val="center"/>
                </w:tcPr>
                <w:p w14:paraId="300A07B6">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restart"/>
                  <w:noWrap w:val="0"/>
                  <w:vAlign w:val="center"/>
                </w:tcPr>
                <w:p w14:paraId="15F52272">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eastAsia="宋体" w:asciiTheme="majorAscii" w:hAnsiTheme="majorAscii"/>
                      <w:sz w:val="21"/>
                      <w:szCs w:val="21"/>
                      <w:lang w:val="en-US" w:eastAsia="zh-CN"/>
                    </w:rPr>
                    <w:t>深度处理系统</w:t>
                  </w:r>
                </w:p>
                <w:p w14:paraId="471979A9">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eastAsia="zh-CN"/>
                    </w:rPr>
                  </w:pPr>
                </w:p>
              </w:tc>
              <w:tc>
                <w:tcPr>
                  <w:tcW w:w="1211" w:type="dxa"/>
                  <w:noWrap w:val="0"/>
                  <w:vAlign w:val="center"/>
                </w:tcPr>
                <w:p w14:paraId="2D1CA7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混凝沉淀池</w:t>
                  </w:r>
                </w:p>
              </w:tc>
              <w:tc>
                <w:tcPr>
                  <w:tcW w:w="2769" w:type="dxa"/>
                  <w:noWrap w:val="0"/>
                  <w:vAlign w:val="center"/>
                </w:tcPr>
                <w:p w14:paraId="1B4D7E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有效容积300m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，尺寸12m×6m×4.5m，表面负荷1.0m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/(m</w:t>
                  </w:r>
                  <w:r>
                    <w:rPr>
                      <w:rFonts w:hint="default" w:eastAsia="宋体" w:cs="宋体" w:asciiTheme="majorAscii" w:hAnsiTheme="majorAscii"/>
                      <w:i w:val="0"/>
                      <w:iCs w:val="0"/>
                      <w:color w:val="000000"/>
                      <w:kern w:val="0"/>
                      <w:sz w:val="21"/>
                      <w:szCs w:val="21"/>
                      <w:u w:val="none"/>
                      <w:vertAlign w:val="superscript"/>
                      <w:lang w:val="en-US" w:eastAsia="zh-CN" w:bidi="ar"/>
                    </w:rPr>
                    <w:t>2</w:t>
                  </w:r>
                  <w:r>
                    <w:rPr>
                      <w:rFonts w:hint="default" w:eastAsia="宋体" w:cs="宋体" w:asciiTheme="majorAscii" w:hAnsiTheme="majorAscii"/>
                      <w:i w:val="0"/>
                      <w:iCs w:val="0"/>
                      <w:color w:val="000000"/>
                      <w:kern w:val="0"/>
                      <w:sz w:val="21"/>
                      <w:szCs w:val="21"/>
                      <w:u w:val="none"/>
                      <w:lang w:val="en-US" w:eastAsia="zh-CN" w:bidi="ar"/>
                    </w:rPr>
                    <w:t>・h)</w:t>
                  </w:r>
                </w:p>
              </w:tc>
              <w:tc>
                <w:tcPr>
                  <w:tcW w:w="780" w:type="dxa"/>
                  <w:noWrap w:val="0"/>
                  <w:vAlign w:val="center"/>
                </w:tcPr>
                <w:p w14:paraId="1C336B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座</w:t>
                  </w:r>
                </w:p>
              </w:tc>
              <w:tc>
                <w:tcPr>
                  <w:tcW w:w="690" w:type="dxa"/>
                  <w:noWrap w:val="0"/>
                  <w:vAlign w:val="center"/>
                </w:tcPr>
                <w:p w14:paraId="11C950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51E7C2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187C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6D4D74B4">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20</w:t>
                  </w:r>
                </w:p>
              </w:tc>
              <w:tc>
                <w:tcPr>
                  <w:tcW w:w="552" w:type="dxa"/>
                  <w:vMerge w:val="continue"/>
                  <w:noWrap w:val="0"/>
                  <w:vAlign w:val="center"/>
                </w:tcPr>
                <w:p w14:paraId="3FF11756">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6315E7C0">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274E46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斜管填料</w:t>
                  </w:r>
                </w:p>
              </w:tc>
              <w:tc>
                <w:tcPr>
                  <w:tcW w:w="2769" w:type="dxa"/>
                  <w:noWrap w:val="0"/>
                  <w:vAlign w:val="center"/>
                </w:tcPr>
                <w:p w14:paraId="28EA1A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φ50mm，长度1000mm，材质PP</w:t>
                  </w:r>
                </w:p>
              </w:tc>
              <w:tc>
                <w:tcPr>
                  <w:tcW w:w="780" w:type="dxa"/>
                  <w:noWrap w:val="0"/>
                  <w:vAlign w:val="center"/>
                </w:tcPr>
                <w:p w14:paraId="332584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个</w:t>
                  </w:r>
                </w:p>
              </w:tc>
              <w:tc>
                <w:tcPr>
                  <w:tcW w:w="690" w:type="dxa"/>
                  <w:noWrap w:val="0"/>
                  <w:vAlign w:val="center"/>
                </w:tcPr>
                <w:p w14:paraId="43BFB89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72</w:t>
                  </w:r>
                </w:p>
              </w:tc>
              <w:tc>
                <w:tcPr>
                  <w:tcW w:w="987" w:type="dxa"/>
                  <w:noWrap w:val="0"/>
                  <w:vAlign w:val="center"/>
                </w:tcPr>
                <w:p w14:paraId="4E2238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40D76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0213CDB6">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21</w:t>
                  </w:r>
                </w:p>
              </w:tc>
              <w:tc>
                <w:tcPr>
                  <w:tcW w:w="552" w:type="dxa"/>
                  <w:vMerge w:val="continue"/>
                  <w:noWrap w:val="0"/>
                  <w:vAlign w:val="center"/>
                </w:tcPr>
                <w:p w14:paraId="5FD7C28A">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5FDA7C3B">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7AB31D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沉淀池刮泥机</w:t>
                  </w:r>
                </w:p>
              </w:tc>
              <w:tc>
                <w:tcPr>
                  <w:tcW w:w="2769" w:type="dxa"/>
                  <w:noWrap w:val="0"/>
                  <w:vAlign w:val="center"/>
                </w:tcPr>
                <w:p w14:paraId="7A0E80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跨度6m，功率0.75kW，刮板材质 HDPE</w:t>
                  </w:r>
                </w:p>
              </w:tc>
              <w:tc>
                <w:tcPr>
                  <w:tcW w:w="780" w:type="dxa"/>
                  <w:noWrap w:val="0"/>
                  <w:vAlign w:val="center"/>
                </w:tcPr>
                <w:p w14:paraId="7911D2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台</w:t>
                  </w:r>
                </w:p>
              </w:tc>
              <w:tc>
                <w:tcPr>
                  <w:tcW w:w="690" w:type="dxa"/>
                  <w:noWrap w:val="0"/>
                  <w:vAlign w:val="center"/>
                </w:tcPr>
                <w:p w14:paraId="345367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34A994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4FC5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02DE3B75">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22</w:t>
                  </w:r>
                </w:p>
              </w:tc>
              <w:tc>
                <w:tcPr>
                  <w:tcW w:w="552" w:type="dxa"/>
                  <w:vMerge w:val="continue"/>
                  <w:noWrap w:val="0"/>
                  <w:vAlign w:val="center"/>
                </w:tcPr>
                <w:p w14:paraId="2B7411B5">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43993238">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2B04D3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活性炭过滤器</w:t>
                  </w:r>
                </w:p>
              </w:tc>
              <w:tc>
                <w:tcPr>
                  <w:tcW w:w="2769" w:type="dxa"/>
                  <w:noWrap w:val="0"/>
                  <w:vAlign w:val="center"/>
                </w:tcPr>
                <w:p w14:paraId="6416E8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直径2.2m，高度 4.5m，滤速10m/h，活性炭填充量8m</w:t>
                  </w:r>
                  <w:r>
                    <w:rPr>
                      <w:rFonts w:hint="default" w:eastAsia="宋体" w:cs="宋体" w:asciiTheme="majorAscii" w:hAnsiTheme="majorAscii"/>
                      <w:i w:val="0"/>
                      <w:iCs w:val="0"/>
                      <w:color w:val="000000"/>
                      <w:kern w:val="0"/>
                      <w:sz w:val="21"/>
                      <w:szCs w:val="21"/>
                      <w:u w:val="none"/>
                      <w:vertAlign w:val="superscript"/>
                      <w:lang w:val="en-US" w:eastAsia="zh-CN" w:bidi="ar"/>
                    </w:rPr>
                    <w:t>3</w:t>
                  </w:r>
                </w:p>
              </w:tc>
              <w:tc>
                <w:tcPr>
                  <w:tcW w:w="780" w:type="dxa"/>
                  <w:noWrap w:val="0"/>
                  <w:vAlign w:val="center"/>
                </w:tcPr>
                <w:p w14:paraId="7FEB73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台</w:t>
                  </w:r>
                </w:p>
              </w:tc>
              <w:tc>
                <w:tcPr>
                  <w:tcW w:w="690" w:type="dxa"/>
                  <w:noWrap w:val="0"/>
                  <w:vAlign w:val="center"/>
                </w:tcPr>
                <w:p w14:paraId="140B7E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2</w:t>
                  </w:r>
                </w:p>
              </w:tc>
              <w:tc>
                <w:tcPr>
                  <w:tcW w:w="987" w:type="dxa"/>
                  <w:noWrap w:val="0"/>
                  <w:vAlign w:val="center"/>
                </w:tcPr>
                <w:p w14:paraId="6C7D78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1用1备</w:t>
                  </w:r>
                </w:p>
              </w:tc>
            </w:tr>
            <w:tr w14:paraId="21A7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2ADD1712">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23</w:t>
                  </w:r>
                </w:p>
              </w:tc>
              <w:tc>
                <w:tcPr>
                  <w:tcW w:w="552" w:type="dxa"/>
                  <w:vMerge w:val="continue"/>
                  <w:noWrap w:val="0"/>
                  <w:vAlign w:val="center"/>
                </w:tcPr>
                <w:p w14:paraId="6F5386AA">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430853C3">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5B41FA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过滤器反洗泵</w:t>
                  </w:r>
                </w:p>
              </w:tc>
              <w:tc>
                <w:tcPr>
                  <w:tcW w:w="2769" w:type="dxa"/>
                  <w:noWrap w:val="0"/>
                  <w:vAlign w:val="center"/>
                </w:tcPr>
                <w:p w14:paraId="5DC0F2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Q=80m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/h</w:t>
                  </w:r>
                  <w:r>
                    <w:rPr>
                      <w:rFonts w:hint="default" w:cs="宋体" w:asciiTheme="majorAscii" w:hAnsiTheme="majorAscii"/>
                      <w:i w:val="0"/>
                      <w:iCs w:val="0"/>
                      <w:color w:val="000000"/>
                      <w:kern w:val="0"/>
                      <w:sz w:val="21"/>
                      <w:szCs w:val="21"/>
                      <w:u w:val="none"/>
                      <w:lang w:val="en-US" w:eastAsia="zh-CN" w:bidi="ar"/>
                    </w:rPr>
                    <w:t xml:space="preserve">, </w:t>
                  </w:r>
                  <w:r>
                    <w:rPr>
                      <w:rFonts w:hint="default" w:eastAsia="宋体" w:cs="宋体" w:asciiTheme="majorAscii" w:hAnsiTheme="majorAscii"/>
                      <w:i w:val="0"/>
                      <w:iCs w:val="0"/>
                      <w:color w:val="000000"/>
                      <w:kern w:val="0"/>
                      <w:sz w:val="21"/>
                      <w:szCs w:val="21"/>
                      <w:u w:val="none"/>
                      <w:lang w:val="en-US" w:eastAsia="zh-CN" w:bidi="ar"/>
                    </w:rPr>
                    <w:t>H=12m</w:t>
                  </w:r>
                  <w:r>
                    <w:rPr>
                      <w:rFonts w:hint="default" w:cs="宋体" w:asciiTheme="majorAscii" w:hAnsiTheme="majorAscii"/>
                      <w:i w:val="0"/>
                      <w:iCs w:val="0"/>
                      <w:color w:val="000000"/>
                      <w:kern w:val="0"/>
                      <w:sz w:val="21"/>
                      <w:szCs w:val="21"/>
                      <w:u w:val="none"/>
                      <w:lang w:val="en-US" w:eastAsia="zh-CN" w:bidi="ar"/>
                    </w:rPr>
                    <w:t xml:space="preserve">, </w:t>
                  </w:r>
                  <w:r>
                    <w:rPr>
                      <w:rFonts w:hint="default" w:eastAsia="宋体" w:cs="宋体" w:asciiTheme="majorAscii" w:hAnsiTheme="majorAscii"/>
                      <w:i w:val="0"/>
                      <w:iCs w:val="0"/>
                      <w:color w:val="000000"/>
                      <w:kern w:val="0"/>
                      <w:sz w:val="21"/>
                      <w:szCs w:val="21"/>
                      <w:u w:val="none"/>
                      <w:lang w:val="en-US" w:eastAsia="zh-CN" w:bidi="ar"/>
                    </w:rPr>
                    <w:t>N=5.5kW</w:t>
                  </w:r>
                </w:p>
              </w:tc>
              <w:tc>
                <w:tcPr>
                  <w:tcW w:w="780" w:type="dxa"/>
                  <w:noWrap w:val="0"/>
                  <w:vAlign w:val="center"/>
                </w:tcPr>
                <w:p w14:paraId="3A3BFA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台</w:t>
                  </w:r>
                </w:p>
              </w:tc>
              <w:tc>
                <w:tcPr>
                  <w:tcW w:w="690" w:type="dxa"/>
                  <w:noWrap w:val="0"/>
                  <w:vAlign w:val="center"/>
                </w:tcPr>
                <w:p w14:paraId="19F7F0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03CBB3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2BCE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4610AE97">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24</w:t>
                  </w:r>
                </w:p>
              </w:tc>
              <w:tc>
                <w:tcPr>
                  <w:tcW w:w="552" w:type="dxa"/>
                  <w:vMerge w:val="continue"/>
                  <w:noWrap w:val="0"/>
                  <w:vAlign w:val="center"/>
                </w:tcPr>
                <w:p w14:paraId="5C0B3D7F">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3C0D8842">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53B2EB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消毒设备</w:t>
                  </w:r>
                </w:p>
              </w:tc>
              <w:tc>
                <w:tcPr>
                  <w:tcW w:w="2769" w:type="dxa"/>
                  <w:noWrap w:val="0"/>
                  <w:vAlign w:val="center"/>
                </w:tcPr>
                <w:p w14:paraId="759C9D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处理量50m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/h，次氯酸钠溶液消毒</w:t>
                  </w:r>
                </w:p>
              </w:tc>
              <w:tc>
                <w:tcPr>
                  <w:tcW w:w="780" w:type="dxa"/>
                  <w:noWrap w:val="0"/>
                  <w:vAlign w:val="center"/>
                </w:tcPr>
                <w:p w14:paraId="51C1D3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台</w:t>
                  </w:r>
                </w:p>
              </w:tc>
              <w:tc>
                <w:tcPr>
                  <w:tcW w:w="690" w:type="dxa"/>
                  <w:noWrap w:val="0"/>
                  <w:vAlign w:val="center"/>
                </w:tcPr>
                <w:p w14:paraId="52C71B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2</w:t>
                  </w:r>
                </w:p>
              </w:tc>
              <w:tc>
                <w:tcPr>
                  <w:tcW w:w="987" w:type="dxa"/>
                  <w:noWrap w:val="0"/>
                  <w:vAlign w:val="center"/>
                </w:tcPr>
                <w:p w14:paraId="3FA019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1用1备</w:t>
                  </w:r>
                </w:p>
              </w:tc>
            </w:tr>
            <w:tr w14:paraId="6057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577E2678">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25</w:t>
                  </w:r>
                </w:p>
              </w:tc>
              <w:tc>
                <w:tcPr>
                  <w:tcW w:w="552" w:type="dxa"/>
                  <w:vMerge w:val="continue"/>
                  <w:noWrap w:val="0"/>
                  <w:vAlign w:val="center"/>
                </w:tcPr>
                <w:p w14:paraId="0D3BE82A">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5DD7A9F7">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eastAsia="zh-CN"/>
                    </w:rPr>
                  </w:pPr>
                </w:p>
              </w:tc>
              <w:tc>
                <w:tcPr>
                  <w:tcW w:w="1211" w:type="dxa"/>
                  <w:noWrap w:val="0"/>
                  <w:vAlign w:val="center"/>
                </w:tcPr>
                <w:p w14:paraId="0FD207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清水池</w:t>
                  </w:r>
                </w:p>
              </w:tc>
              <w:tc>
                <w:tcPr>
                  <w:tcW w:w="2769" w:type="dxa"/>
                  <w:noWrap w:val="0"/>
                  <w:vAlign w:val="center"/>
                </w:tcPr>
                <w:p w14:paraId="7110CC2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有效容积150m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，尺寸8m×6m×3.5m</w:t>
                  </w:r>
                </w:p>
              </w:tc>
              <w:tc>
                <w:tcPr>
                  <w:tcW w:w="780" w:type="dxa"/>
                  <w:noWrap w:val="0"/>
                  <w:vAlign w:val="center"/>
                </w:tcPr>
                <w:p w14:paraId="5B366F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座</w:t>
                  </w:r>
                </w:p>
              </w:tc>
              <w:tc>
                <w:tcPr>
                  <w:tcW w:w="690" w:type="dxa"/>
                  <w:noWrap w:val="0"/>
                  <w:vAlign w:val="center"/>
                </w:tcPr>
                <w:p w14:paraId="6E30A1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5F383D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721D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2007530B">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26</w:t>
                  </w:r>
                </w:p>
              </w:tc>
              <w:tc>
                <w:tcPr>
                  <w:tcW w:w="552" w:type="dxa"/>
                  <w:vMerge w:val="continue"/>
                  <w:noWrap w:val="0"/>
                  <w:vAlign w:val="center"/>
                </w:tcPr>
                <w:p w14:paraId="1C283C63">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4A0FCE49">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7E1570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出水提升泵</w:t>
                  </w:r>
                </w:p>
              </w:tc>
              <w:tc>
                <w:tcPr>
                  <w:tcW w:w="2769" w:type="dxa"/>
                  <w:noWrap w:val="0"/>
                  <w:vAlign w:val="center"/>
                </w:tcPr>
                <w:p w14:paraId="5AEEA9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Q=50m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/h</w:t>
                  </w:r>
                  <w:r>
                    <w:rPr>
                      <w:rFonts w:hint="default" w:cs="宋体" w:asciiTheme="majorAscii" w:hAnsiTheme="majorAscii"/>
                      <w:i w:val="0"/>
                      <w:iCs w:val="0"/>
                      <w:color w:val="000000"/>
                      <w:kern w:val="0"/>
                      <w:sz w:val="21"/>
                      <w:szCs w:val="21"/>
                      <w:u w:val="none"/>
                      <w:lang w:val="en-US" w:eastAsia="zh-CN" w:bidi="ar"/>
                    </w:rPr>
                    <w:t xml:space="preserve">, </w:t>
                  </w:r>
                  <w:r>
                    <w:rPr>
                      <w:rFonts w:hint="default" w:eastAsia="宋体" w:cs="宋体" w:asciiTheme="majorAscii" w:hAnsiTheme="majorAscii"/>
                      <w:i w:val="0"/>
                      <w:iCs w:val="0"/>
                      <w:color w:val="000000"/>
                      <w:kern w:val="0"/>
                      <w:sz w:val="21"/>
                      <w:szCs w:val="21"/>
                      <w:u w:val="none"/>
                      <w:lang w:val="en-US" w:eastAsia="zh-CN" w:bidi="ar"/>
                    </w:rPr>
                    <w:t>H=12m</w:t>
                  </w:r>
                  <w:r>
                    <w:rPr>
                      <w:rFonts w:hint="default" w:cs="宋体" w:asciiTheme="majorAscii" w:hAnsiTheme="majorAscii"/>
                      <w:i w:val="0"/>
                      <w:iCs w:val="0"/>
                      <w:color w:val="000000"/>
                      <w:kern w:val="0"/>
                      <w:sz w:val="21"/>
                      <w:szCs w:val="21"/>
                      <w:u w:val="none"/>
                      <w:lang w:val="en-US" w:eastAsia="zh-CN" w:bidi="ar"/>
                    </w:rPr>
                    <w:t xml:space="preserve">, </w:t>
                  </w:r>
                  <w:r>
                    <w:rPr>
                      <w:rFonts w:hint="default" w:eastAsia="宋体" w:cs="宋体" w:asciiTheme="majorAscii" w:hAnsiTheme="majorAscii"/>
                      <w:i w:val="0"/>
                      <w:iCs w:val="0"/>
                      <w:color w:val="000000"/>
                      <w:kern w:val="0"/>
                      <w:sz w:val="21"/>
                      <w:szCs w:val="21"/>
                      <w:u w:val="none"/>
                      <w:lang w:val="en-US" w:eastAsia="zh-CN" w:bidi="ar"/>
                    </w:rPr>
                    <w:t>N=3kW</w:t>
                  </w:r>
                </w:p>
              </w:tc>
              <w:tc>
                <w:tcPr>
                  <w:tcW w:w="780" w:type="dxa"/>
                  <w:noWrap w:val="0"/>
                  <w:vAlign w:val="center"/>
                </w:tcPr>
                <w:p w14:paraId="7A75FA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台</w:t>
                  </w:r>
                </w:p>
              </w:tc>
              <w:tc>
                <w:tcPr>
                  <w:tcW w:w="690" w:type="dxa"/>
                  <w:noWrap w:val="0"/>
                  <w:vAlign w:val="center"/>
                </w:tcPr>
                <w:p w14:paraId="04A278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2</w:t>
                  </w:r>
                </w:p>
              </w:tc>
              <w:tc>
                <w:tcPr>
                  <w:tcW w:w="987" w:type="dxa"/>
                  <w:noWrap w:val="0"/>
                  <w:vAlign w:val="center"/>
                </w:tcPr>
                <w:p w14:paraId="081D79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1用1备</w:t>
                  </w:r>
                </w:p>
              </w:tc>
            </w:tr>
            <w:tr w14:paraId="7578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4AE4F0B4">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27</w:t>
                  </w:r>
                </w:p>
              </w:tc>
              <w:tc>
                <w:tcPr>
                  <w:tcW w:w="552" w:type="dxa"/>
                  <w:vMerge w:val="continue"/>
                  <w:noWrap w:val="0"/>
                  <w:vAlign w:val="center"/>
                </w:tcPr>
                <w:p w14:paraId="5668236C">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27C053A8">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47FDEF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加药装置（PAC）</w:t>
                  </w:r>
                </w:p>
              </w:tc>
              <w:tc>
                <w:tcPr>
                  <w:tcW w:w="2769" w:type="dxa"/>
                  <w:noWrap w:val="0"/>
                  <w:vAlign w:val="center"/>
                </w:tcPr>
                <w:p w14:paraId="6BEB47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eastAsia" w:cs="宋体" w:asciiTheme="majorAscii" w:hAnsiTheme="majorAscii"/>
                      <w:i w:val="0"/>
                      <w:iCs w:val="0"/>
                      <w:color w:val="000000"/>
                      <w:kern w:val="0"/>
                      <w:sz w:val="21"/>
                      <w:szCs w:val="21"/>
                      <w:u w:val="none"/>
                      <w:lang w:val="en-US" w:eastAsia="zh-CN" w:bidi="ar"/>
                    </w:rPr>
                    <w:t>有效</w:t>
                  </w:r>
                  <w:r>
                    <w:rPr>
                      <w:rFonts w:hint="default" w:eastAsia="宋体" w:cs="宋体" w:asciiTheme="majorAscii" w:hAnsiTheme="majorAscii"/>
                      <w:i w:val="0"/>
                      <w:iCs w:val="0"/>
                      <w:color w:val="000000"/>
                      <w:kern w:val="0"/>
                      <w:sz w:val="21"/>
                      <w:szCs w:val="21"/>
                      <w:u w:val="none"/>
                      <w:lang w:val="en-US" w:eastAsia="zh-CN" w:bidi="ar"/>
                    </w:rPr>
                    <w:t>容积1m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，搅拌功率0.75kW，计量泵Q=50L/h，H=0.6MPa</w:t>
                  </w:r>
                </w:p>
              </w:tc>
              <w:tc>
                <w:tcPr>
                  <w:tcW w:w="780" w:type="dxa"/>
                  <w:noWrap w:val="0"/>
                  <w:vAlign w:val="center"/>
                </w:tcPr>
                <w:p w14:paraId="200347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套</w:t>
                  </w:r>
                </w:p>
              </w:tc>
              <w:tc>
                <w:tcPr>
                  <w:tcW w:w="690" w:type="dxa"/>
                  <w:noWrap w:val="0"/>
                  <w:vAlign w:val="center"/>
                </w:tcPr>
                <w:p w14:paraId="125840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4EF549E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0EFD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71975706">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28</w:t>
                  </w:r>
                </w:p>
              </w:tc>
              <w:tc>
                <w:tcPr>
                  <w:tcW w:w="552" w:type="dxa"/>
                  <w:vMerge w:val="continue"/>
                  <w:noWrap w:val="0"/>
                  <w:vAlign w:val="center"/>
                </w:tcPr>
                <w:p w14:paraId="4416D7C7">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249C3D90">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42A494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加药装置（PAM）</w:t>
                  </w:r>
                </w:p>
              </w:tc>
              <w:tc>
                <w:tcPr>
                  <w:tcW w:w="2769" w:type="dxa"/>
                  <w:noWrap w:val="0"/>
                  <w:vAlign w:val="center"/>
                </w:tcPr>
                <w:p w14:paraId="1F2D88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eastAsia" w:cs="宋体" w:asciiTheme="majorAscii" w:hAnsiTheme="majorAscii"/>
                      <w:i w:val="0"/>
                      <w:iCs w:val="0"/>
                      <w:color w:val="000000"/>
                      <w:kern w:val="0"/>
                      <w:sz w:val="21"/>
                      <w:szCs w:val="21"/>
                      <w:u w:val="none"/>
                      <w:lang w:val="en-US" w:eastAsia="zh-CN" w:bidi="ar"/>
                    </w:rPr>
                    <w:t>有效</w:t>
                  </w:r>
                  <w:r>
                    <w:rPr>
                      <w:rFonts w:hint="default" w:eastAsia="宋体" w:cs="宋体" w:asciiTheme="majorAscii" w:hAnsiTheme="majorAscii"/>
                      <w:i w:val="0"/>
                      <w:iCs w:val="0"/>
                      <w:color w:val="000000"/>
                      <w:kern w:val="0"/>
                      <w:sz w:val="21"/>
                      <w:szCs w:val="21"/>
                      <w:u w:val="none"/>
                      <w:lang w:val="en-US" w:eastAsia="zh-CN" w:bidi="ar"/>
                    </w:rPr>
                    <w:t>容积1m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，搅拌功率0.75kW，计量泵Q=20L/h，H=0.6MPa</w:t>
                  </w:r>
                </w:p>
              </w:tc>
              <w:tc>
                <w:tcPr>
                  <w:tcW w:w="780" w:type="dxa"/>
                  <w:noWrap w:val="0"/>
                  <w:vAlign w:val="center"/>
                </w:tcPr>
                <w:p w14:paraId="028530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套</w:t>
                  </w:r>
                </w:p>
              </w:tc>
              <w:tc>
                <w:tcPr>
                  <w:tcW w:w="690" w:type="dxa"/>
                  <w:noWrap w:val="0"/>
                  <w:vAlign w:val="center"/>
                </w:tcPr>
                <w:p w14:paraId="4A2EB4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16D1D2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64A1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75F0200E">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lang w:val="en-US" w:eastAsia="zh-CN"/>
                    </w:rPr>
                  </w:pPr>
                  <w:r>
                    <w:rPr>
                      <w:rFonts w:hint="default" w:asciiTheme="majorAscii" w:hAnsiTheme="majorAscii"/>
                      <w:sz w:val="21"/>
                      <w:szCs w:val="21"/>
                      <w:lang w:val="en-US" w:eastAsia="zh-CN"/>
                    </w:rPr>
                    <w:t>29</w:t>
                  </w:r>
                </w:p>
              </w:tc>
              <w:tc>
                <w:tcPr>
                  <w:tcW w:w="552" w:type="dxa"/>
                  <w:vMerge w:val="continue"/>
                  <w:noWrap w:val="0"/>
                  <w:vAlign w:val="center"/>
                </w:tcPr>
                <w:p w14:paraId="661C3282">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06EB59F0">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127403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加药装置（碱液）</w:t>
                  </w:r>
                </w:p>
              </w:tc>
              <w:tc>
                <w:tcPr>
                  <w:tcW w:w="2769" w:type="dxa"/>
                  <w:noWrap w:val="0"/>
                  <w:vAlign w:val="center"/>
                </w:tcPr>
                <w:p w14:paraId="0F473F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eastAsia" w:cs="宋体" w:asciiTheme="majorAscii" w:hAnsiTheme="majorAscii"/>
                      <w:i w:val="0"/>
                      <w:iCs w:val="0"/>
                      <w:color w:val="000000"/>
                      <w:kern w:val="0"/>
                      <w:sz w:val="21"/>
                      <w:szCs w:val="21"/>
                      <w:u w:val="none"/>
                      <w:lang w:val="en-US" w:eastAsia="zh-CN" w:bidi="ar"/>
                    </w:rPr>
                    <w:t>有效</w:t>
                  </w:r>
                  <w:r>
                    <w:rPr>
                      <w:rFonts w:hint="default" w:eastAsia="宋体" w:cs="宋体" w:asciiTheme="majorAscii" w:hAnsiTheme="majorAscii"/>
                      <w:i w:val="0"/>
                      <w:iCs w:val="0"/>
                      <w:color w:val="000000"/>
                      <w:kern w:val="0"/>
                      <w:sz w:val="21"/>
                      <w:szCs w:val="21"/>
                      <w:u w:val="none"/>
                      <w:lang w:val="en-US" w:eastAsia="zh-CN" w:bidi="ar"/>
                    </w:rPr>
                    <w:t>容积1m</w:t>
                  </w:r>
                  <w:r>
                    <w:rPr>
                      <w:rFonts w:hint="default" w:eastAsia="宋体" w:cs="宋体" w:asciiTheme="majorAscii" w:hAnsiTheme="majorAscii"/>
                      <w:i w:val="0"/>
                      <w:iCs w:val="0"/>
                      <w:color w:val="000000"/>
                      <w:kern w:val="0"/>
                      <w:sz w:val="21"/>
                      <w:szCs w:val="21"/>
                      <w:u w:val="none"/>
                      <w:vertAlign w:val="superscript"/>
                      <w:lang w:val="en-US" w:eastAsia="zh-CN" w:bidi="ar"/>
                    </w:rPr>
                    <w:t>3</w:t>
                  </w:r>
                  <w:r>
                    <w:rPr>
                      <w:rFonts w:hint="default" w:eastAsia="宋体" w:cs="宋体" w:asciiTheme="majorAscii" w:hAnsiTheme="majorAscii"/>
                      <w:i w:val="0"/>
                      <w:iCs w:val="0"/>
                      <w:color w:val="000000"/>
                      <w:kern w:val="0"/>
                      <w:sz w:val="21"/>
                      <w:szCs w:val="21"/>
                      <w:u w:val="none"/>
                      <w:lang w:val="en-US" w:eastAsia="zh-CN" w:bidi="ar"/>
                    </w:rPr>
                    <w:t>，搅拌功率0.75kW，计量泵Q=30L/h，H=0.6MPa</w:t>
                  </w:r>
                </w:p>
              </w:tc>
              <w:tc>
                <w:tcPr>
                  <w:tcW w:w="780" w:type="dxa"/>
                  <w:noWrap w:val="0"/>
                  <w:vAlign w:val="center"/>
                </w:tcPr>
                <w:p w14:paraId="231079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套</w:t>
                  </w:r>
                </w:p>
              </w:tc>
              <w:tc>
                <w:tcPr>
                  <w:tcW w:w="690" w:type="dxa"/>
                  <w:noWrap w:val="0"/>
                  <w:vAlign w:val="center"/>
                </w:tcPr>
                <w:p w14:paraId="26E7D5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141EDE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43E5B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0EE5F3C1">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30</w:t>
                  </w:r>
                </w:p>
              </w:tc>
              <w:tc>
                <w:tcPr>
                  <w:tcW w:w="552" w:type="dxa"/>
                  <w:vMerge w:val="continue"/>
                  <w:noWrap w:val="0"/>
                  <w:vAlign w:val="center"/>
                </w:tcPr>
                <w:p w14:paraId="5B8F4C20">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2E559810">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000D2C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电气控制柜</w:t>
                  </w:r>
                </w:p>
              </w:tc>
              <w:tc>
                <w:tcPr>
                  <w:tcW w:w="2769" w:type="dxa"/>
                  <w:noWrap w:val="0"/>
                  <w:vAlign w:val="center"/>
                </w:tcPr>
                <w:p w14:paraId="528EBE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含PLC控制系统、触摸屏、断路器、接触器等</w:t>
                  </w:r>
                </w:p>
              </w:tc>
              <w:tc>
                <w:tcPr>
                  <w:tcW w:w="780" w:type="dxa"/>
                  <w:noWrap w:val="0"/>
                  <w:vAlign w:val="center"/>
                </w:tcPr>
                <w:p w14:paraId="5411DD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套</w:t>
                  </w:r>
                </w:p>
              </w:tc>
              <w:tc>
                <w:tcPr>
                  <w:tcW w:w="690" w:type="dxa"/>
                  <w:noWrap w:val="0"/>
                  <w:vAlign w:val="center"/>
                </w:tcPr>
                <w:p w14:paraId="4FDB35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1</w:t>
                  </w:r>
                </w:p>
              </w:tc>
              <w:tc>
                <w:tcPr>
                  <w:tcW w:w="987" w:type="dxa"/>
                  <w:noWrap w:val="0"/>
                  <w:vAlign w:val="center"/>
                </w:tcPr>
                <w:p w14:paraId="45126F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s="宋体" w:asciiTheme="majorAscii" w:hAnsiTheme="majorAscii"/>
                      <w:i w:val="0"/>
                      <w:iCs w:val="0"/>
                      <w:color w:val="000000"/>
                      <w:kern w:val="0"/>
                      <w:sz w:val="21"/>
                      <w:szCs w:val="21"/>
                      <w:u w:val="none"/>
                      <w:lang w:val="en-US" w:eastAsia="zh-CN" w:bidi="ar"/>
                    </w:rPr>
                  </w:pPr>
                  <w:r>
                    <w:rPr>
                      <w:rFonts w:hint="default" w:eastAsia="宋体" w:cs="宋体" w:asciiTheme="majorAscii" w:hAnsiTheme="majorAscii"/>
                      <w:i w:val="0"/>
                      <w:iCs w:val="0"/>
                      <w:color w:val="000000"/>
                      <w:kern w:val="0"/>
                      <w:sz w:val="21"/>
                      <w:szCs w:val="21"/>
                      <w:u w:val="none"/>
                      <w:lang w:val="en-US" w:eastAsia="zh-CN" w:bidi="ar"/>
                    </w:rPr>
                    <w:t>/</w:t>
                  </w:r>
                </w:p>
              </w:tc>
            </w:tr>
            <w:tr w14:paraId="17FD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5A3D4871">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31</w:t>
                  </w:r>
                </w:p>
              </w:tc>
              <w:tc>
                <w:tcPr>
                  <w:tcW w:w="552" w:type="dxa"/>
                  <w:vMerge w:val="continue"/>
                  <w:noWrap w:val="0"/>
                  <w:vAlign w:val="center"/>
                </w:tcPr>
                <w:p w14:paraId="578099F2">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noWrap w:val="0"/>
                  <w:vAlign w:val="center"/>
                </w:tcPr>
                <w:p w14:paraId="481F14F9">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eastAsia="zh-CN"/>
                    </w:rPr>
                    <w:t>在线监测</w:t>
                  </w:r>
                  <w:r>
                    <w:rPr>
                      <w:rFonts w:hint="default" w:asciiTheme="majorAscii" w:hAnsiTheme="majorAscii"/>
                      <w:sz w:val="21"/>
                      <w:szCs w:val="21"/>
                      <w:lang w:val="en-US" w:eastAsia="zh-CN"/>
                    </w:rPr>
                    <w:t>设备</w:t>
                  </w:r>
                </w:p>
              </w:tc>
              <w:tc>
                <w:tcPr>
                  <w:tcW w:w="1211" w:type="dxa"/>
                  <w:noWrap w:val="0"/>
                  <w:vAlign w:val="center"/>
                </w:tcPr>
                <w:p w14:paraId="4F473C28">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rPr>
                    <w:t>进水</w:t>
                  </w:r>
                  <w:r>
                    <w:rPr>
                      <w:rFonts w:hint="eastAsia" w:asciiTheme="majorAscii" w:hAnsiTheme="majorAscii"/>
                      <w:sz w:val="21"/>
                      <w:szCs w:val="21"/>
                      <w:lang w:eastAsia="zh-CN"/>
                    </w:rPr>
                    <w:t>、</w:t>
                  </w:r>
                  <w:r>
                    <w:rPr>
                      <w:rFonts w:hint="eastAsia" w:asciiTheme="majorAscii" w:hAnsiTheme="majorAscii"/>
                      <w:sz w:val="21"/>
                      <w:szCs w:val="21"/>
                      <w:lang w:val="en-US" w:eastAsia="zh-CN"/>
                    </w:rPr>
                    <w:t>出水</w:t>
                  </w:r>
                  <w:r>
                    <w:rPr>
                      <w:rFonts w:hint="eastAsia" w:asciiTheme="majorAscii" w:hAnsiTheme="majorAscii"/>
                      <w:sz w:val="21"/>
                      <w:szCs w:val="21"/>
                      <w:lang w:eastAsia="zh-CN"/>
                    </w:rPr>
                    <w:t>CODcr</w:t>
                  </w:r>
                  <w:r>
                    <w:rPr>
                      <w:rFonts w:hint="default" w:asciiTheme="majorAscii" w:hAnsiTheme="majorAscii"/>
                      <w:sz w:val="21"/>
                      <w:szCs w:val="21"/>
                      <w:lang w:eastAsia="zh-CN"/>
                    </w:rPr>
                    <w:t>、</w:t>
                  </w:r>
                  <w:r>
                    <w:rPr>
                      <w:rFonts w:hint="default" w:asciiTheme="majorAscii" w:hAnsiTheme="majorAscii"/>
                      <w:sz w:val="21"/>
                      <w:szCs w:val="21"/>
                    </w:rPr>
                    <w:t>氨氮</w:t>
                  </w:r>
                  <w:r>
                    <w:rPr>
                      <w:rFonts w:hint="default" w:asciiTheme="majorAscii" w:hAnsiTheme="majorAscii"/>
                      <w:sz w:val="21"/>
                      <w:szCs w:val="21"/>
                      <w:lang w:eastAsia="zh-CN"/>
                    </w:rPr>
                    <w:t>、</w:t>
                  </w:r>
                  <w:r>
                    <w:rPr>
                      <w:rFonts w:hint="default" w:asciiTheme="majorAscii" w:hAnsiTheme="majorAscii"/>
                      <w:sz w:val="21"/>
                      <w:szCs w:val="21"/>
                    </w:rPr>
                    <w:t>总氮</w:t>
                  </w:r>
                  <w:r>
                    <w:rPr>
                      <w:rFonts w:hint="default" w:asciiTheme="majorAscii" w:hAnsiTheme="majorAscii"/>
                      <w:sz w:val="21"/>
                      <w:szCs w:val="21"/>
                      <w:lang w:eastAsia="zh-CN"/>
                    </w:rPr>
                    <w:t>、</w:t>
                  </w:r>
                  <w:r>
                    <w:rPr>
                      <w:rFonts w:hint="default" w:asciiTheme="majorAscii" w:hAnsiTheme="majorAscii"/>
                      <w:sz w:val="21"/>
                      <w:szCs w:val="21"/>
                    </w:rPr>
                    <w:t>总磷</w:t>
                  </w:r>
                  <w:r>
                    <w:rPr>
                      <w:rFonts w:hint="default" w:asciiTheme="majorAscii" w:hAnsiTheme="majorAscii"/>
                      <w:sz w:val="21"/>
                      <w:szCs w:val="21"/>
                      <w:lang w:eastAsia="zh-CN"/>
                    </w:rPr>
                    <w:t>、</w:t>
                  </w:r>
                  <w:r>
                    <w:rPr>
                      <w:rFonts w:hint="default" w:asciiTheme="majorAscii" w:hAnsiTheme="majorAscii"/>
                      <w:sz w:val="21"/>
                      <w:szCs w:val="21"/>
                    </w:rPr>
                    <w:t>pH在线分析仪</w:t>
                  </w:r>
                </w:p>
              </w:tc>
              <w:tc>
                <w:tcPr>
                  <w:tcW w:w="2769" w:type="dxa"/>
                  <w:noWrap w:val="0"/>
                  <w:vAlign w:val="center"/>
                </w:tcPr>
                <w:p w14:paraId="32280AA2">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lang w:val="en-US" w:eastAsia="zh-CN"/>
                    </w:rPr>
                    <w:t>测量范围</w:t>
                  </w:r>
                  <w:r>
                    <w:rPr>
                      <w:rFonts w:hint="eastAsia" w:asciiTheme="majorAscii" w:hAnsiTheme="majorAscii"/>
                      <w:sz w:val="21"/>
                      <w:szCs w:val="21"/>
                      <w:lang w:val="en-US" w:eastAsia="zh-CN"/>
                    </w:rPr>
                    <w:t>CODcr</w:t>
                  </w:r>
                  <w:r>
                    <w:rPr>
                      <w:rFonts w:hint="default" w:asciiTheme="majorAscii" w:hAnsiTheme="majorAscii"/>
                      <w:sz w:val="21"/>
                      <w:szCs w:val="21"/>
                      <w:lang w:val="en-US" w:eastAsia="zh-CN"/>
                    </w:rPr>
                    <w:t>0-500mg/L，氨氮0-50mg/L，pH0-14，总氮、总磷0～100mg/L</w:t>
                  </w:r>
                </w:p>
              </w:tc>
              <w:tc>
                <w:tcPr>
                  <w:tcW w:w="780" w:type="dxa"/>
                  <w:noWrap w:val="0"/>
                  <w:vAlign w:val="center"/>
                </w:tcPr>
                <w:p w14:paraId="37EF3608">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rPr>
                    <w:t>台</w:t>
                  </w:r>
                </w:p>
              </w:tc>
              <w:tc>
                <w:tcPr>
                  <w:tcW w:w="690" w:type="dxa"/>
                  <w:noWrap w:val="0"/>
                  <w:vAlign w:val="center"/>
                </w:tcPr>
                <w:p w14:paraId="789C734E">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rPr>
                    <w:t>1</w:t>
                  </w:r>
                </w:p>
              </w:tc>
              <w:tc>
                <w:tcPr>
                  <w:tcW w:w="987" w:type="dxa"/>
                  <w:noWrap w:val="0"/>
                  <w:vAlign w:val="center"/>
                </w:tcPr>
                <w:p w14:paraId="05B0A37D">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rPr>
                    <w:t>实时监测</w:t>
                  </w:r>
                  <w:r>
                    <w:rPr>
                      <w:rFonts w:hint="eastAsia" w:asciiTheme="majorAscii" w:hAnsiTheme="majorAscii"/>
                      <w:sz w:val="21"/>
                      <w:szCs w:val="21"/>
                      <w:lang w:val="en-US" w:eastAsia="zh-CN"/>
                    </w:rPr>
                    <w:t>进水、</w:t>
                  </w:r>
                  <w:r>
                    <w:rPr>
                      <w:rFonts w:hint="default" w:asciiTheme="majorAscii" w:hAnsiTheme="majorAscii"/>
                      <w:sz w:val="21"/>
                      <w:szCs w:val="21"/>
                    </w:rPr>
                    <w:t>出水水质</w:t>
                  </w:r>
                </w:p>
              </w:tc>
            </w:tr>
            <w:tr w14:paraId="4AB21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1C3397BE">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32</w:t>
                  </w:r>
                </w:p>
              </w:tc>
              <w:tc>
                <w:tcPr>
                  <w:tcW w:w="552" w:type="dxa"/>
                  <w:noWrap w:val="0"/>
                  <w:vAlign w:val="center"/>
                </w:tcPr>
                <w:p w14:paraId="1337B777">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eastAsia="zh-CN"/>
                    </w:rPr>
                  </w:pPr>
                  <w:r>
                    <w:rPr>
                      <w:rFonts w:hint="default" w:asciiTheme="majorAscii" w:hAnsiTheme="majorAscii"/>
                      <w:sz w:val="21"/>
                      <w:szCs w:val="21"/>
                      <w:lang w:eastAsia="zh-CN"/>
                    </w:rPr>
                    <w:t>废气处理</w:t>
                  </w:r>
                </w:p>
              </w:tc>
              <w:tc>
                <w:tcPr>
                  <w:tcW w:w="825" w:type="dxa"/>
                  <w:noWrap w:val="0"/>
                  <w:vAlign w:val="center"/>
                </w:tcPr>
                <w:p w14:paraId="174D436F">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eastAsia="宋体" w:asciiTheme="majorAscii" w:hAnsiTheme="majorAscii"/>
                      <w:sz w:val="21"/>
                      <w:szCs w:val="21"/>
                      <w:lang w:val="en-US" w:eastAsia="zh-CN"/>
                    </w:rPr>
                    <w:t>活性炭除臭</w:t>
                  </w:r>
                </w:p>
              </w:tc>
              <w:tc>
                <w:tcPr>
                  <w:tcW w:w="1211" w:type="dxa"/>
                  <w:noWrap w:val="0"/>
                  <w:vAlign w:val="center"/>
                </w:tcPr>
                <w:p w14:paraId="7BD9BB28">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rPr>
                    <w:t>活性炭吸附装置</w:t>
                  </w:r>
                </w:p>
              </w:tc>
              <w:tc>
                <w:tcPr>
                  <w:tcW w:w="2769" w:type="dxa"/>
                  <w:noWrap w:val="0"/>
                  <w:vAlign w:val="center"/>
                </w:tcPr>
                <w:p w14:paraId="48501EA5">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rPr>
                    <w:t>Q=1</w:t>
                  </w:r>
                  <w:r>
                    <w:rPr>
                      <w:rFonts w:hint="default" w:asciiTheme="majorAscii" w:hAnsiTheme="majorAscii"/>
                      <w:sz w:val="21"/>
                      <w:szCs w:val="21"/>
                      <w:lang w:val="en-US" w:eastAsia="zh-CN"/>
                    </w:rPr>
                    <w:t>0</w:t>
                  </w:r>
                  <w:r>
                    <w:rPr>
                      <w:rFonts w:hint="default" w:asciiTheme="majorAscii" w:hAnsiTheme="majorAscii"/>
                      <w:sz w:val="21"/>
                      <w:szCs w:val="21"/>
                    </w:rPr>
                    <w:t>000m</w:t>
                  </w:r>
                  <w:r>
                    <w:rPr>
                      <w:rFonts w:hint="default" w:asciiTheme="majorAscii" w:hAnsiTheme="majorAscii"/>
                      <w:sz w:val="21"/>
                      <w:szCs w:val="21"/>
                      <w:vertAlign w:val="superscript"/>
                    </w:rPr>
                    <w:t>3</w:t>
                  </w:r>
                  <w:r>
                    <w:rPr>
                      <w:rFonts w:hint="default" w:asciiTheme="majorAscii" w:hAnsiTheme="majorAscii"/>
                      <w:sz w:val="21"/>
                      <w:szCs w:val="21"/>
                    </w:rPr>
                    <w:t>/h</w:t>
                  </w:r>
                  <w:r>
                    <w:rPr>
                      <w:rFonts w:hint="default" w:asciiTheme="majorAscii" w:hAnsiTheme="majorAscii"/>
                      <w:sz w:val="21"/>
                      <w:szCs w:val="21"/>
                      <w:lang w:eastAsia="zh-CN"/>
                    </w:rPr>
                    <w:t>，不</w:t>
                  </w:r>
                  <w:r>
                    <w:rPr>
                      <w:rFonts w:hint="default" w:asciiTheme="majorAscii" w:hAnsiTheme="majorAscii"/>
                      <w:sz w:val="21"/>
                      <w:szCs w:val="21"/>
                    </w:rPr>
                    <w:t>锈钢外壳</w:t>
                  </w:r>
                </w:p>
              </w:tc>
              <w:tc>
                <w:tcPr>
                  <w:tcW w:w="780" w:type="dxa"/>
                  <w:noWrap w:val="0"/>
                  <w:vAlign w:val="center"/>
                </w:tcPr>
                <w:p w14:paraId="1385857E">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rPr>
                    <w:t>套</w:t>
                  </w:r>
                </w:p>
              </w:tc>
              <w:tc>
                <w:tcPr>
                  <w:tcW w:w="690" w:type="dxa"/>
                  <w:noWrap w:val="0"/>
                  <w:vAlign w:val="center"/>
                </w:tcPr>
                <w:p w14:paraId="7284C00D">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asciiTheme="majorAscii" w:hAnsiTheme="majorAscii"/>
                      <w:sz w:val="21"/>
                      <w:szCs w:val="21"/>
                    </w:rPr>
                    <w:t>1</w:t>
                  </w:r>
                </w:p>
              </w:tc>
              <w:tc>
                <w:tcPr>
                  <w:tcW w:w="987" w:type="dxa"/>
                  <w:noWrap w:val="0"/>
                  <w:vAlign w:val="center"/>
                </w:tcPr>
                <w:p w14:paraId="422044A6">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w:t>
                  </w:r>
                </w:p>
              </w:tc>
            </w:tr>
            <w:tr w14:paraId="77A39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371FFCC0">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33</w:t>
                  </w:r>
                </w:p>
              </w:tc>
              <w:tc>
                <w:tcPr>
                  <w:tcW w:w="552" w:type="dxa"/>
                  <w:vMerge w:val="restart"/>
                  <w:noWrap w:val="0"/>
                  <w:vAlign w:val="center"/>
                </w:tcPr>
                <w:p w14:paraId="4BC2BE61">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eastAsia="zh-CN"/>
                    </w:rPr>
                  </w:pPr>
                  <w:r>
                    <w:rPr>
                      <w:rFonts w:hint="default" w:asciiTheme="majorAscii" w:hAnsiTheme="majorAscii"/>
                      <w:sz w:val="21"/>
                      <w:szCs w:val="21"/>
                      <w:lang w:eastAsia="zh-CN"/>
                    </w:rPr>
                    <w:t>污泥处理</w:t>
                  </w:r>
                </w:p>
              </w:tc>
              <w:tc>
                <w:tcPr>
                  <w:tcW w:w="825" w:type="dxa"/>
                  <w:vMerge w:val="restart"/>
                  <w:noWrap w:val="0"/>
                  <w:vAlign w:val="center"/>
                </w:tcPr>
                <w:p w14:paraId="60BE722F">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eastAsia="zh-CN"/>
                    </w:rPr>
                    <w:t>污泥</w:t>
                  </w:r>
                  <w:r>
                    <w:rPr>
                      <w:rFonts w:hint="default" w:asciiTheme="majorAscii" w:hAnsiTheme="majorAscii"/>
                      <w:sz w:val="21"/>
                      <w:szCs w:val="21"/>
                      <w:lang w:val="en-US" w:eastAsia="zh-CN"/>
                    </w:rPr>
                    <w:t>脱水</w:t>
                  </w:r>
                </w:p>
              </w:tc>
              <w:tc>
                <w:tcPr>
                  <w:tcW w:w="1211" w:type="dxa"/>
                  <w:noWrap w:val="0"/>
                  <w:vAlign w:val="center"/>
                </w:tcPr>
                <w:p w14:paraId="6AA3DC5F">
                  <w:pPr>
                    <w:keepNext w:val="0"/>
                    <w:keepLines w:val="0"/>
                    <w:pageBreakBefore w:val="0"/>
                    <w:kinsoku/>
                    <w:wordWrap/>
                    <w:overflowPunct/>
                    <w:topLinePunct w:val="0"/>
                    <w:autoSpaceDE/>
                    <w:autoSpaceDN/>
                    <w:bidi w:val="0"/>
                    <w:adjustRightInd/>
                    <w:snapToGrid/>
                    <w:jc w:val="center"/>
                    <w:rPr>
                      <w:rFonts w:hint="default" w:eastAsia="宋体" w:cs="Times New Roman" w:asciiTheme="majorAscii" w:hAnsiTheme="majorAscii"/>
                      <w:sz w:val="21"/>
                      <w:szCs w:val="21"/>
                    </w:rPr>
                  </w:pPr>
                  <w:r>
                    <w:rPr>
                      <w:rFonts w:hint="default" w:eastAsia="宋体" w:cs="Times New Roman" w:asciiTheme="majorAscii" w:hAnsiTheme="majorAscii"/>
                      <w:sz w:val="21"/>
                      <w:szCs w:val="21"/>
                      <w:lang w:val="en-US" w:eastAsia="zh-CN"/>
                    </w:rPr>
                    <w:t>污泥浓缩/调节池</w:t>
                  </w:r>
                </w:p>
              </w:tc>
              <w:tc>
                <w:tcPr>
                  <w:tcW w:w="2769" w:type="dxa"/>
                  <w:noWrap w:val="0"/>
                  <w:vAlign w:val="center"/>
                </w:tcPr>
                <w:p w14:paraId="6AA15DC5">
                  <w:pPr>
                    <w:keepNext w:val="0"/>
                    <w:keepLines w:val="0"/>
                    <w:pageBreakBefore w:val="0"/>
                    <w:kinsoku/>
                    <w:wordWrap/>
                    <w:overflowPunct/>
                    <w:topLinePunct w:val="0"/>
                    <w:autoSpaceDE/>
                    <w:autoSpaceDN/>
                    <w:bidi w:val="0"/>
                    <w:adjustRightInd/>
                    <w:snapToGrid/>
                    <w:jc w:val="center"/>
                    <w:rPr>
                      <w:rFonts w:hint="default" w:eastAsia="宋体" w:cs="Times New Roman" w:asciiTheme="majorAscii" w:hAnsiTheme="majorAscii"/>
                      <w:sz w:val="21"/>
                      <w:szCs w:val="21"/>
                    </w:rPr>
                  </w:pPr>
                  <w:r>
                    <w:rPr>
                      <w:rFonts w:hint="default" w:eastAsia="宋体" w:cs="Times New Roman" w:asciiTheme="majorAscii" w:hAnsiTheme="majorAscii"/>
                      <w:sz w:val="21"/>
                      <w:szCs w:val="21"/>
                      <w:lang w:val="en-US" w:eastAsia="zh-CN"/>
                    </w:rPr>
                    <w:t>有效容积50m</w:t>
                  </w:r>
                  <w:r>
                    <w:rPr>
                      <w:rFonts w:hint="default" w:asciiTheme="majorAscii" w:hAnsiTheme="majorAscii"/>
                      <w:sz w:val="21"/>
                      <w:szCs w:val="21"/>
                      <w:vertAlign w:val="superscript"/>
                    </w:rPr>
                    <w:t>3</w:t>
                  </w:r>
                  <w:r>
                    <w:rPr>
                      <w:rFonts w:hint="default" w:eastAsia="宋体" w:cs="Times New Roman" w:asciiTheme="majorAscii" w:hAnsiTheme="majorAscii"/>
                      <w:sz w:val="21"/>
                      <w:szCs w:val="21"/>
                      <w:lang w:val="en-US" w:eastAsia="zh-CN"/>
                    </w:rPr>
                    <w:t>，尺寸6m×4m×2.5m</w:t>
                  </w:r>
                </w:p>
              </w:tc>
              <w:tc>
                <w:tcPr>
                  <w:tcW w:w="780" w:type="dxa"/>
                  <w:noWrap w:val="0"/>
                  <w:vAlign w:val="center"/>
                </w:tcPr>
                <w:p w14:paraId="387CF5A3">
                  <w:pPr>
                    <w:keepNext w:val="0"/>
                    <w:keepLines w:val="0"/>
                    <w:pageBreakBefore w:val="0"/>
                    <w:kinsoku/>
                    <w:wordWrap/>
                    <w:overflowPunct/>
                    <w:topLinePunct w:val="0"/>
                    <w:autoSpaceDE/>
                    <w:autoSpaceDN/>
                    <w:bidi w:val="0"/>
                    <w:adjustRightInd/>
                    <w:snapToGrid/>
                    <w:jc w:val="center"/>
                    <w:rPr>
                      <w:rFonts w:hint="default" w:eastAsia="宋体" w:cs="Times New Roman" w:asciiTheme="majorAscii" w:hAnsiTheme="majorAscii"/>
                      <w:sz w:val="21"/>
                      <w:szCs w:val="21"/>
                    </w:rPr>
                  </w:pPr>
                  <w:r>
                    <w:rPr>
                      <w:rFonts w:hint="default" w:eastAsia="宋体" w:cs="Times New Roman" w:asciiTheme="majorAscii" w:hAnsiTheme="majorAscii"/>
                      <w:sz w:val="21"/>
                      <w:szCs w:val="21"/>
                      <w:lang w:val="en-US" w:eastAsia="zh-CN"/>
                    </w:rPr>
                    <w:t>座</w:t>
                  </w:r>
                </w:p>
              </w:tc>
              <w:tc>
                <w:tcPr>
                  <w:tcW w:w="690" w:type="dxa"/>
                  <w:noWrap w:val="0"/>
                  <w:vAlign w:val="center"/>
                </w:tcPr>
                <w:p w14:paraId="711731FB">
                  <w:pPr>
                    <w:keepNext w:val="0"/>
                    <w:keepLines w:val="0"/>
                    <w:pageBreakBefore w:val="0"/>
                    <w:kinsoku/>
                    <w:wordWrap/>
                    <w:overflowPunct/>
                    <w:topLinePunct w:val="0"/>
                    <w:autoSpaceDE/>
                    <w:autoSpaceDN/>
                    <w:bidi w:val="0"/>
                    <w:adjustRightInd/>
                    <w:snapToGrid/>
                    <w:jc w:val="center"/>
                    <w:rPr>
                      <w:rFonts w:hint="default" w:eastAsia="宋体" w:cs="Times New Roman" w:asciiTheme="majorAscii" w:hAnsiTheme="majorAscii"/>
                      <w:sz w:val="21"/>
                      <w:szCs w:val="21"/>
                    </w:rPr>
                  </w:pPr>
                  <w:r>
                    <w:rPr>
                      <w:rFonts w:hint="default" w:eastAsia="宋体" w:cs="Times New Roman" w:asciiTheme="majorAscii" w:hAnsiTheme="majorAscii"/>
                      <w:sz w:val="21"/>
                      <w:szCs w:val="21"/>
                      <w:lang w:val="en-US" w:eastAsia="zh-CN"/>
                    </w:rPr>
                    <w:t>1</w:t>
                  </w:r>
                </w:p>
              </w:tc>
              <w:tc>
                <w:tcPr>
                  <w:tcW w:w="987" w:type="dxa"/>
                  <w:noWrap w:val="0"/>
                  <w:vAlign w:val="center"/>
                </w:tcPr>
                <w:p w14:paraId="7166B959">
                  <w:pPr>
                    <w:keepNext w:val="0"/>
                    <w:keepLines w:val="0"/>
                    <w:pageBreakBefore w:val="0"/>
                    <w:kinsoku/>
                    <w:wordWrap/>
                    <w:overflowPunct/>
                    <w:topLinePunct w:val="0"/>
                    <w:autoSpaceDE/>
                    <w:autoSpaceDN/>
                    <w:bidi w:val="0"/>
                    <w:adjustRightInd/>
                    <w:snapToGrid/>
                    <w:jc w:val="center"/>
                    <w:rPr>
                      <w:rFonts w:hint="default" w:eastAsia="宋体" w:cs="Times New Roman" w:asciiTheme="majorAscii" w:hAnsiTheme="majorAscii"/>
                      <w:sz w:val="21"/>
                      <w:szCs w:val="21"/>
                    </w:rPr>
                  </w:pPr>
                  <w:r>
                    <w:rPr>
                      <w:rFonts w:hint="default" w:eastAsia="宋体" w:cs="宋体" w:asciiTheme="majorAscii" w:hAnsiTheme="majorAscii"/>
                      <w:i w:val="0"/>
                      <w:iCs w:val="0"/>
                      <w:color w:val="000000"/>
                      <w:kern w:val="0"/>
                      <w:sz w:val="21"/>
                      <w:szCs w:val="21"/>
                      <w:u w:val="none"/>
                      <w:lang w:val="en-US" w:eastAsia="zh-CN" w:bidi="ar"/>
                    </w:rPr>
                    <w:t>/</w:t>
                  </w:r>
                </w:p>
              </w:tc>
            </w:tr>
            <w:tr w14:paraId="1748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6" w:type="dxa"/>
                  <w:noWrap w:val="0"/>
                  <w:vAlign w:val="center"/>
                </w:tcPr>
                <w:p w14:paraId="247B94C2">
                  <w:pPr>
                    <w:keepNext w:val="0"/>
                    <w:keepLines w:val="0"/>
                    <w:pageBreakBefore w:val="0"/>
                    <w:kinsoku/>
                    <w:wordWrap/>
                    <w:overflowPunct/>
                    <w:topLinePunct w:val="0"/>
                    <w:autoSpaceDE/>
                    <w:autoSpaceDN/>
                    <w:bidi w:val="0"/>
                    <w:adjustRightInd/>
                    <w:snapToGrid/>
                    <w:jc w:val="center"/>
                    <w:rPr>
                      <w:rFonts w:hint="default" w:eastAsia="宋体" w:asciiTheme="majorAscii" w:hAnsiTheme="majorAscii"/>
                      <w:sz w:val="21"/>
                      <w:szCs w:val="21"/>
                      <w:lang w:val="en-US" w:eastAsia="zh-CN"/>
                    </w:rPr>
                  </w:pPr>
                  <w:r>
                    <w:rPr>
                      <w:rFonts w:hint="default" w:asciiTheme="majorAscii" w:hAnsiTheme="majorAscii"/>
                      <w:sz w:val="21"/>
                      <w:szCs w:val="21"/>
                      <w:lang w:val="en-US" w:eastAsia="zh-CN"/>
                    </w:rPr>
                    <w:t>34</w:t>
                  </w:r>
                </w:p>
              </w:tc>
              <w:tc>
                <w:tcPr>
                  <w:tcW w:w="552" w:type="dxa"/>
                  <w:vMerge w:val="continue"/>
                  <w:noWrap w:val="0"/>
                  <w:vAlign w:val="center"/>
                </w:tcPr>
                <w:p w14:paraId="550FF9D8">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825" w:type="dxa"/>
                  <w:vMerge w:val="continue"/>
                  <w:noWrap w:val="0"/>
                  <w:vAlign w:val="center"/>
                </w:tcPr>
                <w:p w14:paraId="39826951">
                  <w:pPr>
                    <w:keepNext w:val="0"/>
                    <w:keepLines w:val="0"/>
                    <w:pageBreakBefore w:val="0"/>
                    <w:kinsoku/>
                    <w:wordWrap/>
                    <w:overflowPunct/>
                    <w:topLinePunct w:val="0"/>
                    <w:autoSpaceDE/>
                    <w:autoSpaceDN/>
                    <w:bidi w:val="0"/>
                    <w:adjustRightInd/>
                    <w:snapToGrid/>
                    <w:jc w:val="center"/>
                    <w:rPr>
                      <w:rFonts w:hint="default" w:asciiTheme="majorAscii" w:hAnsiTheme="majorAscii"/>
                      <w:sz w:val="21"/>
                      <w:szCs w:val="21"/>
                    </w:rPr>
                  </w:pPr>
                </w:p>
              </w:tc>
              <w:tc>
                <w:tcPr>
                  <w:tcW w:w="1211" w:type="dxa"/>
                  <w:noWrap w:val="0"/>
                  <w:vAlign w:val="center"/>
                </w:tcPr>
                <w:p w14:paraId="21FE1F02">
                  <w:pPr>
                    <w:keepNext w:val="0"/>
                    <w:keepLines w:val="0"/>
                    <w:pageBreakBefore w:val="0"/>
                    <w:kinsoku/>
                    <w:wordWrap/>
                    <w:overflowPunct/>
                    <w:topLinePunct w:val="0"/>
                    <w:autoSpaceDE/>
                    <w:autoSpaceDN/>
                    <w:bidi w:val="0"/>
                    <w:adjustRightInd/>
                    <w:snapToGrid/>
                    <w:jc w:val="center"/>
                    <w:rPr>
                      <w:rFonts w:hint="default" w:eastAsia="宋体" w:cs="Times New Roman" w:asciiTheme="majorAscii" w:hAnsiTheme="majorAscii"/>
                      <w:sz w:val="21"/>
                      <w:szCs w:val="21"/>
                    </w:rPr>
                  </w:pPr>
                  <w:r>
                    <w:rPr>
                      <w:rFonts w:hint="default" w:eastAsia="宋体" w:cs="Times New Roman" w:asciiTheme="majorAscii" w:hAnsiTheme="majorAscii"/>
                      <w:sz w:val="21"/>
                      <w:szCs w:val="21"/>
                      <w:lang w:val="en-US" w:eastAsia="zh-CN"/>
                    </w:rPr>
                    <w:t>板框压滤机</w:t>
                  </w:r>
                </w:p>
              </w:tc>
              <w:tc>
                <w:tcPr>
                  <w:tcW w:w="2769" w:type="dxa"/>
                  <w:noWrap w:val="0"/>
                  <w:vAlign w:val="center"/>
                </w:tcPr>
                <w:p w14:paraId="4D59EB1C">
                  <w:pPr>
                    <w:keepNext w:val="0"/>
                    <w:keepLines w:val="0"/>
                    <w:pageBreakBefore w:val="0"/>
                    <w:kinsoku/>
                    <w:wordWrap/>
                    <w:overflowPunct/>
                    <w:topLinePunct w:val="0"/>
                    <w:autoSpaceDE/>
                    <w:autoSpaceDN/>
                    <w:bidi w:val="0"/>
                    <w:adjustRightInd/>
                    <w:snapToGrid/>
                    <w:jc w:val="center"/>
                    <w:rPr>
                      <w:rFonts w:hint="default" w:eastAsia="宋体" w:cs="Times New Roman" w:asciiTheme="majorAscii" w:hAnsiTheme="majorAscii"/>
                      <w:sz w:val="21"/>
                      <w:szCs w:val="21"/>
                      <w:lang w:val="en-US" w:eastAsia="zh-CN"/>
                    </w:rPr>
                  </w:pPr>
                  <w:r>
                    <w:rPr>
                      <w:rFonts w:hint="default" w:eastAsia="宋体" w:cs="Times New Roman" w:asciiTheme="majorAscii" w:hAnsiTheme="majorAscii"/>
                      <w:sz w:val="21"/>
                      <w:szCs w:val="21"/>
                      <w:lang w:val="en-US" w:eastAsia="zh-CN"/>
                    </w:rPr>
                    <w:t>过滤面积100m</w:t>
                  </w:r>
                  <w:r>
                    <w:rPr>
                      <w:rFonts w:hint="default" w:asciiTheme="majorAscii" w:hAnsiTheme="majorAscii"/>
                      <w:sz w:val="21"/>
                      <w:szCs w:val="21"/>
                      <w:vertAlign w:val="superscript"/>
                    </w:rPr>
                    <w:t>3</w:t>
                  </w:r>
                  <w:r>
                    <w:rPr>
                      <w:rFonts w:hint="default" w:eastAsia="宋体" w:cs="Times New Roman" w:asciiTheme="majorAscii" w:hAnsiTheme="majorAscii"/>
                      <w:sz w:val="21"/>
                      <w:szCs w:val="21"/>
                      <w:lang w:val="en-US" w:eastAsia="zh-CN"/>
                    </w:rPr>
                    <w:t>，滤板尺寸1000×1000mm，工作压力0.6MPa</w:t>
                  </w:r>
                </w:p>
              </w:tc>
              <w:tc>
                <w:tcPr>
                  <w:tcW w:w="780" w:type="dxa"/>
                  <w:noWrap w:val="0"/>
                  <w:vAlign w:val="center"/>
                </w:tcPr>
                <w:p w14:paraId="4C3667AB">
                  <w:pPr>
                    <w:keepNext w:val="0"/>
                    <w:keepLines w:val="0"/>
                    <w:pageBreakBefore w:val="0"/>
                    <w:kinsoku/>
                    <w:wordWrap/>
                    <w:overflowPunct/>
                    <w:topLinePunct w:val="0"/>
                    <w:autoSpaceDE/>
                    <w:autoSpaceDN/>
                    <w:bidi w:val="0"/>
                    <w:adjustRightInd/>
                    <w:snapToGrid/>
                    <w:jc w:val="center"/>
                    <w:rPr>
                      <w:rFonts w:hint="default" w:eastAsia="宋体" w:cs="Times New Roman" w:asciiTheme="majorAscii" w:hAnsiTheme="majorAscii"/>
                      <w:sz w:val="21"/>
                      <w:szCs w:val="21"/>
                    </w:rPr>
                  </w:pPr>
                  <w:r>
                    <w:rPr>
                      <w:rFonts w:hint="default" w:eastAsia="宋体" w:cs="Times New Roman" w:asciiTheme="majorAscii" w:hAnsiTheme="majorAscii"/>
                      <w:sz w:val="21"/>
                      <w:szCs w:val="21"/>
                      <w:lang w:val="en-US" w:eastAsia="zh-CN"/>
                    </w:rPr>
                    <w:t>台</w:t>
                  </w:r>
                </w:p>
              </w:tc>
              <w:tc>
                <w:tcPr>
                  <w:tcW w:w="690" w:type="dxa"/>
                  <w:noWrap w:val="0"/>
                  <w:vAlign w:val="center"/>
                </w:tcPr>
                <w:p w14:paraId="6B8891CE">
                  <w:pPr>
                    <w:keepNext w:val="0"/>
                    <w:keepLines w:val="0"/>
                    <w:pageBreakBefore w:val="0"/>
                    <w:kinsoku/>
                    <w:wordWrap/>
                    <w:overflowPunct/>
                    <w:topLinePunct w:val="0"/>
                    <w:autoSpaceDE/>
                    <w:autoSpaceDN/>
                    <w:bidi w:val="0"/>
                    <w:adjustRightInd/>
                    <w:snapToGrid/>
                    <w:jc w:val="center"/>
                    <w:rPr>
                      <w:rFonts w:hint="default" w:eastAsia="宋体" w:cs="Times New Roman" w:asciiTheme="majorAscii" w:hAnsiTheme="majorAscii"/>
                      <w:sz w:val="21"/>
                      <w:szCs w:val="21"/>
                    </w:rPr>
                  </w:pPr>
                  <w:r>
                    <w:rPr>
                      <w:rFonts w:hint="default" w:eastAsia="宋体" w:cs="Times New Roman" w:asciiTheme="majorAscii" w:hAnsiTheme="majorAscii"/>
                      <w:sz w:val="21"/>
                      <w:szCs w:val="21"/>
                      <w:lang w:val="en-US" w:eastAsia="zh-CN"/>
                    </w:rPr>
                    <w:t>1</w:t>
                  </w:r>
                </w:p>
              </w:tc>
              <w:tc>
                <w:tcPr>
                  <w:tcW w:w="987" w:type="dxa"/>
                  <w:noWrap w:val="0"/>
                  <w:vAlign w:val="center"/>
                </w:tcPr>
                <w:p w14:paraId="6241ADCF">
                  <w:pPr>
                    <w:keepNext w:val="0"/>
                    <w:keepLines w:val="0"/>
                    <w:pageBreakBefore w:val="0"/>
                    <w:kinsoku/>
                    <w:wordWrap/>
                    <w:overflowPunct/>
                    <w:topLinePunct w:val="0"/>
                    <w:autoSpaceDE/>
                    <w:autoSpaceDN/>
                    <w:bidi w:val="0"/>
                    <w:adjustRightInd/>
                    <w:snapToGrid/>
                    <w:jc w:val="center"/>
                    <w:rPr>
                      <w:rFonts w:hint="default" w:eastAsia="宋体" w:cs="Times New Roman" w:asciiTheme="majorAscii" w:hAnsiTheme="majorAscii"/>
                      <w:sz w:val="21"/>
                      <w:szCs w:val="21"/>
                    </w:rPr>
                  </w:pPr>
                  <w:r>
                    <w:rPr>
                      <w:rFonts w:hint="default" w:eastAsia="宋体" w:cs="Times New Roman" w:asciiTheme="majorAscii" w:hAnsiTheme="majorAscii"/>
                      <w:sz w:val="21"/>
                      <w:szCs w:val="21"/>
                      <w:lang w:val="en-US" w:eastAsia="zh-CN"/>
                    </w:rPr>
                    <w:t>污泥含水率≤60%</w:t>
                  </w:r>
                </w:p>
              </w:tc>
            </w:tr>
          </w:tbl>
          <w:p w14:paraId="4E193869">
            <w:pPr>
              <w:spacing w:before="120" w:beforeLines="50" w:line="360" w:lineRule="auto"/>
              <w:rPr>
                <w:b/>
                <w:bCs/>
                <w:color w:val="000000"/>
                <w:sz w:val="24"/>
              </w:rPr>
            </w:pPr>
            <w:r>
              <w:rPr>
                <w:rFonts w:hint="eastAsia"/>
                <w:b/>
                <w:bCs/>
                <w:color w:val="000000"/>
                <w:sz w:val="24"/>
                <w:lang w:val="en-US" w:eastAsia="zh-CN"/>
              </w:rPr>
              <w:t>7</w:t>
            </w:r>
            <w:r>
              <w:rPr>
                <w:b/>
                <w:bCs/>
                <w:color w:val="000000"/>
                <w:sz w:val="24"/>
              </w:rPr>
              <w:t xml:space="preserve"> 原辅材料及能源消耗</w:t>
            </w:r>
          </w:p>
          <w:p w14:paraId="0BD18BAA">
            <w:pPr>
              <w:spacing w:line="360" w:lineRule="auto"/>
              <w:ind w:firstLine="480" w:firstLineChars="200"/>
              <w:rPr>
                <w:color w:val="000000"/>
                <w:sz w:val="24"/>
              </w:rPr>
            </w:pPr>
            <w:r>
              <w:rPr>
                <w:color w:val="000000"/>
                <w:sz w:val="24"/>
              </w:rPr>
              <w:t>项目原辅材料及能源消耗表见</w:t>
            </w:r>
            <w:r>
              <w:rPr>
                <w:rFonts w:hint="eastAsia"/>
                <w:sz w:val="24"/>
              </w:rPr>
              <w:t>下表</w:t>
            </w:r>
            <w:r>
              <w:rPr>
                <w:color w:val="000000"/>
                <w:sz w:val="24"/>
              </w:rPr>
              <w:t>。</w:t>
            </w:r>
          </w:p>
          <w:p w14:paraId="14560FAD">
            <w:pPr>
              <w:jc w:val="center"/>
              <w:rPr>
                <w:b/>
                <w:sz w:val="24"/>
              </w:rPr>
            </w:pPr>
            <w:r>
              <w:rPr>
                <w:b/>
                <w:sz w:val="24"/>
              </w:rPr>
              <w:t>表</w:t>
            </w:r>
            <w:r>
              <w:rPr>
                <w:rFonts w:hint="eastAsia"/>
                <w:b/>
                <w:sz w:val="24"/>
                <w:lang w:val="en-US" w:eastAsia="zh-CN"/>
              </w:rPr>
              <w:t>2-5</w:t>
            </w:r>
            <w:r>
              <w:rPr>
                <w:b/>
                <w:sz w:val="24"/>
              </w:rPr>
              <w:t xml:space="preserve">   原辅材料及能源消耗情况一览表</w:t>
            </w:r>
          </w:p>
          <w:tbl>
            <w:tblPr>
              <w:tblStyle w:val="22"/>
              <w:tblW w:w="4995"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91"/>
              <w:gridCol w:w="1005"/>
              <w:gridCol w:w="833"/>
              <w:gridCol w:w="968"/>
              <w:gridCol w:w="927"/>
              <w:gridCol w:w="1304"/>
              <w:gridCol w:w="1474"/>
              <w:gridCol w:w="799"/>
            </w:tblGrid>
            <w:tr w14:paraId="3FFB16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543" w:type="pct"/>
                  <w:noWrap w:val="0"/>
                  <w:vAlign w:val="center"/>
                </w:tcPr>
                <w:p w14:paraId="61A0C125">
                  <w:pPr>
                    <w:pStyle w:val="70"/>
                    <w:spacing w:line="320" w:lineRule="exact"/>
                    <w:rPr>
                      <w:rFonts w:hint="eastAsia" w:eastAsia="宋体"/>
                      <w:lang w:eastAsia="zh-CN"/>
                    </w:rPr>
                  </w:pPr>
                  <w:r>
                    <w:rPr>
                      <w:rFonts w:hint="eastAsia" w:eastAsia="宋体"/>
                      <w:lang w:eastAsia="zh-CN"/>
                    </w:rPr>
                    <w:t>类别</w:t>
                  </w:r>
                </w:p>
              </w:tc>
              <w:tc>
                <w:tcPr>
                  <w:tcW w:w="612" w:type="pct"/>
                  <w:noWrap w:val="0"/>
                  <w:vAlign w:val="center"/>
                </w:tcPr>
                <w:p w14:paraId="306A914C">
                  <w:pPr>
                    <w:pStyle w:val="70"/>
                    <w:spacing w:line="320" w:lineRule="exact"/>
                    <w:rPr>
                      <w:rFonts w:eastAsia="Times New Roman"/>
                    </w:rPr>
                  </w:pPr>
                  <w:r>
                    <w:rPr>
                      <w:rFonts w:eastAsia="Times New Roman"/>
                    </w:rPr>
                    <w:t>名称</w:t>
                  </w:r>
                </w:p>
              </w:tc>
              <w:tc>
                <w:tcPr>
                  <w:tcW w:w="507" w:type="pct"/>
                  <w:noWrap w:val="0"/>
                  <w:vAlign w:val="center"/>
                </w:tcPr>
                <w:p w14:paraId="04DC289A">
                  <w:pPr>
                    <w:pStyle w:val="70"/>
                    <w:spacing w:line="320" w:lineRule="exact"/>
                    <w:rPr>
                      <w:rFonts w:eastAsia="Times New Roman"/>
                    </w:rPr>
                  </w:pPr>
                  <w:r>
                    <w:rPr>
                      <w:rFonts w:eastAsia="Times New Roman"/>
                    </w:rPr>
                    <w:t>单位</w:t>
                  </w:r>
                </w:p>
              </w:tc>
              <w:tc>
                <w:tcPr>
                  <w:tcW w:w="590" w:type="pct"/>
                  <w:tcBorders>
                    <w:left w:val="single" w:color="auto" w:sz="4" w:space="0"/>
                  </w:tcBorders>
                  <w:noWrap w:val="0"/>
                  <w:vAlign w:val="center"/>
                </w:tcPr>
                <w:p w14:paraId="2C44FB4B">
                  <w:pPr>
                    <w:pStyle w:val="70"/>
                    <w:spacing w:line="320" w:lineRule="exact"/>
                    <w:rPr>
                      <w:rFonts w:hint="eastAsia"/>
                    </w:rPr>
                  </w:pPr>
                  <w:r>
                    <w:rPr>
                      <w:rFonts w:hint="eastAsia"/>
                    </w:rPr>
                    <w:t>消耗量</w:t>
                  </w:r>
                </w:p>
              </w:tc>
              <w:tc>
                <w:tcPr>
                  <w:tcW w:w="565" w:type="pct"/>
                  <w:noWrap w:val="0"/>
                  <w:vAlign w:val="center"/>
                </w:tcPr>
                <w:p w14:paraId="683382EB">
                  <w:pPr>
                    <w:pStyle w:val="70"/>
                    <w:spacing w:line="320" w:lineRule="exact"/>
                    <w:rPr>
                      <w:rFonts w:hint="eastAsia" w:eastAsia="宋体"/>
                      <w:lang w:eastAsia="zh-CN"/>
                    </w:rPr>
                  </w:pPr>
                  <w:r>
                    <w:rPr>
                      <w:rFonts w:hint="eastAsia"/>
                      <w:lang w:eastAsia="zh-CN"/>
                    </w:rPr>
                    <w:t>最大储存量</w:t>
                  </w:r>
                </w:p>
              </w:tc>
              <w:tc>
                <w:tcPr>
                  <w:tcW w:w="795" w:type="pct"/>
                  <w:noWrap w:val="0"/>
                  <w:vAlign w:val="center"/>
                </w:tcPr>
                <w:p w14:paraId="5CECDA92">
                  <w:pPr>
                    <w:pStyle w:val="70"/>
                    <w:spacing w:line="320" w:lineRule="exact"/>
                    <w:rPr>
                      <w:rFonts w:hint="default"/>
                      <w:lang w:val="en-US" w:eastAsia="zh-CN"/>
                    </w:rPr>
                  </w:pPr>
                  <w:r>
                    <w:rPr>
                      <w:rFonts w:hint="eastAsia"/>
                      <w:lang w:val="en-US" w:eastAsia="zh-CN"/>
                    </w:rPr>
                    <w:t>规格</w:t>
                  </w:r>
                </w:p>
              </w:tc>
              <w:tc>
                <w:tcPr>
                  <w:tcW w:w="898" w:type="pct"/>
                  <w:noWrap w:val="0"/>
                  <w:vAlign w:val="center"/>
                </w:tcPr>
                <w:p w14:paraId="47D564AA">
                  <w:pPr>
                    <w:pStyle w:val="70"/>
                    <w:spacing w:line="320" w:lineRule="exact"/>
                    <w:rPr>
                      <w:rFonts w:eastAsia="Times New Roman"/>
                    </w:rPr>
                  </w:pPr>
                  <w:r>
                    <w:rPr>
                      <w:rFonts w:hint="eastAsia" w:eastAsia="Times New Roman"/>
                    </w:rPr>
                    <w:t>来源</w:t>
                  </w:r>
                </w:p>
              </w:tc>
              <w:tc>
                <w:tcPr>
                  <w:tcW w:w="487" w:type="pct"/>
                  <w:noWrap w:val="0"/>
                  <w:vAlign w:val="center"/>
                </w:tcPr>
                <w:p w14:paraId="0D10F870">
                  <w:pPr>
                    <w:pStyle w:val="70"/>
                    <w:spacing w:line="320" w:lineRule="exact"/>
                    <w:rPr>
                      <w:rFonts w:hint="eastAsia"/>
                    </w:rPr>
                  </w:pPr>
                  <w:r>
                    <w:rPr>
                      <w:rFonts w:hint="eastAsia"/>
                    </w:rPr>
                    <w:t>备注</w:t>
                  </w:r>
                </w:p>
              </w:tc>
            </w:tr>
            <w:tr w14:paraId="0E0191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2" w:hRule="atLeast"/>
              </w:trPr>
              <w:tc>
                <w:tcPr>
                  <w:tcW w:w="543" w:type="pct"/>
                  <w:noWrap w:val="0"/>
                  <w:vAlign w:val="center"/>
                </w:tcPr>
                <w:p w14:paraId="4E9F1016">
                  <w:pPr>
                    <w:pStyle w:val="70"/>
                    <w:spacing w:line="320" w:lineRule="exact"/>
                    <w:rPr>
                      <w:rFonts w:hint="eastAsia" w:eastAsia="宋体"/>
                      <w:lang w:eastAsia="zh-CN"/>
                    </w:rPr>
                  </w:pPr>
                  <w:r>
                    <w:rPr>
                      <w:rFonts w:hint="eastAsia" w:eastAsia="宋体"/>
                      <w:lang w:eastAsia="zh-CN"/>
                    </w:rPr>
                    <w:t>能源</w:t>
                  </w:r>
                </w:p>
              </w:tc>
              <w:tc>
                <w:tcPr>
                  <w:tcW w:w="612" w:type="pct"/>
                  <w:noWrap w:val="0"/>
                  <w:vAlign w:val="center"/>
                </w:tcPr>
                <w:p w14:paraId="2EDB8D95">
                  <w:pPr>
                    <w:pStyle w:val="70"/>
                    <w:spacing w:line="320" w:lineRule="exact"/>
                    <w:rPr>
                      <w:rFonts w:eastAsia="Times New Roman"/>
                    </w:rPr>
                  </w:pPr>
                  <w:r>
                    <w:rPr>
                      <w:rFonts w:eastAsia="Times New Roman"/>
                    </w:rPr>
                    <w:t>电</w:t>
                  </w:r>
                </w:p>
              </w:tc>
              <w:tc>
                <w:tcPr>
                  <w:tcW w:w="507" w:type="pct"/>
                  <w:noWrap w:val="0"/>
                  <w:vAlign w:val="center"/>
                </w:tcPr>
                <w:p w14:paraId="1AB05E44">
                  <w:pPr>
                    <w:pStyle w:val="70"/>
                    <w:spacing w:line="320" w:lineRule="exact"/>
                    <w:rPr>
                      <w:rFonts w:eastAsia="Times New Roman"/>
                    </w:rPr>
                  </w:pPr>
                  <w:r>
                    <w:rPr>
                      <w:rFonts w:hint="eastAsia" w:eastAsia="Times New Roman"/>
                    </w:rPr>
                    <w:t>万</w:t>
                  </w:r>
                  <w:r>
                    <w:rPr>
                      <w:rFonts w:eastAsia="Times New Roman"/>
                    </w:rPr>
                    <w:t>kWh/a</w:t>
                  </w:r>
                </w:p>
              </w:tc>
              <w:tc>
                <w:tcPr>
                  <w:tcW w:w="590" w:type="pct"/>
                  <w:tcBorders>
                    <w:left w:val="single" w:color="auto" w:sz="4" w:space="0"/>
                  </w:tcBorders>
                  <w:noWrap w:val="0"/>
                  <w:vAlign w:val="center"/>
                </w:tcPr>
                <w:p w14:paraId="5231BCA8">
                  <w:pPr>
                    <w:pStyle w:val="70"/>
                    <w:spacing w:line="320" w:lineRule="exact"/>
                    <w:rPr>
                      <w:rFonts w:hint="default" w:eastAsia="宋体"/>
                      <w:color w:val="auto"/>
                      <w:lang w:val="en-US" w:eastAsia="zh-CN"/>
                    </w:rPr>
                  </w:pPr>
                  <w:r>
                    <w:rPr>
                      <w:rFonts w:hint="eastAsia"/>
                      <w:color w:val="auto"/>
                      <w:lang w:val="en-US" w:eastAsia="zh-CN"/>
                    </w:rPr>
                    <w:t>80</w:t>
                  </w:r>
                </w:p>
              </w:tc>
              <w:tc>
                <w:tcPr>
                  <w:tcW w:w="565" w:type="pct"/>
                  <w:noWrap w:val="0"/>
                  <w:vAlign w:val="center"/>
                </w:tcPr>
                <w:p w14:paraId="5212F962">
                  <w:pPr>
                    <w:pStyle w:val="70"/>
                    <w:spacing w:line="320" w:lineRule="exact"/>
                    <w:rPr>
                      <w:rFonts w:hint="eastAsia" w:eastAsia="宋体"/>
                      <w:lang w:val="en-US" w:eastAsia="zh-CN"/>
                    </w:rPr>
                  </w:pPr>
                  <w:r>
                    <w:rPr>
                      <w:rFonts w:hint="eastAsia"/>
                      <w:lang w:val="en-US" w:eastAsia="zh-CN"/>
                    </w:rPr>
                    <w:t>/</w:t>
                  </w:r>
                </w:p>
              </w:tc>
              <w:tc>
                <w:tcPr>
                  <w:tcW w:w="795" w:type="pct"/>
                  <w:noWrap w:val="0"/>
                  <w:vAlign w:val="center"/>
                </w:tcPr>
                <w:p w14:paraId="27D7E224">
                  <w:pPr>
                    <w:pStyle w:val="70"/>
                    <w:spacing w:line="320" w:lineRule="exact"/>
                    <w:rPr>
                      <w:rFonts w:hint="default"/>
                      <w:lang w:val="en-US" w:eastAsia="zh-CN"/>
                    </w:rPr>
                  </w:pPr>
                  <w:r>
                    <w:rPr>
                      <w:rFonts w:hint="eastAsia"/>
                      <w:lang w:val="en-US" w:eastAsia="zh-CN"/>
                    </w:rPr>
                    <w:t>/</w:t>
                  </w:r>
                </w:p>
              </w:tc>
              <w:tc>
                <w:tcPr>
                  <w:tcW w:w="898" w:type="pct"/>
                  <w:noWrap w:val="0"/>
                  <w:vAlign w:val="center"/>
                </w:tcPr>
                <w:p w14:paraId="2436AAF5">
                  <w:pPr>
                    <w:pStyle w:val="70"/>
                    <w:spacing w:line="320" w:lineRule="exact"/>
                    <w:rPr>
                      <w:rFonts w:hint="eastAsia" w:eastAsia="宋体"/>
                      <w:lang w:eastAsia="zh-CN"/>
                    </w:rPr>
                  </w:pPr>
                  <w:r>
                    <w:rPr>
                      <w:rFonts w:hint="eastAsia"/>
                      <w:lang w:eastAsia="zh-CN"/>
                    </w:rPr>
                    <w:t>当地市政电网提供</w:t>
                  </w:r>
                </w:p>
              </w:tc>
              <w:tc>
                <w:tcPr>
                  <w:tcW w:w="487" w:type="pct"/>
                  <w:noWrap w:val="0"/>
                  <w:vAlign w:val="center"/>
                </w:tcPr>
                <w:p w14:paraId="1ECBD973">
                  <w:pPr>
                    <w:pStyle w:val="70"/>
                    <w:spacing w:line="320" w:lineRule="exact"/>
                    <w:rPr>
                      <w:rFonts w:hint="eastAsia" w:eastAsia="宋体"/>
                      <w:lang w:val="en-US" w:eastAsia="zh-CN"/>
                    </w:rPr>
                  </w:pPr>
                  <w:r>
                    <w:rPr>
                      <w:rFonts w:hint="eastAsia"/>
                      <w:lang w:val="en-US" w:eastAsia="zh-CN"/>
                    </w:rPr>
                    <w:t>/</w:t>
                  </w:r>
                </w:p>
              </w:tc>
            </w:tr>
            <w:tr w14:paraId="35F6D3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2" w:hRule="atLeast"/>
              </w:trPr>
              <w:tc>
                <w:tcPr>
                  <w:tcW w:w="543" w:type="pct"/>
                  <w:noWrap w:val="0"/>
                  <w:vAlign w:val="center"/>
                </w:tcPr>
                <w:p w14:paraId="4BC465E1">
                  <w:pPr>
                    <w:pStyle w:val="70"/>
                    <w:spacing w:line="320" w:lineRule="exact"/>
                    <w:rPr>
                      <w:rFonts w:hint="default" w:eastAsia="宋体"/>
                      <w:lang w:val="en-US" w:eastAsia="zh-CN"/>
                    </w:rPr>
                  </w:pPr>
                  <w:r>
                    <w:rPr>
                      <w:rFonts w:hint="eastAsia"/>
                      <w:lang w:val="en-US" w:eastAsia="zh-CN"/>
                    </w:rPr>
                    <w:t>水</w:t>
                  </w:r>
                </w:p>
              </w:tc>
              <w:tc>
                <w:tcPr>
                  <w:tcW w:w="612" w:type="pct"/>
                  <w:noWrap w:val="0"/>
                  <w:vAlign w:val="center"/>
                </w:tcPr>
                <w:p w14:paraId="2358C607">
                  <w:pPr>
                    <w:pStyle w:val="70"/>
                    <w:spacing w:line="320" w:lineRule="exact"/>
                    <w:rPr>
                      <w:rFonts w:hint="eastAsia" w:eastAsia="宋体"/>
                      <w:lang w:val="en-US" w:eastAsia="zh-CN"/>
                    </w:rPr>
                  </w:pPr>
                  <w:r>
                    <w:rPr>
                      <w:rFonts w:hint="eastAsia"/>
                      <w:lang w:val="en-US" w:eastAsia="zh-CN"/>
                    </w:rPr>
                    <w:t>新鲜水</w:t>
                  </w:r>
                </w:p>
              </w:tc>
              <w:tc>
                <w:tcPr>
                  <w:tcW w:w="507" w:type="pct"/>
                  <w:noWrap w:val="0"/>
                  <w:vAlign w:val="center"/>
                </w:tcPr>
                <w:p w14:paraId="57434108">
                  <w:pPr>
                    <w:pStyle w:val="70"/>
                    <w:spacing w:line="320" w:lineRule="exact"/>
                    <w:rPr>
                      <w:rFonts w:hint="eastAsia" w:eastAsia="宋体"/>
                      <w:lang w:val="en-US" w:eastAsia="zh-CN"/>
                    </w:rPr>
                  </w:pPr>
                  <w:r>
                    <w:rPr>
                      <w:rFonts w:hint="eastAsia" w:eastAsia="宋体"/>
                      <w:lang w:val="en-US" w:eastAsia="zh-CN"/>
                    </w:rPr>
                    <w:t>m</w:t>
                  </w:r>
                  <w:r>
                    <w:rPr>
                      <w:rFonts w:hint="eastAsia" w:eastAsia="宋体"/>
                      <w:vertAlign w:val="superscript"/>
                      <w:lang w:val="en-US" w:eastAsia="zh-CN"/>
                    </w:rPr>
                    <w:t>3</w:t>
                  </w:r>
                  <w:r>
                    <w:rPr>
                      <w:rFonts w:hint="eastAsia" w:eastAsia="宋体"/>
                      <w:lang w:val="en-US" w:eastAsia="zh-CN"/>
                    </w:rPr>
                    <w:t>/a</w:t>
                  </w:r>
                </w:p>
              </w:tc>
              <w:tc>
                <w:tcPr>
                  <w:tcW w:w="590" w:type="pct"/>
                  <w:tcBorders>
                    <w:left w:val="single" w:color="auto" w:sz="4" w:space="0"/>
                  </w:tcBorders>
                  <w:noWrap w:val="0"/>
                  <w:vAlign w:val="center"/>
                </w:tcPr>
                <w:p w14:paraId="6C166BA4">
                  <w:pPr>
                    <w:pStyle w:val="70"/>
                    <w:spacing w:line="320" w:lineRule="exact"/>
                    <w:rPr>
                      <w:rFonts w:hint="default"/>
                      <w:color w:val="auto"/>
                      <w:lang w:val="en-US" w:eastAsia="zh-CN"/>
                    </w:rPr>
                  </w:pPr>
                  <w:r>
                    <w:rPr>
                      <w:rFonts w:hint="eastAsia"/>
                      <w:color w:val="auto"/>
                      <w:lang w:val="en-US" w:eastAsia="zh-CN"/>
                    </w:rPr>
                    <w:t>832.85</w:t>
                  </w:r>
                </w:p>
              </w:tc>
              <w:tc>
                <w:tcPr>
                  <w:tcW w:w="565" w:type="pct"/>
                  <w:noWrap w:val="0"/>
                  <w:vAlign w:val="center"/>
                </w:tcPr>
                <w:p w14:paraId="71104690">
                  <w:pPr>
                    <w:pStyle w:val="70"/>
                    <w:spacing w:line="320" w:lineRule="exact"/>
                    <w:rPr>
                      <w:rFonts w:hint="default"/>
                      <w:lang w:val="en-US" w:eastAsia="zh-CN"/>
                    </w:rPr>
                  </w:pPr>
                  <w:r>
                    <w:rPr>
                      <w:rFonts w:hint="eastAsia"/>
                      <w:lang w:val="en-US" w:eastAsia="zh-CN"/>
                    </w:rPr>
                    <w:t>/</w:t>
                  </w:r>
                </w:p>
              </w:tc>
              <w:tc>
                <w:tcPr>
                  <w:tcW w:w="795" w:type="pct"/>
                  <w:noWrap w:val="0"/>
                  <w:vAlign w:val="center"/>
                </w:tcPr>
                <w:p w14:paraId="55AAC3FA">
                  <w:pPr>
                    <w:pStyle w:val="70"/>
                    <w:spacing w:line="320" w:lineRule="exact"/>
                    <w:rPr>
                      <w:rFonts w:hint="default"/>
                      <w:lang w:val="en-US" w:eastAsia="zh-CN"/>
                    </w:rPr>
                  </w:pPr>
                  <w:r>
                    <w:rPr>
                      <w:rFonts w:hint="eastAsia"/>
                      <w:lang w:val="en-US" w:eastAsia="zh-CN"/>
                    </w:rPr>
                    <w:t>/</w:t>
                  </w:r>
                </w:p>
              </w:tc>
              <w:tc>
                <w:tcPr>
                  <w:tcW w:w="898" w:type="pct"/>
                  <w:noWrap w:val="0"/>
                  <w:vAlign w:val="center"/>
                </w:tcPr>
                <w:p w14:paraId="02F55A19">
                  <w:pPr>
                    <w:pStyle w:val="70"/>
                    <w:spacing w:line="320" w:lineRule="exact"/>
                    <w:rPr>
                      <w:rFonts w:hint="default"/>
                      <w:lang w:val="en-US" w:eastAsia="zh-CN"/>
                    </w:rPr>
                  </w:pPr>
                  <w:r>
                    <w:rPr>
                      <w:rFonts w:hint="eastAsia"/>
                      <w:lang w:val="en-US" w:eastAsia="zh-CN"/>
                    </w:rPr>
                    <w:t>当地给水管网提供</w:t>
                  </w:r>
                </w:p>
              </w:tc>
              <w:tc>
                <w:tcPr>
                  <w:tcW w:w="487" w:type="pct"/>
                  <w:noWrap w:val="0"/>
                  <w:vAlign w:val="center"/>
                </w:tcPr>
                <w:p w14:paraId="15181958">
                  <w:pPr>
                    <w:pStyle w:val="70"/>
                    <w:spacing w:line="320" w:lineRule="exact"/>
                    <w:rPr>
                      <w:rFonts w:hint="default"/>
                      <w:lang w:val="en-US" w:eastAsia="zh-CN"/>
                    </w:rPr>
                  </w:pPr>
                  <w:r>
                    <w:rPr>
                      <w:rFonts w:hint="eastAsia"/>
                      <w:lang w:val="en-US" w:eastAsia="zh-CN"/>
                    </w:rPr>
                    <w:t>/</w:t>
                  </w:r>
                </w:p>
              </w:tc>
            </w:tr>
            <w:tr w14:paraId="6D0839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543" w:type="pct"/>
                  <w:vMerge w:val="restart"/>
                  <w:noWrap w:val="0"/>
                  <w:vAlign w:val="center"/>
                </w:tcPr>
                <w:p w14:paraId="4BD87B3A">
                  <w:pPr>
                    <w:pStyle w:val="70"/>
                    <w:spacing w:line="320" w:lineRule="exact"/>
                    <w:rPr>
                      <w:rFonts w:hint="eastAsia" w:eastAsia="宋体"/>
                      <w:lang w:eastAsia="zh-CN"/>
                    </w:rPr>
                  </w:pPr>
                  <w:r>
                    <w:rPr>
                      <w:rFonts w:hint="eastAsia"/>
                      <w:lang w:eastAsia="zh-CN"/>
                    </w:rPr>
                    <w:t>原料</w:t>
                  </w:r>
                </w:p>
              </w:tc>
              <w:tc>
                <w:tcPr>
                  <w:tcW w:w="612" w:type="pct"/>
                  <w:noWrap w:val="0"/>
                  <w:vAlign w:val="center"/>
                </w:tcPr>
                <w:p w14:paraId="069F8768">
                  <w:pPr>
                    <w:pStyle w:val="70"/>
                    <w:spacing w:line="320" w:lineRule="exact"/>
                  </w:pPr>
                  <w:r>
                    <w:rPr>
                      <w:rFonts w:hint="eastAsia"/>
                    </w:rPr>
                    <w:t>PAC</w:t>
                  </w:r>
                </w:p>
              </w:tc>
              <w:tc>
                <w:tcPr>
                  <w:tcW w:w="507" w:type="pct"/>
                  <w:noWrap w:val="0"/>
                  <w:vAlign w:val="center"/>
                </w:tcPr>
                <w:p w14:paraId="67F268D9">
                  <w:pPr>
                    <w:pStyle w:val="70"/>
                    <w:spacing w:line="320" w:lineRule="exact"/>
                    <w:rPr>
                      <w:rFonts w:hint="eastAsia" w:eastAsia="Times New Roman"/>
                    </w:rPr>
                  </w:pPr>
                  <w:r>
                    <w:rPr>
                      <w:rFonts w:hint="eastAsia"/>
                    </w:rPr>
                    <w:t>t/a</w:t>
                  </w:r>
                </w:p>
              </w:tc>
              <w:tc>
                <w:tcPr>
                  <w:tcW w:w="590" w:type="pct"/>
                  <w:tcBorders>
                    <w:left w:val="single" w:color="auto" w:sz="4" w:space="0"/>
                  </w:tcBorders>
                  <w:noWrap w:val="0"/>
                  <w:vAlign w:val="center"/>
                </w:tcPr>
                <w:p w14:paraId="6AF2C710">
                  <w:pPr>
                    <w:pStyle w:val="70"/>
                    <w:spacing w:line="320" w:lineRule="exact"/>
                    <w:rPr>
                      <w:rFonts w:hint="default"/>
                      <w:color w:val="auto"/>
                      <w:lang w:val="en-US"/>
                    </w:rPr>
                  </w:pPr>
                  <w:r>
                    <w:rPr>
                      <w:rFonts w:hint="eastAsia"/>
                      <w:color w:val="auto"/>
                      <w:lang w:val="en-US" w:eastAsia="zh-CN"/>
                    </w:rPr>
                    <w:t>90</w:t>
                  </w:r>
                </w:p>
              </w:tc>
              <w:tc>
                <w:tcPr>
                  <w:tcW w:w="565" w:type="pct"/>
                  <w:noWrap w:val="0"/>
                  <w:vAlign w:val="center"/>
                </w:tcPr>
                <w:p w14:paraId="1630A77F">
                  <w:pPr>
                    <w:pStyle w:val="70"/>
                    <w:spacing w:line="320" w:lineRule="exact"/>
                    <w:rPr>
                      <w:rFonts w:hint="default" w:eastAsia="宋体"/>
                      <w:lang w:val="en-US" w:eastAsia="zh-CN"/>
                    </w:rPr>
                  </w:pPr>
                  <w:r>
                    <w:rPr>
                      <w:rFonts w:hint="eastAsia"/>
                      <w:lang w:val="en-US" w:eastAsia="zh-CN"/>
                    </w:rPr>
                    <w:t>0.5</w:t>
                  </w:r>
                </w:p>
              </w:tc>
              <w:tc>
                <w:tcPr>
                  <w:tcW w:w="795" w:type="pct"/>
                  <w:noWrap w:val="0"/>
                  <w:vAlign w:val="center"/>
                </w:tcPr>
                <w:p w14:paraId="3B441E0E">
                  <w:pPr>
                    <w:pStyle w:val="70"/>
                    <w:spacing w:line="320" w:lineRule="exact"/>
                    <w:rPr>
                      <w:rFonts w:hint="default"/>
                      <w:lang w:val="en-US" w:eastAsia="zh-CN"/>
                    </w:rPr>
                  </w:pPr>
                  <w:r>
                    <w:rPr>
                      <w:rFonts w:hint="eastAsia"/>
                      <w:lang w:val="en-US" w:eastAsia="zh-CN"/>
                    </w:rPr>
                    <w:t>袋装，粉末，25kg/袋</w:t>
                  </w:r>
                </w:p>
              </w:tc>
              <w:tc>
                <w:tcPr>
                  <w:tcW w:w="898" w:type="pct"/>
                  <w:noWrap w:val="0"/>
                  <w:vAlign w:val="center"/>
                </w:tcPr>
                <w:p w14:paraId="1C26E6A0">
                  <w:pPr>
                    <w:pStyle w:val="70"/>
                    <w:spacing w:line="320" w:lineRule="exact"/>
                    <w:rPr>
                      <w:rFonts w:hint="eastAsia" w:eastAsia="宋体"/>
                      <w:lang w:eastAsia="zh-CN"/>
                    </w:rPr>
                  </w:pPr>
                  <w:r>
                    <w:rPr>
                      <w:rFonts w:hint="eastAsia"/>
                    </w:rPr>
                    <w:t>外购</w:t>
                  </w:r>
                  <w:r>
                    <w:rPr>
                      <w:rFonts w:hint="eastAsia"/>
                      <w:lang w:eastAsia="zh-CN"/>
                    </w:rPr>
                    <w:t>，</w:t>
                  </w:r>
                  <w:r>
                    <w:rPr>
                      <w:rFonts w:hint="default" w:ascii="Times New Roman" w:hAnsi="Times New Roman" w:cs="Times New Roman"/>
                      <w:sz w:val="21"/>
                      <w:szCs w:val="21"/>
                    </w:rPr>
                    <w:t>车辆运输</w:t>
                  </w:r>
                </w:p>
              </w:tc>
              <w:tc>
                <w:tcPr>
                  <w:tcW w:w="487" w:type="pct"/>
                  <w:vMerge w:val="restart"/>
                  <w:noWrap w:val="0"/>
                  <w:vAlign w:val="center"/>
                </w:tcPr>
                <w:p w14:paraId="299095D1">
                  <w:pPr>
                    <w:pStyle w:val="70"/>
                    <w:spacing w:line="320" w:lineRule="exact"/>
                    <w:rPr>
                      <w:rFonts w:hint="default" w:eastAsia="宋体"/>
                      <w:lang w:val="en-US" w:eastAsia="zh-CN"/>
                    </w:rPr>
                  </w:pPr>
                  <w:r>
                    <w:rPr>
                      <w:rFonts w:hint="eastAsia"/>
                      <w:lang w:val="en-US" w:eastAsia="zh-CN"/>
                    </w:rPr>
                    <w:t>絮凝</w:t>
                  </w:r>
                  <w:r>
                    <w:rPr>
                      <w:rFonts w:hint="eastAsia" w:eastAsia="宋体"/>
                      <w:lang w:val="en-US" w:eastAsia="zh-CN"/>
                    </w:rPr>
                    <w:t>沉淀</w:t>
                  </w:r>
                </w:p>
              </w:tc>
            </w:tr>
            <w:tr w14:paraId="218C2D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543" w:type="pct"/>
                  <w:vMerge w:val="continue"/>
                  <w:noWrap w:val="0"/>
                  <w:vAlign w:val="center"/>
                </w:tcPr>
                <w:p w14:paraId="128CD7D5">
                  <w:pPr>
                    <w:pStyle w:val="70"/>
                    <w:spacing w:line="320" w:lineRule="exact"/>
                    <w:rPr>
                      <w:rFonts w:hint="eastAsia"/>
                    </w:rPr>
                  </w:pPr>
                </w:p>
              </w:tc>
              <w:tc>
                <w:tcPr>
                  <w:tcW w:w="612" w:type="pct"/>
                  <w:noWrap w:val="0"/>
                  <w:vAlign w:val="center"/>
                </w:tcPr>
                <w:p w14:paraId="5AA0967B">
                  <w:pPr>
                    <w:pStyle w:val="70"/>
                    <w:spacing w:line="320" w:lineRule="exact"/>
                  </w:pPr>
                  <w:r>
                    <w:rPr>
                      <w:rFonts w:hint="eastAsia"/>
                    </w:rPr>
                    <w:t>PAM</w:t>
                  </w:r>
                </w:p>
              </w:tc>
              <w:tc>
                <w:tcPr>
                  <w:tcW w:w="507" w:type="pct"/>
                  <w:noWrap w:val="0"/>
                  <w:vAlign w:val="center"/>
                </w:tcPr>
                <w:p w14:paraId="24CD4E68">
                  <w:pPr>
                    <w:pStyle w:val="70"/>
                    <w:spacing w:line="320" w:lineRule="exact"/>
                    <w:rPr>
                      <w:rFonts w:hint="eastAsia" w:eastAsia="Times New Roman"/>
                    </w:rPr>
                  </w:pPr>
                  <w:r>
                    <w:rPr>
                      <w:rFonts w:hint="eastAsia"/>
                    </w:rPr>
                    <w:t>t/a</w:t>
                  </w:r>
                </w:p>
              </w:tc>
              <w:tc>
                <w:tcPr>
                  <w:tcW w:w="590" w:type="pct"/>
                  <w:tcBorders>
                    <w:left w:val="single" w:color="auto" w:sz="4" w:space="0"/>
                  </w:tcBorders>
                  <w:noWrap w:val="0"/>
                  <w:vAlign w:val="center"/>
                </w:tcPr>
                <w:p w14:paraId="6325D160">
                  <w:pPr>
                    <w:pStyle w:val="70"/>
                    <w:spacing w:line="320" w:lineRule="exact"/>
                    <w:rPr>
                      <w:rFonts w:hint="default" w:eastAsia="宋体"/>
                      <w:color w:val="auto"/>
                      <w:lang w:val="en-US" w:eastAsia="zh-CN"/>
                    </w:rPr>
                  </w:pPr>
                  <w:r>
                    <w:rPr>
                      <w:rFonts w:hint="eastAsia"/>
                      <w:color w:val="auto"/>
                      <w:lang w:val="en-US" w:eastAsia="zh-CN"/>
                    </w:rPr>
                    <w:t>2.5</w:t>
                  </w:r>
                </w:p>
              </w:tc>
              <w:tc>
                <w:tcPr>
                  <w:tcW w:w="565" w:type="pct"/>
                  <w:noWrap w:val="0"/>
                  <w:vAlign w:val="center"/>
                </w:tcPr>
                <w:p w14:paraId="5679AF34">
                  <w:pPr>
                    <w:pStyle w:val="70"/>
                    <w:spacing w:line="320" w:lineRule="exact"/>
                    <w:rPr>
                      <w:rFonts w:hint="default" w:eastAsia="宋体"/>
                      <w:lang w:val="en-US" w:eastAsia="zh-CN"/>
                    </w:rPr>
                  </w:pPr>
                  <w:r>
                    <w:rPr>
                      <w:rFonts w:hint="eastAsia"/>
                      <w:lang w:val="en-US" w:eastAsia="zh-CN"/>
                    </w:rPr>
                    <w:t>0.1</w:t>
                  </w:r>
                </w:p>
              </w:tc>
              <w:tc>
                <w:tcPr>
                  <w:tcW w:w="795" w:type="pct"/>
                  <w:noWrap w:val="0"/>
                  <w:vAlign w:val="center"/>
                </w:tcPr>
                <w:p w14:paraId="06DD11C9">
                  <w:pPr>
                    <w:spacing w:line="320" w:lineRule="exact"/>
                    <w:rPr>
                      <w:rFonts w:hint="eastAsia"/>
                      <w:lang w:val="en-US" w:eastAsia="zh-CN"/>
                    </w:rPr>
                  </w:pPr>
                  <w:r>
                    <w:rPr>
                      <w:rFonts w:hint="eastAsia"/>
                      <w:lang w:val="en-US" w:eastAsia="zh-CN"/>
                    </w:rPr>
                    <w:t>袋装，粉末，25kg/袋</w:t>
                  </w:r>
                </w:p>
              </w:tc>
              <w:tc>
                <w:tcPr>
                  <w:tcW w:w="898" w:type="pct"/>
                  <w:noWrap w:val="0"/>
                  <w:vAlign w:val="center"/>
                </w:tcPr>
                <w:p w14:paraId="597159B2">
                  <w:pPr>
                    <w:pStyle w:val="70"/>
                    <w:spacing w:line="320" w:lineRule="exact"/>
                    <w:rPr>
                      <w:rFonts w:hint="eastAsia" w:eastAsia="宋体"/>
                      <w:lang w:eastAsia="zh-CN"/>
                    </w:rPr>
                  </w:pPr>
                  <w:r>
                    <w:rPr>
                      <w:rFonts w:hint="eastAsia"/>
                    </w:rPr>
                    <w:t>外购</w:t>
                  </w:r>
                  <w:r>
                    <w:rPr>
                      <w:rFonts w:hint="eastAsia"/>
                      <w:lang w:eastAsia="zh-CN"/>
                    </w:rPr>
                    <w:t>，</w:t>
                  </w:r>
                  <w:r>
                    <w:rPr>
                      <w:rFonts w:hint="default" w:ascii="Times New Roman" w:hAnsi="Times New Roman" w:cs="Times New Roman"/>
                      <w:sz w:val="21"/>
                      <w:szCs w:val="21"/>
                    </w:rPr>
                    <w:t>车辆运输</w:t>
                  </w:r>
                </w:p>
              </w:tc>
              <w:tc>
                <w:tcPr>
                  <w:tcW w:w="487" w:type="pct"/>
                  <w:vMerge w:val="continue"/>
                  <w:noWrap w:val="0"/>
                  <w:vAlign w:val="center"/>
                </w:tcPr>
                <w:p w14:paraId="23D6ED20">
                  <w:pPr>
                    <w:pStyle w:val="70"/>
                    <w:spacing w:line="320" w:lineRule="exact"/>
                    <w:rPr>
                      <w:rFonts w:hint="default" w:eastAsia="宋体"/>
                      <w:lang w:val="en-US" w:eastAsia="zh-CN"/>
                    </w:rPr>
                  </w:pPr>
                </w:p>
              </w:tc>
            </w:tr>
            <w:tr w14:paraId="6EA1B2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543" w:type="pct"/>
                  <w:vMerge w:val="continue"/>
                  <w:noWrap w:val="0"/>
                  <w:vAlign w:val="center"/>
                </w:tcPr>
                <w:p w14:paraId="1037CDD2">
                  <w:pPr>
                    <w:pStyle w:val="70"/>
                    <w:spacing w:line="320" w:lineRule="exact"/>
                    <w:rPr>
                      <w:rFonts w:hint="eastAsia"/>
                    </w:rPr>
                  </w:pPr>
                </w:p>
              </w:tc>
              <w:tc>
                <w:tcPr>
                  <w:tcW w:w="612" w:type="pct"/>
                  <w:noWrap w:val="0"/>
                  <w:vAlign w:val="center"/>
                </w:tcPr>
                <w:p w14:paraId="6980C796">
                  <w:pPr>
                    <w:pStyle w:val="70"/>
                    <w:spacing w:line="320" w:lineRule="exact"/>
                    <w:rPr>
                      <w:rFonts w:hint="default" w:eastAsia="宋体"/>
                      <w:lang w:val="en-US" w:eastAsia="zh-CN"/>
                    </w:rPr>
                  </w:pPr>
                  <w:r>
                    <w:rPr>
                      <w:rFonts w:hint="eastAsia"/>
                      <w:lang w:val="en-US" w:eastAsia="zh-CN"/>
                    </w:rPr>
                    <w:t>氢氧化钠</w:t>
                  </w:r>
                </w:p>
              </w:tc>
              <w:tc>
                <w:tcPr>
                  <w:tcW w:w="507" w:type="pct"/>
                  <w:noWrap w:val="0"/>
                  <w:vAlign w:val="center"/>
                </w:tcPr>
                <w:p w14:paraId="5E254933">
                  <w:pPr>
                    <w:pStyle w:val="70"/>
                    <w:spacing w:line="320" w:lineRule="exact"/>
                    <w:rPr>
                      <w:rFonts w:hint="eastAsia" w:eastAsia="宋体"/>
                      <w:lang w:val="en-US" w:eastAsia="zh-CN"/>
                    </w:rPr>
                  </w:pPr>
                  <w:r>
                    <w:rPr>
                      <w:rFonts w:hint="eastAsia"/>
                      <w:lang w:val="en-US" w:eastAsia="zh-CN"/>
                    </w:rPr>
                    <w:t>t/a</w:t>
                  </w:r>
                </w:p>
              </w:tc>
              <w:tc>
                <w:tcPr>
                  <w:tcW w:w="590" w:type="pct"/>
                  <w:tcBorders>
                    <w:left w:val="single" w:color="auto" w:sz="4" w:space="0"/>
                  </w:tcBorders>
                  <w:noWrap w:val="0"/>
                  <w:vAlign w:val="center"/>
                </w:tcPr>
                <w:p w14:paraId="7DDD97BA">
                  <w:pPr>
                    <w:pStyle w:val="70"/>
                    <w:spacing w:line="320" w:lineRule="exact"/>
                    <w:rPr>
                      <w:rFonts w:hint="default"/>
                      <w:color w:val="auto"/>
                      <w:lang w:val="en-US" w:eastAsia="zh-CN"/>
                    </w:rPr>
                  </w:pPr>
                  <w:r>
                    <w:rPr>
                      <w:rFonts w:hint="eastAsia"/>
                      <w:color w:val="auto"/>
                      <w:lang w:val="en-US" w:eastAsia="zh-CN"/>
                    </w:rPr>
                    <w:t>20</w:t>
                  </w:r>
                </w:p>
              </w:tc>
              <w:tc>
                <w:tcPr>
                  <w:tcW w:w="565" w:type="pct"/>
                  <w:noWrap w:val="0"/>
                  <w:vAlign w:val="center"/>
                </w:tcPr>
                <w:p w14:paraId="55013324">
                  <w:pPr>
                    <w:pStyle w:val="70"/>
                    <w:spacing w:line="320" w:lineRule="exact"/>
                    <w:rPr>
                      <w:rFonts w:hint="default"/>
                      <w:lang w:val="en-US" w:eastAsia="zh-CN"/>
                    </w:rPr>
                  </w:pPr>
                  <w:r>
                    <w:rPr>
                      <w:rFonts w:hint="eastAsia"/>
                      <w:lang w:val="en-US" w:eastAsia="zh-CN"/>
                    </w:rPr>
                    <w:t>0.1</w:t>
                  </w:r>
                </w:p>
              </w:tc>
              <w:tc>
                <w:tcPr>
                  <w:tcW w:w="795" w:type="pct"/>
                  <w:noWrap w:val="0"/>
                  <w:vAlign w:val="center"/>
                </w:tcPr>
                <w:p w14:paraId="3E3C6AE0">
                  <w:pPr>
                    <w:spacing w:line="320" w:lineRule="exact"/>
                    <w:rPr>
                      <w:rFonts w:hint="default"/>
                      <w:lang w:val="en-US" w:eastAsia="zh-CN"/>
                    </w:rPr>
                  </w:pPr>
                  <w:r>
                    <w:rPr>
                      <w:rFonts w:hint="eastAsia"/>
                      <w:lang w:val="en-US" w:eastAsia="zh-CN"/>
                    </w:rPr>
                    <w:t>桶装，液态，100kg/桶</w:t>
                  </w:r>
                </w:p>
              </w:tc>
              <w:tc>
                <w:tcPr>
                  <w:tcW w:w="898" w:type="pct"/>
                  <w:noWrap w:val="0"/>
                  <w:vAlign w:val="center"/>
                </w:tcPr>
                <w:p w14:paraId="4F34E909">
                  <w:pPr>
                    <w:pStyle w:val="70"/>
                    <w:spacing w:line="320" w:lineRule="exact"/>
                    <w:rPr>
                      <w:rFonts w:hint="eastAsia"/>
                    </w:rPr>
                  </w:pPr>
                  <w:r>
                    <w:rPr>
                      <w:rFonts w:hint="eastAsia"/>
                    </w:rPr>
                    <w:t>外购</w:t>
                  </w:r>
                  <w:r>
                    <w:rPr>
                      <w:rFonts w:hint="eastAsia"/>
                      <w:lang w:eastAsia="zh-CN"/>
                    </w:rPr>
                    <w:t>，</w:t>
                  </w:r>
                  <w:r>
                    <w:rPr>
                      <w:rFonts w:hint="default" w:ascii="Times New Roman" w:hAnsi="Times New Roman" w:cs="Times New Roman"/>
                      <w:sz w:val="21"/>
                      <w:szCs w:val="21"/>
                    </w:rPr>
                    <w:t>车辆运输</w:t>
                  </w:r>
                </w:p>
              </w:tc>
              <w:tc>
                <w:tcPr>
                  <w:tcW w:w="487" w:type="pct"/>
                  <w:noWrap w:val="0"/>
                  <w:vAlign w:val="center"/>
                </w:tcPr>
                <w:p w14:paraId="1401B16A">
                  <w:pPr>
                    <w:pStyle w:val="70"/>
                    <w:spacing w:line="320" w:lineRule="exact"/>
                    <w:rPr>
                      <w:rFonts w:hint="default" w:eastAsia="宋体"/>
                      <w:lang w:val="en-US" w:eastAsia="zh-CN"/>
                    </w:rPr>
                  </w:pPr>
                  <w:r>
                    <w:rPr>
                      <w:rFonts w:hint="eastAsia"/>
                      <w:lang w:val="en-US" w:eastAsia="zh-CN"/>
                    </w:rPr>
                    <w:t>p</w:t>
                  </w:r>
                  <w:r>
                    <w:rPr>
                      <w:rFonts w:hint="eastAsia" w:eastAsia="宋体"/>
                      <w:lang w:val="en-US" w:eastAsia="zh-CN"/>
                    </w:rPr>
                    <w:t>H调节</w:t>
                  </w:r>
                </w:p>
              </w:tc>
            </w:tr>
            <w:tr w14:paraId="76AD1F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543" w:type="pct"/>
                  <w:vMerge w:val="continue"/>
                  <w:noWrap w:val="0"/>
                  <w:vAlign w:val="center"/>
                </w:tcPr>
                <w:p w14:paraId="4D3861E8">
                  <w:pPr>
                    <w:pStyle w:val="70"/>
                    <w:spacing w:line="320" w:lineRule="exact"/>
                    <w:rPr>
                      <w:rFonts w:hint="eastAsia"/>
                    </w:rPr>
                  </w:pPr>
                </w:p>
              </w:tc>
              <w:tc>
                <w:tcPr>
                  <w:tcW w:w="612" w:type="pct"/>
                  <w:noWrap w:val="0"/>
                  <w:vAlign w:val="center"/>
                </w:tcPr>
                <w:p w14:paraId="3171A310">
                  <w:pPr>
                    <w:pStyle w:val="70"/>
                    <w:spacing w:line="320" w:lineRule="exact"/>
                    <w:rPr>
                      <w:rFonts w:hint="default" w:eastAsia="宋体"/>
                      <w:lang w:val="en-US" w:eastAsia="zh-CN"/>
                    </w:rPr>
                  </w:pPr>
                  <w:r>
                    <w:rPr>
                      <w:rFonts w:hint="eastAsia"/>
                      <w:lang w:eastAsia="zh-CN"/>
                    </w:rPr>
                    <w:t>次氯酸钠</w:t>
                  </w:r>
                  <w:r>
                    <w:rPr>
                      <w:rFonts w:hint="eastAsia"/>
                      <w:lang w:val="en-US" w:eastAsia="zh-CN"/>
                    </w:rPr>
                    <w:t>溶液</w:t>
                  </w:r>
                </w:p>
              </w:tc>
              <w:tc>
                <w:tcPr>
                  <w:tcW w:w="507" w:type="pct"/>
                  <w:noWrap w:val="0"/>
                  <w:vAlign w:val="center"/>
                </w:tcPr>
                <w:p w14:paraId="3C2C98B6">
                  <w:pPr>
                    <w:pStyle w:val="70"/>
                    <w:spacing w:line="320" w:lineRule="exact"/>
                    <w:rPr>
                      <w:rFonts w:hint="default" w:eastAsia="宋体"/>
                      <w:lang w:val="en-US" w:eastAsia="zh-CN"/>
                    </w:rPr>
                  </w:pPr>
                  <w:r>
                    <w:rPr>
                      <w:rFonts w:hint="eastAsia"/>
                      <w:lang w:val="en-US" w:eastAsia="zh-CN"/>
                    </w:rPr>
                    <w:t>t/a</w:t>
                  </w:r>
                </w:p>
              </w:tc>
              <w:tc>
                <w:tcPr>
                  <w:tcW w:w="590" w:type="pct"/>
                  <w:tcBorders>
                    <w:left w:val="single" w:color="auto" w:sz="4" w:space="0"/>
                  </w:tcBorders>
                  <w:noWrap w:val="0"/>
                  <w:vAlign w:val="center"/>
                </w:tcPr>
                <w:p w14:paraId="1A7ED1EF">
                  <w:pPr>
                    <w:pStyle w:val="70"/>
                    <w:spacing w:line="320" w:lineRule="exact"/>
                    <w:rPr>
                      <w:rFonts w:hint="default"/>
                      <w:color w:val="auto"/>
                      <w:lang w:val="en-US"/>
                    </w:rPr>
                  </w:pPr>
                  <w:r>
                    <w:rPr>
                      <w:rFonts w:hint="eastAsia"/>
                      <w:color w:val="auto"/>
                      <w:lang w:val="en-US" w:eastAsia="zh-CN"/>
                    </w:rPr>
                    <w:t>18</w:t>
                  </w:r>
                </w:p>
              </w:tc>
              <w:tc>
                <w:tcPr>
                  <w:tcW w:w="565" w:type="pct"/>
                  <w:noWrap w:val="0"/>
                  <w:vAlign w:val="center"/>
                </w:tcPr>
                <w:p w14:paraId="13CBBFD4">
                  <w:pPr>
                    <w:pStyle w:val="70"/>
                    <w:spacing w:line="320" w:lineRule="exact"/>
                    <w:rPr>
                      <w:rFonts w:hint="default"/>
                      <w:lang w:val="en-US" w:eastAsia="zh-CN"/>
                    </w:rPr>
                  </w:pPr>
                  <w:r>
                    <w:rPr>
                      <w:rFonts w:hint="eastAsia"/>
                      <w:lang w:val="en-US" w:eastAsia="zh-CN"/>
                    </w:rPr>
                    <w:t>0.1</w:t>
                  </w:r>
                </w:p>
              </w:tc>
              <w:tc>
                <w:tcPr>
                  <w:tcW w:w="795" w:type="pct"/>
                  <w:noWrap w:val="0"/>
                  <w:vAlign w:val="center"/>
                </w:tcPr>
                <w:p w14:paraId="0DD0E7A0">
                  <w:pPr>
                    <w:pStyle w:val="70"/>
                    <w:spacing w:line="320" w:lineRule="exact"/>
                    <w:rPr>
                      <w:rFonts w:hint="default"/>
                      <w:lang w:val="en-US" w:eastAsia="zh-CN"/>
                    </w:rPr>
                  </w:pPr>
                  <w:r>
                    <w:rPr>
                      <w:rFonts w:hint="eastAsia"/>
                      <w:lang w:val="en-US" w:eastAsia="zh-CN"/>
                    </w:rPr>
                    <w:t>桶装，液态，100kg/桶</w:t>
                  </w:r>
                </w:p>
              </w:tc>
              <w:tc>
                <w:tcPr>
                  <w:tcW w:w="898" w:type="pct"/>
                  <w:noWrap w:val="0"/>
                  <w:vAlign w:val="center"/>
                </w:tcPr>
                <w:p w14:paraId="392F8214">
                  <w:pPr>
                    <w:pStyle w:val="70"/>
                    <w:spacing w:line="320" w:lineRule="exact"/>
                    <w:rPr>
                      <w:rFonts w:hint="eastAsia" w:eastAsia="宋体"/>
                      <w:lang w:eastAsia="zh-CN"/>
                    </w:rPr>
                  </w:pPr>
                  <w:r>
                    <w:rPr>
                      <w:rFonts w:hint="eastAsia"/>
                    </w:rPr>
                    <w:t>外购</w:t>
                  </w:r>
                  <w:r>
                    <w:rPr>
                      <w:rFonts w:hint="eastAsia"/>
                      <w:lang w:eastAsia="zh-CN"/>
                    </w:rPr>
                    <w:t>，</w:t>
                  </w:r>
                  <w:r>
                    <w:rPr>
                      <w:rFonts w:hint="default" w:ascii="Times New Roman" w:hAnsi="Times New Roman" w:cs="Times New Roman"/>
                      <w:sz w:val="21"/>
                      <w:szCs w:val="21"/>
                    </w:rPr>
                    <w:t>车辆运输</w:t>
                  </w:r>
                </w:p>
              </w:tc>
              <w:tc>
                <w:tcPr>
                  <w:tcW w:w="487" w:type="pct"/>
                  <w:noWrap w:val="0"/>
                  <w:vAlign w:val="center"/>
                </w:tcPr>
                <w:p w14:paraId="1913065F">
                  <w:pPr>
                    <w:pStyle w:val="70"/>
                    <w:spacing w:line="320" w:lineRule="exact"/>
                    <w:rPr>
                      <w:rFonts w:hint="default" w:eastAsia="宋体"/>
                      <w:lang w:val="en-US" w:eastAsia="zh-CN"/>
                    </w:rPr>
                  </w:pPr>
                  <w:r>
                    <w:rPr>
                      <w:rFonts w:hint="eastAsia" w:eastAsia="宋体"/>
                      <w:lang w:val="en-US" w:eastAsia="zh-CN"/>
                    </w:rPr>
                    <w:t>消毒</w:t>
                  </w:r>
                </w:p>
              </w:tc>
            </w:tr>
          </w:tbl>
          <w:p w14:paraId="05A00A79">
            <w:pPr>
              <w:spacing w:line="360" w:lineRule="auto"/>
              <w:ind w:firstLine="480" w:firstLineChars="200"/>
              <w:rPr>
                <w:rFonts w:hint="eastAsia" w:ascii="Times New Roman" w:hAnsi="Times New Roman" w:eastAsia="宋体" w:cs="Times New Roman"/>
                <w:bCs/>
                <w:sz w:val="24"/>
                <w:lang w:val="en-US" w:eastAsia="zh-CN"/>
              </w:rPr>
            </w:pPr>
            <w:r>
              <w:rPr>
                <w:rFonts w:hint="eastAsia" w:ascii="Times New Roman" w:hAnsi="Times New Roman" w:eastAsia="宋体" w:cs="Times New Roman"/>
                <w:bCs/>
                <w:sz w:val="24"/>
                <w:lang w:val="en-US" w:eastAsia="zh-CN"/>
              </w:rPr>
              <w:t>主要原辅材料理化性质如下：</w:t>
            </w:r>
          </w:p>
          <w:p w14:paraId="551F0FA1">
            <w:pPr>
              <w:spacing w:line="360" w:lineRule="auto"/>
              <w:ind w:firstLine="480" w:firstLineChars="200"/>
              <w:rPr>
                <w:rFonts w:hint="eastAsia" w:ascii="Times New Roman" w:hAnsi="Times New Roman" w:eastAsia="宋体" w:cs="Times New Roman"/>
                <w:bCs/>
                <w:sz w:val="24"/>
                <w:lang w:val="en-US" w:eastAsia="zh-CN"/>
              </w:rPr>
            </w:pPr>
            <w:r>
              <w:rPr>
                <w:rFonts w:hint="eastAsia" w:ascii="Times New Roman" w:hAnsi="Times New Roman" w:eastAsia="宋体" w:cs="Times New Roman"/>
                <w:bCs/>
                <w:sz w:val="24"/>
                <w:lang w:val="en-US" w:eastAsia="zh-CN"/>
              </w:rPr>
              <w:t>PAC：聚合氯化铝是一种净水材料，无机高分子混凝剂，又被简称为聚铝，英文缩写为PAC，是由于氢氧根离子的架桥作用和多价阴离子的聚合作用而生产的分子量较大、电荷较高的无机高分子水处理药剂。在形态上又可以分为固体和液体两种。固体按颜色不同又分为棕褐色、米黄色、金黄色和白色，液体可以呈现为无色透明、微黄色、浅黄色至黄褐色。不同颜色的聚合氯化铝在应用及生产技术上也有较大的区别。</w:t>
            </w:r>
          </w:p>
          <w:p w14:paraId="676C6D38">
            <w:pPr>
              <w:spacing w:line="360" w:lineRule="auto"/>
              <w:ind w:firstLine="480" w:firstLineChars="200"/>
              <w:rPr>
                <w:rFonts w:hint="eastAsia" w:ascii="Times New Roman" w:hAnsi="Times New Roman" w:eastAsia="宋体" w:cs="Times New Roman"/>
                <w:bCs/>
                <w:sz w:val="24"/>
                <w:lang w:val="en-US" w:eastAsia="zh-CN"/>
              </w:rPr>
            </w:pPr>
            <w:r>
              <w:rPr>
                <w:rFonts w:hint="eastAsia" w:ascii="Times New Roman" w:hAnsi="Times New Roman" w:eastAsia="宋体" w:cs="Times New Roman"/>
                <w:bCs/>
                <w:sz w:val="24"/>
                <w:lang w:val="en-US" w:eastAsia="zh-CN"/>
              </w:rPr>
              <w:t>PAM：聚丙烯酰胺（PAM）是一种线状的有机高分子聚合物，同时也是一种高分子水处理絮凝剂产品，可以吸附水中的悬浮颗粒，在颗粒之间起链接架桥作用，使细颗粒形成比较大的絮团，并且加快了沉淀的速度。这一过程称之为絮凝，因其良好的絮凝效果PAM作为水处理的絮凝剂并且被广泛用于污水处理。</w:t>
            </w:r>
          </w:p>
          <w:p w14:paraId="71BB3711">
            <w:pPr>
              <w:spacing w:line="360" w:lineRule="auto"/>
              <w:ind w:firstLine="480" w:firstLineChars="200"/>
              <w:rPr>
                <w:rFonts w:hint="eastAsia" w:ascii="Times New Roman" w:hAnsi="Times New Roman" w:eastAsia="宋体" w:cs="Times New Roman"/>
                <w:bCs/>
                <w:sz w:val="24"/>
                <w:lang w:val="en-US" w:eastAsia="zh-CN"/>
              </w:rPr>
            </w:pPr>
            <w:r>
              <w:rPr>
                <w:rFonts w:hint="eastAsia" w:ascii="Times New Roman" w:hAnsi="Times New Roman" w:eastAsia="宋体" w:cs="Times New Roman"/>
                <w:bCs/>
                <w:sz w:val="24"/>
                <w:lang w:val="en-US" w:eastAsia="zh-CN"/>
              </w:rPr>
              <w:t>氢氧化钠：俗称烧碱、火碱、苛性钠，为一种具有强腐蚀性的强碱，一般为片状或块状形态，易溶于水（溶于水时放热）并形成碱性溶液，本项目储存的是30%的氢氧化钠溶液</w:t>
            </w:r>
            <w:r>
              <w:rPr>
                <w:rFonts w:hint="eastAsia" w:cs="Times New Roman"/>
                <w:bCs/>
                <w:sz w:val="24"/>
                <w:lang w:val="en-US" w:eastAsia="zh-CN"/>
              </w:rPr>
              <w:t>，</w:t>
            </w:r>
            <w:r>
              <w:rPr>
                <w:rFonts w:hint="eastAsia" w:ascii="Times New Roman" w:hAnsi="Times New Roman" w:eastAsia="宋体" w:cs="Times New Roman"/>
                <w:bCs/>
                <w:sz w:val="24"/>
                <w:lang w:val="en-US" w:eastAsia="zh-CN"/>
              </w:rPr>
              <w:t>作用在于补充调节pH值。</w:t>
            </w:r>
          </w:p>
          <w:p w14:paraId="3D72B19E">
            <w:pPr>
              <w:spacing w:line="360" w:lineRule="auto"/>
              <w:ind w:firstLine="480" w:firstLineChars="200"/>
              <w:rPr>
                <w:rFonts w:hint="default" w:ascii="Times New Roman" w:hAnsi="Times New Roman" w:eastAsia="宋体" w:cs="Times New Roman"/>
                <w:bCs/>
                <w:sz w:val="24"/>
                <w:lang w:val="en-US" w:eastAsia="zh-CN"/>
              </w:rPr>
            </w:pPr>
            <w:r>
              <w:rPr>
                <w:rFonts w:hint="eastAsia" w:ascii="Times New Roman" w:hAnsi="Times New Roman" w:eastAsia="宋体" w:cs="Times New Roman"/>
                <w:bCs/>
                <w:sz w:val="24"/>
                <w:lang w:val="en-US" w:eastAsia="zh-CN"/>
              </w:rPr>
              <w:t>次氯酸钠：固态次氯酸钠为白色粉末。在空气中极不稳定。受热后迅速自行分解。在碱性状态时较稳定。一般工业品是无色或淡黄色液体。易溶于冷水生成烧碱和次氯酸，次氯酸再分解生成氯化氢和新生氧。是强氧化剂。本项目购买成品次氯酸钠溶液用于消毒。</w:t>
            </w:r>
          </w:p>
          <w:p w14:paraId="5F9D10A5">
            <w:pPr>
              <w:pStyle w:val="61"/>
              <w:adjustRightInd w:val="0"/>
              <w:snapToGrid w:val="0"/>
              <w:ind w:firstLine="0" w:firstLineChars="0"/>
              <w:rPr>
                <w:rFonts w:eastAsia="仿宋_GB2312" w:cs="Times New Roman"/>
                <w:b/>
                <w:sz w:val="24"/>
                <w:szCs w:val="24"/>
              </w:rPr>
            </w:pPr>
            <w:r>
              <w:rPr>
                <w:rFonts w:hint="eastAsia" w:cs="Times New Roman"/>
                <w:b/>
                <w:sz w:val="24"/>
                <w:szCs w:val="24"/>
                <w:lang w:val="en-US" w:eastAsia="zh-CN"/>
              </w:rPr>
              <w:t>8</w:t>
            </w:r>
            <w:r>
              <w:rPr>
                <w:rFonts w:cs="Times New Roman"/>
                <w:b/>
                <w:sz w:val="24"/>
                <w:szCs w:val="24"/>
              </w:rPr>
              <w:t xml:space="preserve"> 生产制度及劳动定员</w:t>
            </w:r>
          </w:p>
          <w:p w14:paraId="3F80165D">
            <w:pPr>
              <w:spacing w:line="360" w:lineRule="auto"/>
              <w:ind w:firstLine="480" w:firstLineChars="200"/>
              <w:rPr>
                <w:rFonts w:hint="eastAsia"/>
                <w:b/>
                <w:bCs/>
                <w:sz w:val="24"/>
              </w:rPr>
            </w:pPr>
            <w:r>
              <w:rPr>
                <w:rFonts w:hint="eastAsia"/>
                <w:bCs/>
                <w:sz w:val="24"/>
                <w:lang w:val="en-US" w:eastAsia="zh-CN"/>
              </w:rPr>
              <w:t>设置劳动人</w:t>
            </w:r>
            <w:r>
              <w:rPr>
                <w:rFonts w:hint="eastAsia"/>
                <w:bCs/>
                <w:color w:val="auto"/>
                <w:sz w:val="24"/>
                <w:lang w:val="en-US" w:eastAsia="zh-CN"/>
              </w:rPr>
              <w:t>员3</w:t>
            </w:r>
            <w:r>
              <w:rPr>
                <w:rFonts w:hint="eastAsia"/>
                <w:bCs/>
                <w:color w:val="auto"/>
                <w:sz w:val="24"/>
              </w:rPr>
              <w:t>人，</w:t>
            </w:r>
            <w:r>
              <w:rPr>
                <w:rFonts w:hint="eastAsia"/>
                <w:bCs/>
                <w:color w:val="auto"/>
                <w:sz w:val="24"/>
                <w:lang w:val="en-US" w:eastAsia="zh-CN"/>
              </w:rPr>
              <w:t>三</w:t>
            </w:r>
            <w:r>
              <w:rPr>
                <w:rFonts w:hint="eastAsia"/>
                <w:bCs/>
                <w:color w:val="auto"/>
                <w:sz w:val="24"/>
              </w:rPr>
              <w:t>班制，每班工作8小时，年工作</w:t>
            </w:r>
            <w:r>
              <w:rPr>
                <w:rFonts w:hint="eastAsia"/>
                <w:bCs/>
                <w:color w:val="auto"/>
                <w:sz w:val="24"/>
                <w:lang w:val="en-US" w:eastAsia="zh-CN"/>
              </w:rPr>
              <w:t>365</w:t>
            </w:r>
            <w:r>
              <w:rPr>
                <w:rFonts w:hint="eastAsia"/>
                <w:bCs/>
                <w:color w:val="auto"/>
                <w:sz w:val="24"/>
              </w:rPr>
              <w:t>天，</w:t>
            </w:r>
            <w:r>
              <w:rPr>
                <w:rFonts w:hint="eastAsia"/>
                <w:bCs/>
                <w:sz w:val="24"/>
              </w:rPr>
              <w:t>项目不设置员工宿舍</w:t>
            </w:r>
            <w:r>
              <w:rPr>
                <w:rFonts w:hint="eastAsia"/>
                <w:bCs/>
                <w:sz w:val="24"/>
                <w:lang w:val="en-US" w:eastAsia="zh-CN"/>
              </w:rPr>
              <w:t>食堂</w:t>
            </w:r>
            <w:r>
              <w:rPr>
                <w:sz w:val="24"/>
              </w:rPr>
              <w:t>。</w:t>
            </w:r>
          </w:p>
          <w:p w14:paraId="08CAB9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9.</w:t>
            </w:r>
            <w:r>
              <w:rPr>
                <w:rFonts w:hint="eastAsia" w:ascii="宋体" w:hAnsi="宋体" w:eastAsia="宋体" w:cs="宋体"/>
                <w:b/>
                <w:color w:val="auto"/>
                <w:sz w:val="24"/>
                <w:szCs w:val="24"/>
              </w:rPr>
              <w:t>公用工程</w:t>
            </w:r>
          </w:p>
          <w:p w14:paraId="54250296">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9.1</w:t>
            </w:r>
            <w:r>
              <w:rPr>
                <w:rFonts w:hint="eastAsia" w:ascii="宋体" w:hAnsi="宋体" w:eastAsia="宋体" w:cs="宋体"/>
                <w:color w:val="auto"/>
                <w:sz w:val="24"/>
                <w:szCs w:val="24"/>
              </w:rPr>
              <w:t>给水</w:t>
            </w:r>
          </w:p>
          <w:p w14:paraId="07C844FE">
            <w:pPr>
              <w:keepNext w:val="0"/>
              <w:keepLines w:val="0"/>
              <w:pageBreakBefore w:val="0"/>
              <w:widowControl w:val="0"/>
              <w:suppressLineNumbers w:val="0"/>
              <w:tabs>
                <w:tab w:val="right" w:pos="8867"/>
              </w:tabs>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（1）生活用水</w:t>
            </w:r>
          </w:p>
          <w:p w14:paraId="4208CB53">
            <w:pPr>
              <w:keepNext w:val="0"/>
              <w:keepLines w:val="0"/>
              <w:pageBreakBefore w:val="0"/>
              <w:widowControl w:val="0"/>
              <w:suppressLineNumbers w:val="0"/>
              <w:tabs>
                <w:tab w:val="right" w:pos="8867"/>
              </w:tabs>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项目劳动定员</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人，全年工作365天，用水量按每人每天</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lang w:eastAsia="zh-CN"/>
              </w:rPr>
              <w:t>L计，用水量为</w:t>
            </w:r>
            <w:r>
              <w:rPr>
                <w:rFonts w:hint="eastAsia" w:ascii="宋体" w:hAnsi="宋体" w:eastAsia="宋体" w:cs="宋体"/>
                <w:color w:val="auto"/>
                <w:sz w:val="24"/>
                <w:szCs w:val="24"/>
                <w:highlight w:val="none"/>
                <w:lang w:val="en-US" w:eastAsia="zh-CN"/>
              </w:rPr>
              <w:t>0.0</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m</w:t>
            </w:r>
            <w:r>
              <w:rPr>
                <w:rFonts w:hint="eastAsia" w:ascii="宋体" w:hAnsi="宋体" w:eastAsia="宋体" w:cs="宋体"/>
                <w:color w:val="auto"/>
                <w:sz w:val="24"/>
                <w:szCs w:val="24"/>
                <w:highlight w:val="none"/>
                <w:vertAlign w:val="superscript"/>
                <w:lang w:eastAsia="zh-CN"/>
              </w:rPr>
              <w:t>3</w:t>
            </w:r>
            <w:r>
              <w:rPr>
                <w:rFonts w:hint="eastAsia" w:ascii="宋体" w:hAnsi="宋体" w:eastAsia="宋体" w:cs="宋体"/>
                <w:color w:val="auto"/>
                <w:sz w:val="24"/>
                <w:szCs w:val="24"/>
                <w:highlight w:val="none"/>
                <w:lang w:eastAsia="zh-CN"/>
              </w:rPr>
              <w:t>/d，年用水量为</w:t>
            </w:r>
            <w:r>
              <w:rPr>
                <w:rFonts w:hint="eastAsia" w:ascii="宋体" w:hAnsi="宋体" w:cs="宋体"/>
                <w:color w:val="auto"/>
                <w:sz w:val="24"/>
                <w:szCs w:val="24"/>
                <w:highlight w:val="none"/>
                <w:lang w:val="en-US" w:eastAsia="zh-CN"/>
              </w:rPr>
              <w:t>32.85</w:t>
            </w:r>
            <w:r>
              <w:rPr>
                <w:rFonts w:hint="eastAsia" w:ascii="宋体" w:hAnsi="宋体" w:eastAsia="宋体" w:cs="宋体"/>
                <w:color w:val="auto"/>
                <w:sz w:val="24"/>
                <w:szCs w:val="24"/>
                <w:highlight w:val="none"/>
                <w:lang w:eastAsia="zh-CN"/>
              </w:rPr>
              <w:t>m</w:t>
            </w:r>
            <w:r>
              <w:rPr>
                <w:rFonts w:hint="eastAsia" w:ascii="宋体" w:hAnsi="宋体" w:eastAsia="宋体" w:cs="宋体"/>
                <w:color w:val="auto"/>
                <w:sz w:val="24"/>
                <w:szCs w:val="24"/>
                <w:highlight w:val="none"/>
                <w:vertAlign w:val="superscript"/>
                <w:lang w:eastAsia="zh-CN"/>
              </w:rPr>
              <w:t>3</w:t>
            </w:r>
            <w:r>
              <w:rPr>
                <w:rFonts w:hint="eastAsia" w:ascii="宋体" w:hAnsi="宋体" w:eastAsia="宋体" w:cs="宋体"/>
                <w:color w:val="auto"/>
                <w:sz w:val="24"/>
                <w:szCs w:val="24"/>
                <w:highlight w:val="none"/>
                <w:lang w:eastAsia="zh-CN"/>
              </w:rPr>
              <w:t>。来源为新鲜水。</w:t>
            </w:r>
          </w:p>
          <w:p w14:paraId="68D0E31B">
            <w:pPr>
              <w:keepNext w:val="0"/>
              <w:keepLines w:val="0"/>
              <w:pageBreakBefore w:val="0"/>
              <w:widowControl w:val="0"/>
              <w:suppressLineNumbers w:val="0"/>
              <w:tabs>
                <w:tab w:val="right" w:pos="8867"/>
              </w:tabs>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（2）配药用水</w:t>
            </w:r>
          </w:p>
          <w:p w14:paraId="505103C0">
            <w:pPr>
              <w:keepNext w:val="0"/>
              <w:keepLines w:val="0"/>
              <w:pageBreakBefore w:val="0"/>
              <w:widowControl w:val="0"/>
              <w:suppressLineNumbers w:val="0"/>
              <w:tabs>
                <w:tab w:val="right" w:pos="8867"/>
              </w:tabs>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根据工程设计资料，项目</w:t>
            </w:r>
            <w:r>
              <w:rPr>
                <w:rFonts w:hint="eastAsia" w:ascii="宋体" w:hAnsi="宋体" w:cs="宋体"/>
                <w:color w:val="auto"/>
                <w:sz w:val="24"/>
                <w:szCs w:val="24"/>
                <w:highlight w:val="none"/>
                <w:lang w:val="en-US" w:eastAsia="zh-CN"/>
              </w:rPr>
              <w:t>PAC、</w:t>
            </w:r>
            <w:r>
              <w:rPr>
                <w:rFonts w:hint="eastAsia" w:ascii="宋体" w:hAnsi="宋体" w:eastAsia="宋体" w:cs="宋体"/>
                <w:color w:val="auto"/>
                <w:sz w:val="24"/>
                <w:szCs w:val="24"/>
                <w:highlight w:val="none"/>
                <w:lang w:eastAsia="zh-CN"/>
              </w:rPr>
              <w:t>PAM配制时需要用水，配药用水量为</w:t>
            </w:r>
            <w:r>
              <w:rPr>
                <w:rFonts w:hint="eastAsia" w:ascii="宋体" w:hAnsi="宋体" w:cs="宋体"/>
                <w:color w:val="auto"/>
                <w:sz w:val="24"/>
                <w:szCs w:val="24"/>
                <w:highlight w:val="none"/>
                <w:lang w:val="en-US" w:eastAsia="zh-CN"/>
              </w:rPr>
              <w:t>800</w:t>
            </w:r>
            <w:r>
              <w:rPr>
                <w:rFonts w:hint="eastAsia" w:ascii="宋体" w:hAnsi="宋体" w:eastAsia="宋体" w:cs="宋体"/>
                <w:color w:val="auto"/>
                <w:sz w:val="24"/>
                <w:szCs w:val="24"/>
                <w:highlight w:val="none"/>
                <w:lang w:eastAsia="zh-CN"/>
              </w:rPr>
              <w:t>m</w:t>
            </w:r>
            <w:r>
              <w:rPr>
                <w:rFonts w:hint="eastAsia" w:ascii="宋体" w:hAnsi="宋体" w:eastAsia="宋体" w:cs="宋体"/>
                <w:color w:val="auto"/>
                <w:sz w:val="24"/>
                <w:szCs w:val="24"/>
                <w:highlight w:val="none"/>
                <w:vertAlign w:val="superscript"/>
                <w:lang w:eastAsia="zh-CN"/>
              </w:rPr>
              <w:t>3</w:t>
            </w:r>
            <w:r>
              <w:rPr>
                <w:rFonts w:hint="eastAsia" w:ascii="宋体" w:hAnsi="宋体" w:eastAsia="宋体" w:cs="宋体"/>
                <w:color w:val="auto"/>
                <w:sz w:val="24"/>
                <w:szCs w:val="24"/>
                <w:highlight w:val="none"/>
                <w:lang w:eastAsia="zh-CN"/>
              </w:rPr>
              <w:t>/a。来源为新鲜水。</w:t>
            </w:r>
          </w:p>
          <w:p w14:paraId="2E2A893D">
            <w:pPr>
              <w:keepNext w:val="0"/>
              <w:keepLines w:val="0"/>
              <w:pageBreakBefore w:val="0"/>
              <w:widowControl w:val="0"/>
              <w:suppressLineNumbers w:val="0"/>
              <w:tabs>
                <w:tab w:val="right" w:pos="8867"/>
              </w:tabs>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（3）设备冲洗用水</w:t>
            </w:r>
          </w:p>
          <w:p w14:paraId="64C108F4">
            <w:pPr>
              <w:keepNext w:val="0"/>
              <w:keepLines w:val="0"/>
              <w:pageBreakBefore w:val="0"/>
              <w:widowControl w:val="0"/>
              <w:suppressLineNumbers w:val="0"/>
              <w:tabs>
                <w:tab w:val="right" w:pos="8867"/>
              </w:tabs>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根据工程设计资料，污泥</w:t>
            </w:r>
            <w:r>
              <w:rPr>
                <w:rFonts w:hint="eastAsia" w:ascii="宋体" w:hAnsi="宋体" w:eastAsia="宋体" w:cs="宋体"/>
                <w:color w:val="auto"/>
                <w:sz w:val="24"/>
                <w:szCs w:val="24"/>
                <w:highlight w:val="none"/>
                <w:lang w:val="en-US" w:eastAsia="zh-CN"/>
              </w:rPr>
              <w:t>车间污泥</w:t>
            </w:r>
            <w:r>
              <w:rPr>
                <w:rFonts w:hint="eastAsia" w:ascii="宋体" w:hAnsi="宋体" w:cs="宋体"/>
                <w:color w:val="auto"/>
                <w:sz w:val="24"/>
                <w:szCs w:val="24"/>
                <w:highlight w:val="none"/>
                <w:lang w:val="en-US" w:eastAsia="zh-CN"/>
              </w:rPr>
              <w:t>浓缩/</w:t>
            </w:r>
            <w:r>
              <w:rPr>
                <w:rFonts w:hint="eastAsia" w:ascii="宋体" w:hAnsi="宋体" w:eastAsia="宋体" w:cs="宋体"/>
                <w:color w:val="auto"/>
                <w:sz w:val="24"/>
                <w:szCs w:val="24"/>
                <w:highlight w:val="none"/>
                <w:lang w:val="en-US" w:eastAsia="zh-CN"/>
              </w:rPr>
              <w:t>调节池、</w:t>
            </w:r>
            <w:r>
              <w:rPr>
                <w:rFonts w:hint="eastAsia" w:ascii="宋体" w:hAnsi="宋体" w:eastAsia="宋体" w:cs="宋体"/>
                <w:color w:val="auto"/>
                <w:sz w:val="24"/>
                <w:szCs w:val="24"/>
                <w:highlight w:val="none"/>
                <w:lang w:eastAsia="zh-CN"/>
              </w:rPr>
              <w:t>板框机等需定期冲洗，冲洗用水约</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m</w:t>
            </w:r>
            <w:r>
              <w:rPr>
                <w:rFonts w:hint="eastAsia" w:ascii="宋体" w:hAnsi="宋体" w:eastAsia="宋体" w:cs="宋体"/>
                <w:color w:val="auto"/>
                <w:sz w:val="24"/>
                <w:szCs w:val="24"/>
                <w:highlight w:val="none"/>
                <w:vertAlign w:val="superscript"/>
                <w:lang w:eastAsia="zh-CN"/>
              </w:rPr>
              <w:t>3</w:t>
            </w:r>
            <w:r>
              <w:rPr>
                <w:rFonts w:hint="eastAsia" w:ascii="宋体" w:hAnsi="宋体" w:eastAsia="宋体" w:cs="宋体"/>
                <w:color w:val="auto"/>
                <w:sz w:val="24"/>
                <w:szCs w:val="24"/>
                <w:highlight w:val="none"/>
                <w:lang w:eastAsia="zh-CN"/>
              </w:rPr>
              <w:t>/d、</w:t>
            </w:r>
            <w:r>
              <w:rPr>
                <w:rFonts w:hint="eastAsia" w:ascii="宋体" w:hAnsi="宋体" w:eastAsia="宋体" w:cs="宋体"/>
                <w:color w:val="auto"/>
                <w:sz w:val="24"/>
                <w:szCs w:val="24"/>
                <w:highlight w:val="none"/>
                <w:lang w:val="en-US" w:eastAsia="zh-CN"/>
              </w:rPr>
              <w:t>1825</w:t>
            </w:r>
            <w:r>
              <w:rPr>
                <w:rFonts w:hint="eastAsia" w:ascii="宋体" w:hAnsi="宋体" w:eastAsia="宋体" w:cs="宋体"/>
                <w:color w:val="auto"/>
                <w:sz w:val="24"/>
                <w:szCs w:val="24"/>
                <w:highlight w:val="none"/>
                <w:lang w:eastAsia="zh-CN"/>
              </w:rPr>
              <w:t>m</w:t>
            </w:r>
            <w:r>
              <w:rPr>
                <w:rFonts w:hint="eastAsia" w:ascii="宋体" w:hAnsi="宋体" w:eastAsia="宋体" w:cs="宋体"/>
                <w:color w:val="auto"/>
                <w:sz w:val="24"/>
                <w:szCs w:val="24"/>
                <w:highlight w:val="none"/>
                <w:vertAlign w:val="superscript"/>
                <w:lang w:eastAsia="zh-CN"/>
              </w:rPr>
              <w:t>3</w:t>
            </w:r>
            <w:r>
              <w:rPr>
                <w:rFonts w:hint="eastAsia" w:ascii="宋体" w:hAnsi="宋体" w:eastAsia="宋体" w:cs="宋体"/>
                <w:color w:val="auto"/>
                <w:sz w:val="24"/>
                <w:szCs w:val="24"/>
                <w:highlight w:val="none"/>
                <w:lang w:eastAsia="zh-CN"/>
              </w:rPr>
              <w:t>/a。来源为</w:t>
            </w:r>
            <w:r>
              <w:rPr>
                <w:rFonts w:hint="eastAsia" w:ascii="宋体" w:hAnsi="宋体" w:cs="宋体"/>
                <w:color w:val="auto"/>
                <w:sz w:val="24"/>
                <w:szCs w:val="24"/>
                <w:highlight w:val="none"/>
                <w:lang w:val="en-US" w:eastAsia="zh-CN"/>
              </w:rPr>
              <w:t>污水处理站</w:t>
            </w:r>
            <w:r>
              <w:rPr>
                <w:rFonts w:hint="eastAsia" w:ascii="宋体" w:hAnsi="宋体" w:eastAsia="宋体" w:cs="宋体"/>
                <w:color w:val="auto"/>
                <w:sz w:val="24"/>
                <w:szCs w:val="24"/>
                <w:highlight w:val="none"/>
                <w:lang w:eastAsia="zh-CN"/>
              </w:rPr>
              <w:t>处理后回用水。</w:t>
            </w:r>
          </w:p>
          <w:p w14:paraId="178A8A25">
            <w:pPr>
              <w:keepNext w:val="0"/>
              <w:keepLines w:val="0"/>
              <w:pageBreakBefore w:val="0"/>
              <w:widowControl w:val="0"/>
              <w:suppressLineNumbers w:val="0"/>
              <w:tabs>
                <w:tab w:val="right" w:pos="8867"/>
              </w:tabs>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活性炭过滤罐反冲洗用水</w:t>
            </w:r>
          </w:p>
          <w:p w14:paraId="75D82C3C">
            <w:pPr>
              <w:keepNext w:val="0"/>
              <w:keepLines w:val="0"/>
              <w:pageBreakBefore w:val="0"/>
              <w:widowControl w:val="0"/>
              <w:suppressLineNumbers w:val="0"/>
              <w:tabs>
                <w:tab w:val="right" w:pos="8867"/>
              </w:tabs>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根据工程设计资料，</w:t>
            </w:r>
            <w:r>
              <w:rPr>
                <w:rFonts w:hint="eastAsia" w:ascii="宋体" w:hAnsi="宋体" w:cs="宋体"/>
                <w:color w:val="auto"/>
                <w:sz w:val="24"/>
                <w:szCs w:val="24"/>
                <w:highlight w:val="none"/>
                <w:lang w:val="en-US" w:eastAsia="zh-CN"/>
              </w:rPr>
              <w:t>活性炭过滤罐需定期反冲洗，用水量约2m³/d，年用水量为730m³，来源为污水处理站处理后的回用水。</w:t>
            </w:r>
          </w:p>
          <w:p w14:paraId="2DD74607">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auto"/>
                <w:sz w:val="24"/>
                <w:szCs w:val="24"/>
              </w:rPr>
            </w:pPr>
            <w:r>
              <w:rPr>
                <w:rFonts w:hint="eastAsia" w:ascii="宋体" w:hAnsi="宋体" w:eastAsia="宋体" w:cs="宋体"/>
                <w:color w:val="000000"/>
                <w:sz w:val="24"/>
                <w:szCs w:val="24"/>
                <w:lang w:val="en-US" w:eastAsia="zh-CN"/>
              </w:rPr>
              <w:t>9.2排</w:t>
            </w:r>
            <w:r>
              <w:rPr>
                <w:rFonts w:hint="eastAsia" w:ascii="宋体" w:hAnsi="宋体" w:eastAsia="宋体" w:cs="宋体"/>
                <w:color w:val="000000"/>
                <w:sz w:val="24"/>
                <w:szCs w:val="24"/>
              </w:rPr>
              <w:t>水</w:t>
            </w:r>
          </w:p>
          <w:p w14:paraId="14E4644C">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（1）生活污水</w:t>
            </w:r>
          </w:p>
          <w:p w14:paraId="515D3EEB">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本项目废水产生量按用水量的80%计，则职工生活污水产生量为</w:t>
            </w:r>
            <w:r>
              <w:rPr>
                <w:rFonts w:hint="eastAsia" w:ascii="宋体" w:hAnsi="宋体" w:eastAsia="宋体" w:cs="宋体"/>
                <w:color w:val="auto"/>
                <w:sz w:val="24"/>
                <w:szCs w:val="24"/>
                <w:highlight w:val="none"/>
                <w:lang w:val="en-US" w:eastAsia="zh-CN"/>
              </w:rPr>
              <w:t>0.0</w:t>
            </w:r>
            <w:r>
              <w:rPr>
                <w:rFonts w:hint="eastAsia" w:ascii="宋体" w:hAnsi="宋体" w:cs="宋体"/>
                <w:color w:val="auto"/>
                <w:sz w:val="24"/>
                <w:szCs w:val="24"/>
                <w:highlight w:val="none"/>
                <w:lang w:val="en-US" w:eastAsia="zh-CN"/>
              </w:rPr>
              <w:t>72</w:t>
            </w:r>
            <w:r>
              <w:rPr>
                <w:rFonts w:hint="eastAsia" w:ascii="宋体" w:hAnsi="宋体" w:eastAsia="宋体" w:cs="宋体"/>
                <w:color w:val="auto"/>
                <w:sz w:val="24"/>
                <w:szCs w:val="24"/>
                <w:highlight w:val="none"/>
                <w:lang w:val="zh-CN" w:eastAsia="zh-CN"/>
              </w:rPr>
              <w:t>m</w:t>
            </w:r>
            <w:r>
              <w:rPr>
                <w:rFonts w:hint="eastAsia" w:ascii="宋体" w:hAnsi="宋体" w:eastAsia="宋体" w:cs="宋体"/>
                <w:color w:val="auto"/>
                <w:sz w:val="24"/>
                <w:szCs w:val="24"/>
                <w:highlight w:val="none"/>
                <w:vertAlign w:val="superscript"/>
                <w:lang w:val="zh-CN" w:eastAsia="zh-CN"/>
              </w:rPr>
              <w:t>3</w:t>
            </w:r>
            <w:r>
              <w:rPr>
                <w:rFonts w:hint="eastAsia" w:ascii="宋体" w:hAnsi="宋体" w:eastAsia="宋体" w:cs="宋体"/>
                <w:color w:val="auto"/>
                <w:sz w:val="24"/>
                <w:szCs w:val="24"/>
                <w:highlight w:val="none"/>
                <w:lang w:val="zh-CN" w:eastAsia="zh-CN"/>
              </w:rPr>
              <w:t>/d，即</w:t>
            </w:r>
            <w:r>
              <w:rPr>
                <w:rFonts w:hint="eastAsia" w:ascii="宋体" w:hAnsi="宋体" w:cs="宋体"/>
                <w:color w:val="auto"/>
                <w:sz w:val="24"/>
                <w:szCs w:val="24"/>
                <w:highlight w:val="none"/>
                <w:lang w:val="en-US" w:eastAsia="zh-CN"/>
              </w:rPr>
              <w:t>26.28</w:t>
            </w:r>
            <w:r>
              <w:rPr>
                <w:rFonts w:hint="eastAsia" w:ascii="宋体" w:hAnsi="宋体" w:eastAsia="宋体" w:cs="宋体"/>
                <w:color w:val="auto"/>
                <w:sz w:val="24"/>
                <w:szCs w:val="24"/>
                <w:highlight w:val="none"/>
                <w:lang w:val="zh-CN" w:eastAsia="zh-CN"/>
              </w:rPr>
              <w:t>m</w:t>
            </w:r>
            <w:r>
              <w:rPr>
                <w:rFonts w:hint="eastAsia" w:ascii="宋体" w:hAnsi="宋体" w:eastAsia="宋体" w:cs="宋体"/>
                <w:color w:val="auto"/>
                <w:sz w:val="24"/>
                <w:szCs w:val="24"/>
                <w:highlight w:val="none"/>
                <w:vertAlign w:val="superscript"/>
                <w:lang w:val="zh-CN" w:eastAsia="zh-CN"/>
              </w:rPr>
              <w:t>3</w:t>
            </w:r>
            <w:r>
              <w:rPr>
                <w:rFonts w:hint="eastAsia" w:ascii="宋体" w:hAnsi="宋体" w:eastAsia="宋体" w:cs="宋体"/>
                <w:color w:val="auto"/>
                <w:sz w:val="24"/>
                <w:szCs w:val="24"/>
                <w:highlight w:val="none"/>
                <w:lang w:val="zh-CN" w:eastAsia="zh-CN"/>
              </w:rPr>
              <w:t>/a，全部进入项目污水处理系统处理。</w:t>
            </w:r>
          </w:p>
          <w:p w14:paraId="4E4B8227">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（2）设备冲洗废水</w:t>
            </w:r>
          </w:p>
          <w:p w14:paraId="068C58F6">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auto"/>
                <w:sz w:val="24"/>
                <w:szCs w:val="24"/>
                <w:lang w:val="en-US" w:eastAsia="zh-CN"/>
              </w:rPr>
            </w:pPr>
            <w:r>
              <w:rPr>
                <w:rFonts w:hint="eastAsia" w:ascii="宋体" w:hAnsi="宋体" w:eastAsia="宋体" w:cs="宋体"/>
                <w:color w:val="auto"/>
                <w:sz w:val="24"/>
                <w:szCs w:val="24"/>
                <w:highlight w:val="none"/>
                <w:lang w:val="zh-CN" w:eastAsia="zh-CN"/>
              </w:rPr>
              <w:t>设备冲洗废水按用水量的80%</w:t>
            </w:r>
            <w:r>
              <w:rPr>
                <w:rFonts w:hint="eastAsia" w:ascii="宋体" w:hAnsi="宋体" w:cs="宋体"/>
                <w:color w:val="auto"/>
                <w:sz w:val="24"/>
                <w:szCs w:val="24"/>
                <w:highlight w:val="none"/>
                <w:lang w:val="zh-CN" w:eastAsia="zh-CN"/>
              </w:rPr>
              <w:t>计算</w:t>
            </w:r>
            <w:r>
              <w:rPr>
                <w:rFonts w:hint="eastAsia" w:ascii="宋体" w:hAnsi="宋体" w:eastAsia="宋体" w:cs="宋体"/>
                <w:color w:val="auto"/>
                <w:sz w:val="24"/>
                <w:szCs w:val="24"/>
                <w:highlight w:val="none"/>
                <w:lang w:val="zh-CN" w:eastAsia="zh-CN"/>
              </w:rPr>
              <w:t>，则设备冲洗废水量约为</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eastAsia="zh-CN"/>
              </w:rPr>
              <w:t>m</w:t>
            </w:r>
            <w:r>
              <w:rPr>
                <w:rFonts w:hint="eastAsia" w:ascii="宋体" w:hAnsi="宋体" w:eastAsia="宋体" w:cs="宋体"/>
                <w:color w:val="auto"/>
                <w:sz w:val="24"/>
                <w:szCs w:val="24"/>
                <w:highlight w:val="none"/>
                <w:vertAlign w:val="superscript"/>
                <w:lang w:val="zh-CN" w:eastAsia="zh-CN"/>
              </w:rPr>
              <w:t>3</w:t>
            </w:r>
            <w:r>
              <w:rPr>
                <w:rFonts w:hint="eastAsia" w:ascii="宋体" w:hAnsi="宋体" w:eastAsia="宋体" w:cs="宋体"/>
                <w:color w:val="auto"/>
                <w:sz w:val="24"/>
                <w:szCs w:val="24"/>
                <w:highlight w:val="none"/>
                <w:lang w:val="zh-CN" w:eastAsia="zh-CN"/>
              </w:rPr>
              <w:t>/d，</w:t>
            </w:r>
            <w:r>
              <w:rPr>
                <w:rFonts w:hint="eastAsia" w:ascii="宋体" w:hAnsi="宋体" w:eastAsia="宋体" w:cs="宋体"/>
                <w:color w:val="auto"/>
                <w:sz w:val="24"/>
                <w:szCs w:val="24"/>
                <w:highlight w:val="none"/>
                <w:lang w:val="en-US" w:eastAsia="zh-CN"/>
              </w:rPr>
              <w:t>1460</w:t>
            </w:r>
            <w:r>
              <w:rPr>
                <w:rFonts w:hint="eastAsia" w:ascii="宋体" w:hAnsi="宋体" w:eastAsia="宋体" w:cs="宋体"/>
                <w:color w:val="auto"/>
                <w:sz w:val="24"/>
                <w:szCs w:val="24"/>
                <w:highlight w:val="none"/>
                <w:lang w:val="zh-CN" w:eastAsia="zh-CN"/>
              </w:rPr>
              <w:t>m</w:t>
            </w:r>
            <w:r>
              <w:rPr>
                <w:rFonts w:hint="eastAsia" w:ascii="宋体" w:hAnsi="宋体" w:eastAsia="宋体" w:cs="宋体"/>
                <w:color w:val="auto"/>
                <w:sz w:val="24"/>
                <w:szCs w:val="24"/>
                <w:highlight w:val="none"/>
                <w:vertAlign w:val="superscript"/>
                <w:lang w:val="zh-CN" w:eastAsia="zh-CN"/>
              </w:rPr>
              <w:t>3</w:t>
            </w:r>
            <w:r>
              <w:rPr>
                <w:rFonts w:hint="eastAsia" w:ascii="宋体" w:hAnsi="宋体" w:eastAsia="宋体" w:cs="宋体"/>
                <w:color w:val="auto"/>
                <w:sz w:val="24"/>
                <w:szCs w:val="24"/>
                <w:highlight w:val="none"/>
                <w:lang w:val="zh-CN" w:eastAsia="zh-CN"/>
              </w:rPr>
              <w:t>/a。</w:t>
            </w:r>
            <w:r>
              <w:rPr>
                <w:rFonts w:hint="eastAsia" w:ascii="宋体" w:hAnsi="宋体" w:cs="宋体"/>
                <w:color w:val="auto"/>
                <w:sz w:val="24"/>
                <w:szCs w:val="24"/>
                <w:highlight w:val="none"/>
                <w:lang w:val="en-US" w:eastAsia="zh-CN"/>
              </w:rPr>
              <w:t>重新</w:t>
            </w:r>
            <w:r>
              <w:rPr>
                <w:rFonts w:hint="eastAsia" w:ascii="宋体" w:hAnsi="宋体" w:eastAsia="宋体" w:cs="宋体"/>
                <w:color w:val="auto"/>
                <w:sz w:val="24"/>
                <w:szCs w:val="24"/>
                <w:highlight w:val="none"/>
                <w:lang w:val="zh-CN" w:eastAsia="zh-CN"/>
              </w:rPr>
              <w:t>进入项目污水处理系统处理</w:t>
            </w:r>
            <w:r>
              <w:rPr>
                <w:rFonts w:hint="eastAsia" w:ascii="宋体" w:hAnsi="宋体" w:cs="宋体"/>
                <w:color w:val="auto"/>
                <w:sz w:val="24"/>
                <w:szCs w:val="24"/>
                <w:highlight w:val="none"/>
                <w:lang w:val="zh-CN" w:eastAsia="zh-CN"/>
              </w:rPr>
              <w:t>。</w:t>
            </w:r>
          </w:p>
          <w:p w14:paraId="16AB2E97">
            <w:pPr>
              <w:keepNext w:val="0"/>
              <w:keepLines w:val="0"/>
              <w:pageBreakBefore w:val="0"/>
              <w:widowControl w:val="0"/>
              <w:suppressLineNumbers w:val="0"/>
              <w:tabs>
                <w:tab w:val="right" w:pos="8867"/>
              </w:tabs>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活性炭过滤罐反冲洗废水</w:t>
            </w:r>
          </w:p>
          <w:p w14:paraId="7FD5F9D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Times New Roman" w:cs="Times New Roman"/>
                <w:bCs/>
                <w:color w:val="auto"/>
                <w:kern w:val="0"/>
                <w:sz w:val="24"/>
                <w:szCs w:val="24"/>
              </w:rPr>
            </w:pPr>
            <w:r>
              <w:rPr>
                <w:rFonts w:hint="eastAsia" w:ascii="宋体" w:hAnsi="宋体" w:cs="宋体"/>
                <w:color w:val="auto"/>
                <w:sz w:val="24"/>
                <w:szCs w:val="24"/>
                <w:highlight w:val="none"/>
                <w:lang w:val="en-US" w:eastAsia="zh-CN"/>
              </w:rPr>
              <w:t>活性炭过滤罐废水</w:t>
            </w:r>
            <w:r>
              <w:rPr>
                <w:rFonts w:hint="eastAsia" w:ascii="宋体" w:hAnsi="宋体" w:eastAsia="宋体" w:cs="宋体"/>
                <w:color w:val="auto"/>
                <w:sz w:val="24"/>
                <w:szCs w:val="24"/>
                <w:highlight w:val="none"/>
                <w:lang w:val="zh-CN" w:eastAsia="zh-CN"/>
              </w:rPr>
              <w:t>按用水量的80%</w:t>
            </w:r>
            <w:r>
              <w:rPr>
                <w:rFonts w:hint="eastAsia" w:ascii="宋体" w:hAnsi="宋体" w:cs="宋体"/>
                <w:color w:val="auto"/>
                <w:sz w:val="24"/>
                <w:szCs w:val="24"/>
                <w:highlight w:val="none"/>
                <w:lang w:val="zh-CN" w:eastAsia="zh-CN"/>
              </w:rPr>
              <w:t>计算</w:t>
            </w:r>
            <w:r>
              <w:rPr>
                <w:rFonts w:hint="eastAsia" w:ascii="宋体" w:hAnsi="宋体" w:cs="宋体"/>
                <w:color w:val="auto"/>
                <w:sz w:val="24"/>
                <w:szCs w:val="24"/>
                <w:highlight w:val="none"/>
                <w:lang w:val="en-US" w:eastAsia="zh-CN"/>
              </w:rPr>
              <w:t>，则废水量约1.6m³/d，年废水量为584m³，重新</w:t>
            </w:r>
            <w:r>
              <w:rPr>
                <w:rFonts w:hint="eastAsia" w:ascii="宋体" w:hAnsi="宋体" w:eastAsia="宋体" w:cs="宋体"/>
                <w:color w:val="auto"/>
                <w:sz w:val="24"/>
                <w:szCs w:val="24"/>
                <w:highlight w:val="none"/>
                <w:lang w:val="zh-CN" w:eastAsia="zh-CN"/>
              </w:rPr>
              <w:t>进入项目污水处理系统处理</w:t>
            </w:r>
            <w:r>
              <w:rPr>
                <w:rFonts w:hint="eastAsia" w:ascii="宋体" w:hAnsi="宋体" w:cs="宋体"/>
                <w:color w:val="auto"/>
                <w:sz w:val="24"/>
                <w:szCs w:val="24"/>
                <w:highlight w:val="none"/>
                <w:lang w:val="zh-CN" w:eastAsia="zh-CN"/>
              </w:rPr>
              <w:t>。</w:t>
            </w:r>
          </w:p>
          <w:p w14:paraId="0B77899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eastAsia" w:ascii="Times New Roman" w:hAnsi="Times New Roman" w:eastAsia="Times New Roman" w:cs="Times New Roman"/>
                <w:bCs/>
                <w:color w:val="auto"/>
                <w:kern w:val="0"/>
                <w:sz w:val="24"/>
                <w:szCs w:val="24"/>
                <w:lang w:val="en-US" w:eastAsia="zh-CN"/>
              </w:rPr>
            </w:pPr>
            <w:r>
              <w:rPr>
                <w:rFonts w:hint="default" w:ascii="Times New Roman" w:hAnsi="Times New Roman" w:eastAsia="Times New Roman" w:cs="Times New Roman"/>
                <w:bCs/>
                <w:color w:val="auto"/>
                <w:kern w:val="0"/>
                <w:sz w:val="24"/>
                <w:szCs w:val="24"/>
              </w:rPr>
              <w:t>本项目水平衡图详见图</w:t>
            </w:r>
            <w:r>
              <w:rPr>
                <w:rFonts w:hint="eastAsia" w:ascii="Times New Roman" w:hAnsi="Times New Roman" w:eastAsia="Times New Roman" w:cs="Times New Roman"/>
                <w:bCs/>
                <w:color w:val="auto"/>
                <w:kern w:val="0"/>
                <w:sz w:val="24"/>
                <w:szCs w:val="24"/>
                <w:lang w:val="en-US" w:eastAsia="zh-CN"/>
              </w:rPr>
              <w:t>2-</w:t>
            </w:r>
            <w:r>
              <w:rPr>
                <w:rFonts w:hint="default" w:ascii="Times New Roman" w:hAnsi="Times New Roman" w:eastAsia="Times New Roman" w:cs="Times New Roman"/>
                <w:bCs/>
                <w:color w:val="auto"/>
                <w:kern w:val="0"/>
                <w:sz w:val="24"/>
                <w:szCs w:val="24"/>
                <w:lang w:val="en-US" w:eastAsia="zh-CN"/>
              </w:rPr>
              <w:t>1</w:t>
            </w:r>
            <w:r>
              <w:rPr>
                <w:rFonts w:hint="eastAsia" w:ascii="Times New Roman" w:hAnsi="Times New Roman" w:eastAsia="Times New Roman" w:cs="Times New Roman"/>
                <w:bCs/>
                <w:color w:val="auto"/>
                <w:kern w:val="0"/>
                <w:sz w:val="24"/>
                <w:szCs w:val="24"/>
                <w:lang w:val="en-US" w:eastAsia="zh-CN"/>
              </w:rPr>
              <w:t>。</w:t>
            </w:r>
          </w:p>
          <w:p w14:paraId="45E28BE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eastAsia" w:ascii="Times New Roman" w:hAnsi="Times New Roman" w:eastAsia="Times New Roman" w:cs="Times New Roman"/>
                <w:bCs/>
                <w:color w:val="auto"/>
                <w:kern w:val="0"/>
                <w:sz w:val="24"/>
                <w:szCs w:val="24"/>
                <w:lang w:val="en-US" w:eastAsia="zh-CN"/>
              </w:rPr>
            </w:pPr>
          </w:p>
          <w:p w14:paraId="0DED4CB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right="0"/>
              <w:textAlignment w:val="auto"/>
              <w:rPr>
                <w:rFonts w:hint="eastAsia" w:ascii="Times New Roman" w:hAnsi="Times New Roman" w:eastAsia="Times New Roman" w:cs="Times New Roman"/>
                <w:bCs/>
                <w:color w:val="auto"/>
                <w:kern w:val="0"/>
                <w:sz w:val="24"/>
                <w:szCs w:val="24"/>
                <w:lang w:val="en-US" w:eastAsia="zh-CN"/>
              </w:rPr>
            </w:pPr>
            <w:r>
              <w:rPr>
                <w:rFonts w:hint="eastAsia" w:ascii="Times New Roman" w:hAnsi="Times New Roman" w:eastAsia="Times New Roman" w:cs="Times New Roman"/>
                <w:bCs/>
                <w:color w:val="auto"/>
                <w:kern w:val="0"/>
                <w:sz w:val="24"/>
                <w:szCs w:val="24"/>
                <w:lang w:val="en-US" w:eastAsia="zh-CN"/>
              </w:rPr>
              <w:drawing>
                <wp:inline distT="0" distB="0" distL="114300" distR="114300">
                  <wp:extent cx="5038090" cy="3139440"/>
                  <wp:effectExtent l="0" t="0" r="0" b="0"/>
                  <wp:docPr id="2" name="ECB019B1-382A-4266-B25C-5B523AA43C14-1" descr="C:/Users/MyPC/AppData/Local/Temp/wps.IkqtGJ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B019B1-382A-4266-B25C-5B523AA43C14-1" descr="C:/Users/MyPC/AppData/Local/Temp/wps.IkqtGJwps"/>
                          <pic:cNvPicPr>
                            <a:picLocks noChangeAspect="1"/>
                          </pic:cNvPicPr>
                        </pic:nvPicPr>
                        <pic:blipFill>
                          <a:blip r:embed="rId6"/>
                          <a:stretch>
                            <a:fillRect/>
                          </a:stretch>
                        </pic:blipFill>
                        <pic:spPr>
                          <a:xfrm>
                            <a:off x="0" y="0"/>
                            <a:ext cx="5038090" cy="3139440"/>
                          </a:xfrm>
                          <a:prstGeom prst="rect">
                            <a:avLst/>
                          </a:prstGeom>
                        </pic:spPr>
                      </pic:pic>
                    </a:graphicData>
                  </a:graphic>
                </wp:inline>
              </w:drawing>
            </w:r>
          </w:p>
          <w:p w14:paraId="5AE15DA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right="0"/>
              <w:jc w:val="center"/>
              <w:textAlignment w:val="auto"/>
              <w:rPr>
                <w:rFonts w:hint="eastAsia" w:ascii="Times New Roman" w:hAnsi="Times New Roman" w:eastAsia="Times New Roman" w:cs="Times New Roman"/>
                <w:bCs/>
                <w:color w:val="auto"/>
                <w:kern w:val="0"/>
                <w:sz w:val="24"/>
                <w:szCs w:val="24"/>
                <w:lang w:val="en-US" w:eastAsia="zh-CN"/>
              </w:rPr>
            </w:pPr>
            <w:r>
              <w:rPr>
                <w:rFonts w:ascii="Calibri" w:hAnsi="Calibri" w:cs="Calibri"/>
                <w:b/>
                <w:bCs/>
                <w:color w:val="auto"/>
                <w:spacing w:val="1"/>
                <w:position w:val="1"/>
                <w:sz w:val="24"/>
                <w:lang w:eastAsia="zh-CN"/>
              </w:rPr>
              <w:t>图</w:t>
            </w:r>
            <w:r>
              <w:rPr>
                <w:rFonts w:hint="eastAsia" w:ascii="Calibri" w:hAnsi="Calibri" w:cs="Calibri"/>
                <w:b/>
                <w:bCs/>
                <w:color w:val="auto"/>
                <w:spacing w:val="1"/>
                <w:position w:val="1"/>
                <w:sz w:val="24"/>
                <w:lang w:val="en-US" w:eastAsia="zh-CN"/>
              </w:rPr>
              <w:t>2-1</w:t>
            </w:r>
            <w:r>
              <w:rPr>
                <w:rFonts w:ascii="Calibri" w:hAnsi="Calibri" w:cs="Calibri"/>
                <w:b/>
                <w:bCs/>
                <w:color w:val="auto"/>
                <w:spacing w:val="1"/>
                <w:position w:val="1"/>
                <w:sz w:val="24"/>
                <w:lang w:eastAsia="zh-CN"/>
              </w:rPr>
              <w:t xml:space="preserve">    项目水平衡图 </w:t>
            </w:r>
            <w:r>
              <w:rPr>
                <w:rFonts w:hint="eastAsia" w:ascii="Calibri" w:hAnsi="Calibri" w:cs="Calibri"/>
                <w:b/>
                <w:bCs/>
                <w:color w:val="auto"/>
                <w:spacing w:val="1"/>
                <w:position w:val="1"/>
                <w:sz w:val="24"/>
                <w:lang w:eastAsia="zh-CN"/>
              </w:rPr>
              <w:t>（</w:t>
            </w:r>
            <w:r>
              <w:rPr>
                <w:rFonts w:ascii="Calibri" w:hAnsi="Calibri" w:cs="Calibri"/>
                <w:b/>
                <w:bCs/>
                <w:color w:val="auto"/>
                <w:spacing w:val="1"/>
                <w:position w:val="1"/>
                <w:sz w:val="24"/>
                <w:lang w:eastAsia="zh-CN"/>
              </w:rPr>
              <w:t>单位：</w:t>
            </w:r>
            <w:r>
              <w:rPr>
                <w:rFonts w:ascii="Calibri" w:hAnsi="Calibri" w:cs="Calibri"/>
                <w:b/>
                <w:bCs/>
                <w:color w:val="auto"/>
                <w:position w:val="1"/>
                <w:sz w:val="24"/>
                <w:lang w:eastAsia="zh-CN"/>
              </w:rPr>
              <w:t>m</w:t>
            </w:r>
            <w:r>
              <w:rPr>
                <w:rFonts w:ascii="Calibri" w:hAnsi="Calibri" w:cs="Calibri"/>
                <w:b/>
                <w:bCs/>
                <w:color w:val="auto"/>
                <w:position w:val="1"/>
                <w:sz w:val="24"/>
                <w:vertAlign w:val="superscript"/>
                <w:lang w:eastAsia="zh-CN"/>
              </w:rPr>
              <w:t>3</w:t>
            </w:r>
            <w:r>
              <w:rPr>
                <w:rFonts w:ascii="Calibri" w:hAnsi="Calibri" w:cs="Calibri"/>
                <w:b/>
                <w:bCs/>
                <w:color w:val="auto"/>
                <w:spacing w:val="1"/>
                <w:position w:val="1"/>
                <w:sz w:val="24"/>
                <w:lang w:eastAsia="zh-CN"/>
              </w:rPr>
              <w:t>/</w:t>
            </w:r>
            <w:r>
              <w:rPr>
                <w:rFonts w:hint="eastAsia" w:ascii="Calibri" w:hAnsi="Calibri" w:cs="Calibri"/>
                <w:b/>
                <w:bCs/>
                <w:color w:val="auto"/>
                <w:spacing w:val="1"/>
                <w:position w:val="1"/>
                <w:sz w:val="24"/>
                <w:lang w:val="en-US" w:eastAsia="zh-CN"/>
              </w:rPr>
              <w:t>a</w:t>
            </w:r>
            <w:r>
              <w:rPr>
                <w:rFonts w:hint="eastAsia" w:ascii="Calibri" w:hAnsi="Calibri" w:cs="Calibri"/>
                <w:b/>
                <w:bCs/>
                <w:color w:val="auto"/>
                <w:spacing w:val="1"/>
                <w:position w:val="1"/>
                <w:sz w:val="24"/>
                <w:lang w:eastAsia="zh-CN"/>
              </w:rPr>
              <w:t>）</w:t>
            </w:r>
          </w:p>
          <w:p w14:paraId="6D66B0E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right="0"/>
              <w:textAlignment w:val="auto"/>
              <w:rPr>
                <w:rFonts w:hint="eastAsia" w:ascii="Times New Roman" w:hAnsi="Times New Roman" w:eastAsia="Times New Roman" w:cs="Times New Roman"/>
                <w:bCs/>
                <w:color w:val="auto"/>
                <w:kern w:val="0"/>
                <w:sz w:val="24"/>
                <w:szCs w:val="24"/>
                <w:lang w:val="en-US" w:eastAsia="zh-CN"/>
              </w:rPr>
            </w:pPr>
          </w:p>
          <w:p w14:paraId="382F0B1E">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w:t>
            </w:r>
            <w:r>
              <w:rPr>
                <w:rFonts w:hint="eastAsia" w:ascii="宋体" w:hAnsi="宋体" w:cs="宋体"/>
                <w:color w:val="000000"/>
                <w:sz w:val="24"/>
                <w:szCs w:val="24"/>
                <w:lang w:val="en-US" w:eastAsia="zh-CN"/>
              </w:rPr>
              <w:t>3</w:t>
            </w:r>
            <w:r>
              <w:rPr>
                <w:rFonts w:hint="eastAsia" w:ascii="宋体" w:hAnsi="宋体" w:eastAsia="宋体" w:cs="宋体"/>
                <w:color w:val="000000"/>
                <w:sz w:val="24"/>
                <w:szCs w:val="24"/>
                <w:lang w:val="en-US" w:eastAsia="zh-CN"/>
              </w:rPr>
              <w:t>）供电</w:t>
            </w:r>
          </w:p>
          <w:p w14:paraId="5766819A">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用电</w:t>
            </w:r>
            <w:r>
              <w:rPr>
                <w:rFonts w:hint="eastAsia" w:ascii="宋体" w:hAnsi="宋体" w:cs="宋体"/>
                <w:color w:val="000000"/>
                <w:sz w:val="24"/>
                <w:szCs w:val="24"/>
                <w:lang w:val="en-US" w:eastAsia="zh-CN"/>
              </w:rPr>
              <w:t>由国家</w:t>
            </w:r>
            <w:r>
              <w:rPr>
                <w:rFonts w:hint="eastAsia" w:ascii="宋体" w:hAnsi="宋体" w:eastAsia="宋体" w:cs="宋体"/>
                <w:color w:val="000000"/>
                <w:sz w:val="24"/>
                <w:szCs w:val="24"/>
                <w:lang w:val="en-US" w:eastAsia="zh-CN"/>
              </w:rPr>
              <w:t>电网</w:t>
            </w:r>
            <w:r>
              <w:rPr>
                <w:rFonts w:hint="eastAsia" w:ascii="宋体" w:hAnsi="宋体" w:cs="宋体"/>
                <w:color w:val="000000"/>
                <w:sz w:val="24"/>
                <w:szCs w:val="24"/>
                <w:lang w:val="en-US" w:eastAsia="zh-CN"/>
              </w:rPr>
              <w:t>供给，依托项目区现有供电设备</w:t>
            </w:r>
            <w:r>
              <w:rPr>
                <w:rFonts w:hint="eastAsia" w:ascii="宋体" w:hAnsi="宋体" w:eastAsia="宋体" w:cs="宋体"/>
                <w:color w:val="000000"/>
                <w:sz w:val="24"/>
                <w:szCs w:val="24"/>
                <w:lang w:val="en-US" w:eastAsia="zh-CN"/>
              </w:rPr>
              <w:t>。</w:t>
            </w:r>
          </w:p>
          <w:p w14:paraId="09C8137E">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w:t>
            </w:r>
            <w:r>
              <w:rPr>
                <w:rFonts w:hint="eastAsia" w:ascii="宋体" w:hAnsi="宋体" w:cs="宋体"/>
                <w:color w:val="000000"/>
                <w:sz w:val="24"/>
                <w:szCs w:val="24"/>
                <w:lang w:val="en-US" w:eastAsia="zh-CN"/>
              </w:rPr>
              <w:t>4</w:t>
            </w:r>
            <w:r>
              <w:rPr>
                <w:rFonts w:hint="eastAsia" w:ascii="宋体" w:hAnsi="宋体" w:eastAsia="宋体" w:cs="宋体"/>
                <w:color w:val="000000"/>
                <w:sz w:val="24"/>
                <w:szCs w:val="24"/>
                <w:lang w:val="en-US" w:eastAsia="zh-CN"/>
              </w:rPr>
              <w:t>）供暖</w:t>
            </w:r>
          </w:p>
          <w:p w14:paraId="40676452">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eastAsia"/>
                <w:sz w:val="24"/>
                <w:szCs w:val="24"/>
                <w:lang w:val="en-US" w:eastAsia="zh-CN"/>
              </w:rPr>
            </w:pPr>
            <w:r>
              <w:rPr>
                <w:rFonts w:hint="eastAsia" w:ascii="宋体" w:hAnsi="宋体" w:eastAsia="宋体" w:cs="宋体"/>
                <w:color w:val="000000"/>
                <w:sz w:val="24"/>
                <w:szCs w:val="24"/>
                <w:lang w:val="en-US" w:eastAsia="zh-CN"/>
              </w:rPr>
              <w:t>项目采用电散热器采暖</w:t>
            </w:r>
            <w:r>
              <w:rPr>
                <w:rFonts w:hint="eastAsia" w:ascii="宋体" w:hAnsi="宋体" w:cs="宋体"/>
                <w:color w:val="000000"/>
                <w:sz w:val="24"/>
                <w:szCs w:val="24"/>
                <w:lang w:val="en-US" w:eastAsia="zh-CN"/>
              </w:rPr>
              <w:t>。</w:t>
            </w:r>
            <w:r>
              <w:rPr>
                <w:rFonts w:hint="eastAsia"/>
                <w:sz w:val="24"/>
                <w:szCs w:val="24"/>
                <w:lang w:val="en-US" w:eastAsia="zh-CN"/>
              </w:rPr>
              <w:t>项目操作间、在线监测设备间等需要供暖，供暖所用电力由当地市政电网供给。</w:t>
            </w:r>
          </w:p>
          <w:p w14:paraId="5D3633A3">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2" w:firstLineChars="200"/>
              <w:textAlignment w:val="auto"/>
              <w:rPr>
                <w:b/>
                <w:bCs/>
                <w:sz w:val="24"/>
              </w:rPr>
            </w:pPr>
            <w:r>
              <w:rPr>
                <w:rFonts w:hint="eastAsia"/>
                <w:b/>
                <w:bCs/>
                <w:sz w:val="24"/>
                <w:lang w:val="en-US" w:eastAsia="zh-CN"/>
              </w:rPr>
              <w:t>10</w:t>
            </w:r>
            <w:r>
              <w:rPr>
                <w:b/>
                <w:bCs/>
                <w:sz w:val="24"/>
              </w:rPr>
              <w:t xml:space="preserve"> </w:t>
            </w:r>
            <w:r>
              <w:rPr>
                <w:rFonts w:hint="eastAsia"/>
                <w:b/>
                <w:bCs/>
                <w:sz w:val="24"/>
                <w:lang w:val="en-US" w:eastAsia="zh-CN"/>
              </w:rPr>
              <w:t>项目</w:t>
            </w:r>
            <w:r>
              <w:rPr>
                <w:b/>
                <w:bCs/>
                <w:sz w:val="24"/>
              </w:rPr>
              <w:t>平面布置</w:t>
            </w:r>
          </w:p>
          <w:p w14:paraId="4E396FBA">
            <w:pPr>
              <w:spacing w:line="360" w:lineRule="auto"/>
              <w:ind w:firstLine="496" w:firstLineChars="200"/>
              <w:jc w:val="left"/>
              <w:rPr>
                <w:rFonts w:hint="eastAsia" w:eastAsia="宋体"/>
                <w:color w:val="000000"/>
                <w:sz w:val="24"/>
                <w:szCs w:val="24"/>
                <w:lang w:eastAsia="zh-CN"/>
              </w:rPr>
            </w:pPr>
            <w:r>
              <w:rPr>
                <w:rFonts w:hint="eastAsia"/>
                <w:color w:val="000000"/>
                <w:spacing w:val="4"/>
                <w:sz w:val="24"/>
                <w:szCs w:val="24"/>
              </w:rPr>
              <w:t>本项目</w:t>
            </w:r>
            <w:r>
              <w:rPr>
                <w:rFonts w:hint="eastAsia"/>
                <w:color w:val="000000"/>
                <w:spacing w:val="4"/>
                <w:sz w:val="24"/>
                <w:szCs w:val="24"/>
                <w:lang w:val="en-US" w:eastAsia="zh-CN"/>
              </w:rPr>
              <w:t>污水处理站</w:t>
            </w:r>
            <w:r>
              <w:rPr>
                <w:rFonts w:hint="eastAsia"/>
                <w:color w:val="000000"/>
                <w:spacing w:val="4"/>
                <w:sz w:val="24"/>
                <w:szCs w:val="24"/>
              </w:rPr>
              <w:t>在新疆巴州博湖县仓储物流园内空地建设，本项目为地下式污水处理站，总平面布置遵循工艺流程顺向衔接、功能分区清晰、运维便捷、安全合规的原则</w:t>
            </w:r>
            <w:r>
              <w:rPr>
                <w:rFonts w:hint="eastAsia"/>
                <w:color w:val="000000"/>
                <w:spacing w:val="4"/>
                <w:sz w:val="24"/>
                <w:szCs w:val="24"/>
                <w:lang w:val="en-US" w:eastAsia="zh-CN"/>
              </w:rPr>
              <w:t>，</w:t>
            </w:r>
            <w:r>
              <w:rPr>
                <w:rFonts w:hint="eastAsia"/>
                <w:color w:val="000000"/>
                <w:spacing w:val="4"/>
                <w:sz w:val="24"/>
                <w:szCs w:val="24"/>
              </w:rPr>
              <w:t>地下站整体为矩形封闭结构，按工艺流线、功能属性划分为三大核心区域：进水预处理区：位于站体左上角，承接废水进水，</w:t>
            </w:r>
            <w:r>
              <w:rPr>
                <w:rFonts w:hint="eastAsia"/>
                <w:color w:val="000000"/>
                <w:spacing w:val="4"/>
                <w:sz w:val="24"/>
                <w:szCs w:val="24"/>
                <w:lang w:val="en-US" w:eastAsia="zh-CN"/>
              </w:rPr>
              <w:t>进行</w:t>
            </w:r>
            <w:r>
              <w:rPr>
                <w:rFonts w:hint="eastAsia"/>
                <w:color w:val="000000"/>
                <w:spacing w:val="4"/>
                <w:sz w:val="24"/>
                <w:szCs w:val="24"/>
              </w:rPr>
              <w:t>初步</w:t>
            </w:r>
            <w:r>
              <w:rPr>
                <w:rFonts w:hint="eastAsia"/>
                <w:color w:val="000000"/>
                <w:spacing w:val="4"/>
                <w:sz w:val="24"/>
                <w:szCs w:val="24"/>
                <w:lang w:val="en-US" w:eastAsia="zh-CN"/>
              </w:rPr>
              <w:t>的预处理</w:t>
            </w:r>
            <w:r>
              <w:rPr>
                <w:rFonts w:hint="eastAsia"/>
                <w:color w:val="000000"/>
                <w:spacing w:val="4"/>
                <w:sz w:val="24"/>
                <w:szCs w:val="24"/>
              </w:rPr>
              <w:t>；主体工艺处理区：位于站体中部核心区域，串联厌氧、生化、深度处理全流程，为污水处理核心空间；配套功能区：位于站体右侧，沿纵向依次布置在线监测室、电控室、污泥车间，实现运维管理与污泥处置的集中化、便捷化</w:t>
            </w:r>
            <w:r>
              <w:rPr>
                <w:rFonts w:hint="eastAsia"/>
                <w:color w:val="000000"/>
                <w:spacing w:val="4"/>
                <w:sz w:val="24"/>
                <w:szCs w:val="24"/>
                <w:lang w:eastAsia="zh-CN"/>
              </w:rPr>
              <w:t>。</w:t>
            </w:r>
          </w:p>
          <w:p w14:paraId="2B92E554">
            <w:pPr>
              <w:spacing w:line="360" w:lineRule="auto"/>
              <w:ind w:firstLine="496" w:firstLineChars="200"/>
              <w:rPr>
                <w:rFonts w:hint="eastAsia" w:eastAsia="宋体"/>
                <w:sz w:val="24"/>
                <w:szCs w:val="24"/>
                <w:lang w:eastAsia="zh-CN"/>
              </w:rPr>
            </w:pPr>
            <w:r>
              <w:rPr>
                <w:rFonts w:hint="eastAsia"/>
                <w:spacing w:val="4"/>
                <w:sz w:val="24"/>
                <w:szCs w:val="24"/>
                <w:lang w:val="en-US" w:eastAsia="zh-CN"/>
              </w:rPr>
              <w:t>项目</w:t>
            </w:r>
            <w:r>
              <w:rPr>
                <w:rFonts w:hint="eastAsia"/>
                <w:spacing w:val="4"/>
                <w:sz w:val="24"/>
                <w:szCs w:val="24"/>
              </w:rPr>
              <w:t>平面布置功能分区明确，构筑物布置紧凑，减少占地面积；</w:t>
            </w:r>
            <w:r>
              <w:rPr>
                <w:rFonts w:hint="eastAsia"/>
                <w:spacing w:val="4"/>
                <w:sz w:val="24"/>
                <w:szCs w:val="24"/>
                <w:lang w:val="en-US" w:eastAsia="zh-CN"/>
              </w:rPr>
              <w:t>污水处理站</w:t>
            </w:r>
            <w:r>
              <w:rPr>
                <w:rFonts w:hint="eastAsia"/>
                <w:spacing w:val="4"/>
                <w:sz w:val="24"/>
                <w:szCs w:val="24"/>
              </w:rPr>
              <w:t>构筑物与周边建筑有一定的距离、减少</w:t>
            </w:r>
            <w:r>
              <w:rPr>
                <w:rFonts w:hint="eastAsia"/>
                <w:spacing w:val="4"/>
                <w:sz w:val="24"/>
                <w:szCs w:val="24"/>
                <w:lang w:val="en-US" w:eastAsia="zh-CN"/>
              </w:rPr>
              <w:t>污水处理站</w:t>
            </w:r>
            <w:r>
              <w:rPr>
                <w:rFonts w:hint="eastAsia"/>
                <w:spacing w:val="4"/>
                <w:sz w:val="24"/>
                <w:szCs w:val="24"/>
              </w:rPr>
              <w:t>对周边环境的影响</w:t>
            </w:r>
            <w:r>
              <w:rPr>
                <w:sz w:val="24"/>
                <w:szCs w:val="24"/>
              </w:rPr>
              <w:t>。</w:t>
            </w:r>
            <w:r>
              <w:rPr>
                <w:color w:val="000000"/>
                <w:sz w:val="24"/>
                <w:szCs w:val="24"/>
              </w:rPr>
              <w:t>详见附图3</w:t>
            </w:r>
            <w:r>
              <w:rPr>
                <w:rFonts w:hint="eastAsia"/>
                <w:color w:val="000000"/>
                <w:sz w:val="24"/>
                <w:szCs w:val="24"/>
              </w:rPr>
              <w:t>项目平面布置图</w:t>
            </w:r>
            <w:r>
              <w:rPr>
                <w:color w:val="000000"/>
                <w:sz w:val="24"/>
                <w:szCs w:val="24"/>
              </w:rPr>
              <w:t>。</w:t>
            </w:r>
          </w:p>
          <w:p w14:paraId="1818F477">
            <w:pPr>
              <w:adjustRightInd w:val="0"/>
              <w:snapToGrid w:val="0"/>
              <w:rPr>
                <w:rFonts w:hint="eastAsia" w:ascii="黑体" w:hAnsi="黑体" w:eastAsia="黑体"/>
                <w:snapToGrid w:val="0"/>
                <w:sz w:val="30"/>
                <w:szCs w:val="30"/>
                <w:vertAlign w:val="baseline"/>
                <w:lang w:val="en-US" w:eastAsia="zh-CN"/>
              </w:rPr>
            </w:pPr>
          </w:p>
        </w:tc>
      </w:tr>
      <w:tr w14:paraId="499A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5" w:type="dxa"/>
            <w:noWrap w:val="0"/>
            <w:vAlign w:val="center"/>
          </w:tcPr>
          <w:p w14:paraId="11296BA0">
            <w:pPr>
              <w:pStyle w:val="19"/>
              <w:widowControl/>
              <w:numPr>
                <w:ilvl w:val="0"/>
                <w:numId w:val="0"/>
              </w:numPr>
              <w:spacing w:before="100" w:beforeAutospacing="1" w:after="100" w:afterAutospacing="1"/>
              <w:jc w:val="center"/>
              <w:rPr>
                <w:rFonts w:hint="eastAsia" w:eastAsia="宋体" w:cs="宋体"/>
                <w:bCs/>
                <w:kern w:val="2"/>
                <w:szCs w:val="24"/>
                <w:lang w:val="en-US" w:eastAsia="zh-CN"/>
              </w:rPr>
            </w:pPr>
            <w:r>
              <w:rPr>
                <w:rFonts w:hint="eastAsia" w:eastAsia="宋体" w:cs="宋体"/>
                <w:bCs/>
                <w:kern w:val="2"/>
                <w:szCs w:val="24"/>
                <w:lang w:val="en-US" w:eastAsia="zh-CN"/>
              </w:rPr>
              <w:t>工艺流程和产排污环节</w:t>
            </w:r>
          </w:p>
        </w:tc>
        <w:tc>
          <w:tcPr>
            <w:tcW w:w="8445" w:type="dxa"/>
            <w:noWrap w:val="0"/>
            <w:vAlign w:val="top"/>
          </w:tcPr>
          <w:p w14:paraId="31CF1887">
            <w:pPr>
              <w:spacing w:line="360" w:lineRule="auto"/>
              <w:rPr>
                <w:b/>
                <w:sz w:val="24"/>
              </w:rPr>
            </w:pPr>
            <w:r>
              <w:rPr>
                <w:b/>
                <w:sz w:val="28"/>
                <w:szCs w:val="28"/>
              </w:rPr>
              <w:t>工艺流程简述</w:t>
            </w:r>
            <w:r>
              <w:rPr>
                <w:b/>
                <w:sz w:val="24"/>
              </w:rPr>
              <w:t>：</w:t>
            </w:r>
          </w:p>
          <w:p w14:paraId="46655A45">
            <w:pPr>
              <w:keepNext w:val="0"/>
              <w:keepLines w:val="0"/>
              <w:pageBreakBefore w:val="0"/>
              <w:kinsoku/>
              <w:wordWrap/>
              <w:overflowPunct/>
              <w:topLinePunct w:val="0"/>
              <w:autoSpaceDE/>
              <w:autoSpaceDN/>
              <w:bidi w:val="0"/>
              <w:adjustRightInd/>
              <w:spacing w:line="360" w:lineRule="auto"/>
              <w:ind w:right="0"/>
              <w:textAlignment w:val="auto"/>
              <w:rPr>
                <w:rFonts w:hint="default" w:ascii="Calibri" w:hAnsi="Calibri" w:cs="Calibri"/>
                <w:b/>
                <w:bCs/>
                <w:sz w:val="24"/>
                <w:szCs w:val="24"/>
                <w:lang w:val="en-US" w:eastAsia="zh-CN"/>
              </w:rPr>
            </w:pPr>
            <w:r>
              <w:rPr>
                <w:rFonts w:hint="eastAsia" w:ascii="Calibri" w:hAnsi="Calibri" w:cs="Calibri"/>
                <w:b/>
                <w:bCs/>
                <w:sz w:val="24"/>
                <w:szCs w:val="24"/>
                <w:lang w:val="en-US" w:eastAsia="zh-CN"/>
              </w:rPr>
              <w:t>1.施工期工艺流程及产污环节图</w:t>
            </w:r>
          </w:p>
          <w:p w14:paraId="3504E445">
            <w:pPr>
              <w:keepNext w:val="0"/>
              <w:keepLines w:val="0"/>
              <w:pageBreakBefore w:val="0"/>
              <w:kinsoku/>
              <w:wordWrap/>
              <w:overflowPunct/>
              <w:topLinePunct w:val="0"/>
              <w:autoSpaceDE/>
              <w:autoSpaceDN/>
              <w:bidi w:val="0"/>
              <w:adjustRightInd/>
              <w:spacing w:line="360" w:lineRule="auto"/>
              <w:ind w:right="0" w:firstLine="480"/>
              <w:textAlignment w:val="auto"/>
              <w:rPr>
                <w:rFonts w:ascii="Calibri" w:hAnsi="Calibri" w:cs="Calibri"/>
                <w:sz w:val="24"/>
                <w:szCs w:val="24"/>
              </w:rPr>
            </w:pPr>
            <w:r>
              <w:rPr>
                <w:rFonts w:hint="eastAsia" w:ascii="Calibri" w:hAnsi="Calibri" w:cs="Calibri"/>
                <w:sz w:val="24"/>
                <w:szCs w:val="24"/>
                <w:lang w:eastAsia="zh-CN"/>
              </w:rPr>
              <w:t>本项目</w:t>
            </w:r>
            <w:r>
              <w:rPr>
                <w:rFonts w:hint="eastAsia" w:ascii="Calibri" w:hAnsi="Calibri" w:cs="Calibri"/>
                <w:sz w:val="24"/>
                <w:szCs w:val="24"/>
                <w:lang w:val="en-US" w:eastAsia="zh-CN"/>
              </w:rPr>
              <w:t>污水处理站建设内容</w:t>
            </w:r>
            <w:r>
              <w:rPr>
                <w:rFonts w:ascii="Calibri" w:hAnsi="Calibri" w:cs="Calibri"/>
                <w:sz w:val="24"/>
                <w:szCs w:val="24"/>
              </w:rPr>
              <w:t>主要为污水处理</w:t>
            </w:r>
            <w:r>
              <w:rPr>
                <w:rFonts w:hint="eastAsia" w:ascii="Calibri" w:hAnsi="Calibri" w:cs="Calibri"/>
                <w:sz w:val="24"/>
                <w:szCs w:val="24"/>
                <w:lang w:val="en-US" w:eastAsia="zh-CN"/>
              </w:rPr>
              <w:t>站</w:t>
            </w:r>
            <w:r>
              <w:rPr>
                <w:rFonts w:ascii="Calibri" w:hAnsi="Calibri" w:cs="Calibri"/>
                <w:sz w:val="24"/>
                <w:szCs w:val="24"/>
              </w:rPr>
              <w:t>设施的构筑物建设以及设备的安装施工。在工程施工期间，会产生少量的废气、废水、固体废物</w:t>
            </w:r>
            <w:r>
              <w:rPr>
                <w:rFonts w:hint="eastAsia" w:ascii="Calibri" w:hAnsi="Calibri" w:cs="Calibri"/>
                <w:sz w:val="24"/>
                <w:szCs w:val="24"/>
                <w:lang w:eastAsia="zh-CN"/>
              </w:rPr>
              <w:t>同时</w:t>
            </w:r>
            <w:r>
              <w:rPr>
                <w:rFonts w:ascii="Calibri" w:hAnsi="Calibri" w:cs="Calibri"/>
                <w:sz w:val="24"/>
                <w:szCs w:val="24"/>
              </w:rPr>
              <w:t>产生施工噪声。施工流程及各阶段主要污染物产生情况见图</w:t>
            </w:r>
            <w:r>
              <w:rPr>
                <w:rFonts w:hint="eastAsia" w:ascii="Calibri" w:hAnsi="Calibri" w:cs="Calibri"/>
                <w:sz w:val="24"/>
                <w:szCs w:val="24"/>
                <w:lang w:val="en-US" w:eastAsia="zh-CN"/>
              </w:rPr>
              <w:t>2-2</w:t>
            </w:r>
            <w:r>
              <w:rPr>
                <w:rFonts w:ascii="Calibri" w:hAnsi="Calibri" w:cs="Calibri"/>
                <w:sz w:val="24"/>
                <w:szCs w:val="24"/>
              </w:rPr>
              <w:t>、图</w:t>
            </w:r>
            <w:r>
              <w:rPr>
                <w:rFonts w:hint="eastAsia" w:ascii="Calibri" w:hAnsi="Calibri" w:cs="Calibri"/>
                <w:sz w:val="24"/>
                <w:szCs w:val="24"/>
                <w:lang w:val="en-US" w:eastAsia="zh-CN"/>
              </w:rPr>
              <w:t>2-3</w:t>
            </w:r>
            <w:r>
              <w:rPr>
                <w:rFonts w:ascii="Calibri" w:hAnsi="Calibri" w:cs="Calibri"/>
                <w:sz w:val="24"/>
                <w:szCs w:val="24"/>
              </w:rPr>
              <w:t>。</w:t>
            </w:r>
          </w:p>
          <w:p w14:paraId="28AD1CD0">
            <w:pPr>
              <w:keepNext w:val="0"/>
              <w:keepLines w:val="0"/>
              <w:pageBreakBefore w:val="0"/>
              <w:kinsoku/>
              <w:wordWrap/>
              <w:overflowPunct/>
              <w:topLinePunct w:val="0"/>
              <w:autoSpaceDE/>
              <w:autoSpaceDN/>
              <w:bidi w:val="0"/>
              <w:adjustRightInd/>
              <w:spacing w:line="360" w:lineRule="auto"/>
              <w:ind w:right="0" w:firstLine="0" w:firstLineChars="0"/>
              <w:textAlignment w:val="auto"/>
              <w:rPr>
                <w:rFonts w:ascii="Calibri" w:hAnsi="Calibri" w:cs="Calibri"/>
                <w:sz w:val="24"/>
                <w:szCs w:val="24"/>
              </w:rPr>
            </w:pPr>
            <w:r>
              <w:drawing>
                <wp:inline distT="0" distB="0" distL="114300" distR="114300">
                  <wp:extent cx="5222240" cy="998220"/>
                  <wp:effectExtent l="0" t="0" r="16510" b="1143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7"/>
                          <a:stretch>
                            <a:fillRect/>
                          </a:stretch>
                        </pic:blipFill>
                        <pic:spPr>
                          <a:xfrm>
                            <a:off x="0" y="0"/>
                            <a:ext cx="5222240" cy="998220"/>
                          </a:xfrm>
                          <a:prstGeom prst="rect">
                            <a:avLst/>
                          </a:prstGeom>
                          <a:noFill/>
                          <a:ln>
                            <a:noFill/>
                          </a:ln>
                        </pic:spPr>
                      </pic:pic>
                    </a:graphicData>
                  </a:graphic>
                </wp:inline>
              </w:drawing>
            </w:r>
            <w:r>
              <w:rPr>
                <w:rFonts w:ascii="Calibri" w:hAnsi="Calibri" w:cs="Calibri"/>
                <w:sz w:val="24"/>
                <w:szCs w:val="24"/>
              </w:rPr>
              <w:t xml:space="preserve"> </w:t>
            </w:r>
          </w:p>
          <w:p w14:paraId="770E6FC0">
            <w:pPr>
              <w:pStyle w:val="21"/>
              <w:keepNext w:val="0"/>
              <w:keepLines w:val="0"/>
              <w:pageBreakBefore w:val="0"/>
              <w:kinsoku/>
              <w:wordWrap/>
              <w:overflowPunct/>
              <w:topLinePunct w:val="0"/>
              <w:autoSpaceDE/>
              <w:autoSpaceDN/>
              <w:bidi w:val="0"/>
              <w:adjustRightInd/>
              <w:spacing w:before="0" w:after="0" w:line="360" w:lineRule="auto"/>
              <w:ind w:right="0" w:firstLine="0" w:firstLineChars="0"/>
              <w:jc w:val="center"/>
              <w:textAlignment w:val="auto"/>
              <w:rPr>
                <w:rFonts w:ascii="Calibri" w:hAnsi="Calibri" w:eastAsia="宋体" w:cs="Calibri"/>
                <w:b/>
                <w:bCs/>
                <w:color w:val="auto"/>
                <w:spacing w:val="1"/>
                <w:position w:val="1"/>
                <w:sz w:val="24"/>
                <w:szCs w:val="24"/>
                <w:lang w:eastAsia="zh-CN"/>
              </w:rPr>
            </w:pPr>
            <w:r>
              <w:rPr>
                <w:rFonts w:ascii="Calibri" w:hAnsi="Calibri" w:cs="Calibri"/>
                <w:b/>
                <w:bCs/>
                <w:color w:val="auto"/>
                <w:spacing w:val="1"/>
                <w:position w:val="1"/>
                <w:sz w:val="24"/>
                <w:szCs w:val="24"/>
                <w:lang w:eastAsia="zh-CN"/>
              </w:rPr>
              <w:t>图</w:t>
            </w:r>
            <w:r>
              <w:rPr>
                <w:rFonts w:hint="eastAsia" w:ascii="Calibri" w:hAnsi="Calibri" w:cs="Calibri"/>
                <w:b/>
                <w:bCs/>
                <w:color w:val="auto"/>
                <w:spacing w:val="1"/>
                <w:position w:val="1"/>
                <w:sz w:val="24"/>
                <w:szCs w:val="24"/>
                <w:lang w:val="en-US" w:eastAsia="zh-CN"/>
              </w:rPr>
              <w:t>2-2</w:t>
            </w:r>
            <w:r>
              <w:rPr>
                <w:rFonts w:ascii="Calibri" w:hAnsi="Calibri" w:cs="Calibri"/>
                <w:b/>
                <w:bCs/>
                <w:color w:val="auto"/>
                <w:spacing w:val="1"/>
                <w:position w:val="1"/>
                <w:sz w:val="24"/>
                <w:szCs w:val="24"/>
                <w:lang w:eastAsia="zh-CN"/>
              </w:rPr>
              <w:t xml:space="preserve"> </w:t>
            </w:r>
            <w:r>
              <w:rPr>
                <w:rFonts w:hint="eastAsia" w:ascii="Calibri" w:hAnsi="Calibri" w:cs="Calibri"/>
                <w:b/>
                <w:bCs/>
                <w:color w:val="auto"/>
                <w:spacing w:val="1"/>
                <w:position w:val="1"/>
                <w:sz w:val="24"/>
                <w:szCs w:val="24"/>
                <w:lang w:val="en-US" w:eastAsia="zh-CN"/>
              </w:rPr>
              <w:t xml:space="preserve"> </w:t>
            </w:r>
            <w:r>
              <w:rPr>
                <w:rFonts w:ascii="Calibri" w:hAnsi="Calibri" w:cs="Calibri"/>
                <w:b/>
                <w:bCs/>
                <w:color w:val="auto"/>
                <w:spacing w:val="1"/>
                <w:position w:val="1"/>
                <w:sz w:val="24"/>
                <w:szCs w:val="24"/>
                <w:lang w:eastAsia="zh-CN"/>
              </w:rPr>
              <w:t xml:space="preserve"> 施工期工艺流程及产污节点图</w:t>
            </w:r>
          </w:p>
          <w:p w14:paraId="0D4173B8">
            <w:pPr>
              <w:pStyle w:val="10"/>
              <w:contextualSpacing/>
            </w:pPr>
            <w:r>
              <w:rPr>
                <w:rFonts w:hint="eastAsia" w:ascii="宋体" w:hAnsi="宋体" w:cs="宋体"/>
                <w:b/>
                <w:lang w:val="en-US" w:eastAsia="zh-CN"/>
              </w:rPr>
              <w:t>2.</w:t>
            </w:r>
            <w:r>
              <w:rPr>
                <w:rFonts w:hint="eastAsia" w:ascii="宋体" w:hAnsi="宋体" w:cs="宋体"/>
                <w:b/>
              </w:rPr>
              <w:t>运营期工艺流程及产污环节见下图</w:t>
            </w:r>
            <w:r>
              <w:t>。</w:t>
            </w:r>
          </w:p>
          <w:p w14:paraId="02E21E9E">
            <w:pPr>
              <w:pStyle w:val="10"/>
              <w:contextualSpacing/>
            </w:pPr>
          </w:p>
          <w:p w14:paraId="4CDF2537">
            <w:pPr>
              <w:pStyle w:val="10"/>
              <w:contextualSpacing/>
            </w:pPr>
          </w:p>
          <w:p w14:paraId="344ABD4B">
            <w:pPr>
              <w:pStyle w:val="10"/>
              <w:contextualSpacing/>
            </w:pPr>
          </w:p>
          <w:p w14:paraId="54158FFB">
            <w:pPr>
              <w:pStyle w:val="10"/>
              <w:contextualSpacing/>
            </w:pPr>
          </w:p>
          <w:p w14:paraId="358BA7FA">
            <w:pPr>
              <w:pStyle w:val="10"/>
              <w:contextualSpacing/>
            </w:pPr>
          </w:p>
          <w:p w14:paraId="69783EAA">
            <w:pPr>
              <w:pStyle w:val="10"/>
              <w:contextualSpacing/>
            </w:pPr>
          </w:p>
          <w:p w14:paraId="47A3A1CA">
            <w:pPr>
              <w:pStyle w:val="10"/>
              <w:contextualSpacing/>
            </w:pPr>
          </w:p>
          <w:p w14:paraId="20F2E926">
            <w:pPr>
              <w:pStyle w:val="10"/>
              <w:contextualSpacing/>
              <w:rPr>
                <w:rStyle w:val="48"/>
                <w:szCs w:val="24"/>
              </w:rPr>
            </w:pPr>
            <w:r>
              <w:rPr>
                <w:rFonts w:hint="eastAsia" w:eastAsia="宋体" w:cs="Times New Roman"/>
                <w:b/>
                <w:bCs w:val="0"/>
                <w:lang w:eastAsia="zh-CN"/>
              </w:rPr>
              <w:drawing>
                <wp:inline distT="0" distB="0" distL="114300" distR="114300">
                  <wp:extent cx="5300980" cy="6175375"/>
                  <wp:effectExtent l="0" t="0" r="0" b="0"/>
                  <wp:docPr id="5" name="ECB019B1-382A-4266-B25C-5B523AA43C14-2" descr="C:/Users/MyPC/AppData/Local/Temp/wps.WeQQkZ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CB019B1-382A-4266-B25C-5B523AA43C14-2" descr="C:/Users/MyPC/AppData/Local/Temp/wps.WeQQkZwps"/>
                          <pic:cNvPicPr>
                            <a:picLocks noChangeAspect="1"/>
                          </pic:cNvPicPr>
                        </pic:nvPicPr>
                        <pic:blipFill>
                          <a:blip r:embed="rId8"/>
                          <a:stretch>
                            <a:fillRect/>
                          </a:stretch>
                        </pic:blipFill>
                        <pic:spPr>
                          <a:xfrm>
                            <a:off x="0" y="0"/>
                            <a:ext cx="5300980" cy="6175375"/>
                          </a:xfrm>
                          <a:prstGeom prst="rect">
                            <a:avLst/>
                          </a:prstGeom>
                          <a:noFill/>
                          <a:ln>
                            <a:noFill/>
                          </a:ln>
                        </pic:spPr>
                      </pic:pic>
                    </a:graphicData>
                  </a:graphic>
                </wp:inline>
              </w:drawing>
            </w:r>
          </w:p>
          <w:p w14:paraId="61257001">
            <w:pPr>
              <w:pStyle w:val="10"/>
              <w:contextualSpacing/>
              <w:jc w:val="center"/>
              <w:rPr>
                <w:rFonts w:hint="eastAsia"/>
                <w:szCs w:val="24"/>
              </w:rPr>
            </w:pPr>
            <w:r>
              <w:rPr>
                <w:rStyle w:val="48"/>
                <w:szCs w:val="24"/>
              </w:rPr>
              <w:t>图</w:t>
            </w:r>
            <w:r>
              <w:rPr>
                <w:rStyle w:val="48"/>
                <w:rFonts w:hint="eastAsia"/>
                <w:szCs w:val="24"/>
                <w:lang w:val="en-US" w:eastAsia="zh-CN"/>
              </w:rPr>
              <w:t>2-4</w:t>
            </w:r>
            <w:r>
              <w:rPr>
                <w:rStyle w:val="48"/>
                <w:szCs w:val="24"/>
              </w:rPr>
              <w:t xml:space="preserve">  </w:t>
            </w:r>
            <w:r>
              <w:rPr>
                <w:rStyle w:val="48"/>
                <w:rFonts w:hint="eastAsia"/>
                <w:szCs w:val="24"/>
              </w:rPr>
              <w:t>运营期</w:t>
            </w:r>
            <w:r>
              <w:rPr>
                <w:rStyle w:val="48"/>
                <w:szCs w:val="24"/>
              </w:rPr>
              <w:t>工程工艺流程及产污节点图</w:t>
            </w:r>
          </w:p>
          <w:p w14:paraId="614A3B90">
            <w:pPr>
              <w:pStyle w:val="10"/>
              <w:ind w:firstLine="512" w:firstLineChars="200"/>
              <w:contextualSpacing/>
              <w:jc w:val="left"/>
              <w:rPr>
                <w:rFonts w:hint="eastAsia"/>
                <w:szCs w:val="24"/>
              </w:rPr>
            </w:pPr>
            <w:r>
              <w:rPr>
                <w:rFonts w:hint="eastAsia"/>
                <w:szCs w:val="24"/>
              </w:rPr>
              <w:t>工艺流程简述（仅对污水处理厂内新增构筑物处理工艺说明）：</w:t>
            </w:r>
          </w:p>
          <w:p w14:paraId="086B9A4D">
            <w:pPr>
              <w:pStyle w:val="10"/>
              <w:ind w:firstLine="512" w:firstLineChars="200"/>
              <w:contextualSpacing/>
              <w:jc w:val="left"/>
              <w:rPr>
                <w:rFonts w:hint="eastAsia"/>
                <w:szCs w:val="24"/>
              </w:rPr>
            </w:pPr>
            <w:r>
              <w:rPr>
                <w:rFonts w:hint="eastAsia"/>
                <w:szCs w:val="24"/>
                <w:lang w:eastAsia="zh-CN"/>
              </w:rPr>
              <w:t>1.</w:t>
            </w:r>
            <w:r>
              <w:rPr>
                <w:rFonts w:hint="eastAsia"/>
                <w:szCs w:val="24"/>
                <w:lang w:val="en-US" w:eastAsia="zh-CN"/>
              </w:rPr>
              <w:t>格栅/调节</w:t>
            </w:r>
            <w:r>
              <w:rPr>
                <w:rFonts w:hint="eastAsia"/>
                <w:szCs w:val="24"/>
              </w:rPr>
              <w:t>池</w:t>
            </w:r>
          </w:p>
          <w:p w14:paraId="1DE7C773">
            <w:pPr>
              <w:pStyle w:val="10"/>
              <w:ind w:firstLine="512" w:firstLineChars="200"/>
              <w:contextualSpacing/>
              <w:jc w:val="left"/>
              <w:rPr>
                <w:rFonts w:hint="default" w:eastAsia="宋体"/>
                <w:szCs w:val="24"/>
                <w:lang w:val="en-US" w:eastAsia="zh-CN"/>
              </w:rPr>
            </w:pPr>
            <w:r>
              <w:rPr>
                <w:rFonts w:hint="eastAsia"/>
                <w:szCs w:val="24"/>
              </w:rPr>
              <w:t>生产废水经管网重力流入格栅</w:t>
            </w:r>
            <w:r>
              <w:rPr>
                <w:rFonts w:hint="eastAsia"/>
                <w:szCs w:val="24"/>
                <w:lang w:val="en-US" w:eastAsia="zh-CN"/>
              </w:rPr>
              <w:t>池</w:t>
            </w:r>
            <w:r>
              <w:rPr>
                <w:rFonts w:hint="eastAsia"/>
                <w:szCs w:val="24"/>
                <w:lang w:eastAsia="zh-CN"/>
              </w:rPr>
              <w:t>、</w:t>
            </w:r>
            <w:r>
              <w:rPr>
                <w:rFonts w:hint="eastAsia"/>
                <w:szCs w:val="24"/>
              </w:rPr>
              <w:t>调节池。格栅单元拦截废水中的大颗粒悬浮杂质；调节池单元对废水进行均质均量，同时通过pH调节（</w:t>
            </w:r>
            <w:r>
              <w:rPr>
                <w:rFonts w:hint="eastAsia"/>
                <w:szCs w:val="24"/>
                <w:lang w:val="en-US" w:eastAsia="zh-CN"/>
              </w:rPr>
              <w:t>氢氧化钠</w:t>
            </w:r>
            <w:r>
              <w:rPr>
                <w:rFonts w:hint="eastAsia"/>
                <w:szCs w:val="24"/>
              </w:rPr>
              <w:t>），将废水pH调整至适宜后续生化处理的范围，为后续工艺稳定运行提供保障。</w:t>
            </w:r>
            <w:r>
              <w:rPr>
                <w:rFonts w:hint="eastAsia" w:ascii="Calibri" w:hAnsi="Calibri" w:cs="Calibri"/>
              </w:rPr>
              <w:t>该工序产生</w:t>
            </w:r>
            <w:r>
              <w:rPr>
                <w:rFonts w:hint="eastAsia" w:ascii="Calibri" w:hAnsi="Calibri" w:cs="Calibri"/>
                <w:lang w:val="en-US" w:eastAsia="zh-CN"/>
              </w:rPr>
              <w:t>栅渣和恶臭。</w:t>
            </w:r>
          </w:p>
          <w:p w14:paraId="121EBAD3">
            <w:pPr>
              <w:pStyle w:val="10"/>
              <w:ind w:firstLine="512" w:firstLineChars="200"/>
              <w:contextualSpacing/>
              <w:jc w:val="left"/>
              <w:rPr>
                <w:rFonts w:hint="eastAsia"/>
                <w:szCs w:val="24"/>
              </w:rPr>
            </w:pPr>
            <w:r>
              <w:rPr>
                <w:rFonts w:hint="eastAsia"/>
                <w:szCs w:val="24"/>
                <w:lang w:eastAsia="zh-CN"/>
              </w:rPr>
              <w:t>2.</w:t>
            </w:r>
            <w:r>
              <w:rPr>
                <w:rFonts w:hint="eastAsia"/>
                <w:szCs w:val="24"/>
                <w:lang w:val="en-US" w:eastAsia="zh-CN"/>
              </w:rPr>
              <w:t>一体化隔油沉淀池</w:t>
            </w:r>
          </w:p>
          <w:p w14:paraId="79AE0438">
            <w:pPr>
              <w:pStyle w:val="10"/>
              <w:ind w:firstLine="512" w:firstLineChars="200"/>
              <w:contextualSpacing/>
              <w:jc w:val="left"/>
              <w:rPr>
                <w:rFonts w:hint="eastAsia"/>
                <w:szCs w:val="24"/>
              </w:rPr>
            </w:pPr>
            <w:r>
              <w:rPr>
                <w:rFonts w:hint="eastAsia"/>
                <w:szCs w:val="24"/>
              </w:rPr>
              <w:t>格栅</w:t>
            </w:r>
            <w:r>
              <w:rPr>
                <w:rFonts w:hint="eastAsia"/>
                <w:szCs w:val="24"/>
                <w:lang w:val="en-US" w:eastAsia="zh-CN"/>
              </w:rPr>
              <w:t>池、调</w:t>
            </w:r>
            <w:r>
              <w:rPr>
                <w:rFonts w:hint="eastAsia"/>
                <w:szCs w:val="24"/>
              </w:rPr>
              <w:t>节池出水重力流入一体化隔油沉淀池，通过重力分离原理，去除废水中的游离态动植物油、大颗粒悬浮杂质，完成油水分离，降低后续工艺的有机负荷，避免油脂抑制微生物活性。</w:t>
            </w:r>
            <w:r>
              <w:rPr>
                <w:rFonts w:hint="eastAsia" w:ascii="Calibri" w:hAnsi="Calibri" w:cs="Calibri"/>
              </w:rPr>
              <w:t>该工序产生</w:t>
            </w:r>
            <w:r>
              <w:rPr>
                <w:rFonts w:hint="eastAsia" w:ascii="Calibri" w:hAnsi="Calibri" w:cs="Calibri"/>
                <w:lang w:val="en-US" w:eastAsia="zh-CN"/>
              </w:rPr>
              <w:t>浮油、污泥和恶臭。</w:t>
            </w:r>
          </w:p>
          <w:p w14:paraId="54BD355C">
            <w:pPr>
              <w:pStyle w:val="10"/>
              <w:ind w:firstLine="512" w:firstLineChars="200"/>
              <w:contextualSpacing/>
              <w:jc w:val="left"/>
              <w:rPr>
                <w:rFonts w:hint="default" w:ascii="Times New Roman" w:hAnsi="Times New Roman" w:eastAsia="宋体" w:cs="Times New Roman"/>
                <w:szCs w:val="24"/>
                <w:lang w:val="en-US" w:eastAsia="zh-CN"/>
              </w:rPr>
            </w:pPr>
            <w:r>
              <w:rPr>
                <w:rFonts w:hint="eastAsia" w:ascii="Times New Roman" w:hAnsi="Times New Roman" w:eastAsia="宋体" w:cs="Times New Roman"/>
                <w:szCs w:val="24"/>
                <w:lang w:val="en-US" w:eastAsia="zh-CN"/>
              </w:rPr>
              <w:t>3.一体化气浮机</w:t>
            </w:r>
          </w:p>
          <w:p w14:paraId="4B2E50B3">
            <w:pPr>
              <w:pStyle w:val="10"/>
              <w:ind w:firstLine="512" w:firstLineChars="200"/>
              <w:contextualSpacing/>
              <w:jc w:val="left"/>
              <w:rPr>
                <w:rFonts w:hint="default" w:ascii="Times New Roman" w:hAnsi="Times New Roman" w:eastAsia="宋体" w:cs="Times New Roman"/>
                <w:szCs w:val="24"/>
                <w:lang w:val="en-US" w:eastAsia="zh-CN"/>
              </w:rPr>
            </w:pPr>
            <w:r>
              <w:rPr>
                <w:rFonts w:hint="eastAsia" w:ascii="Times New Roman" w:hAnsi="Times New Roman" w:eastAsia="宋体" w:cs="Times New Roman"/>
                <w:szCs w:val="24"/>
                <w:lang w:eastAsia="zh-CN"/>
              </w:rPr>
              <w:t>废水经隔油沉淀池处理后，进入一体化气浮机，</w:t>
            </w:r>
            <w:r>
              <w:rPr>
                <w:rFonts w:ascii="宋体" w:hAnsi="宋体" w:eastAsia="宋体" w:cs="宋体"/>
                <w:sz w:val="24"/>
                <w:szCs w:val="24"/>
              </w:rPr>
              <w:t>投加PAC、PAM絮凝剂，使废水中的动植物油、悬浮物和胶体污染物形成絮体；再利用溶气系统产生的微气泡</w:t>
            </w:r>
            <w:r>
              <w:rPr>
                <w:rFonts w:hint="eastAsia" w:ascii="宋体" w:hAnsi="宋体" w:cs="宋体"/>
                <w:sz w:val="24"/>
                <w:szCs w:val="24"/>
                <w:lang w:eastAsia="zh-CN"/>
              </w:rPr>
              <w:t>黏附</w:t>
            </w:r>
            <w:r>
              <w:rPr>
                <w:rFonts w:ascii="宋体" w:hAnsi="宋体" w:eastAsia="宋体" w:cs="宋体"/>
                <w:sz w:val="24"/>
                <w:szCs w:val="24"/>
              </w:rPr>
              <w:t>絮体，</w:t>
            </w:r>
            <w:r>
              <w:rPr>
                <w:rFonts w:hint="eastAsia" w:ascii="Times New Roman" w:hAnsi="Times New Roman" w:eastAsia="宋体" w:cs="Times New Roman"/>
                <w:szCs w:val="24"/>
                <w:lang w:eastAsia="zh-CN"/>
              </w:rPr>
              <w:t>使絮体的整体密度大幅降低，随气泡一起上浮至水面，形成浮渣，由刮渣机自动刮除，去除浮渣后的清水则从气浮机底部流出，进入后续的厌氧</w:t>
            </w:r>
            <w:r>
              <w:rPr>
                <w:rFonts w:hint="eastAsia" w:ascii="Times New Roman" w:hAnsi="Times New Roman" w:eastAsia="宋体" w:cs="Times New Roman"/>
                <w:szCs w:val="24"/>
                <w:lang w:val="en-US" w:eastAsia="zh-CN"/>
              </w:rPr>
              <w:t>塔。</w:t>
            </w:r>
            <w:r>
              <w:rPr>
                <w:rFonts w:hint="eastAsia" w:ascii="Calibri" w:hAnsi="Calibri" w:cs="Calibri"/>
              </w:rPr>
              <w:t>该工序产生</w:t>
            </w:r>
            <w:r>
              <w:rPr>
                <w:rFonts w:hint="eastAsia" w:ascii="Calibri" w:hAnsi="Calibri" w:cs="Calibri"/>
                <w:lang w:val="en-US" w:eastAsia="zh-CN"/>
              </w:rPr>
              <w:t>浮渣、恶臭。</w:t>
            </w:r>
          </w:p>
          <w:p w14:paraId="4D936211">
            <w:pPr>
              <w:pStyle w:val="10"/>
              <w:ind w:firstLine="512" w:firstLineChars="200"/>
              <w:contextualSpacing/>
              <w:jc w:val="left"/>
              <w:rPr>
                <w:rFonts w:hint="eastAsia" w:eastAsia="宋体"/>
                <w:szCs w:val="24"/>
                <w:lang w:eastAsia="zh-CN"/>
              </w:rPr>
            </w:pPr>
            <w:r>
              <w:rPr>
                <w:rFonts w:hint="eastAsia"/>
                <w:szCs w:val="24"/>
                <w:lang w:val="en-US" w:eastAsia="zh-CN"/>
              </w:rPr>
              <w:t>4</w:t>
            </w:r>
            <w:r>
              <w:rPr>
                <w:rFonts w:hint="eastAsia"/>
                <w:szCs w:val="24"/>
                <w:lang w:eastAsia="zh-CN"/>
              </w:rPr>
              <w:t>.</w:t>
            </w:r>
            <w:r>
              <w:rPr>
                <w:rFonts w:hint="eastAsia"/>
                <w:szCs w:val="24"/>
                <w:lang w:val="en-US" w:eastAsia="zh-CN"/>
              </w:rPr>
              <w:t>厌氧塔</w:t>
            </w:r>
          </w:p>
          <w:p w14:paraId="6D17B6D0">
            <w:pPr>
              <w:pStyle w:val="10"/>
              <w:ind w:firstLine="512" w:firstLineChars="200"/>
              <w:contextualSpacing/>
              <w:jc w:val="left"/>
              <w:rPr>
                <w:rFonts w:hint="default"/>
                <w:szCs w:val="24"/>
                <w:lang w:val="en-US"/>
              </w:rPr>
            </w:pPr>
            <w:r>
              <w:rPr>
                <w:rFonts w:hint="eastAsia"/>
                <w:szCs w:val="24"/>
              </w:rPr>
              <w:t>气浮出水进入厌氧塔，在厌氧微生物作用下，降解废水中的高浓度有机物（</w:t>
            </w:r>
            <w:r>
              <w:rPr>
                <w:rFonts w:hint="eastAsia"/>
                <w:szCs w:val="24"/>
                <w:lang w:eastAsia="zh-CN"/>
              </w:rPr>
              <w:t>CODcr</w:t>
            </w:r>
            <w:r>
              <w:rPr>
                <w:rFonts w:hint="eastAsia"/>
                <w:szCs w:val="24"/>
              </w:rPr>
              <w:t>去除率</w:t>
            </w:r>
            <w:r>
              <w:rPr>
                <w:rFonts w:hint="eastAsia"/>
                <w:szCs w:val="24"/>
                <w:lang w:eastAsia="zh-CN"/>
              </w:rPr>
              <w:t>50%～70%</w:t>
            </w:r>
            <w:r>
              <w:rPr>
                <w:rFonts w:hint="eastAsia"/>
                <w:szCs w:val="24"/>
              </w:rPr>
              <w:t>），将大分子有机物分解为小分子有机酸、甲烷等，完成高浓度有机污染物的初步降解，为后续好氧生化处理减负。</w:t>
            </w:r>
            <w:r>
              <w:rPr>
                <w:rFonts w:hint="eastAsia" w:ascii="Calibri" w:hAnsi="Calibri" w:cs="Calibri"/>
              </w:rPr>
              <w:t>该工序产生</w:t>
            </w:r>
            <w:r>
              <w:rPr>
                <w:rFonts w:hint="eastAsia" w:ascii="Calibri" w:hAnsi="Calibri" w:cs="Calibri"/>
                <w:lang w:val="en-US" w:eastAsia="zh-CN"/>
              </w:rPr>
              <w:t>恶臭、沼气和污泥。</w:t>
            </w:r>
          </w:p>
          <w:p w14:paraId="543C6EAA">
            <w:pPr>
              <w:pStyle w:val="10"/>
              <w:ind w:firstLine="512" w:firstLineChars="200"/>
              <w:contextualSpacing/>
              <w:jc w:val="left"/>
              <w:rPr>
                <w:rFonts w:hint="default" w:eastAsia="宋体"/>
                <w:szCs w:val="24"/>
                <w:lang w:val="en-US" w:eastAsia="zh-CN"/>
              </w:rPr>
            </w:pPr>
            <w:r>
              <w:rPr>
                <w:rFonts w:hint="eastAsia"/>
                <w:szCs w:val="24"/>
                <w:lang w:val="en-US" w:eastAsia="zh-CN"/>
              </w:rPr>
              <w:t>5</w:t>
            </w:r>
            <w:r>
              <w:rPr>
                <w:rFonts w:hint="eastAsia"/>
                <w:szCs w:val="24"/>
                <w:lang w:eastAsia="zh-CN"/>
              </w:rPr>
              <w:t>.</w:t>
            </w:r>
            <w:r>
              <w:rPr>
                <w:rFonts w:hint="eastAsia"/>
                <w:szCs w:val="24"/>
                <w:lang w:val="en-US" w:eastAsia="zh-CN"/>
              </w:rPr>
              <w:t>A/O生化池</w:t>
            </w:r>
          </w:p>
          <w:p w14:paraId="5BD0C18F">
            <w:pPr>
              <w:pStyle w:val="10"/>
              <w:ind w:firstLine="512" w:firstLineChars="200"/>
              <w:contextualSpacing/>
              <w:jc w:val="left"/>
              <w:rPr>
                <w:rFonts w:hint="default"/>
                <w:szCs w:val="24"/>
                <w:lang w:val="en-US"/>
              </w:rPr>
            </w:pPr>
            <w:r>
              <w:rPr>
                <w:rFonts w:hint="eastAsia"/>
                <w:szCs w:val="24"/>
              </w:rPr>
              <w:t>厌氧塔出水进入A/O生化池，缺氧段完成反硝化脱氮，好氧段通过好氧微生物作用，进一步降解剩余有机物、氨氮等污染物，实现废水的深度生化净化。</w:t>
            </w:r>
            <w:r>
              <w:rPr>
                <w:rFonts w:hint="eastAsia" w:ascii="Calibri" w:hAnsi="Calibri" w:cs="Calibri"/>
              </w:rPr>
              <w:t>该工序产生</w:t>
            </w:r>
            <w:r>
              <w:rPr>
                <w:rFonts w:hint="eastAsia" w:ascii="Calibri" w:hAnsi="Calibri" w:cs="Calibri"/>
                <w:lang w:val="en-US" w:eastAsia="zh-CN"/>
              </w:rPr>
              <w:t>污泥、恶臭。</w:t>
            </w:r>
          </w:p>
          <w:p w14:paraId="6C44B4EC">
            <w:pPr>
              <w:pStyle w:val="10"/>
              <w:ind w:firstLine="512" w:firstLineChars="200"/>
              <w:contextualSpacing/>
              <w:jc w:val="left"/>
              <w:rPr>
                <w:rFonts w:hint="default" w:eastAsia="宋体"/>
                <w:szCs w:val="24"/>
                <w:lang w:val="en-US" w:eastAsia="zh-CN"/>
              </w:rPr>
            </w:pPr>
            <w:r>
              <w:rPr>
                <w:rFonts w:hint="eastAsia"/>
                <w:szCs w:val="24"/>
                <w:lang w:val="en-US" w:eastAsia="zh-CN"/>
              </w:rPr>
              <w:t>6</w:t>
            </w:r>
            <w:r>
              <w:rPr>
                <w:rFonts w:hint="eastAsia"/>
                <w:szCs w:val="24"/>
                <w:lang w:eastAsia="zh-CN"/>
              </w:rPr>
              <w:t>.</w:t>
            </w:r>
            <w:r>
              <w:rPr>
                <w:rFonts w:hint="eastAsia"/>
                <w:szCs w:val="24"/>
                <w:lang w:val="en-US" w:eastAsia="zh-CN"/>
              </w:rPr>
              <w:t>一体化混凝沉淀池</w:t>
            </w:r>
          </w:p>
          <w:p w14:paraId="61E8810B">
            <w:pPr>
              <w:pStyle w:val="10"/>
              <w:ind w:firstLine="512" w:firstLineChars="200"/>
              <w:contextualSpacing/>
              <w:jc w:val="left"/>
              <w:rPr>
                <w:rFonts w:hint="eastAsia"/>
                <w:szCs w:val="24"/>
              </w:rPr>
            </w:pPr>
            <w:r>
              <w:rPr>
                <w:rFonts w:hint="eastAsia"/>
                <w:szCs w:val="24"/>
              </w:rPr>
              <w:t>生化出水进入一体化混凝沉淀池，再次投加PAC、PAM混凝药剂，通过絮凝沉淀作用，去除生化出水中残留的细小悬浮物、胶体、剩余有机物，进一步降低出水浊度、</w:t>
            </w:r>
            <w:r>
              <w:rPr>
                <w:rFonts w:hint="eastAsia"/>
                <w:szCs w:val="24"/>
                <w:lang w:eastAsia="zh-CN"/>
              </w:rPr>
              <w:t>CODcr</w:t>
            </w:r>
            <w:r>
              <w:rPr>
                <w:rFonts w:hint="eastAsia"/>
                <w:szCs w:val="24"/>
              </w:rPr>
              <w:t>，为深度处理做准备。</w:t>
            </w:r>
            <w:r>
              <w:rPr>
                <w:rFonts w:hint="eastAsia" w:ascii="Calibri" w:hAnsi="Calibri" w:cs="Calibri"/>
              </w:rPr>
              <w:t>该工序产生</w:t>
            </w:r>
            <w:r>
              <w:rPr>
                <w:rFonts w:hint="eastAsia" w:ascii="Calibri" w:hAnsi="Calibri" w:cs="Calibri"/>
                <w:lang w:val="en-US" w:eastAsia="zh-CN"/>
              </w:rPr>
              <w:t>污泥、恶臭。</w:t>
            </w:r>
          </w:p>
          <w:p w14:paraId="48B5455E">
            <w:pPr>
              <w:pStyle w:val="10"/>
              <w:ind w:firstLine="512" w:firstLineChars="200"/>
              <w:contextualSpacing/>
              <w:jc w:val="left"/>
              <w:rPr>
                <w:rFonts w:hint="eastAsia"/>
                <w:szCs w:val="24"/>
              </w:rPr>
            </w:pPr>
            <w:r>
              <w:rPr>
                <w:rFonts w:hint="eastAsia"/>
                <w:szCs w:val="24"/>
                <w:lang w:val="en-US" w:eastAsia="zh-CN"/>
              </w:rPr>
              <w:t>7</w:t>
            </w:r>
            <w:r>
              <w:rPr>
                <w:rFonts w:hint="eastAsia"/>
                <w:szCs w:val="24"/>
                <w:lang w:eastAsia="zh-CN"/>
              </w:rPr>
              <w:t>.</w:t>
            </w:r>
            <w:r>
              <w:rPr>
                <w:rFonts w:hint="eastAsia"/>
                <w:szCs w:val="24"/>
                <w:lang w:val="en-US" w:eastAsia="zh-CN"/>
              </w:rPr>
              <w:t>活性炭过滤罐</w:t>
            </w:r>
          </w:p>
          <w:p w14:paraId="4D5D3364">
            <w:pPr>
              <w:pStyle w:val="10"/>
              <w:ind w:firstLine="512" w:firstLineChars="200"/>
              <w:contextualSpacing/>
              <w:jc w:val="left"/>
              <w:rPr>
                <w:rFonts w:hint="default"/>
                <w:szCs w:val="24"/>
                <w:lang w:val="en-US"/>
              </w:rPr>
            </w:pPr>
            <w:r>
              <w:rPr>
                <w:rFonts w:hint="eastAsia"/>
                <w:szCs w:val="24"/>
              </w:rPr>
              <w:t>混凝沉淀池出水进入活性炭过滤罐，通过活性炭的物理吸附作用，去除废水中残留的难降解有机物、色度、异味、微量杂质，完成深度净化，保障出水水质稳定达标，同时为后续消毒、回用提供保障；定期对过滤罐进行反冲洗，反冲洗水回流至格栅</w:t>
            </w:r>
            <w:r>
              <w:rPr>
                <w:rFonts w:hint="eastAsia"/>
                <w:szCs w:val="24"/>
                <w:lang w:val="en-US" w:eastAsia="zh-CN"/>
              </w:rPr>
              <w:t>池、</w:t>
            </w:r>
            <w:r>
              <w:rPr>
                <w:rFonts w:hint="eastAsia"/>
                <w:szCs w:val="24"/>
              </w:rPr>
              <w:t>调节池重新处理。</w:t>
            </w:r>
            <w:r>
              <w:rPr>
                <w:rFonts w:hint="eastAsia" w:ascii="Calibri" w:hAnsi="Calibri" w:cs="Calibri"/>
              </w:rPr>
              <w:t>该工序产生</w:t>
            </w:r>
            <w:r>
              <w:rPr>
                <w:rFonts w:hint="eastAsia" w:ascii="Calibri" w:hAnsi="Calibri" w:cs="Calibri"/>
                <w:lang w:val="en-US" w:eastAsia="zh-CN"/>
              </w:rPr>
              <w:t>废活性炭。</w:t>
            </w:r>
          </w:p>
          <w:p w14:paraId="003F9B2F">
            <w:pPr>
              <w:pStyle w:val="10"/>
              <w:ind w:firstLine="512" w:firstLineChars="200"/>
              <w:contextualSpacing/>
              <w:jc w:val="left"/>
              <w:rPr>
                <w:rFonts w:hint="eastAsia"/>
                <w:szCs w:val="24"/>
              </w:rPr>
            </w:pPr>
            <w:r>
              <w:rPr>
                <w:rFonts w:hint="eastAsia"/>
                <w:szCs w:val="24"/>
                <w:lang w:val="en-US" w:eastAsia="zh-CN"/>
              </w:rPr>
              <w:t>8</w:t>
            </w:r>
            <w:r>
              <w:rPr>
                <w:rFonts w:hint="eastAsia"/>
                <w:szCs w:val="24"/>
                <w:lang w:eastAsia="zh-CN"/>
              </w:rPr>
              <w:t>.</w:t>
            </w:r>
            <w:r>
              <w:rPr>
                <w:rFonts w:hint="eastAsia"/>
                <w:szCs w:val="24"/>
                <w:lang w:val="en-US" w:eastAsia="zh-CN"/>
              </w:rPr>
              <w:t>清水池</w:t>
            </w:r>
          </w:p>
          <w:p w14:paraId="2B98BF69">
            <w:pPr>
              <w:pStyle w:val="10"/>
              <w:ind w:firstLine="512" w:firstLineChars="200"/>
              <w:contextualSpacing/>
              <w:jc w:val="left"/>
              <w:rPr>
                <w:rFonts w:hint="eastAsia"/>
                <w:szCs w:val="24"/>
              </w:rPr>
            </w:pPr>
            <w:r>
              <w:rPr>
                <w:rFonts w:hint="eastAsia"/>
                <w:szCs w:val="24"/>
              </w:rPr>
              <w:t>活性炭过滤罐出水进入清水池，进行水质缓冲、均质，同时投加消毒剂（次氯酸钠）完成消毒，杀灭水中病原微生物，最终达标出水通过排碱渠排入下游苇区灌溉。</w:t>
            </w:r>
          </w:p>
          <w:p w14:paraId="7834835E">
            <w:pPr>
              <w:pStyle w:val="10"/>
              <w:numPr>
                <w:ilvl w:val="0"/>
                <w:numId w:val="0"/>
              </w:numPr>
              <w:ind w:firstLine="512" w:firstLineChars="200"/>
              <w:contextualSpacing/>
              <w:jc w:val="left"/>
              <w:rPr>
                <w:rFonts w:hint="eastAsia"/>
                <w:szCs w:val="24"/>
                <w:lang w:val="en-US" w:eastAsia="zh-CN"/>
              </w:rPr>
            </w:pPr>
            <w:r>
              <w:rPr>
                <w:rFonts w:hint="eastAsia"/>
                <w:spacing w:val="8"/>
                <w:kern w:val="2"/>
                <w:sz w:val="24"/>
                <w:szCs w:val="24"/>
                <w:lang w:val="en-US" w:eastAsia="zh-CN" w:bidi="ar-SA"/>
              </w:rPr>
              <w:t>9.</w:t>
            </w:r>
            <w:r>
              <w:rPr>
                <w:rFonts w:hint="eastAsia"/>
                <w:szCs w:val="24"/>
                <w:lang w:val="en-US" w:eastAsia="zh-CN"/>
              </w:rPr>
              <w:t>污泥车间（浓缩+调节+压滤）</w:t>
            </w:r>
          </w:p>
          <w:p w14:paraId="66239726">
            <w:pPr>
              <w:pStyle w:val="10"/>
              <w:ind w:firstLine="512" w:firstLineChars="200"/>
              <w:contextualSpacing/>
              <w:jc w:val="left"/>
              <w:rPr>
                <w:rFonts w:hint="eastAsia" w:ascii="Times New Roman" w:hAnsi="Times New Roman" w:eastAsia="宋体" w:cs="Times New Roman"/>
                <w:szCs w:val="24"/>
                <w:lang w:val="en-US" w:eastAsia="zh-CN"/>
              </w:rPr>
            </w:pPr>
            <w:r>
              <w:rPr>
                <w:rFonts w:hint="eastAsia" w:ascii="Times New Roman" w:hAnsi="Times New Roman" w:eastAsia="宋体" w:cs="Times New Roman"/>
                <w:szCs w:val="24"/>
                <w:lang w:val="en-US" w:eastAsia="zh-CN"/>
              </w:rPr>
              <w:t>一体化隔油沉淀池、一体化气浮机、厌氧塔、A/O生化池、一体化混凝沉淀池产生的浮渣、污泥通过污泥管道汇入污泥车间；依次经污泥浓缩池减容、污泥调理池投加PAM调理，再经板框压滤机脱水，将污泥含水率降至60%以下；脱水产生的上清液、滤液回流至格栅池、调节池，重新进入污水处理系统；</w:t>
            </w:r>
            <w:r>
              <w:rPr>
                <w:rFonts w:hint="eastAsia"/>
                <w:color w:val="auto"/>
                <w:szCs w:val="21"/>
                <w:lang w:val="en-US" w:eastAsia="zh-CN"/>
              </w:rPr>
              <w:t>污泥脱水含水率达到60%以下，并开展固废危险性鉴别，若属于危险废物应交由具有危废处理资质的单位处置，若不属于危险固废的，需满足填埋场入场要求后，送至生活垃圾填埋场填埋处置</w:t>
            </w:r>
            <w:r>
              <w:rPr>
                <w:rFonts w:hint="eastAsia" w:ascii="Times New Roman" w:hAnsi="Times New Roman" w:eastAsia="宋体" w:cs="Times New Roman"/>
                <w:szCs w:val="24"/>
                <w:lang w:val="en-US" w:eastAsia="zh-CN"/>
              </w:rPr>
              <w:t>。</w:t>
            </w:r>
          </w:p>
          <w:p w14:paraId="01F0DAED">
            <w:pPr>
              <w:pStyle w:val="10"/>
              <w:keepNext w:val="0"/>
              <w:keepLines w:val="0"/>
              <w:pageBreakBefore w:val="0"/>
              <w:kinsoku/>
              <w:wordWrap/>
              <w:overflowPunct/>
              <w:topLinePunct w:val="0"/>
              <w:autoSpaceDE/>
              <w:autoSpaceDN/>
              <w:bidi w:val="0"/>
              <w:adjustRightInd/>
              <w:spacing w:line="360" w:lineRule="auto"/>
              <w:ind w:firstLine="512" w:firstLineChars="200"/>
              <w:contextualSpacing/>
              <w:jc w:val="left"/>
              <w:textAlignment w:val="auto"/>
              <w:rPr>
                <w:rFonts w:hint="eastAsia" w:ascii="Calibri" w:hAnsi="Calibri" w:cs="Calibri"/>
                <w:sz w:val="24"/>
                <w:szCs w:val="24"/>
                <w:lang w:val="en-US" w:eastAsia="zh-CN"/>
              </w:rPr>
            </w:pPr>
            <w:r>
              <w:rPr>
                <w:rFonts w:ascii="Calibri" w:hAnsi="Calibri" w:cs="Calibri"/>
                <w:sz w:val="24"/>
                <w:szCs w:val="24"/>
              </w:rPr>
              <w:t>运营期主要污染源和治理措施见表</w:t>
            </w:r>
            <w:r>
              <w:rPr>
                <w:rFonts w:hint="eastAsia" w:ascii="Calibri" w:hAnsi="Calibri" w:cs="Calibri"/>
                <w:sz w:val="24"/>
                <w:szCs w:val="24"/>
                <w:lang w:val="en-US" w:eastAsia="zh-CN"/>
              </w:rPr>
              <w:t>2-6。</w:t>
            </w:r>
          </w:p>
          <w:p w14:paraId="0E1663D6">
            <w:pPr>
              <w:pStyle w:val="72"/>
              <w:keepNext w:val="0"/>
              <w:keepLines w:val="0"/>
              <w:pageBreakBefore w:val="0"/>
              <w:widowControl/>
              <w:kinsoku/>
              <w:wordWrap/>
              <w:overflowPunct/>
              <w:topLinePunct w:val="0"/>
              <w:autoSpaceDE/>
              <w:autoSpaceDN/>
              <w:bidi w:val="0"/>
              <w:adjustRightInd/>
              <w:snapToGrid w:val="0"/>
              <w:spacing w:before="0" w:after="0" w:line="240" w:lineRule="auto"/>
              <w:ind w:right="113"/>
              <w:textAlignment w:val="auto"/>
              <w:rPr>
                <w:rFonts w:ascii="Calibri" w:hAnsi="Calibri" w:cs="Calibri"/>
                <w:sz w:val="24"/>
                <w:szCs w:val="24"/>
              </w:rPr>
            </w:pPr>
            <w:r>
              <w:rPr>
                <w:rFonts w:ascii="Calibri" w:hAnsi="Calibri" w:cs="Calibri"/>
                <w:sz w:val="24"/>
                <w:szCs w:val="24"/>
              </w:rPr>
              <w:t>表</w:t>
            </w:r>
            <w:r>
              <w:rPr>
                <w:rFonts w:hint="eastAsia" w:ascii="Calibri" w:hAnsi="Calibri" w:cs="Calibri"/>
                <w:sz w:val="24"/>
                <w:szCs w:val="24"/>
                <w:lang w:val="en-US" w:eastAsia="zh-CN"/>
              </w:rPr>
              <w:t>2-6</w:t>
            </w:r>
            <w:r>
              <w:rPr>
                <w:rFonts w:ascii="Calibri" w:hAnsi="Calibri" w:cs="Calibri"/>
                <w:sz w:val="24"/>
                <w:szCs w:val="24"/>
              </w:rPr>
              <w:t xml:space="preserve">   运营期主要污染源和治理措施一览表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893"/>
              <w:gridCol w:w="1643"/>
              <w:gridCol w:w="1978"/>
              <w:gridCol w:w="1312"/>
            </w:tblGrid>
            <w:tr w14:paraId="43C70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7" w:type="pct"/>
                  <w:vAlign w:val="center"/>
                </w:tcPr>
                <w:p w14:paraId="1EF52B93">
                  <w:pPr>
                    <w:pStyle w:val="56"/>
                    <w:rPr>
                      <w:rFonts w:ascii="Calibri" w:hAnsi="Calibri" w:cs="Calibri"/>
                      <w:sz w:val="21"/>
                      <w:szCs w:val="21"/>
                      <w:lang w:eastAsia="zh-CN"/>
                    </w:rPr>
                  </w:pPr>
                  <w:r>
                    <w:rPr>
                      <w:rFonts w:ascii="Calibri" w:hAnsi="Calibri" w:cs="Calibri"/>
                      <w:sz w:val="21"/>
                      <w:szCs w:val="21"/>
                      <w:lang w:eastAsia="zh-CN"/>
                    </w:rPr>
                    <w:t>类型</w:t>
                  </w:r>
                </w:p>
              </w:tc>
              <w:tc>
                <w:tcPr>
                  <w:tcW w:w="1151" w:type="pct"/>
                  <w:vAlign w:val="center"/>
                </w:tcPr>
                <w:p w14:paraId="1F1E2770">
                  <w:pPr>
                    <w:pStyle w:val="56"/>
                    <w:rPr>
                      <w:rFonts w:ascii="Calibri" w:hAnsi="Calibri" w:cs="Calibri"/>
                      <w:sz w:val="21"/>
                      <w:szCs w:val="21"/>
                      <w:lang w:eastAsia="zh-CN"/>
                    </w:rPr>
                  </w:pPr>
                  <w:r>
                    <w:rPr>
                      <w:rFonts w:ascii="Calibri" w:hAnsi="Calibri" w:cs="Calibri"/>
                      <w:sz w:val="21"/>
                      <w:szCs w:val="21"/>
                      <w:lang w:eastAsia="zh-CN"/>
                    </w:rPr>
                    <w:t>产污染物节点</w:t>
                  </w:r>
                </w:p>
              </w:tc>
              <w:tc>
                <w:tcPr>
                  <w:tcW w:w="999" w:type="pct"/>
                  <w:vAlign w:val="center"/>
                </w:tcPr>
                <w:p w14:paraId="23474E8C">
                  <w:pPr>
                    <w:pStyle w:val="56"/>
                    <w:rPr>
                      <w:rFonts w:ascii="Calibri" w:hAnsi="Calibri" w:cs="Calibri"/>
                      <w:sz w:val="21"/>
                      <w:szCs w:val="21"/>
                      <w:lang w:eastAsia="zh-CN"/>
                    </w:rPr>
                  </w:pPr>
                  <w:r>
                    <w:rPr>
                      <w:rFonts w:ascii="Calibri" w:hAnsi="Calibri" w:cs="Calibri"/>
                      <w:sz w:val="21"/>
                      <w:szCs w:val="21"/>
                      <w:lang w:eastAsia="zh-CN"/>
                    </w:rPr>
                    <w:t>污染物</w:t>
                  </w:r>
                </w:p>
              </w:tc>
              <w:tc>
                <w:tcPr>
                  <w:tcW w:w="1203" w:type="pct"/>
                  <w:vAlign w:val="center"/>
                </w:tcPr>
                <w:p w14:paraId="447C6EA7">
                  <w:pPr>
                    <w:pStyle w:val="56"/>
                    <w:rPr>
                      <w:rFonts w:ascii="Calibri" w:hAnsi="Calibri" w:cs="Calibri"/>
                      <w:sz w:val="21"/>
                      <w:szCs w:val="21"/>
                      <w:lang w:eastAsia="zh-CN"/>
                    </w:rPr>
                  </w:pPr>
                  <w:r>
                    <w:rPr>
                      <w:rFonts w:ascii="Calibri" w:hAnsi="Calibri" w:cs="Calibri"/>
                      <w:sz w:val="21"/>
                      <w:szCs w:val="21"/>
                      <w:lang w:eastAsia="zh-CN"/>
                    </w:rPr>
                    <w:t>措施及去向</w:t>
                  </w:r>
                </w:p>
              </w:tc>
              <w:tc>
                <w:tcPr>
                  <w:tcW w:w="798" w:type="pct"/>
                  <w:vAlign w:val="center"/>
                </w:tcPr>
                <w:p w14:paraId="38AC32C1">
                  <w:pPr>
                    <w:pStyle w:val="56"/>
                    <w:rPr>
                      <w:rFonts w:ascii="Calibri" w:hAnsi="Calibri" w:cs="Calibri"/>
                      <w:sz w:val="21"/>
                      <w:szCs w:val="21"/>
                      <w:lang w:eastAsia="zh-CN"/>
                    </w:rPr>
                  </w:pPr>
                  <w:r>
                    <w:rPr>
                      <w:rFonts w:ascii="Calibri" w:hAnsi="Calibri" w:cs="Calibri"/>
                      <w:sz w:val="21"/>
                      <w:szCs w:val="21"/>
                      <w:lang w:eastAsia="zh-CN"/>
                    </w:rPr>
                    <w:t>备注</w:t>
                  </w:r>
                </w:p>
              </w:tc>
            </w:tr>
            <w:tr w14:paraId="4D77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7" w:type="pct"/>
                  <w:vMerge w:val="restart"/>
                  <w:vAlign w:val="center"/>
                </w:tcPr>
                <w:p w14:paraId="39FF1E6A">
                  <w:pPr>
                    <w:pStyle w:val="56"/>
                    <w:rPr>
                      <w:rFonts w:ascii="Calibri" w:hAnsi="Calibri" w:cs="Calibri"/>
                      <w:sz w:val="21"/>
                      <w:szCs w:val="21"/>
                      <w:lang w:eastAsia="zh-CN"/>
                    </w:rPr>
                  </w:pPr>
                  <w:r>
                    <w:rPr>
                      <w:rFonts w:ascii="Calibri" w:hAnsi="Calibri" w:cs="Calibri"/>
                      <w:sz w:val="21"/>
                      <w:szCs w:val="21"/>
                      <w:lang w:eastAsia="zh-CN"/>
                    </w:rPr>
                    <w:t>废气</w:t>
                  </w:r>
                </w:p>
              </w:tc>
              <w:tc>
                <w:tcPr>
                  <w:tcW w:w="1151" w:type="pct"/>
                  <w:vAlign w:val="center"/>
                </w:tcPr>
                <w:p w14:paraId="6E356B38">
                  <w:pPr>
                    <w:pStyle w:val="56"/>
                    <w:rPr>
                      <w:rFonts w:hint="default" w:ascii="Calibri" w:hAnsi="Calibri" w:cs="Calibri"/>
                      <w:sz w:val="21"/>
                      <w:szCs w:val="21"/>
                      <w:lang w:val="en-US" w:eastAsia="zh-CN"/>
                    </w:rPr>
                  </w:pPr>
                  <w:r>
                    <w:rPr>
                      <w:rFonts w:hint="eastAsia" w:ascii="Calibri" w:hAnsi="Calibri" w:cs="Calibri"/>
                      <w:sz w:val="21"/>
                      <w:szCs w:val="21"/>
                      <w:lang w:val="en-US" w:eastAsia="zh-CN"/>
                    </w:rPr>
                    <w:t>污水处理站、污泥车间</w:t>
                  </w:r>
                </w:p>
              </w:tc>
              <w:tc>
                <w:tcPr>
                  <w:tcW w:w="999" w:type="pct"/>
                  <w:vMerge w:val="restart"/>
                  <w:vAlign w:val="center"/>
                </w:tcPr>
                <w:p w14:paraId="587D4840">
                  <w:pPr>
                    <w:pStyle w:val="56"/>
                    <w:rPr>
                      <w:rFonts w:ascii="Calibri" w:hAnsi="Calibri" w:cs="Calibri"/>
                      <w:sz w:val="21"/>
                      <w:szCs w:val="21"/>
                      <w:lang w:eastAsia="zh-CN"/>
                    </w:rPr>
                  </w:pPr>
                  <w:r>
                    <w:rPr>
                      <w:rFonts w:ascii="Calibri" w:hAnsi="Calibri" w:cs="Calibri"/>
                      <w:sz w:val="21"/>
                      <w:szCs w:val="21"/>
                    </w:rPr>
                    <w:t>NH</w:t>
                  </w:r>
                  <w:r>
                    <w:rPr>
                      <w:rFonts w:ascii="Calibri" w:hAnsi="Calibri" w:cs="Calibri"/>
                      <w:sz w:val="21"/>
                      <w:szCs w:val="21"/>
                      <w:vertAlign w:val="subscript"/>
                    </w:rPr>
                    <w:t>3</w:t>
                  </w:r>
                  <w:r>
                    <w:rPr>
                      <w:rFonts w:ascii="Calibri" w:hAnsi="Calibri" w:cs="Calibri"/>
                      <w:sz w:val="21"/>
                      <w:szCs w:val="21"/>
                    </w:rPr>
                    <w:t>、H</w:t>
                  </w:r>
                  <w:r>
                    <w:rPr>
                      <w:rFonts w:ascii="Calibri" w:hAnsi="Calibri" w:cs="Calibri"/>
                      <w:sz w:val="21"/>
                      <w:szCs w:val="21"/>
                      <w:vertAlign w:val="subscript"/>
                    </w:rPr>
                    <w:t>2</w:t>
                  </w:r>
                  <w:r>
                    <w:rPr>
                      <w:rFonts w:ascii="Calibri" w:hAnsi="Calibri" w:cs="Calibri"/>
                      <w:sz w:val="21"/>
                      <w:szCs w:val="21"/>
                    </w:rPr>
                    <w:t>S、</w:t>
                  </w:r>
                  <w:r>
                    <w:rPr>
                      <w:rFonts w:hint="eastAsia" w:ascii="Calibri" w:hAnsi="Calibri" w:cs="Calibri"/>
                      <w:sz w:val="21"/>
                      <w:szCs w:val="21"/>
                      <w:lang w:val="en-US" w:eastAsia="zh-CN"/>
                    </w:rPr>
                    <w:t>沼气、</w:t>
                  </w:r>
                  <w:r>
                    <w:rPr>
                      <w:rFonts w:ascii="Calibri" w:hAnsi="Calibri" w:cs="Calibri"/>
                      <w:sz w:val="21"/>
                      <w:szCs w:val="21"/>
                    </w:rPr>
                    <w:t>臭气</w:t>
                  </w:r>
                  <w:r>
                    <w:rPr>
                      <w:rFonts w:hint="eastAsia" w:ascii="Calibri" w:hAnsi="Calibri" w:cs="Calibri"/>
                      <w:sz w:val="21"/>
                      <w:szCs w:val="21"/>
                      <w:lang w:val="en-US" w:eastAsia="zh-CN"/>
                    </w:rPr>
                    <w:t>浓度</w:t>
                  </w:r>
                </w:p>
              </w:tc>
              <w:tc>
                <w:tcPr>
                  <w:tcW w:w="1203" w:type="pct"/>
                  <w:vMerge w:val="restart"/>
                  <w:vAlign w:val="center"/>
                </w:tcPr>
                <w:p w14:paraId="5D3EE39E">
                  <w:pPr>
                    <w:pStyle w:val="56"/>
                    <w:rPr>
                      <w:rFonts w:ascii="Calibri" w:hAnsi="Calibri" w:cs="Calibri"/>
                      <w:sz w:val="21"/>
                      <w:szCs w:val="21"/>
                      <w:lang w:eastAsia="zh-CN"/>
                    </w:rPr>
                  </w:pPr>
                  <w:r>
                    <w:rPr>
                      <w:rFonts w:hint="eastAsia" w:ascii="Calibri" w:hAnsi="Calibri" w:cs="Calibri"/>
                      <w:sz w:val="21"/>
                      <w:szCs w:val="21"/>
                      <w:lang w:val="en-US" w:eastAsia="zh-CN"/>
                    </w:rPr>
                    <w:t>池体</w:t>
                  </w:r>
                  <w:r>
                    <w:rPr>
                      <w:rFonts w:ascii="Calibri" w:hAnsi="Calibri" w:cs="Calibri"/>
                      <w:sz w:val="21"/>
                      <w:szCs w:val="21"/>
                      <w:lang w:eastAsia="zh-CN"/>
                    </w:rPr>
                    <w:t>密闭，恶臭采用负压管道收集后进入</w:t>
                  </w:r>
                  <w:r>
                    <w:rPr>
                      <w:rFonts w:hint="eastAsia" w:ascii="Calibri" w:hAnsi="Calibri" w:cs="Calibri"/>
                      <w:sz w:val="21"/>
                      <w:szCs w:val="21"/>
                      <w:lang w:val="en-US" w:eastAsia="zh-CN"/>
                    </w:rPr>
                    <w:t>活性炭吸附</w:t>
                  </w:r>
                  <w:r>
                    <w:rPr>
                      <w:rFonts w:ascii="Calibri" w:hAnsi="Calibri" w:cs="Calibri"/>
                      <w:sz w:val="21"/>
                      <w:szCs w:val="21"/>
                      <w:lang w:eastAsia="zh-CN"/>
                    </w:rPr>
                    <w:t>装置处理后通过15m排气筒（DA001）排放</w:t>
                  </w:r>
                </w:p>
              </w:tc>
              <w:tc>
                <w:tcPr>
                  <w:tcW w:w="798" w:type="pct"/>
                  <w:vMerge w:val="restart"/>
                  <w:vAlign w:val="center"/>
                </w:tcPr>
                <w:p w14:paraId="6DC2621F">
                  <w:pPr>
                    <w:pStyle w:val="56"/>
                    <w:rPr>
                      <w:rFonts w:ascii="Calibri" w:hAnsi="Calibri" w:cs="Calibri"/>
                      <w:sz w:val="21"/>
                      <w:szCs w:val="21"/>
                      <w:lang w:eastAsia="zh-CN"/>
                    </w:rPr>
                  </w:pPr>
                  <w:r>
                    <w:rPr>
                      <w:rFonts w:ascii="Calibri" w:hAnsi="Calibri" w:cs="Calibri"/>
                      <w:sz w:val="21"/>
                      <w:szCs w:val="21"/>
                      <w:lang w:eastAsia="zh-CN"/>
                    </w:rPr>
                    <w:t>/</w:t>
                  </w:r>
                </w:p>
              </w:tc>
            </w:tr>
            <w:tr w14:paraId="5002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847" w:type="pct"/>
                  <w:vMerge w:val="restart"/>
                  <w:vAlign w:val="center"/>
                </w:tcPr>
                <w:p w14:paraId="013B1D8D">
                  <w:pPr>
                    <w:pStyle w:val="56"/>
                    <w:rPr>
                      <w:rFonts w:ascii="Calibri" w:hAnsi="Calibri" w:cs="Calibri"/>
                      <w:sz w:val="21"/>
                      <w:szCs w:val="21"/>
                      <w:lang w:eastAsia="zh-CN"/>
                    </w:rPr>
                  </w:pPr>
                  <w:r>
                    <w:rPr>
                      <w:rFonts w:ascii="Calibri" w:hAnsi="Calibri" w:cs="Calibri"/>
                      <w:sz w:val="21"/>
                      <w:szCs w:val="21"/>
                      <w:lang w:eastAsia="zh-CN"/>
                    </w:rPr>
                    <w:t>废水</w:t>
                  </w:r>
                </w:p>
              </w:tc>
              <w:tc>
                <w:tcPr>
                  <w:tcW w:w="1151" w:type="pct"/>
                  <w:vAlign w:val="center"/>
                </w:tcPr>
                <w:p w14:paraId="66B31D77">
                  <w:pPr>
                    <w:pStyle w:val="56"/>
                    <w:rPr>
                      <w:rFonts w:hint="default" w:ascii="Calibri" w:hAnsi="Calibri" w:cs="Calibri"/>
                      <w:color w:val="auto"/>
                      <w:sz w:val="21"/>
                      <w:szCs w:val="21"/>
                      <w:lang w:val="en-US" w:eastAsia="zh-CN"/>
                    </w:rPr>
                  </w:pPr>
                  <w:r>
                    <w:rPr>
                      <w:rFonts w:hint="eastAsia" w:ascii="Calibri" w:hAnsi="Calibri" w:cs="Calibri"/>
                      <w:color w:val="auto"/>
                      <w:sz w:val="21"/>
                      <w:szCs w:val="21"/>
                      <w:lang w:val="en-US" w:eastAsia="zh-CN"/>
                    </w:rPr>
                    <w:t>生活污水</w:t>
                  </w:r>
                </w:p>
              </w:tc>
              <w:tc>
                <w:tcPr>
                  <w:tcW w:w="999" w:type="pct"/>
                  <w:vMerge w:val="restart"/>
                  <w:vAlign w:val="center"/>
                </w:tcPr>
                <w:p w14:paraId="6F0C058A">
                  <w:pPr>
                    <w:pStyle w:val="56"/>
                    <w:rPr>
                      <w:rFonts w:ascii="Calibri" w:hAnsi="Calibri" w:cs="Calibri"/>
                      <w:color w:val="auto"/>
                      <w:sz w:val="21"/>
                      <w:szCs w:val="21"/>
                      <w:lang w:eastAsia="zh-CN"/>
                    </w:rPr>
                  </w:pPr>
                  <w:r>
                    <w:rPr>
                      <w:rFonts w:hint="eastAsia" w:ascii="Calibri" w:hAnsi="Calibri" w:cs="Calibri"/>
                      <w:color w:val="auto"/>
                      <w:sz w:val="21"/>
                      <w:szCs w:val="21"/>
                      <w:lang w:eastAsia="zh-CN"/>
                    </w:rPr>
                    <w:t>CODcr</w:t>
                  </w:r>
                  <w:r>
                    <w:rPr>
                      <w:rFonts w:ascii="Calibri" w:hAnsi="Calibri" w:cs="Calibri"/>
                      <w:color w:val="auto"/>
                      <w:sz w:val="21"/>
                      <w:szCs w:val="21"/>
                    </w:rPr>
                    <w:t>、BOD</w:t>
                  </w:r>
                  <w:r>
                    <w:rPr>
                      <w:rFonts w:ascii="Calibri" w:hAnsi="Calibri" w:cs="Calibri"/>
                      <w:color w:val="auto"/>
                      <w:sz w:val="21"/>
                      <w:szCs w:val="21"/>
                      <w:vertAlign w:val="subscript"/>
                    </w:rPr>
                    <w:t>5</w:t>
                  </w:r>
                  <w:r>
                    <w:rPr>
                      <w:rFonts w:ascii="Calibri" w:hAnsi="Calibri" w:cs="Calibri"/>
                      <w:color w:val="auto"/>
                      <w:sz w:val="21"/>
                      <w:szCs w:val="21"/>
                    </w:rPr>
                    <w:t>、SS、氨氮、总磷、总氮等</w:t>
                  </w:r>
                </w:p>
              </w:tc>
              <w:tc>
                <w:tcPr>
                  <w:tcW w:w="1203" w:type="pct"/>
                  <w:vMerge w:val="restart"/>
                  <w:vAlign w:val="center"/>
                </w:tcPr>
                <w:p w14:paraId="6907BAB1">
                  <w:pPr>
                    <w:pStyle w:val="56"/>
                    <w:rPr>
                      <w:rFonts w:hint="default" w:ascii="Calibri" w:hAnsi="Calibri" w:eastAsia="宋体" w:cs="Calibri"/>
                      <w:sz w:val="21"/>
                      <w:szCs w:val="21"/>
                      <w:lang w:val="en-US" w:eastAsia="zh-CN"/>
                    </w:rPr>
                  </w:pPr>
                  <w:r>
                    <w:rPr>
                      <w:rFonts w:ascii="Calibri" w:hAnsi="Calibri" w:cs="Calibri"/>
                      <w:sz w:val="21"/>
                      <w:szCs w:val="21"/>
                    </w:rPr>
                    <w:t>进污水处理</w:t>
                  </w:r>
                  <w:r>
                    <w:rPr>
                      <w:rFonts w:hint="eastAsia" w:ascii="Calibri" w:hAnsi="Calibri" w:cs="Calibri"/>
                      <w:sz w:val="21"/>
                      <w:szCs w:val="21"/>
                      <w:lang w:val="en-US" w:eastAsia="zh-CN"/>
                    </w:rPr>
                    <w:t>站处理</w:t>
                  </w:r>
                </w:p>
              </w:tc>
              <w:tc>
                <w:tcPr>
                  <w:tcW w:w="798" w:type="pct"/>
                  <w:vMerge w:val="restart"/>
                  <w:vAlign w:val="center"/>
                </w:tcPr>
                <w:p w14:paraId="7E65A944">
                  <w:pPr>
                    <w:pStyle w:val="56"/>
                    <w:rPr>
                      <w:rFonts w:hint="default" w:ascii="Calibri" w:hAnsi="Calibri" w:cs="Calibri"/>
                      <w:sz w:val="21"/>
                      <w:szCs w:val="21"/>
                      <w:lang w:val="en-US" w:eastAsia="zh-CN"/>
                    </w:rPr>
                  </w:pPr>
                  <w:r>
                    <w:rPr>
                      <w:rFonts w:hint="eastAsia" w:ascii="Calibri" w:hAnsi="Calibri" w:cs="Calibri"/>
                      <w:sz w:val="21"/>
                      <w:szCs w:val="21"/>
                      <w:lang w:val="en-US" w:eastAsia="zh-CN"/>
                    </w:rPr>
                    <w:t>/</w:t>
                  </w:r>
                </w:p>
              </w:tc>
            </w:tr>
            <w:tr w14:paraId="142B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847" w:type="pct"/>
                  <w:vMerge w:val="continue"/>
                  <w:vAlign w:val="center"/>
                </w:tcPr>
                <w:p w14:paraId="4747B307">
                  <w:pPr>
                    <w:pStyle w:val="56"/>
                  </w:pPr>
                </w:p>
              </w:tc>
              <w:tc>
                <w:tcPr>
                  <w:tcW w:w="1151" w:type="pct"/>
                  <w:vAlign w:val="center"/>
                </w:tcPr>
                <w:p w14:paraId="454FB0B7">
                  <w:pPr>
                    <w:pStyle w:val="56"/>
                    <w:rPr>
                      <w:rFonts w:hint="default" w:ascii="Calibri" w:hAnsi="Calibri" w:cs="Calibri"/>
                      <w:sz w:val="21"/>
                      <w:szCs w:val="21"/>
                      <w:lang w:val="en-US" w:eastAsia="zh-CN"/>
                    </w:rPr>
                  </w:pPr>
                  <w:r>
                    <w:rPr>
                      <w:rFonts w:hint="eastAsia" w:ascii="Calibri" w:hAnsi="Calibri" w:cs="Calibri"/>
                      <w:sz w:val="21"/>
                      <w:szCs w:val="21"/>
                      <w:lang w:val="en-US" w:eastAsia="zh-CN"/>
                    </w:rPr>
                    <w:t>设备冲洗废水</w:t>
                  </w:r>
                </w:p>
              </w:tc>
              <w:tc>
                <w:tcPr>
                  <w:tcW w:w="999" w:type="pct"/>
                  <w:vMerge w:val="continue"/>
                  <w:vAlign w:val="center"/>
                </w:tcPr>
                <w:p w14:paraId="229EDF48">
                  <w:pPr>
                    <w:pStyle w:val="56"/>
                    <w:rPr>
                      <w:rFonts w:ascii="Calibri" w:hAnsi="Calibri" w:cs="Calibri"/>
                      <w:sz w:val="21"/>
                      <w:szCs w:val="21"/>
                      <w:lang w:eastAsia="zh-CN"/>
                    </w:rPr>
                  </w:pPr>
                </w:p>
              </w:tc>
              <w:tc>
                <w:tcPr>
                  <w:tcW w:w="1203" w:type="pct"/>
                  <w:vMerge w:val="continue"/>
                  <w:vAlign w:val="center"/>
                </w:tcPr>
                <w:p w14:paraId="123865AF">
                  <w:pPr>
                    <w:pStyle w:val="56"/>
                    <w:rPr>
                      <w:rFonts w:ascii="Calibri" w:hAnsi="Calibri" w:cs="Calibri"/>
                      <w:sz w:val="21"/>
                      <w:szCs w:val="21"/>
                      <w:lang w:eastAsia="zh-CN"/>
                    </w:rPr>
                  </w:pPr>
                </w:p>
              </w:tc>
              <w:tc>
                <w:tcPr>
                  <w:tcW w:w="798" w:type="pct"/>
                  <w:vMerge w:val="continue"/>
                  <w:vAlign w:val="center"/>
                </w:tcPr>
                <w:p w14:paraId="4ED70CDC">
                  <w:pPr>
                    <w:pStyle w:val="56"/>
                    <w:rPr>
                      <w:rFonts w:ascii="Calibri" w:hAnsi="Calibri" w:cs="Calibri"/>
                      <w:sz w:val="21"/>
                      <w:szCs w:val="21"/>
                      <w:lang w:eastAsia="zh-CN"/>
                    </w:rPr>
                  </w:pPr>
                </w:p>
              </w:tc>
            </w:tr>
            <w:tr w14:paraId="1226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847" w:type="pct"/>
                  <w:vAlign w:val="center"/>
                </w:tcPr>
                <w:p w14:paraId="415901C4">
                  <w:pPr>
                    <w:pStyle w:val="56"/>
                    <w:rPr>
                      <w:rFonts w:ascii="Calibri" w:hAnsi="Calibri" w:cs="Calibri"/>
                      <w:sz w:val="21"/>
                      <w:szCs w:val="21"/>
                      <w:lang w:eastAsia="zh-CN"/>
                    </w:rPr>
                  </w:pPr>
                  <w:r>
                    <w:rPr>
                      <w:rFonts w:ascii="Calibri" w:hAnsi="Calibri" w:cs="Calibri"/>
                      <w:sz w:val="21"/>
                      <w:szCs w:val="21"/>
                      <w:lang w:eastAsia="zh-CN"/>
                    </w:rPr>
                    <w:t>噪声</w:t>
                  </w:r>
                </w:p>
              </w:tc>
              <w:tc>
                <w:tcPr>
                  <w:tcW w:w="1151" w:type="pct"/>
                  <w:vAlign w:val="center"/>
                </w:tcPr>
                <w:p w14:paraId="671D7388">
                  <w:pPr>
                    <w:pStyle w:val="56"/>
                    <w:rPr>
                      <w:rFonts w:ascii="Calibri" w:hAnsi="Calibri" w:cs="Calibri"/>
                      <w:sz w:val="21"/>
                      <w:szCs w:val="21"/>
                      <w:lang w:eastAsia="zh-CN"/>
                    </w:rPr>
                  </w:pPr>
                  <w:r>
                    <w:rPr>
                      <w:rFonts w:ascii="Calibri" w:hAnsi="Calibri" w:cs="Calibri"/>
                      <w:sz w:val="21"/>
                      <w:szCs w:val="21"/>
                      <w:lang w:eastAsia="zh-CN"/>
                    </w:rPr>
                    <w:t>各类设备</w:t>
                  </w:r>
                </w:p>
              </w:tc>
              <w:tc>
                <w:tcPr>
                  <w:tcW w:w="999" w:type="pct"/>
                  <w:vAlign w:val="center"/>
                </w:tcPr>
                <w:p w14:paraId="58261A50">
                  <w:pPr>
                    <w:pStyle w:val="56"/>
                    <w:rPr>
                      <w:rFonts w:ascii="Calibri" w:hAnsi="Calibri" w:cs="Calibri"/>
                      <w:sz w:val="21"/>
                      <w:szCs w:val="21"/>
                      <w:lang w:eastAsia="zh-CN"/>
                    </w:rPr>
                  </w:pPr>
                  <w:r>
                    <w:rPr>
                      <w:rFonts w:ascii="Calibri" w:hAnsi="Calibri" w:cs="Calibri"/>
                      <w:sz w:val="21"/>
                      <w:szCs w:val="21"/>
                      <w:lang w:eastAsia="zh-CN"/>
                    </w:rPr>
                    <w:t>等效连续A声级</w:t>
                  </w:r>
                </w:p>
              </w:tc>
              <w:tc>
                <w:tcPr>
                  <w:tcW w:w="1203" w:type="pct"/>
                  <w:vAlign w:val="center"/>
                </w:tcPr>
                <w:p w14:paraId="7170F249">
                  <w:pPr>
                    <w:pStyle w:val="56"/>
                    <w:rPr>
                      <w:rFonts w:ascii="Calibri" w:hAnsi="Calibri" w:cs="Calibri"/>
                      <w:sz w:val="21"/>
                      <w:szCs w:val="21"/>
                      <w:lang w:eastAsia="zh-CN"/>
                    </w:rPr>
                  </w:pPr>
                  <w:r>
                    <w:rPr>
                      <w:rFonts w:ascii="Calibri" w:hAnsi="Calibri" w:cs="Calibri"/>
                      <w:sz w:val="21"/>
                      <w:szCs w:val="21"/>
                      <w:lang w:eastAsia="zh-CN"/>
                    </w:rPr>
                    <w:t>采用低噪声设备，隔声，基础减振</w:t>
                  </w:r>
                </w:p>
              </w:tc>
              <w:tc>
                <w:tcPr>
                  <w:tcW w:w="798" w:type="pct"/>
                  <w:vAlign w:val="center"/>
                </w:tcPr>
                <w:p w14:paraId="7960051E">
                  <w:pPr>
                    <w:pStyle w:val="56"/>
                    <w:rPr>
                      <w:rFonts w:ascii="Calibri" w:hAnsi="Calibri" w:cs="Calibri"/>
                      <w:sz w:val="21"/>
                      <w:szCs w:val="21"/>
                      <w:lang w:eastAsia="zh-CN"/>
                    </w:rPr>
                  </w:pPr>
                  <w:r>
                    <w:rPr>
                      <w:rFonts w:ascii="Calibri" w:hAnsi="Calibri" w:cs="Calibri"/>
                      <w:sz w:val="21"/>
                      <w:szCs w:val="21"/>
                      <w:lang w:eastAsia="zh-CN"/>
                    </w:rPr>
                    <w:t>/</w:t>
                  </w:r>
                </w:p>
              </w:tc>
            </w:tr>
            <w:tr w14:paraId="5C62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restart"/>
                  <w:vAlign w:val="center"/>
                </w:tcPr>
                <w:p w14:paraId="6CD5F51A">
                  <w:pPr>
                    <w:pStyle w:val="56"/>
                    <w:rPr>
                      <w:rFonts w:ascii="Calibri" w:hAnsi="Calibri" w:cs="Calibri"/>
                      <w:sz w:val="21"/>
                      <w:szCs w:val="21"/>
                      <w:lang w:eastAsia="zh-CN"/>
                    </w:rPr>
                  </w:pPr>
                  <w:r>
                    <w:rPr>
                      <w:rFonts w:ascii="Calibri" w:hAnsi="Calibri" w:cs="Calibri"/>
                      <w:sz w:val="21"/>
                      <w:szCs w:val="21"/>
                      <w:lang w:eastAsia="zh-CN"/>
                    </w:rPr>
                    <w:t>固废</w:t>
                  </w:r>
                </w:p>
              </w:tc>
              <w:tc>
                <w:tcPr>
                  <w:tcW w:w="1151" w:type="pct"/>
                  <w:vAlign w:val="center"/>
                </w:tcPr>
                <w:p w14:paraId="57F927E2">
                  <w:pPr>
                    <w:pStyle w:val="56"/>
                    <w:rPr>
                      <w:rFonts w:ascii="Calibri" w:hAnsi="Calibri" w:cs="Calibri"/>
                      <w:sz w:val="21"/>
                      <w:szCs w:val="21"/>
                      <w:lang w:eastAsia="zh-CN"/>
                    </w:rPr>
                  </w:pPr>
                  <w:r>
                    <w:rPr>
                      <w:rFonts w:hint="eastAsia" w:ascii="Calibri" w:hAnsi="Calibri" w:cs="Calibri"/>
                      <w:sz w:val="21"/>
                      <w:szCs w:val="21"/>
                      <w:lang w:val="en-US" w:eastAsia="zh-CN"/>
                    </w:rPr>
                    <w:t>格栅</w:t>
                  </w:r>
                </w:p>
              </w:tc>
              <w:tc>
                <w:tcPr>
                  <w:tcW w:w="999" w:type="pct"/>
                  <w:vAlign w:val="center"/>
                </w:tcPr>
                <w:p w14:paraId="6D35F519">
                  <w:pPr>
                    <w:pStyle w:val="56"/>
                    <w:rPr>
                      <w:rFonts w:ascii="Calibri" w:hAnsi="Calibri" w:cs="Calibri"/>
                      <w:sz w:val="21"/>
                      <w:szCs w:val="21"/>
                      <w:lang w:eastAsia="zh-CN"/>
                    </w:rPr>
                  </w:pPr>
                  <w:r>
                    <w:rPr>
                      <w:rFonts w:ascii="Calibri" w:hAnsi="Calibri" w:cs="Calibri"/>
                      <w:sz w:val="21"/>
                      <w:szCs w:val="21"/>
                      <w:lang w:eastAsia="zh-CN"/>
                    </w:rPr>
                    <w:t>栅渣</w:t>
                  </w:r>
                </w:p>
              </w:tc>
              <w:tc>
                <w:tcPr>
                  <w:tcW w:w="1203" w:type="pct"/>
                  <w:vAlign w:val="center"/>
                </w:tcPr>
                <w:p w14:paraId="0951376C">
                  <w:pPr>
                    <w:pStyle w:val="56"/>
                    <w:rPr>
                      <w:rFonts w:hint="default" w:ascii="Calibri" w:hAnsi="Calibri" w:cs="Calibri"/>
                      <w:sz w:val="21"/>
                      <w:szCs w:val="21"/>
                      <w:lang w:val="en-US" w:eastAsia="zh-CN"/>
                    </w:rPr>
                  </w:pPr>
                  <w:r>
                    <w:rPr>
                      <w:rFonts w:hint="eastAsia" w:ascii="Calibri" w:hAnsi="Calibri" w:cs="Calibri"/>
                      <w:sz w:val="21"/>
                      <w:szCs w:val="21"/>
                      <w:lang w:val="en-US" w:eastAsia="zh-CN"/>
                    </w:rPr>
                    <w:t>送往生活垃圾填埋场填埋</w:t>
                  </w:r>
                </w:p>
              </w:tc>
              <w:tc>
                <w:tcPr>
                  <w:tcW w:w="798" w:type="pct"/>
                  <w:vAlign w:val="center"/>
                </w:tcPr>
                <w:p w14:paraId="11922DD4">
                  <w:pPr>
                    <w:pStyle w:val="56"/>
                    <w:rPr>
                      <w:rFonts w:ascii="Calibri" w:hAnsi="Calibri" w:cs="Calibri"/>
                      <w:sz w:val="21"/>
                      <w:szCs w:val="21"/>
                      <w:lang w:eastAsia="zh-CN"/>
                    </w:rPr>
                  </w:pPr>
                  <w:r>
                    <w:rPr>
                      <w:rFonts w:ascii="Calibri" w:hAnsi="Calibri" w:cs="Calibri"/>
                      <w:sz w:val="21"/>
                      <w:szCs w:val="21"/>
                      <w:lang w:eastAsia="zh-CN"/>
                    </w:rPr>
                    <w:t>一般固废</w:t>
                  </w:r>
                </w:p>
              </w:tc>
            </w:tr>
            <w:tr w14:paraId="2B0AA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6C84CED9">
                  <w:pPr>
                    <w:pStyle w:val="56"/>
                    <w:rPr>
                      <w:rFonts w:ascii="Calibri" w:hAnsi="Calibri" w:cs="Calibri"/>
                      <w:sz w:val="21"/>
                      <w:szCs w:val="21"/>
                      <w:lang w:eastAsia="zh-CN"/>
                    </w:rPr>
                  </w:pPr>
                </w:p>
              </w:tc>
              <w:tc>
                <w:tcPr>
                  <w:tcW w:w="1151" w:type="pct"/>
                  <w:vAlign w:val="center"/>
                </w:tcPr>
                <w:p w14:paraId="37621BB5">
                  <w:pPr>
                    <w:pStyle w:val="56"/>
                    <w:rPr>
                      <w:rFonts w:hint="default" w:ascii="Calibri" w:hAnsi="Calibri" w:cs="Calibri"/>
                      <w:sz w:val="21"/>
                      <w:szCs w:val="21"/>
                      <w:lang w:val="en-US" w:eastAsia="zh-CN"/>
                    </w:rPr>
                  </w:pPr>
                  <w:r>
                    <w:rPr>
                      <w:rFonts w:hint="eastAsia" w:ascii="Calibri" w:hAnsi="Calibri" w:cs="Calibri"/>
                      <w:sz w:val="21"/>
                      <w:szCs w:val="21"/>
                      <w:lang w:val="en-US" w:eastAsia="zh-CN"/>
                    </w:rPr>
                    <w:t>隔油沉淀池、气浮机</w:t>
                  </w:r>
                </w:p>
              </w:tc>
              <w:tc>
                <w:tcPr>
                  <w:tcW w:w="999" w:type="pct"/>
                  <w:vAlign w:val="center"/>
                </w:tcPr>
                <w:p w14:paraId="22B9EECB">
                  <w:pPr>
                    <w:pStyle w:val="56"/>
                    <w:rPr>
                      <w:rFonts w:ascii="Calibri" w:hAnsi="Calibri" w:cs="Calibri"/>
                      <w:sz w:val="21"/>
                      <w:szCs w:val="21"/>
                      <w:lang w:eastAsia="zh-CN"/>
                    </w:rPr>
                  </w:pPr>
                  <w:r>
                    <w:rPr>
                      <w:rFonts w:hint="eastAsia" w:ascii="Calibri" w:hAnsi="Calibri" w:cs="Calibri"/>
                      <w:sz w:val="21"/>
                      <w:szCs w:val="21"/>
                      <w:lang w:val="en-US" w:eastAsia="zh-CN"/>
                    </w:rPr>
                    <w:t>浮油、浮渣</w:t>
                  </w:r>
                </w:p>
              </w:tc>
              <w:tc>
                <w:tcPr>
                  <w:tcW w:w="1203" w:type="pct"/>
                  <w:vAlign w:val="center"/>
                </w:tcPr>
                <w:p w14:paraId="1D0E43ED">
                  <w:pPr>
                    <w:pStyle w:val="56"/>
                    <w:rPr>
                      <w:rFonts w:hint="default" w:ascii="Calibri" w:hAnsi="Calibri" w:cs="Calibri"/>
                      <w:sz w:val="21"/>
                      <w:szCs w:val="21"/>
                      <w:lang w:val="en-US" w:eastAsia="zh-CN"/>
                    </w:rPr>
                  </w:pPr>
                  <w:r>
                    <w:rPr>
                      <w:rFonts w:hint="default" w:ascii="Calibri" w:hAnsi="Calibri" w:cs="Calibri"/>
                      <w:sz w:val="21"/>
                      <w:szCs w:val="21"/>
                      <w:lang w:val="en-US" w:eastAsia="zh-CN"/>
                    </w:rPr>
                    <w:t>垃圾填埋场进行卫生填埋处置</w:t>
                  </w:r>
                </w:p>
              </w:tc>
              <w:tc>
                <w:tcPr>
                  <w:tcW w:w="798" w:type="pct"/>
                  <w:vAlign w:val="center"/>
                </w:tcPr>
                <w:p w14:paraId="1F8B7C89">
                  <w:pPr>
                    <w:pStyle w:val="56"/>
                    <w:rPr>
                      <w:rFonts w:ascii="Calibri" w:hAnsi="Calibri" w:cs="Calibri"/>
                      <w:sz w:val="21"/>
                      <w:szCs w:val="21"/>
                      <w:lang w:eastAsia="zh-CN"/>
                    </w:rPr>
                  </w:pPr>
                  <w:r>
                    <w:rPr>
                      <w:rFonts w:ascii="Calibri" w:hAnsi="Calibri" w:cs="Calibri"/>
                      <w:sz w:val="21"/>
                      <w:szCs w:val="21"/>
                      <w:lang w:eastAsia="zh-CN"/>
                    </w:rPr>
                    <w:t>一般固废</w:t>
                  </w:r>
                </w:p>
              </w:tc>
            </w:tr>
            <w:tr w14:paraId="549F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6C84793F">
                  <w:pPr>
                    <w:pStyle w:val="56"/>
                    <w:rPr>
                      <w:rFonts w:ascii="Calibri" w:hAnsi="Calibri" w:cs="Calibri"/>
                      <w:sz w:val="21"/>
                      <w:szCs w:val="21"/>
                      <w:lang w:eastAsia="zh-CN"/>
                    </w:rPr>
                  </w:pPr>
                </w:p>
              </w:tc>
              <w:tc>
                <w:tcPr>
                  <w:tcW w:w="1151" w:type="pct"/>
                  <w:vAlign w:val="center"/>
                </w:tcPr>
                <w:p w14:paraId="27B77B76">
                  <w:pPr>
                    <w:pStyle w:val="56"/>
                    <w:rPr>
                      <w:rFonts w:hint="default" w:ascii="Calibri" w:hAnsi="Calibri" w:cs="Calibri"/>
                      <w:sz w:val="21"/>
                      <w:szCs w:val="21"/>
                      <w:lang w:val="en-US" w:eastAsia="zh-CN"/>
                    </w:rPr>
                  </w:pPr>
                  <w:r>
                    <w:rPr>
                      <w:rFonts w:hint="eastAsia" w:ascii="Calibri" w:hAnsi="Calibri" w:cs="Calibri"/>
                      <w:sz w:val="21"/>
                      <w:szCs w:val="21"/>
                      <w:lang w:val="en-US" w:eastAsia="zh-CN"/>
                    </w:rPr>
                    <w:t>污水处理站</w:t>
                  </w:r>
                </w:p>
              </w:tc>
              <w:tc>
                <w:tcPr>
                  <w:tcW w:w="999" w:type="pct"/>
                  <w:vAlign w:val="center"/>
                </w:tcPr>
                <w:p w14:paraId="50B48BB1">
                  <w:pPr>
                    <w:pStyle w:val="56"/>
                    <w:rPr>
                      <w:rFonts w:hint="default" w:ascii="Calibri" w:hAnsi="Calibri" w:cs="Calibri"/>
                      <w:sz w:val="21"/>
                      <w:szCs w:val="21"/>
                      <w:lang w:val="en-US" w:eastAsia="zh-CN"/>
                    </w:rPr>
                  </w:pPr>
                  <w:r>
                    <w:rPr>
                      <w:rFonts w:hint="eastAsia" w:ascii="Calibri" w:hAnsi="Calibri" w:cs="Calibri"/>
                      <w:sz w:val="21"/>
                      <w:szCs w:val="21"/>
                      <w:lang w:val="en-US" w:eastAsia="zh-CN"/>
                    </w:rPr>
                    <w:t>污泥</w:t>
                  </w:r>
                </w:p>
              </w:tc>
              <w:tc>
                <w:tcPr>
                  <w:tcW w:w="1203" w:type="pct"/>
                  <w:vAlign w:val="center"/>
                </w:tcPr>
                <w:p w14:paraId="66FA009B">
                  <w:pPr>
                    <w:pStyle w:val="56"/>
                    <w:rPr>
                      <w:rFonts w:hint="default" w:ascii="Calibri" w:hAnsi="Calibri" w:cs="Calibri"/>
                      <w:sz w:val="21"/>
                      <w:szCs w:val="21"/>
                      <w:lang w:val="en-US" w:eastAsia="zh-CN"/>
                    </w:rPr>
                  </w:pPr>
                  <w:r>
                    <w:rPr>
                      <w:rFonts w:hint="default" w:ascii="Calibri" w:hAnsi="Calibri" w:cs="Calibri"/>
                      <w:sz w:val="21"/>
                      <w:szCs w:val="21"/>
                      <w:lang w:val="en-US" w:eastAsia="zh-CN"/>
                    </w:rPr>
                    <w:t>污泥脱水含水率达到60%以下，并开展固废危险性鉴别，若属于危险废物应交由具有危废处理资质的单位处置，若不属于危险固废的，需满足填埋场入场要求后，送至生活垃圾填埋场填埋处置</w:t>
                  </w:r>
                </w:p>
              </w:tc>
              <w:tc>
                <w:tcPr>
                  <w:tcW w:w="798" w:type="pct"/>
                  <w:vAlign w:val="center"/>
                </w:tcPr>
                <w:p w14:paraId="6ABC3552">
                  <w:pPr>
                    <w:pStyle w:val="56"/>
                    <w:rPr>
                      <w:rFonts w:ascii="Calibri" w:hAnsi="Calibri" w:cs="Calibri"/>
                      <w:sz w:val="21"/>
                      <w:szCs w:val="21"/>
                      <w:lang w:eastAsia="zh-CN"/>
                    </w:rPr>
                  </w:pPr>
                  <w:r>
                    <w:rPr>
                      <w:rFonts w:hint="eastAsia" w:ascii="Calibri" w:hAnsi="Calibri" w:cs="Calibri"/>
                      <w:sz w:val="21"/>
                      <w:szCs w:val="21"/>
                      <w:lang w:eastAsia="zh-CN"/>
                    </w:rPr>
                    <w:t>开展固废危险性鉴别</w:t>
                  </w:r>
                </w:p>
              </w:tc>
            </w:tr>
            <w:tr w14:paraId="58DB9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43FFEF95">
                  <w:pPr>
                    <w:pStyle w:val="56"/>
                    <w:rPr>
                      <w:rFonts w:ascii="Calibri" w:hAnsi="Calibri" w:cs="Calibri"/>
                      <w:sz w:val="21"/>
                      <w:szCs w:val="21"/>
                      <w:lang w:eastAsia="zh-CN"/>
                    </w:rPr>
                  </w:pPr>
                </w:p>
              </w:tc>
              <w:tc>
                <w:tcPr>
                  <w:tcW w:w="1151" w:type="pct"/>
                  <w:vAlign w:val="center"/>
                </w:tcPr>
                <w:p w14:paraId="3A75CC70">
                  <w:pPr>
                    <w:pStyle w:val="56"/>
                    <w:rPr>
                      <w:rFonts w:hint="default" w:ascii="Calibri" w:hAnsi="Calibri" w:cs="Calibri"/>
                      <w:sz w:val="21"/>
                      <w:szCs w:val="21"/>
                      <w:lang w:val="en-US" w:eastAsia="zh-CN"/>
                    </w:rPr>
                  </w:pPr>
                  <w:r>
                    <w:rPr>
                      <w:rFonts w:hint="eastAsia"/>
                      <w:szCs w:val="24"/>
                      <w:lang w:val="en-US" w:eastAsia="zh-CN"/>
                    </w:rPr>
                    <w:t>活性炭过滤罐、活性炭吸附装置</w:t>
                  </w:r>
                </w:p>
              </w:tc>
              <w:tc>
                <w:tcPr>
                  <w:tcW w:w="999" w:type="pct"/>
                  <w:vAlign w:val="center"/>
                </w:tcPr>
                <w:p w14:paraId="4B623F32">
                  <w:pPr>
                    <w:pStyle w:val="56"/>
                    <w:rPr>
                      <w:rFonts w:hint="default" w:ascii="Calibri" w:hAnsi="Calibri" w:cs="Calibri"/>
                      <w:sz w:val="21"/>
                      <w:szCs w:val="21"/>
                      <w:lang w:val="en-US" w:eastAsia="zh-CN"/>
                    </w:rPr>
                  </w:pPr>
                  <w:r>
                    <w:rPr>
                      <w:rFonts w:hint="eastAsia" w:ascii="Calibri" w:hAnsi="Calibri" w:cs="Calibri"/>
                      <w:sz w:val="21"/>
                      <w:szCs w:val="21"/>
                      <w:lang w:val="en-US" w:eastAsia="zh-CN"/>
                    </w:rPr>
                    <w:t>废活性炭</w:t>
                  </w:r>
                </w:p>
              </w:tc>
              <w:tc>
                <w:tcPr>
                  <w:tcW w:w="1203" w:type="pct"/>
                  <w:vAlign w:val="center"/>
                </w:tcPr>
                <w:p w14:paraId="47C4D52F">
                  <w:pPr>
                    <w:pStyle w:val="56"/>
                    <w:rPr>
                      <w:rFonts w:hint="default" w:ascii="Calibri" w:hAnsi="Calibri" w:cs="Calibri"/>
                      <w:sz w:val="21"/>
                      <w:szCs w:val="21"/>
                      <w:lang w:val="en-US" w:eastAsia="zh-CN"/>
                    </w:rPr>
                  </w:pPr>
                  <w:r>
                    <w:rPr>
                      <w:rFonts w:hint="eastAsia" w:ascii="Calibri" w:hAnsi="Calibri" w:cs="Calibri"/>
                      <w:sz w:val="21"/>
                      <w:szCs w:val="21"/>
                      <w:lang w:val="en-US" w:eastAsia="zh-CN"/>
                    </w:rPr>
                    <w:t>厂家回收处理</w:t>
                  </w:r>
                </w:p>
              </w:tc>
              <w:tc>
                <w:tcPr>
                  <w:tcW w:w="798" w:type="pct"/>
                  <w:vAlign w:val="center"/>
                </w:tcPr>
                <w:p w14:paraId="6096F121">
                  <w:pPr>
                    <w:pStyle w:val="56"/>
                    <w:rPr>
                      <w:rFonts w:hint="default" w:ascii="Calibri" w:hAnsi="Calibri" w:cs="Calibri"/>
                      <w:sz w:val="21"/>
                      <w:szCs w:val="21"/>
                      <w:lang w:val="en-US" w:eastAsia="zh-CN"/>
                    </w:rPr>
                  </w:pPr>
                  <w:r>
                    <w:rPr>
                      <w:rFonts w:hint="eastAsia" w:ascii="Calibri" w:hAnsi="Calibri" w:cs="Calibri"/>
                      <w:sz w:val="21"/>
                      <w:szCs w:val="21"/>
                      <w:lang w:val="en-US" w:eastAsia="zh-CN"/>
                    </w:rPr>
                    <w:t>一般固废</w:t>
                  </w:r>
                </w:p>
              </w:tc>
            </w:tr>
            <w:tr w14:paraId="7187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60D0148F">
                  <w:pPr>
                    <w:pStyle w:val="56"/>
                    <w:rPr>
                      <w:rFonts w:ascii="Calibri" w:hAnsi="Calibri" w:cs="Calibri"/>
                      <w:sz w:val="21"/>
                      <w:szCs w:val="21"/>
                      <w:lang w:eastAsia="zh-CN"/>
                    </w:rPr>
                  </w:pPr>
                </w:p>
              </w:tc>
              <w:tc>
                <w:tcPr>
                  <w:tcW w:w="1151" w:type="pct"/>
                  <w:vAlign w:val="center"/>
                </w:tcPr>
                <w:p w14:paraId="3BD4C6FC">
                  <w:pPr>
                    <w:pStyle w:val="56"/>
                    <w:rPr>
                      <w:rFonts w:ascii="Calibri" w:hAnsi="Calibri" w:cs="Calibri"/>
                      <w:sz w:val="21"/>
                      <w:szCs w:val="21"/>
                      <w:lang w:eastAsia="zh-CN"/>
                    </w:rPr>
                  </w:pPr>
                  <w:r>
                    <w:rPr>
                      <w:rFonts w:ascii="Calibri" w:hAnsi="Calibri" w:cs="Calibri"/>
                      <w:sz w:val="21"/>
                      <w:szCs w:val="21"/>
                      <w:lang w:eastAsia="zh-CN"/>
                    </w:rPr>
                    <w:t>药剂包装袋</w:t>
                  </w:r>
                </w:p>
              </w:tc>
              <w:tc>
                <w:tcPr>
                  <w:tcW w:w="999" w:type="pct"/>
                  <w:vAlign w:val="center"/>
                </w:tcPr>
                <w:p w14:paraId="040DD2DC">
                  <w:pPr>
                    <w:pStyle w:val="56"/>
                    <w:rPr>
                      <w:rFonts w:ascii="Calibri" w:hAnsi="Calibri" w:cs="Calibri"/>
                      <w:sz w:val="21"/>
                      <w:szCs w:val="21"/>
                      <w:lang w:eastAsia="zh-CN"/>
                    </w:rPr>
                  </w:pPr>
                  <w:r>
                    <w:rPr>
                      <w:rFonts w:ascii="Calibri" w:hAnsi="Calibri" w:cs="Calibri"/>
                      <w:sz w:val="21"/>
                      <w:szCs w:val="21"/>
                      <w:lang w:eastAsia="zh-CN"/>
                    </w:rPr>
                    <w:t>废包装材料</w:t>
                  </w:r>
                </w:p>
              </w:tc>
              <w:tc>
                <w:tcPr>
                  <w:tcW w:w="1203" w:type="pct"/>
                  <w:vAlign w:val="center"/>
                </w:tcPr>
                <w:p w14:paraId="6643AE24">
                  <w:pPr>
                    <w:pStyle w:val="56"/>
                    <w:rPr>
                      <w:rFonts w:ascii="Calibri" w:hAnsi="Calibri" w:cs="Calibri"/>
                      <w:sz w:val="21"/>
                      <w:szCs w:val="21"/>
                      <w:lang w:eastAsia="zh-CN"/>
                    </w:rPr>
                  </w:pPr>
                  <w:r>
                    <w:rPr>
                      <w:rFonts w:ascii="Calibri" w:hAnsi="Calibri" w:cs="Calibri"/>
                      <w:sz w:val="21"/>
                      <w:szCs w:val="21"/>
                      <w:lang w:eastAsia="zh-CN"/>
                    </w:rPr>
                    <w:t>外售给废品回收单位</w:t>
                  </w:r>
                </w:p>
              </w:tc>
              <w:tc>
                <w:tcPr>
                  <w:tcW w:w="798" w:type="pct"/>
                  <w:vAlign w:val="center"/>
                </w:tcPr>
                <w:p w14:paraId="14C59DAD">
                  <w:pPr>
                    <w:pStyle w:val="56"/>
                    <w:rPr>
                      <w:rFonts w:ascii="Calibri" w:hAnsi="Calibri" w:cs="Calibri"/>
                      <w:sz w:val="21"/>
                      <w:szCs w:val="21"/>
                      <w:lang w:eastAsia="zh-CN"/>
                    </w:rPr>
                  </w:pPr>
                  <w:r>
                    <w:rPr>
                      <w:rFonts w:ascii="Calibri" w:hAnsi="Calibri" w:cs="Calibri"/>
                      <w:sz w:val="21"/>
                      <w:szCs w:val="21"/>
                      <w:lang w:eastAsia="zh-CN"/>
                    </w:rPr>
                    <w:t>一般固废</w:t>
                  </w:r>
                </w:p>
              </w:tc>
            </w:tr>
            <w:tr w14:paraId="01A1E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66EB0043">
                  <w:pPr>
                    <w:pStyle w:val="56"/>
                    <w:rPr>
                      <w:rFonts w:ascii="Calibri" w:hAnsi="Calibri" w:cs="Calibri"/>
                      <w:sz w:val="21"/>
                      <w:szCs w:val="21"/>
                      <w:lang w:eastAsia="zh-CN"/>
                    </w:rPr>
                  </w:pPr>
                </w:p>
              </w:tc>
              <w:tc>
                <w:tcPr>
                  <w:tcW w:w="1151" w:type="pct"/>
                  <w:vAlign w:val="center"/>
                </w:tcPr>
                <w:p w14:paraId="44935A47">
                  <w:pPr>
                    <w:pStyle w:val="56"/>
                    <w:rPr>
                      <w:rFonts w:hint="default" w:ascii="Calibri" w:hAnsi="Calibri" w:cs="Calibri"/>
                      <w:sz w:val="21"/>
                      <w:szCs w:val="21"/>
                      <w:lang w:val="en-US" w:eastAsia="zh-CN"/>
                    </w:rPr>
                  </w:pPr>
                  <w:r>
                    <w:rPr>
                      <w:rFonts w:hint="eastAsia" w:ascii="Calibri" w:hAnsi="Calibri" w:cs="Calibri"/>
                      <w:sz w:val="21"/>
                      <w:szCs w:val="21"/>
                      <w:lang w:val="en-US" w:eastAsia="zh-CN"/>
                    </w:rPr>
                    <w:t>药剂包装桶</w:t>
                  </w:r>
                </w:p>
              </w:tc>
              <w:tc>
                <w:tcPr>
                  <w:tcW w:w="999" w:type="pct"/>
                  <w:vAlign w:val="center"/>
                </w:tcPr>
                <w:p w14:paraId="784C10C6">
                  <w:pPr>
                    <w:pStyle w:val="56"/>
                    <w:rPr>
                      <w:rFonts w:hint="default" w:ascii="Calibri" w:hAnsi="Calibri" w:cs="Calibri"/>
                      <w:sz w:val="21"/>
                      <w:szCs w:val="21"/>
                      <w:lang w:val="en-US" w:eastAsia="zh-CN"/>
                    </w:rPr>
                  </w:pPr>
                  <w:r>
                    <w:rPr>
                      <w:rFonts w:hint="eastAsia" w:ascii="Calibri" w:hAnsi="Calibri" w:cs="Calibri"/>
                      <w:sz w:val="21"/>
                      <w:szCs w:val="21"/>
                      <w:lang w:val="en-US" w:eastAsia="zh-CN"/>
                    </w:rPr>
                    <w:t>废包装桶</w:t>
                  </w:r>
                </w:p>
              </w:tc>
              <w:tc>
                <w:tcPr>
                  <w:tcW w:w="1203" w:type="pct"/>
                  <w:vMerge w:val="restart"/>
                  <w:vAlign w:val="center"/>
                </w:tcPr>
                <w:p w14:paraId="74BD0834">
                  <w:pPr>
                    <w:pStyle w:val="56"/>
                    <w:rPr>
                      <w:rFonts w:ascii="Calibri" w:hAnsi="Calibri" w:cs="Calibri"/>
                      <w:sz w:val="21"/>
                      <w:szCs w:val="21"/>
                      <w:lang w:eastAsia="zh-CN"/>
                    </w:rPr>
                  </w:pPr>
                  <w:r>
                    <w:rPr>
                      <w:rFonts w:hint="eastAsia" w:ascii="Calibri" w:hAnsi="Calibri" w:cs="Calibri"/>
                      <w:sz w:val="21"/>
                      <w:szCs w:val="21"/>
                      <w:lang w:val="en-US" w:eastAsia="zh-CN"/>
                    </w:rPr>
                    <w:t>危险废物贮存库暂存</w:t>
                  </w:r>
                  <w:r>
                    <w:rPr>
                      <w:rFonts w:ascii="Calibri" w:hAnsi="Calibri" w:cs="Calibri"/>
                      <w:sz w:val="21"/>
                      <w:szCs w:val="21"/>
                      <w:lang w:eastAsia="zh-CN"/>
                    </w:rPr>
                    <w:t>，定期</w:t>
                  </w:r>
                  <w:r>
                    <w:rPr>
                      <w:rFonts w:hint="eastAsia" w:ascii="Calibri" w:hAnsi="Calibri" w:cs="Calibri"/>
                      <w:sz w:val="21"/>
                      <w:szCs w:val="21"/>
                      <w:lang w:eastAsia="zh-CN"/>
                    </w:rPr>
                    <w:t>交由</w:t>
                  </w:r>
                  <w:r>
                    <w:rPr>
                      <w:rFonts w:ascii="Calibri" w:hAnsi="Calibri" w:cs="Calibri"/>
                      <w:sz w:val="21"/>
                      <w:szCs w:val="21"/>
                      <w:lang w:eastAsia="zh-CN"/>
                    </w:rPr>
                    <w:t>资质单位处置</w:t>
                  </w:r>
                </w:p>
              </w:tc>
              <w:tc>
                <w:tcPr>
                  <w:tcW w:w="798" w:type="pct"/>
                  <w:vMerge w:val="restart"/>
                  <w:vAlign w:val="center"/>
                </w:tcPr>
                <w:p w14:paraId="4E8A72BA">
                  <w:pPr>
                    <w:pStyle w:val="56"/>
                    <w:rPr>
                      <w:rFonts w:hint="default" w:ascii="Calibri" w:hAnsi="Calibri" w:cs="Calibri"/>
                      <w:sz w:val="21"/>
                      <w:szCs w:val="21"/>
                      <w:lang w:val="en-US" w:eastAsia="zh-CN"/>
                    </w:rPr>
                  </w:pPr>
                  <w:r>
                    <w:rPr>
                      <w:rFonts w:hint="eastAsia" w:ascii="Calibri" w:hAnsi="Calibri" w:cs="Calibri"/>
                      <w:sz w:val="21"/>
                      <w:szCs w:val="21"/>
                      <w:lang w:val="en-US" w:eastAsia="zh-CN"/>
                    </w:rPr>
                    <w:t>危险废物</w:t>
                  </w:r>
                </w:p>
              </w:tc>
            </w:tr>
            <w:tr w14:paraId="54C1C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43188CB2">
                  <w:pPr>
                    <w:pStyle w:val="56"/>
                    <w:rPr>
                      <w:rFonts w:ascii="Calibri" w:hAnsi="Calibri" w:cs="Calibri"/>
                      <w:sz w:val="21"/>
                      <w:szCs w:val="21"/>
                      <w:lang w:eastAsia="zh-CN"/>
                    </w:rPr>
                  </w:pPr>
                </w:p>
              </w:tc>
              <w:tc>
                <w:tcPr>
                  <w:tcW w:w="1151" w:type="pct"/>
                  <w:vAlign w:val="center"/>
                </w:tcPr>
                <w:p w14:paraId="5ABC11C4">
                  <w:pPr>
                    <w:pStyle w:val="56"/>
                    <w:ind w:firstLine="0" w:firstLineChars="0"/>
                    <w:rPr>
                      <w:rFonts w:ascii="Calibri" w:hAnsi="Calibri" w:cs="Calibri"/>
                      <w:sz w:val="21"/>
                      <w:szCs w:val="21"/>
                      <w:lang w:eastAsia="zh-CN"/>
                    </w:rPr>
                  </w:pPr>
                  <w:r>
                    <w:rPr>
                      <w:rFonts w:ascii="Calibri" w:hAnsi="Calibri" w:cs="Calibri"/>
                      <w:sz w:val="21"/>
                      <w:szCs w:val="21"/>
                    </w:rPr>
                    <w:t>设备维护保养</w:t>
                  </w:r>
                </w:p>
              </w:tc>
              <w:tc>
                <w:tcPr>
                  <w:tcW w:w="999" w:type="pct"/>
                  <w:vAlign w:val="center"/>
                </w:tcPr>
                <w:p w14:paraId="46775B0E">
                  <w:pPr>
                    <w:pStyle w:val="56"/>
                    <w:ind w:firstLine="0" w:firstLineChars="0"/>
                    <w:rPr>
                      <w:rFonts w:ascii="Calibri" w:hAnsi="Calibri" w:cs="Calibri"/>
                      <w:sz w:val="21"/>
                      <w:szCs w:val="21"/>
                      <w:lang w:eastAsia="zh-CN"/>
                    </w:rPr>
                  </w:pPr>
                  <w:r>
                    <w:rPr>
                      <w:rFonts w:ascii="Calibri" w:hAnsi="Calibri" w:cs="Calibri"/>
                      <w:sz w:val="21"/>
                      <w:szCs w:val="21"/>
                      <w:lang w:eastAsia="zh-CN"/>
                    </w:rPr>
                    <w:t>废润滑油、废油桶</w:t>
                  </w:r>
                </w:p>
              </w:tc>
              <w:tc>
                <w:tcPr>
                  <w:tcW w:w="1203" w:type="pct"/>
                  <w:vMerge w:val="continue"/>
                  <w:vAlign w:val="center"/>
                </w:tcPr>
                <w:p w14:paraId="2EB63EAA">
                  <w:pPr>
                    <w:pStyle w:val="56"/>
                    <w:rPr>
                      <w:rFonts w:ascii="Calibri" w:hAnsi="Calibri" w:cs="Calibri"/>
                      <w:sz w:val="21"/>
                      <w:szCs w:val="21"/>
                      <w:lang w:eastAsia="zh-CN"/>
                    </w:rPr>
                  </w:pPr>
                </w:p>
              </w:tc>
              <w:tc>
                <w:tcPr>
                  <w:tcW w:w="798" w:type="pct"/>
                  <w:vMerge w:val="continue"/>
                  <w:vAlign w:val="center"/>
                </w:tcPr>
                <w:p w14:paraId="7AA38CC6">
                  <w:pPr>
                    <w:pStyle w:val="56"/>
                    <w:rPr>
                      <w:rFonts w:hint="default" w:ascii="Calibri" w:hAnsi="Calibri" w:cs="Calibri"/>
                      <w:sz w:val="21"/>
                      <w:szCs w:val="21"/>
                      <w:lang w:val="en-US" w:eastAsia="zh-CN"/>
                    </w:rPr>
                  </w:pPr>
                </w:p>
              </w:tc>
            </w:tr>
            <w:tr w14:paraId="661D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7" w:type="pct"/>
                  <w:vMerge w:val="continue"/>
                  <w:vAlign w:val="center"/>
                </w:tcPr>
                <w:p w14:paraId="26806760">
                  <w:pPr>
                    <w:pStyle w:val="56"/>
                    <w:rPr>
                      <w:rFonts w:ascii="Calibri" w:hAnsi="Calibri" w:cs="Calibri"/>
                      <w:sz w:val="21"/>
                      <w:szCs w:val="21"/>
                      <w:lang w:eastAsia="zh-CN"/>
                    </w:rPr>
                  </w:pPr>
                </w:p>
              </w:tc>
              <w:tc>
                <w:tcPr>
                  <w:tcW w:w="1151" w:type="pct"/>
                  <w:vAlign w:val="center"/>
                </w:tcPr>
                <w:p w14:paraId="63DD0D50">
                  <w:pPr>
                    <w:pStyle w:val="56"/>
                    <w:rPr>
                      <w:rFonts w:ascii="Calibri" w:hAnsi="Calibri" w:cs="Calibri"/>
                      <w:color w:val="auto"/>
                      <w:sz w:val="21"/>
                      <w:szCs w:val="21"/>
                      <w:lang w:eastAsia="zh-CN"/>
                    </w:rPr>
                  </w:pPr>
                  <w:r>
                    <w:rPr>
                      <w:rFonts w:ascii="Calibri" w:hAnsi="Calibri" w:cs="Calibri"/>
                      <w:color w:val="auto"/>
                      <w:sz w:val="21"/>
                      <w:szCs w:val="21"/>
                    </w:rPr>
                    <w:t>职工生活、办公</w:t>
                  </w:r>
                </w:p>
              </w:tc>
              <w:tc>
                <w:tcPr>
                  <w:tcW w:w="999" w:type="pct"/>
                  <w:vAlign w:val="center"/>
                </w:tcPr>
                <w:p w14:paraId="17752DC6">
                  <w:pPr>
                    <w:pStyle w:val="56"/>
                    <w:rPr>
                      <w:rFonts w:ascii="Calibri" w:hAnsi="Calibri" w:cs="Calibri"/>
                      <w:color w:val="auto"/>
                      <w:sz w:val="21"/>
                      <w:szCs w:val="21"/>
                      <w:lang w:eastAsia="zh-CN"/>
                    </w:rPr>
                  </w:pPr>
                  <w:r>
                    <w:rPr>
                      <w:rFonts w:ascii="Calibri" w:hAnsi="Calibri" w:cs="Calibri"/>
                      <w:color w:val="auto"/>
                      <w:sz w:val="21"/>
                      <w:szCs w:val="21"/>
                      <w:lang w:eastAsia="zh-CN"/>
                    </w:rPr>
                    <w:t>生活垃圾</w:t>
                  </w:r>
                </w:p>
              </w:tc>
              <w:tc>
                <w:tcPr>
                  <w:tcW w:w="1203" w:type="pct"/>
                  <w:vAlign w:val="center"/>
                </w:tcPr>
                <w:p w14:paraId="0F3CF72F">
                  <w:pPr>
                    <w:pStyle w:val="56"/>
                    <w:rPr>
                      <w:rFonts w:ascii="Calibri" w:hAnsi="Calibri" w:cs="Calibri"/>
                      <w:color w:val="auto"/>
                      <w:sz w:val="21"/>
                      <w:szCs w:val="21"/>
                      <w:lang w:eastAsia="zh-CN"/>
                    </w:rPr>
                  </w:pPr>
                  <w:r>
                    <w:rPr>
                      <w:rFonts w:ascii="Calibri" w:hAnsi="Calibri" w:cs="Calibri"/>
                      <w:color w:val="auto"/>
                      <w:sz w:val="21"/>
                      <w:szCs w:val="21"/>
                      <w:lang w:eastAsia="zh-CN"/>
                    </w:rPr>
                    <w:t>集中收集，交由环卫部门</w:t>
                  </w:r>
                </w:p>
              </w:tc>
              <w:tc>
                <w:tcPr>
                  <w:tcW w:w="798" w:type="pct"/>
                  <w:vAlign w:val="center"/>
                </w:tcPr>
                <w:p w14:paraId="049D3396">
                  <w:pPr>
                    <w:pStyle w:val="56"/>
                    <w:rPr>
                      <w:rFonts w:ascii="Calibri" w:hAnsi="Calibri" w:cs="Calibri"/>
                      <w:color w:val="auto"/>
                      <w:sz w:val="21"/>
                      <w:szCs w:val="21"/>
                      <w:lang w:eastAsia="zh-CN"/>
                    </w:rPr>
                  </w:pPr>
                  <w:r>
                    <w:rPr>
                      <w:rFonts w:ascii="Calibri" w:hAnsi="Calibri" w:cs="Calibri"/>
                      <w:color w:val="auto"/>
                      <w:sz w:val="21"/>
                      <w:szCs w:val="21"/>
                      <w:lang w:eastAsia="zh-CN"/>
                    </w:rPr>
                    <w:t>/</w:t>
                  </w:r>
                </w:p>
              </w:tc>
            </w:tr>
          </w:tbl>
          <w:p w14:paraId="755DC7AD">
            <w:pPr>
              <w:pStyle w:val="10"/>
              <w:numPr>
                <w:ilvl w:val="0"/>
                <w:numId w:val="0"/>
              </w:numPr>
              <w:ind w:firstLine="512" w:firstLineChars="200"/>
              <w:contextualSpacing/>
              <w:jc w:val="left"/>
              <w:rPr>
                <w:rFonts w:hint="default"/>
                <w:spacing w:val="8"/>
                <w:kern w:val="2"/>
                <w:sz w:val="24"/>
                <w:szCs w:val="24"/>
                <w:lang w:val="en-US" w:eastAsia="zh-CN" w:bidi="ar-SA"/>
              </w:rPr>
            </w:pPr>
          </w:p>
          <w:p w14:paraId="442C266B">
            <w:pPr>
              <w:pStyle w:val="10"/>
              <w:contextualSpacing/>
              <w:jc w:val="left"/>
              <w:rPr>
                <w:rFonts w:hint="default" w:ascii="黑体" w:hAnsi="黑体" w:eastAsia="宋体"/>
                <w:snapToGrid w:val="0"/>
                <w:sz w:val="30"/>
                <w:szCs w:val="30"/>
                <w:vertAlign w:val="baseline"/>
                <w:lang w:val="en-US" w:eastAsia="zh-CN"/>
              </w:rPr>
            </w:pPr>
          </w:p>
        </w:tc>
      </w:tr>
      <w:tr w14:paraId="372E5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trPr>
        <w:tc>
          <w:tcPr>
            <w:tcW w:w="615" w:type="dxa"/>
            <w:noWrap w:val="0"/>
            <w:vAlign w:val="center"/>
          </w:tcPr>
          <w:p w14:paraId="047DEF83">
            <w:pPr>
              <w:pStyle w:val="19"/>
              <w:widowControl/>
              <w:numPr>
                <w:ilvl w:val="0"/>
                <w:numId w:val="0"/>
              </w:numPr>
              <w:spacing w:before="100" w:beforeAutospacing="1" w:after="100" w:afterAutospacing="1"/>
              <w:jc w:val="center"/>
              <w:rPr>
                <w:rFonts w:hint="eastAsia" w:cs="宋体"/>
                <w:szCs w:val="24"/>
                <w:lang w:val="en-US" w:eastAsia="zh-CN"/>
              </w:rPr>
            </w:pPr>
            <w:r>
              <w:rPr>
                <w:rFonts w:hint="eastAsia" w:cs="宋体"/>
                <w:bCs/>
                <w:kern w:val="2"/>
                <w:szCs w:val="24"/>
                <w:lang w:val="en-US" w:eastAsia="zh-CN"/>
              </w:rPr>
              <w:t>与项目有关的原有环境污染问题</w:t>
            </w:r>
          </w:p>
        </w:tc>
        <w:tc>
          <w:tcPr>
            <w:tcW w:w="8445" w:type="dxa"/>
            <w:noWrap w:val="0"/>
            <w:vAlign w:val="top"/>
          </w:tcPr>
          <w:p w14:paraId="15504C7B">
            <w:pPr>
              <w:pStyle w:val="10"/>
              <w:ind w:firstLine="512" w:firstLineChars="200"/>
              <w:contextualSpacing/>
              <w:jc w:val="left"/>
              <w:rPr>
                <w:rFonts w:hint="eastAsia"/>
                <w:sz w:val="24"/>
                <w:lang w:eastAsia="zh-CN"/>
              </w:rPr>
            </w:pPr>
          </w:p>
          <w:p w14:paraId="38C928D1">
            <w:pPr>
              <w:pStyle w:val="10"/>
              <w:ind w:firstLine="512" w:firstLineChars="200"/>
              <w:contextualSpacing/>
              <w:jc w:val="left"/>
              <w:rPr>
                <w:rFonts w:hint="default"/>
                <w:sz w:val="24"/>
                <w:lang w:val="en-US" w:eastAsia="zh-CN"/>
              </w:rPr>
            </w:pPr>
            <w:r>
              <w:rPr>
                <w:rFonts w:hint="eastAsia"/>
                <w:sz w:val="24"/>
                <w:lang w:val="en-US" w:eastAsia="zh-CN"/>
              </w:rPr>
              <w:t>1.原有环评、历史环境问题情况说明</w:t>
            </w:r>
          </w:p>
          <w:p w14:paraId="0D74EE39">
            <w:pPr>
              <w:pStyle w:val="10"/>
              <w:ind w:firstLine="512" w:firstLineChars="200"/>
              <w:contextualSpacing/>
              <w:jc w:val="left"/>
              <w:rPr>
                <w:rFonts w:hint="eastAsia"/>
                <w:sz w:val="24"/>
                <w:lang w:val="en-US" w:eastAsia="zh-CN"/>
              </w:rPr>
            </w:pPr>
            <w:r>
              <w:rPr>
                <w:rFonts w:hint="eastAsia"/>
                <w:sz w:val="24"/>
                <w:lang w:val="en-US" w:eastAsia="zh-CN"/>
              </w:rPr>
              <w:t>原2020年立项批复内容主要为标准厂房、仓库、冷库、停车场等仓储物流基础设施建设，对照《建设项目环境影响评价分类管理名录》，上述仓储、库房、道路硬化类等建设内容不属于需要办理环评的范畴，因此未开展环评报批及验收。</w:t>
            </w:r>
          </w:p>
          <w:p w14:paraId="512F9B21">
            <w:pPr>
              <w:pStyle w:val="10"/>
              <w:ind w:firstLine="512" w:firstLineChars="200"/>
              <w:contextualSpacing/>
              <w:jc w:val="left"/>
              <w:rPr>
                <w:rFonts w:hint="default"/>
                <w:sz w:val="24"/>
                <w:lang w:val="en-US" w:eastAsia="zh-CN"/>
              </w:rPr>
            </w:pPr>
            <w:r>
              <w:rPr>
                <w:rFonts w:hint="eastAsia"/>
                <w:sz w:val="24"/>
                <w:lang w:val="en-US" w:eastAsia="zh-CN"/>
              </w:rPr>
              <w:t>2.场地现状及原有环境问题</w:t>
            </w:r>
          </w:p>
          <w:p w14:paraId="5D44F7C6">
            <w:pPr>
              <w:pStyle w:val="10"/>
              <w:ind w:firstLine="512" w:firstLineChars="200"/>
              <w:contextualSpacing/>
              <w:jc w:val="left"/>
              <w:rPr>
                <w:rFonts w:hint="eastAsia"/>
                <w:sz w:val="24"/>
                <w:lang w:eastAsia="zh-CN"/>
              </w:rPr>
            </w:pPr>
            <w:r>
              <w:rPr>
                <w:rFonts w:hint="eastAsia"/>
                <w:sz w:val="24"/>
                <w:lang w:eastAsia="zh-CN"/>
              </w:rPr>
              <w:t>本项目选址位于博湖县现有仓储物流园内，园区现状已建成1座处理规模100m³/d的生活污水处理站，仅收纳处理园区职工生活污水，不具备工业废水处理能力，无工业生产设施，未开展工业生产活动，不存在工业污染源，也不存在土壤、地下水遗留污染等历史环境问题。</w:t>
            </w:r>
          </w:p>
          <w:p w14:paraId="7120CCAF">
            <w:pPr>
              <w:pStyle w:val="10"/>
              <w:ind w:firstLine="512" w:firstLineChars="200"/>
              <w:contextualSpacing/>
              <w:jc w:val="left"/>
              <w:rPr>
                <w:rFonts w:hint="eastAsia"/>
                <w:sz w:val="24"/>
                <w:lang w:eastAsia="zh-CN"/>
              </w:rPr>
            </w:pPr>
            <w:r>
              <w:rPr>
                <w:rFonts w:hint="eastAsia"/>
                <w:sz w:val="24"/>
                <w:lang w:eastAsia="zh-CN"/>
              </w:rPr>
              <w:t>园区现状尚无专门的工业废水处理设施，园区后续拟入驻企业产生的工业废水暂无处置途径，为本项目建设的背景原因。</w:t>
            </w:r>
          </w:p>
          <w:p w14:paraId="3829FA69">
            <w:pPr>
              <w:pStyle w:val="10"/>
              <w:ind w:firstLine="512" w:firstLineChars="200"/>
              <w:contextualSpacing/>
              <w:jc w:val="left"/>
              <w:rPr>
                <w:rFonts w:hint="eastAsia" w:ascii="Times New Roman" w:hAnsi="Times New Roman" w:eastAsia="宋体" w:cs="Times New Roman"/>
                <w:szCs w:val="24"/>
                <w:lang w:val="en-US" w:eastAsia="zh-CN"/>
              </w:rPr>
            </w:pPr>
            <w:r>
              <w:rPr>
                <w:rFonts w:hint="eastAsia"/>
                <w:sz w:val="24"/>
                <w:lang w:eastAsia="zh-CN"/>
              </w:rPr>
              <w:t>本项目用地属于物流园规划建设用地，建设场地为物流园内预留空地，无原有工业生产历史，不存在土壤、地下水遗留污染问题。</w:t>
            </w:r>
          </w:p>
          <w:p w14:paraId="497359D7">
            <w:pPr>
              <w:pStyle w:val="19"/>
              <w:widowControl/>
              <w:numPr>
                <w:ilvl w:val="0"/>
                <w:numId w:val="0"/>
              </w:numPr>
              <w:spacing w:before="100" w:beforeAutospacing="1" w:after="100" w:afterAutospacing="1"/>
              <w:jc w:val="both"/>
              <w:rPr>
                <w:rFonts w:hint="eastAsia" w:ascii="黑体" w:hAnsi="黑体" w:eastAsia="黑体"/>
                <w:snapToGrid w:val="0"/>
                <w:sz w:val="30"/>
                <w:szCs w:val="30"/>
                <w:vertAlign w:val="baseline"/>
                <w:lang w:val="en-US" w:eastAsia="zh-CN"/>
              </w:rPr>
            </w:pPr>
          </w:p>
        </w:tc>
      </w:tr>
    </w:tbl>
    <w:p w14:paraId="0ED79CE3">
      <w:pPr>
        <w:pStyle w:val="19"/>
        <w:jc w:val="both"/>
        <w:rPr>
          <w:rFonts w:ascii="黑体" w:hAnsi="黑体" w:eastAsia="黑体"/>
          <w:snapToGrid w:val="0"/>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66B3B1AE">
      <w:pPr>
        <w:pStyle w:val="19"/>
        <w:adjustRightInd w:val="0"/>
        <w:snapToGrid w:val="0"/>
        <w:spacing w:before="0" w:beforeAutospacing="0" w:after="0" w:afterAutospacing="0" w:line="14" w:lineRule="auto"/>
        <w:jc w:val="center"/>
        <w:outlineLvl w:val="0"/>
        <w:rPr>
          <w:rFonts w:hint="eastAsia" w:ascii="黑体" w:hAnsi="黑体" w:eastAsia="黑体"/>
          <w:snapToGrid w:val="0"/>
          <w:sz w:val="30"/>
          <w:szCs w:val="30"/>
        </w:rPr>
      </w:pPr>
    </w:p>
    <w:p w14:paraId="7B413DE7">
      <w:pPr>
        <w:pStyle w:val="19"/>
        <w:jc w:val="center"/>
        <w:outlineLvl w:val="0"/>
        <w:rPr>
          <w:rFonts w:ascii="黑体" w:hAnsi="黑体" w:eastAsia="黑体"/>
          <w:snapToGrid w:val="0"/>
          <w:sz w:val="30"/>
          <w:szCs w:val="30"/>
        </w:rPr>
      </w:pPr>
      <w:r>
        <w:rPr>
          <w:rFonts w:hint="eastAsia" w:ascii="黑体" w:hAnsi="黑体" w:eastAsia="黑体"/>
          <w:snapToGrid w:val="0"/>
          <w:sz w:val="30"/>
          <w:szCs w:val="30"/>
        </w:rPr>
        <w:t>三、区域环境质量现状、环境保护目标及评价标准</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539"/>
      </w:tblGrid>
      <w:tr w14:paraId="607CC6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59" w:hRule="atLeast"/>
          <w:jc w:val="center"/>
        </w:trPr>
        <w:tc>
          <w:tcPr>
            <w:tcW w:w="451" w:type="dxa"/>
            <w:noWrap w:val="0"/>
            <w:vAlign w:val="center"/>
          </w:tcPr>
          <w:p w14:paraId="167B3CF8">
            <w:pPr>
              <w:adjustRightInd w:val="0"/>
              <w:snapToGrid w:val="0"/>
              <w:jc w:val="center"/>
              <w:rPr>
                <w:rFonts w:hint="eastAsia" w:ascii="宋体" w:hAnsi="宋体" w:cs="宋体"/>
                <w:kern w:val="0"/>
                <w:sz w:val="24"/>
              </w:rPr>
            </w:pPr>
            <w:r>
              <w:rPr>
                <w:rFonts w:hint="eastAsia" w:ascii="宋体" w:hAnsi="宋体" w:cs="宋体"/>
                <w:kern w:val="0"/>
                <w:sz w:val="24"/>
              </w:rPr>
              <w:t>区域</w:t>
            </w:r>
          </w:p>
          <w:p w14:paraId="5B82AC84">
            <w:pPr>
              <w:adjustRightInd w:val="0"/>
              <w:snapToGrid w:val="0"/>
              <w:jc w:val="center"/>
              <w:rPr>
                <w:rFonts w:hint="eastAsia" w:ascii="宋体" w:hAnsi="宋体" w:cs="宋体"/>
                <w:kern w:val="0"/>
                <w:sz w:val="24"/>
              </w:rPr>
            </w:pPr>
            <w:r>
              <w:rPr>
                <w:rFonts w:hint="eastAsia" w:ascii="宋体" w:hAnsi="宋体" w:cs="宋体"/>
                <w:kern w:val="0"/>
                <w:sz w:val="24"/>
              </w:rPr>
              <w:t>环境</w:t>
            </w:r>
          </w:p>
          <w:p w14:paraId="3A905DFA">
            <w:pPr>
              <w:adjustRightInd w:val="0"/>
              <w:snapToGrid w:val="0"/>
              <w:jc w:val="center"/>
              <w:rPr>
                <w:rFonts w:hint="eastAsia" w:ascii="宋体" w:hAnsi="宋体" w:cs="宋体"/>
                <w:kern w:val="0"/>
                <w:sz w:val="24"/>
              </w:rPr>
            </w:pPr>
            <w:r>
              <w:rPr>
                <w:rFonts w:hint="eastAsia" w:ascii="宋体" w:hAnsi="宋体" w:cs="宋体"/>
                <w:kern w:val="0"/>
                <w:sz w:val="24"/>
              </w:rPr>
              <w:t>质量</w:t>
            </w:r>
          </w:p>
          <w:p w14:paraId="48FCD29F">
            <w:pPr>
              <w:adjustRightInd w:val="0"/>
              <w:snapToGrid w:val="0"/>
              <w:jc w:val="center"/>
              <w:rPr>
                <w:rFonts w:ascii="宋体" w:hAnsi="宋体" w:cs="宋体"/>
                <w:kern w:val="0"/>
                <w:szCs w:val="21"/>
              </w:rPr>
            </w:pPr>
            <w:r>
              <w:rPr>
                <w:rFonts w:hint="eastAsia" w:ascii="宋体" w:hAnsi="宋体" w:cs="宋体"/>
                <w:kern w:val="0"/>
                <w:sz w:val="24"/>
              </w:rPr>
              <w:t>现状</w:t>
            </w:r>
          </w:p>
        </w:tc>
        <w:tc>
          <w:tcPr>
            <w:tcW w:w="8539" w:type="dxa"/>
            <w:noWrap w:val="0"/>
            <w:vAlign w:val="center"/>
          </w:tcPr>
          <w:p w14:paraId="10E05AE4">
            <w:pPr>
              <w:pStyle w:val="6"/>
              <w:spacing w:before="120" w:beforeLines="50" w:after="0" w:line="360" w:lineRule="auto"/>
              <w:rPr>
                <w:rStyle w:val="52"/>
                <w:b/>
                <w:sz w:val="24"/>
                <w:lang w:val="en-US" w:eastAsia="zh-CN"/>
              </w:rPr>
            </w:pPr>
            <w:r>
              <w:rPr>
                <w:rStyle w:val="52"/>
                <w:b/>
                <w:sz w:val="24"/>
                <w:lang w:val="en-US" w:eastAsia="zh-CN"/>
              </w:rPr>
              <w:t>建设项目所在地区域环境质量现状及主要环境问题（环境空气、地表水、地下水、声环境、生态环境等）</w:t>
            </w:r>
          </w:p>
          <w:p w14:paraId="4BA1D821">
            <w:pPr>
              <w:spacing w:line="360" w:lineRule="auto"/>
              <w:rPr>
                <w:b/>
                <w:bCs/>
                <w:sz w:val="24"/>
              </w:rPr>
            </w:pPr>
            <w:r>
              <w:rPr>
                <w:b/>
                <w:bCs/>
                <w:sz w:val="24"/>
              </w:rPr>
              <w:t>一、大气环境质量现状</w:t>
            </w:r>
          </w:p>
          <w:p w14:paraId="3287543D">
            <w:pPr>
              <w:spacing w:line="360" w:lineRule="auto"/>
              <w:ind w:firstLine="480" w:firstLineChars="200"/>
              <w:rPr>
                <w:rFonts w:hint="default" w:ascii="Calibri" w:hAnsi="Calibri" w:eastAsia="宋体" w:cs="宋体"/>
                <w:bCs/>
                <w:color w:val="auto"/>
                <w:sz w:val="24"/>
              </w:rPr>
            </w:pPr>
            <w:r>
              <w:rPr>
                <w:rFonts w:hint="default" w:ascii="Calibri" w:hAnsi="Calibri" w:eastAsia="宋体" w:cs="宋体"/>
                <w:bCs/>
                <w:color w:val="auto"/>
                <w:sz w:val="24"/>
              </w:rPr>
              <w:t>本次环境空气质量评价选取距离本项目最近的国控监测站位于博湖县</w:t>
            </w:r>
            <w:r>
              <w:rPr>
                <w:rFonts w:hint="eastAsia" w:ascii="Calibri" w:hAnsi="Calibri" w:cs="宋体"/>
                <w:bCs/>
                <w:color w:val="auto"/>
                <w:sz w:val="24"/>
                <w:lang w:val="en-US" w:eastAsia="zh-CN"/>
              </w:rPr>
              <w:t>2024</w:t>
            </w:r>
            <w:r>
              <w:rPr>
                <w:rFonts w:hint="default" w:ascii="Calibri" w:hAnsi="Calibri" w:eastAsia="宋体" w:cs="宋体"/>
                <w:bCs/>
                <w:color w:val="auto"/>
                <w:sz w:val="24"/>
              </w:rPr>
              <w:t>年环境空气自动监测站全年监测统计数据，作为项目区域环境空气现状评价基本污染物SO</w:t>
            </w:r>
            <w:r>
              <w:rPr>
                <w:rFonts w:hint="default" w:ascii="Calibri" w:hAnsi="Calibri" w:eastAsia="宋体" w:cs="宋体"/>
                <w:bCs/>
                <w:color w:val="auto"/>
                <w:sz w:val="24"/>
                <w:vertAlign w:val="subscript"/>
              </w:rPr>
              <w:t>2</w:t>
            </w:r>
            <w:r>
              <w:rPr>
                <w:rFonts w:hint="default" w:ascii="Calibri" w:hAnsi="Calibri" w:eastAsia="宋体" w:cs="宋体"/>
                <w:bCs/>
                <w:color w:val="auto"/>
                <w:sz w:val="24"/>
              </w:rPr>
              <w:t>、NO</w:t>
            </w:r>
            <w:r>
              <w:rPr>
                <w:rFonts w:hint="default" w:ascii="Calibri" w:hAnsi="Calibri" w:eastAsia="宋体" w:cs="宋体"/>
                <w:bCs/>
                <w:color w:val="auto"/>
                <w:sz w:val="24"/>
                <w:vertAlign w:val="subscript"/>
              </w:rPr>
              <w:t>2</w:t>
            </w:r>
            <w:r>
              <w:rPr>
                <w:rFonts w:hint="default" w:ascii="Calibri" w:hAnsi="Calibri" w:eastAsia="宋体" w:cs="宋体"/>
                <w:bCs/>
                <w:color w:val="auto"/>
                <w:sz w:val="24"/>
              </w:rPr>
              <w:t>、PM</w:t>
            </w:r>
            <w:r>
              <w:rPr>
                <w:rFonts w:hint="default" w:ascii="Calibri" w:hAnsi="Calibri" w:eastAsia="宋体" w:cs="宋体"/>
                <w:bCs/>
                <w:color w:val="auto"/>
                <w:sz w:val="24"/>
                <w:vertAlign w:val="subscript"/>
              </w:rPr>
              <w:t>10</w:t>
            </w:r>
            <w:r>
              <w:rPr>
                <w:rFonts w:hint="default" w:ascii="Calibri" w:hAnsi="Calibri" w:eastAsia="宋体" w:cs="宋体"/>
                <w:bCs/>
                <w:color w:val="auto"/>
                <w:sz w:val="24"/>
              </w:rPr>
              <w:t>、PM</w:t>
            </w:r>
            <w:r>
              <w:rPr>
                <w:rFonts w:hint="default" w:ascii="Calibri" w:hAnsi="Calibri" w:eastAsia="宋体" w:cs="宋体"/>
                <w:bCs/>
                <w:color w:val="auto"/>
                <w:sz w:val="24"/>
                <w:vertAlign w:val="subscript"/>
              </w:rPr>
              <w:t>2.5</w:t>
            </w:r>
            <w:r>
              <w:rPr>
                <w:rFonts w:hint="default" w:ascii="Calibri" w:hAnsi="Calibri" w:eastAsia="宋体" w:cs="宋体"/>
                <w:bCs/>
                <w:color w:val="auto"/>
                <w:sz w:val="24"/>
              </w:rPr>
              <w:t>、CO和O</w:t>
            </w:r>
            <w:r>
              <w:rPr>
                <w:rFonts w:hint="default" w:ascii="Calibri" w:hAnsi="Calibri" w:eastAsia="宋体" w:cs="宋体"/>
                <w:bCs/>
                <w:color w:val="auto"/>
                <w:sz w:val="24"/>
                <w:vertAlign w:val="subscript"/>
              </w:rPr>
              <w:t>3</w:t>
            </w:r>
            <w:r>
              <w:rPr>
                <w:rFonts w:hint="default" w:ascii="Calibri" w:hAnsi="Calibri" w:eastAsia="宋体" w:cs="宋体"/>
                <w:bCs/>
                <w:color w:val="auto"/>
                <w:sz w:val="24"/>
              </w:rPr>
              <w:t>的数据来源。基本污染物环境空气质量现状表见表</w:t>
            </w:r>
            <w:r>
              <w:rPr>
                <w:rFonts w:hint="eastAsia" w:ascii="Calibri" w:hAnsi="Calibri" w:eastAsia="宋体" w:cs="宋体"/>
                <w:bCs/>
                <w:color w:val="auto"/>
                <w:sz w:val="24"/>
                <w:lang w:val="en-US" w:eastAsia="zh-CN"/>
              </w:rPr>
              <w:t>3-1</w:t>
            </w:r>
            <w:r>
              <w:rPr>
                <w:rFonts w:hint="default" w:ascii="Calibri" w:hAnsi="Calibri" w:eastAsia="宋体" w:cs="宋体"/>
                <w:bCs/>
                <w:color w:val="auto"/>
                <w:sz w:val="24"/>
              </w:rPr>
              <w:t>。</w:t>
            </w:r>
          </w:p>
          <w:p w14:paraId="3B8ED7CA">
            <w:pPr>
              <w:adjustRightInd w:val="0"/>
              <w:snapToGrid w:val="0"/>
              <w:jc w:val="center"/>
              <w:rPr>
                <w:rFonts w:hint="default" w:ascii="Times New Roman" w:hAnsi="Times New Roman" w:cs="Times New Roman"/>
                <w:b/>
                <w:color w:val="auto"/>
                <w:sz w:val="24"/>
                <w:szCs w:val="24"/>
                <w:highlight w:val="none"/>
              </w:rPr>
            </w:pPr>
            <w:r>
              <w:rPr>
                <w:rFonts w:hint="default" w:ascii="Times New Roman" w:hAnsi="Times New Roman" w:cs="Times New Roman"/>
                <w:b/>
                <w:bCs/>
                <w:color w:val="auto"/>
                <w:sz w:val="24"/>
                <w:szCs w:val="24"/>
                <w:highlight w:val="none"/>
              </w:rPr>
              <w:t>表</w:t>
            </w:r>
            <w:r>
              <w:rPr>
                <w:rFonts w:hint="eastAsia" w:ascii="Times New Roman" w:hAnsi="Times New Roman" w:cs="Times New Roman"/>
                <w:b/>
                <w:bCs/>
                <w:color w:val="auto"/>
                <w:sz w:val="24"/>
                <w:szCs w:val="24"/>
                <w:highlight w:val="none"/>
                <w:lang w:val="en-US" w:eastAsia="zh-CN"/>
              </w:rPr>
              <w:t xml:space="preserve">3-1   </w:t>
            </w:r>
            <w:r>
              <w:rPr>
                <w:rFonts w:hint="default" w:ascii="Times New Roman" w:hAnsi="Times New Roman" w:cs="Times New Roman"/>
                <w:b/>
                <w:bCs/>
                <w:color w:val="auto"/>
                <w:sz w:val="24"/>
                <w:szCs w:val="24"/>
                <w:highlight w:val="none"/>
              </w:rPr>
              <w:t xml:space="preserve"> </w:t>
            </w:r>
            <w:r>
              <w:rPr>
                <w:rFonts w:hint="default" w:ascii="Times New Roman" w:hAnsi="Times New Roman" w:cs="Times New Roman"/>
                <w:b/>
                <w:bCs/>
                <w:color w:val="auto"/>
                <w:sz w:val="24"/>
                <w:szCs w:val="24"/>
                <w:highlight w:val="none"/>
                <w:lang w:val="en-US" w:eastAsia="zh-CN"/>
              </w:rPr>
              <w:t>区域</w:t>
            </w:r>
            <w:r>
              <w:rPr>
                <w:rFonts w:hint="default" w:ascii="Times New Roman" w:hAnsi="Times New Roman" w:cs="Times New Roman"/>
                <w:b/>
                <w:bCs/>
                <w:color w:val="auto"/>
                <w:sz w:val="24"/>
                <w:szCs w:val="24"/>
                <w:highlight w:val="none"/>
              </w:rPr>
              <w:t>环境</w:t>
            </w:r>
            <w:r>
              <w:rPr>
                <w:rFonts w:hint="default" w:ascii="Times New Roman" w:hAnsi="Times New Roman" w:cs="Times New Roman"/>
                <w:b/>
                <w:bCs/>
                <w:color w:val="auto"/>
                <w:sz w:val="24"/>
                <w:szCs w:val="24"/>
                <w:highlight w:val="none"/>
                <w:lang w:val="en-US" w:eastAsia="zh-CN"/>
              </w:rPr>
              <w:t>空气</w:t>
            </w:r>
            <w:r>
              <w:rPr>
                <w:rFonts w:hint="default" w:ascii="Times New Roman" w:hAnsi="Times New Roman" w:cs="Times New Roman"/>
                <w:b/>
                <w:bCs/>
                <w:color w:val="auto"/>
                <w:sz w:val="24"/>
                <w:szCs w:val="24"/>
                <w:highlight w:val="none"/>
              </w:rPr>
              <w:t>质量现状</w:t>
            </w:r>
            <w:r>
              <w:rPr>
                <w:rFonts w:hint="default" w:ascii="Times New Roman" w:hAnsi="Times New Roman" w:cs="Times New Roman"/>
                <w:b/>
                <w:color w:val="auto"/>
                <w:sz w:val="24"/>
                <w:szCs w:val="24"/>
                <w:highlight w:val="none"/>
              </w:rPr>
              <w:t>表</w:t>
            </w:r>
          </w:p>
          <w:tbl>
            <w:tblPr>
              <w:tblStyle w:val="23"/>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81"/>
              <w:gridCol w:w="2546"/>
              <w:gridCol w:w="1051"/>
              <w:gridCol w:w="1448"/>
              <w:gridCol w:w="1012"/>
              <w:gridCol w:w="1062"/>
            </w:tblGrid>
            <w:tr w14:paraId="616CB7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tcBorders>
                    <w:tl2br w:val="nil"/>
                    <w:tr2bl w:val="nil"/>
                  </w:tcBorders>
                  <w:noWrap w:val="0"/>
                  <w:vAlign w:val="center"/>
                </w:tcPr>
                <w:p w14:paraId="77BB5A24">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污染物</w:t>
                  </w:r>
                </w:p>
              </w:tc>
              <w:tc>
                <w:tcPr>
                  <w:tcW w:w="1548" w:type="pct"/>
                  <w:tcBorders>
                    <w:tl2br w:val="nil"/>
                    <w:tr2bl w:val="nil"/>
                  </w:tcBorders>
                  <w:noWrap w:val="0"/>
                  <w:vAlign w:val="center"/>
                </w:tcPr>
                <w:p w14:paraId="49BC2967">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评价项目</w:t>
                  </w:r>
                </w:p>
              </w:tc>
              <w:tc>
                <w:tcPr>
                  <w:tcW w:w="647" w:type="pct"/>
                  <w:tcBorders>
                    <w:tl2br w:val="nil"/>
                    <w:tr2bl w:val="nil"/>
                  </w:tcBorders>
                  <w:noWrap w:val="0"/>
                  <w:vAlign w:val="center"/>
                </w:tcPr>
                <w:p w14:paraId="45E8165F">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浓度（μg/m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vertAlign w:val="baseline"/>
                      <w:lang w:val="en-US" w:eastAsia="zh-CN"/>
                    </w:rPr>
                    <w:t>）</w:t>
                  </w:r>
                </w:p>
              </w:tc>
              <w:tc>
                <w:tcPr>
                  <w:tcW w:w="886" w:type="pct"/>
                  <w:tcBorders>
                    <w:tl2br w:val="nil"/>
                    <w:tr2bl w:val="nil"/>
                  </w:tcBorders>
                  <w:noWrap w:val="0"/>
                  <w:vAlign w:val="center"/>
                </w:tcPr>
                <w:p w14:paraId="12DBB9A4">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标准（二级）（μg/m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vertAlign w:val="baseline"/>
                      <w:lang w:val="en-US" w:eastAsia="zh-CN"/>
                    </w:rPr>
                    <w:t>）</w:t>
                  </w:r>
                </w:p>
              </w:tc>
              <w:tc>
                <w:tcPr>
                  <w:tcW w:w="624" w:type="pct"/>
                  <w:tcBorders>
                    <w:tl2br w:val="nil"/>
                    <w:tr2bl w:val="nil"/>
                  </w:tcBorders>
                  <w:noWrap w:val="0"/>
                  <w:vAlign w:val="center"/>
                </w:tcPr>
                <w:p w14:paraId="02C7096D">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占标率%</w:t>
                  </w:r>
                </w:p>
              </w:tc>
              <w:tc>
                <w:tcPr>
                  <w:tcW w:w="654" w:type="pct"/>
                  <w:tcBorders>
                    <w:tl2br w:val="nil"/>
                    <w:tr2bl w:val="nil"/>
                  </w:tcBorders>
                  <w:noWrap w:val="0"/>
                  <w:vAlign w:val="center"/>
                </w:tcPr>
                <w:p w14:paraId="3EB2B829">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达标情况</w:t>
                  </w:r>
                </w:p>
              </w:tc>
            </w:tr>
            <w:tr w14:paraId="593314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vMerge w:val="restart"/>
                  <w:tcBorders>
                    <w:tl2br w:val="nil"/>
                    <w:tr2bl w:val="nil"/>
                  </w:tcBorders>
                  <w:noWrap w:val="0"/>
                  <w:vAlign w:val="center"/>
                </w:tcPr>
                <w:p w14:paraId="29593362">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SO</w:t>
                  </w:r>
                  <w:r>
                    <w:rPr>
                      <w:rFonts w:hint="eastAsia" w:ascii="Times New Roman" w:hAnsi="Times New Roman" w:eastAsia="宋体" w:cs="Times New Roman"/>
                      <w:color w:val="auto"/>
                      <w:sz w:val="21"/>
                      <w:szCs w:val="21"/>
                      <w:vertAlign w:val="subscript"/>
                      <w:lang w:val="en-US" w:eastAsia="zh-CN"/>
                    </w:rPr>
                    <w:t>2</w:t>
                  </w:r>
                </w:p>
              </w:tc>
              <w:tc>
                <w:tcPr>
                  <w:tcW w:w="1548" w:type="pct"/>
                  <w:tcBorders>
                    <w:tl2br w:val="nil"/>
                    <w:tr2bl w:val="nil"/>
                  </w:tcBorders>
                  <w:noWrap w:val="0"/>
                  <w:vAlign w:val="center"/>
                </w:tcPr>
                <w:p w14:paraId="0B7050A3">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年平均</w:t>
                  </w:r>
                </w:p>
              </w:tc>
              <w:tc>
                <w:tcPr>
                  <w:tcW w:w="647" w:type="pct"/>
                  <w:tcBorders>
                    <w:tl2br w:val="nil"/>
                    <w:tr2bl w:val="nil"/>
                  </w:tcBorders>
                  <w:noWrap w:val="0"/>
                  <w:vAlign w:val="center"/>
                </w:tcPr>
                <w:p w14:paraId="3EFDBBF5">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w:t>
                  </w:r>
                </w:p>
              </w:tc>
              <w:tc>
                <w:tcPr>
                  <w:tcW w:w="886" w:type="pct"/>
                  <w:tcBorders>
                    <w:tl2br w:val="nil"/>
                    <w:tr2bl w:val="nil"/>
                  </w:tcBorders>
                  <w:noWrap w:val="0"/>
                  <w:vAlign w:val="center"/>
                </w:tcPr>
                <w:p w14:paraId="0C4A4A88">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60</w:t>
                  </w:r>
                </w:p>
              </w:tc>
              <w:tc>
                <w:tcPr>
                  <w:tcW w:w="624" w:type="pct"/>
                  <w:tcBorders>
                    <w:tl2br w:val="nil"/>
                    <w:tr2bl w:val="nil"/>
                  </w:tcBorders>
                  <w:noWrap w:val="0"/>
                  <w:vAlign w:val="center"/>
                </w:tcPr>
                <w:p w14:paraId="02872D79">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8.3</w:t>
                  </w:r>
                </w:p>
              </w:tc>
              <w:tc>
                <w:tcPr>
                  <w:tcW w:w="654" w:type="pct"/>
                  <w:tcBorders>
                    <w:tl2br w:val="nil"/>
                    <w:tr2bl w:val="nil"/>
                  </w:tcBorders>
                  <w:noWrap w:val="0"/>
                  <w:vAlign w:val="center"/>
                </w:tcPr>
                <w:p w14:paraId="1E8572BB">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达标</w:t>
                  </w:r>
                </w:p>
              </w:tc>
            </w:tr>
            <w:tr w14:paraId="32B456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638" w:type="pct"/>
                  <w:vMerge w:val="continue"/>
                  <w:tcBorders>
                    <w:tl2br w:val="nil"/>
                    <w:tr2bl w:val="nil"/>
                  </w:tcBorders>
                  <w:noWrap w:val="0"/>
                  <w:vAlign w:val="center"/>
                </w:tcPr>
                <w:p w14:paraId="01AC3609">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p>
              </w:tc>
              <w:tc>
                <w:tcPr>
                  <w:tcW w:w="1548" w:type="pct"/>
                  <w:tcBorders>
                    <w:tl2br w:val="nil"/>
                    <w:tr2bl w:val="nil"/>
                  </w:tcBorders>
                  <w:noWrap w:val="0"/>
                  <w:vAlign w:val="center"/>
                </w:tcPr>
                <w:p w14:paraId="122313C0">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24h平均第98百分位数</w:t>
                  </w:r>
                </w:p>
              </w:tc>
              <w:tc>
                <w:tcPr>
                  <w:tcW w:w="647" w:type="pct"/>
                  <w:tcBorders>
                    <w:tl2br w:val="nil"/>
                    <w:tr2bl w:val="nil"/>
                  </w:tcBorders>
                  <w:noWrap w:val="0"/>
                  <w:vAlign w:val="center"/>
                </w:tcPr>
                <w:p w14:paraId="5CBBE938">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w:t>
                  </w:r>
                </w:p>
              </w:tc>
              <w:tc>
                <w:tcPr>
                  <w:tcW w:w="886" w:type="pct"/>
                  <w:tcBorders>
                    <w:tl2br w:val="nil"/>
                    <w:tr2bl w:val="nil"/>
                  </w:tcBorders>
                  <w:noWrap w:val="0"/>
                  <w:vAlign w:val="center"/>
                </w:tcPr>
                <w:p w14:paraId="06B466F9">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150</w:t>
                  </w:r>
                </w:p>
              </w:tc>
              <w:tc>
                <w:tcPr>
                  <w:tcW w:w="624" w:type="pct"/>
                  <w:tcBorders>
                    <w:tl2br w:val="nil"/>
                    <w:tr2bl w:val="nil"/>
                  </w:tcBorders>
                  <w:noWrap w:val="0"/>
                  <w:vAlign w:val="center"/>
                </w:tcPr>
                <w:p w14:paraId="06220239">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6.7</w:t>
                  </w:r>
                </w:p>
              </w:tc>
              <w:tc>
                <w:tcPr>
                  <w:tcW w:w="654" w:type="pct"/>
                  <w:tcBorders>
                    <w:tl2br w:val="nil"/>
                    <w:tr2bl w:val="nil"/>
                  </w:tcBorders>
                  <w:noWrap w:val="0"/>
                  <w:vAlign w:val="center"/>
                </w:tcPr>
                <w:p w14:paraId="2AED0675">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达标</w:t>
                  </w:r>
                </w:p>
              </w:tc>
            </w:tr>
            <w:tr w14:paraId="6FBEDC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vMerge w:val="restart"/>
                  <w:tcBorders>
                    <w:tl2br w:val="nil"/>
                    <w:tr2bl w:val="nil"/>
                  </w:tcBorders>
                  <w:noWrap w:val="0"/>
                  <w:vAlign w:val="center"/>
                </w:tcPr>
                <w:p w14:paraId="22A8D0CA">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NO</w:t>
                  </w:r>
                  <w:r>
                    <w:rPr>
                      <w:rFonts w:hint="eastAsia" w:ascii="Times New Roman" w:hAnsi="Times New Roman" w:eastAsia="宋体" w:cs="Times New Roman"/>
                      <w:color w:val="auto"/>
                      <w:sz w:val="21"/>
                      <w:szCs w:val="21"/>
                      <w:vertAlign w:val="subscript"/>
                      <w:lang w:val="en-US" w:eastAsia="zh-CN"/>
                    </w:rPr>
                    <w:t>2</w:t>
                  </w:r>
                </w:p>
              </w:tc>
              <w:tc>
                <w:tcPr>
                  <w:tcW w:w="1548" w:type="pct"/>
                  <w:tcBorders>
                    <w:tl2br w:val="nil"/>
                    <w:tr2bl w:val="nil"/>
                  </w:tcBorders>
                  <w:noWrap w:val="0"/>
                  <w:vAlign w:val="center"/>
                </w:tcPr>
                <w:p w14:paraId="1F6EBC3B">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年平均</w:t>
                  </w:r>
                </w:p>
              </w:tc>
              <w:tc>
                <w:tcPr>
                  <w:tcW w:w="647" w:type="pct"/>
                  <w:tcBorders>
                    <w:tl2br w:val="nil"/>
                    <w:tr2bl w:val="nil"/>
                  </w:tcBorders>
                  <w:noWrap w:val="0"/>
                  <w:vAlign w:val="center"/>
                </w:tcPr>
                <w:p w14:paraId="39BDC716">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18</w:t>
                  </w:r>
                </w:p>
              </w:tc>
              <w:tc>
                <w:tcPr>
                  <w:tcW w:w="886" w:type="pct"/>
                  <w:tcBorders>
                    <w:tl2br w:val="nil"/>
                    <w:tr2bl w:val="nil"/>
                  </w:tcBorders>
                  <w:noWrap w:val="0"/>
                  <w:vAlign w:val="center"/>
                </w:tcPr>
                <w:p w14:paraId="5931DDE7">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40</w:t>
                  </w:r>
                </w:p>
              </w:tc>
              <w:tc>
                <w:tcPr>
                  <w:tcW w:w="624" w:type="pct"/>
                  <w:tcBorders>
                    <w:tl2br w:val="nil"/>
                    <w:tr2bl w:val="nil"/>
                  </w:tcBorders>
                  <w:noWrap w:val="0"/>
                  <w:vAlign w:val="center"/>
                </w:tcPr>
                <w:p w14:paraId="6009E4F8">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45</w:t>
                  </w:r>
                </w:p>
              </w:tc>
              <w:tc>
                <w:tcPr>
                  <w:tcW w:w="654" w:type="pct"/>
                  <w:tcBorders>
                    <w:tl2br w:val="nil"/>
                    <w:tr2bl w:val="nil"/>
                  </w:tcBorders>
                  <w:noWrap w:val="0"/>
                  <w:vAlign w:val="center"/>
                </w:tcPr>
                <w:p w14:paraId="13317CF4">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达标</w:t>
                  </w:r>
                </w:p>
              </w:tc>
            </w:tr>
            <w:tr w14:paraId="46B9DD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vMerge w:val="continue"/>
                  <w:tcBorders>
                    <w:tl2br w:val="nil"/>
                    <w:tr2bl w:val="nil"/>
                  </w:tcBorders>
                  <w:noWrap w:val="0"/>
                  <w:vAlign w:val="center"/>
                </w:tcPr>
                <w:p w14:paraId="6F19F936">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p>
              </w:tc>
              <w:tc>
                <w:tcPr>
                  <w:tcW w:w="1548" w:type="pct"/>
                  <w:tcBorders>
                    <w:tl2br w:val="nil"/>
                    <w:tr2bl w:val="nil"/>
                  </w:tcBorders>
                  <w:noWrap w:val="0"/>
                  <w:vAlign w:val="center"/>
                </w:tcPr>
                <w:p w14:paraId="1DFBEC5E">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24h平均第98百分位数</w:t>
                  </w:r>
                </w:p>
              </w:tc>
              <w:tc>
                <w:tcPr>
                  <w:tcW w:w="647" w:type="pct"/>
                  <w:tcBorders>
                    <w:tl2br w:val="nil"/>
                    <w:tr2bl w:val="nil"/>
                  </w:tcBorders>
                  <w:noWrap w:val="0"/>
                  <w:vAlign w:val="center"/>
                </w:tcPr>
                <w:p w14:paraId="299888A4">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53</w:t>
                  </w:r>
                </w:p>
              </w:tc>
              <w:tc>
                <w:tcPr>
                  <w:tcW w:w="886" w:type="pct"/>
                  <w:tcBorders>
                    <w:tl2br w:val="nil"/>
                    <w:tr2bl w:val="nil"/>
                  </w:tcBorders>
                  <w:noWrap w:val="0"/>
                  <w:vAlign w:val="center"/>
                </w:tcPr>
                <w:p w14:paraId="5BDE20AE">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80</w:t>
                  </w:r>
                </w:p>
              </w:tc>
              <w:tc>
                <w:tcPr>
                  <w:tcW w:w="624" w:type="pct"/>
                  <w:tcBorders>
                    <w:tl2br w:val="nil"/>
                    <w:tr2bl w:val="nil"/>
                  </w:tcBorders>
                  <w:noWrap w:val="0"/>
                  <w:vAlign w:val="center"/>
                </w:tcPr>
                <w:p w14:paraId="1C458FDA">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66.3</w:t>
                  </w:r>
                </w:p>
              </w:tc>
              <w:tc>
                <w:tcPr>
                  <w:tcW w:w="654" w:type="pct"/>
                  <w:tcBorders>
                    <w:tl2br w:val="nil"/>
                    <w:tr2bl w:val="nil"/>
                  </w:tcBorders>
                  <w:noWrap w:val="0"/>
                  <w:vAlign w:val="center"/>
                </w:tcPr>
                <w:p w14:paraId="4C5146F3">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达标</w:t>
                  </w:r>
                </w:p>
              </w:tc>
            </w:tr>
            <w:tr w14:paraId="617388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tcBorders>
                    <w:tl2br w:val="nil"/>
                    <w:tr2bl w:val="nil"/>
                  </w:tcBorders>
                  <w:noWrap w:val="0"/>
                  <w:vAlign w:val="center"/>
                </w:tcPr>
                <w:p w14:paraId="245C6DD5">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CO(mg/m</w:t>
                  </w:r>
                  <w:r>
                    <w:rPr>
                      <w:rFonts w:hint="eastAsia" w:ascii="Times New Roman" w:hAnsi="Times New Roman" w:eastAsia="宋体" w:cs="Times New Roman"/>
                      <w:color w:val="auto"/>
                      <w:sz w:val="21"/>
                      <w:szCs w:val="21"/>
                      <w:vertAlign w:val="superscript"/>
                      <w:lang w:val="en-US" w:eastAsia="zh-CN"/>
                    </w:rPr>
                    <w:t>3)</w:t>
                  </w:r>
                </w:p>
              </w:tc>
              <w:tc>
                <w:tcPr>
                  <w:tcW w:w="1548" w:type="pct"/>
                  <w:tcBorders>
                    <w:tl2br w:val="nil"/>
                    <w:tr2bl w:val="nil"/>
                  </w:tcBorders>
                  <w:noWrap w:val="0"/>
                  <w:vAlign w:val="center"/>
                </w:tcPr>
                <w:p w14:paraId="6625C3E8">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24h平均第95百分位数</w:t>
                  </w:r>
                </w:p>
              </w:tc>
              <w:tc>
                <w:tcPr>
                  <w:tcW w:w="647" w:type="pct"/>
                  <w:tcBorders>
                    <w:tl2br w:val="nil"/>
                    <w:tr2bl w:val="nil"/>
                  </w:tcBorders>
                  <w:noWrap w:val="0"/>
                  <w:vAlign w:val="center"/>
                </w:tcPr>
                <w:p w14:paraId="0270547E">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1.2</w:t>
                  </w:r>
                </w:p>
              </w:tc>
              <w:tc>
                <w:tcPr>
                  <w:tcW w:w="886" w:type="pct"/>
                  <w:tcBorders>
                    <w:tl2br w:val="nil"/>
                    <w:tr2bl w:val="nil"/>
                  </w:tcBorders>
                  <w:noWrap w:val="0"/>
                  <w:vAlign w:val="center"/>
                </w:tcPr>
                <w:p w14:paraId="0ED3C71C">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w:t>
                  </w:r>
                </w:p>
              </w:tc>
              <w:tc>
                <w:tcPr>
                  <w:tcW w:w="624" w:type="pct"/>
                  <w:tcBorders>
                    <w:tl2br w:val="nil"/>
                    <w:tr2bl w:val="nil"/>
                  </w:tcBorders>
                  <w:noWrap w:val="0"/>
                  <w:vAlign w:val="center"/>
                </w:tcPr>
                <w:p w14:paraId="0BA45A01">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0.3</w:t>
                  </w:r>
                </w:p>
              </w:tc>
              <w:tc>
                <w:tcPr>
                  <w:tcW w:w="654" w:type="pct"/>
                  <w:tcBorders>
                    <w:tl2br w:val="nil"/>
                    <w:tr2bl w:val="nil"/>
                  </w:tcBorders>
                  <w:noWrap w:val="0"/>
                  <w:vAlign w:val="center"/>
                </w:tcPr>
                <w:p w14:paraId="0FCF66BF">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达标</w:t>
                  </w:r>
                </w:p>
              </w:tc>
            </w:tr>
            <w:tr w14:paraId="4E89EB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tcBorders>
                    <w:tl2br w:val="nil"/>
                    <w:tr2bl w:val="nil"/>
                  </w:tcBorders>
                  <w:noWrap w:val="0"/>
                  <w:vAlign w:val="center"/>
                </w:tcPr>
                <w:p w14:paraId="2DF1130D">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O</w:t>
                  </w:r>
                  <w:r>
                    <w:rPr>
                      <w:rFonts w:hint="eastAsia" w:ascii="Times New Roman" w:hAnsi="Times New Roman" w:eastAsia="宋体" w:cs="Times New Roman"/>
                      <w:color w:val="auto"/>
                      <w:sz w:val="21"/>
                      <w:szCs w:val="21"/>
                      <w:vertAlign w:val="subscript"/>
                      <w:lang w:val="en-US" w:eastAsia="zh-CN"/>
                    </w:rPr>
                    <w:t>3</w:t>
                  </w:r>
                </w:p>
              </w:tc>
              <w:tc>
                <w:tcPr>
                  <w:tcW w:w="1548" w:type="pct"/>
                  <w:tcBorders>
                    <w:tl2br w:val="nil"/>
                    <w:tr2bl w:val="nil"/>
                  </w:tcBorders>
                  <w:noWrap w:val="0"/>
                  <w:vAlign w:val="center"/>
                </w:tcPr>
                <w:p w14:paraId="5A556434">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最大8小时滑动平均值的第90百分位数</w:t>
                  </w:r>
                </w:p>
              </w:tc>
              <w:tc>
                <w:tcPr>
                  <w:tcW w:w="647" w:type="pct"/>
                  <w:tcBorders>
                    <w:tl2br w:val="nil"/>
                    <w:tr2bl w:val="nil"/>
                  </w:tcBorders>
                  <w:noWrap w:val="0"/>
                  <w:vAlign w:val="center"/>
                </w:tcPr>
                <w:p w14:paraId="69A2ACFF">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124</w:t>
                  </w:r>
                </w:p>
              </w:tc>
              <w:tc>
                <w:tcPr>
                  <w:tcW w:w="886" w:type="pct"/>
                  <w:tcBorders>
                    <w:tl2br w:val="nil"/>
                    <w:tr2bl w:val="nil"/>
                  </w:tcBorders>
                  <w:noWrap w:val="0"/>
                  <w:vAlign w:val="center"/>
                </w:tcPr>
                <w:p w14:paraId="602A8CC3">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160</w:t>
                  </w:r>
                </w:p>
              </w:tc>
              <w:tc>
                <w:tcPr>
                  <w:tcW w:w="624" w:type="pct"/>
                  <w:tcBorders>
                    <w:tl2br w:val="nil"/>
                    <w:tr2bl w:val="nil"/>
                  </w:tcBorders>
                  <w:noWrap w:val="0"/>
                  <w:vAlign w:val="center"/>
                </w:tcPr>
                <w:p w14:paraId="39222B4A">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77.5</w:t>
                  </w:r>
                </w:p>
              </w:tc>
              <w:tc>
                <w:tcPr>
                  <w:tcW w:w="654" w:type="pct"/>
                  <w:tcBorders>
                    <w:tl2br w:val="nil"/>
                    <w:tr2bl w:val="nil"/>
                  </w:tcBorders>
                  <w:noWrap w:val="0"/>
                  <w:vAlign w:val="center"/>
                </w:tcPr>
                <w:p w14:paraId="30DDC340">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达标</w:t>
                  </w:r>
                </w:p>
              </w:tc>
            </w:tr>
            <w:tr w14:paraId="72CAE4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vMerge w:val="restart"/>
                  <w:tcBorders>
                    <w:tl2br w:val="nil"/>
                    <w:tr2bl w:val="nil"/>
                  </w:tcBorders>
                  <w:noWrap w:val="0"/>
                  <w:vAlign w:val="center"/>
                </w:tcPr>
                <w:p w14:paraId="1E08B4EB">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PM</w:t>
                  </w:r>
                  <w:r>
                    <w:rPr>
                      <w:rFonts w:hint="eastAsia" w:ascii="Times New Roman" w:hAnsi="Times New Roman" w:eastAsia="宋体" w:cs="Times New Roman"/>
                      <w:color w:val="auto"/>
                      <w:sz w:val="21"/>
                      <w:szCs w:val="21"/>
                      <w:vertAlign w:val="subscript"/>
                      <w:lang w:val="en-US" w:eastAsia="zh-CN"/>
                    </w:rPr>
                    <w:t>10</w:t>
                  </w:r>
                </w:p>
              </w:tc>
              <w:tc>
                <w:tcPr>
                  <w:tcW w:w="1548" w:type="pct"/>
                  <w:tcBorders>
                    <w:tl2br w:val="nil"/>
                    <w:tr2bl w:val="nil"/>
                  </w:tcBorders>
                  <w:noWrap w:val="0"/>
                  <w:vAlign w:val="center"/>
                </w:tcPr>
                <w:p w14:paraId="2AE070D0">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年平均</w:t>
                  </w:r>
                </w:p>
              </w:tc>
              <w:tc>
                <w:tcPr>
                  <w:tcW w:w="647" w:type="pct"/>
                  <w:tcBorders>
                    <w:tl2br w:val="nil"/>
                    <w:tr2bl w:val="nil"/>
                  </w:tcBorders>
                  <w:noWrap w:val="0"/>
                  <w:vAlign w:val="center"/>
                </w:tcPr>
                <w:p w14:paraId="0F3F14F9">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104</w:t>
                  </w:r>
                </w:p>
              </w:tc>
              <w:tc>
                <w:tcPr>
                  <w:tcW w:w="886" w:type="pct"/>
                  <w:tcBorders>
                    <w:tl2br w:val="nil"/>
                    <w:tr2bl w:val="nil"/>
                  </w:tcBorders>
                  <w:noWrap w:val="0"/>
                  <w:vAlign w:val="center"/>
                </w:tcPr>
                <w:p w14:paraId="27237EF9">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60</w:t>
                  </w:r>
                </w:p>
              </w:tc>
              <w:tc>
                <w:tcPr>
                  <w:tcW w:w="624" w:type="pct"/>
                  <w:tcBorders>
                    <w:tl2br w:val="nil"/>
                    <w:tr2bl w:val="nil"/>
                  </w:tcBorders>
                  <w:noWrap w:val="0"/>
                  <w:vAlign w:val="center"/>
                </w:tcPr>
                <w:p w14:paraId="15F04BC1">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173.3</w:t>
                  </w:r>
                </w:p>
              </w:tc>
              <w:tc>
                <w:tcPr>
                  <w:tcW w:w="654" w:type="pct"/>
                  <w:tcBorders>
                    <w:tl2br w:val="nil"/>
                    <w:tr2bl w:val="nil"/>
                  </w:tcBorders>
                  <w:noWrap w:val="0"/>
                  <w:vAlign w:val="center"/>
                </w:tcPr>
                <w:p w14:paraId="047B9C10">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不达标</w:t>
                  </w:r>
                </w:p>
              </w:tc>
            </w:tr>
            <w:tr w14:paraId="30CB74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vMerge w:val="continue"/>
                  <w:tcBorders>
                    <w:tl2br w:val="nil"/>
                    <w:tr2bl w:val="nil"/>
                  </w:tcBorders>
                  <w:noWrap w:val="0"/>
                  <w:vAlign w:val="center"/>
                </w:tcPr>
                <w:p w14:paraId="18614002">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p>
              </w:tc>
              <w:tc>
                <w:tcPr>
                  <w:tcW w:w="1548" w:type="pct"/>
                  <w:tcBorders>
                    <w:tl2br w:val="nil"/>
                    <w:tr2bl w:val="nil"/>
                  </w:tcBorders>
                  <w:noWrap w:val="0"/>
                  <w:vAlign w:val="center"/>
                </w:tcPr>
                <w:p w14:paraId="74995653">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24h平均第95百分位数</w:t>
                  </w:r>
                </w:p>
              </w:tc>
              <w:tc>
                <w:tcPr>
                  <w:tcW w:w="647" w:type="pct"/>
                  <w:tcBorders>
                    <w:tl2br w:val="nil"/>
                    <w:tr2bl w:val="nil"/>
                  </w:tcBorders>
                  <w:noWrap w:val="0"/>
                  <w:vAlign w:val="center"/>
                </w:tcPr>
                <w:p w14:paraId="0E0A9CF5">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294</w:t>
                  </w:r>
                </w:p>
              </w:tc>
              <w:tc>
                <w:tcPr>
                  <w:tcW w:w="886" w:type="pct"/>
                  <w:tcBorders>
                    <w:tl2br w:val="nil"/>
                    <w:tr2bl w:val="nil"/>
                  </w:tcBorders>
                  <w:noWrap w:val="0"/>
                  <w:vAlign w:val="center"/>
                </w:tcPr>
                <w:p w14:paraId="2FE58ED2">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120</w:t>
                  </w:r>
                </w:p>
              </w:tc>
              <w:tc>
                <w:tcPr>
                  <w:tcW w:w="624" w:type="pct"/>
                  <w:tcBorders>
                    <w:tl2br w:val="nil"/>
                    <w:tr2bl w:val="nil"/>
                  </w:tcBorders>
                  <w:noWrap w:val="0"/>
                  <w:vAlign w:val="center"/>
                </w:tcPr>
                <w:p w14:paraId="0637F95A">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245.0</w:t>
                  </w:r>
                </w:p>
              </w:tc>
              <w:tc>
                <w:tcPr>
                  <w:tcW w:w="654" w:type="pct"/>
                  <w:tcBorders>
                    <w:tl2br w:val="nil"/>
                    <w:tr2bl w:val="nil"/>
                  </w:tcBorders>
                  <w:noWrap w:val="0"/>
                  <w:vAlign w:val="center"/>
                </w:tcPr>
                <w:p w14:paraId="0405A6FA">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不达标</w:t>
                  </w:r>
                </w:p>
              </w:tc>
            </w:tr>
            <w:tr w14:paraId="149DB5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vMerge w:val="restart"/>
                  <w:tcBorders>
                    <w:tl2br w:val="nil"/>
                    <w:tr2bl w:val="nil"/>
                  </w:tcBorders>
                  <w:noWrap w:val="0"/>
                  <w:vAlign w:val="center"/>
                </w:tcPr>
                <w:p w14:paraId="7436BF7E">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PM</w:t>
                  </w:r>
                  <w:r>
                    <w:rPr>
                      <w:rFonts w:hint="eastAsia" w:ascii="Times New Roman" w:hAnsi="Times New Roman" w:eastAsia="宋体" w:cs="Times New Roman"/>
                      <w:color w:val="auto"/>
                      <w:sz w:val="21"/>
                      <w:szCs w:val="21"/>
                      <w:vertAlign w:val="subscript"/>
                      <w:lang w:val="en-US" w:eastAsia="zh-CN"/>
                    </w:rPr>
                    <w:t>2.5</w:t>
                  </w:r>
                </w:p>
              </w:tc>
              <w:tc>
                <w:tcPr>
                  <w:tcW w:w="1548" w:type="pct"/>
                  <w:tcBorders>
                    <w:tl2br w:val="nil"/>
                    <w:tr2bl w:val="nil"/>
                  </w:tcBorders>
                  <w:noWrap w:val="0"/>
                  <w:vAlign w:val="center"/>
                </w:tcPr>
                <w:p w14:paraId="6C98F5E1">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年平均</w:t>
                  </w:r>
                </w:p>
              </w:tc>
              <w:tc>
                <w:tcPr>
                  <w:tcW w:w="647" w:type="pct"/>
                  <w:tcBorders>
                    <w:tl2br w:val="nil"/>
                    <w:tr2bl w:val="nil"/>
                  </w:tcBorders>
                  <w:noWrap w:val="0"/>
                  <w:vAlign w:val="center"/>
                </w:tcPr>
                <w:p w14:paraId="76ACBB9A">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35</w:t>
                  </w:r>
                </w:p>
              </w:tc>
              <w:tc>
                <w:tcPr>
                  <w:tcW w:w="886" w:type="pct"/>
                  <w:tcBorders>
                    <w:tl2br w:val="nil"/>
                    <w:tr2bl w:val="nil"/>
                  </w:tcBorders>
                  <w:noWrap w:val="0"/>
                  <w:vAlign w:val="center"/>
                </w:tcPr>
                <w:p w14:paraId="3BF6800A">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30</w:t>
                  </w:r>
                </w:p>
              </w:tc>
              <w:tc>
                <w:tcPr>
                  <w:tcW w:w="624" w:type="pct"/>
                  <w:tcBorders>
                    <w:tl2br w:val="nil"/>
                    <w:tr2bl w:val="nil"/>
                  </w:tcBorders>
                  <w:noWrap w:val="0"/>
                  <w:vAlign w:val="center"/>
                </w:tcPr>
                <w:p w14:paraId="02202FC9">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116.7</w:t>
                  </w:r>
                </w:p>
              </w:tc>
              <w:tc>
                <w:tcPr>
                  <w:tcW w:w="654" w:type="pct"/>
                  <w:tcBorders>
                    <w:tl2br w:val="nil"/>
                    <w:tr2bl w:val="nil"/>
                  </w:tcBorders>
                  <w:noWrap w:val="0"/>
                  <w:vAlign w:val="center"/>
                </w:tcPr>
                <w:p w14:paraId="0E10B746">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不达标</w:t>
                  </w:r>
                </w:p>
              </w:tc>
            </w:tr>
            <w:tr w14:paraId="1FF163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8" w:type="pct"/>
                  <w:vMerge w:val="continue"/>
                  <w:tcBorders>
                    <w:tl2br w:val="nil"/>
                    <w:tr2bl w:val="nil"/>
                  </w:tcBorders>
                  <w:noWrap w:val="0"/>
                  <w:vAlign w:val="center"/>
                </w:tcPr>
                <w:p w14:paraId="790B4BFB">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p>
              </w:tc>
              <w:tc>
                <w:tcPr>
                  <w:tcW w:w="1548" w:type="pct"/>
                  <w:tcBorders>
                    <w:tl2br w:val="nil"/>
                    <w:tr2bl w:val="nil"/>
                  </w:tcBorders>
                  <w:noWrap w:val="0"/>
                  <w:vAlign w:val="center"/>
                </w:tcPr>
                <w:p w14:paraId="7D90BB66">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24h平均第95百分位数</w:t>
                  </w:r>
                </w:p>
              </w:tc>
              <w:tc>
                <w:tcPr>
                  <w:tcW w:w="647" w:type="pct"/>
                  <w:tcBorders>
                    <w:tl2br w:val="nil"/>
                    <w:tr2bl w:val="nil"/>
                  </w:tcBorders>
                  <w:noWrap w:val="0"/>
                  <w:vAlign w:val="center"/>
                </w:tcPr>
                <w:p w14:paraId="5D092B42">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89</w:t>
                  </w:r>
                </w:p>
              </w:tc>
              <w:tc>
                <w:tcPr>
                  <w:tcW w:w="886" w:type="pct"/>
                  <w:tcBorders>
                    <w:tl2br w:val="nil"/>
                    <w:tr2bl w:val="nil"/>
                  </w:tcBorders>
                  <w:noWrap w:val="0"/>
                  <w:vAlign w:val="center"/>
                </w:tcPr>
                <w:p w14:paraId="749C8AE1">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60</w:t>
                  </w:r>
                </w:p>
              </w:tc>
              <w:tc>
                <w:tcPr>
                  <w:tcW w:w="624" w:type="pct"/>
                  <w:tcBorders>
                    <w:tl2br w:val="nil"/>
                    <w:tr2bl w:val="nil"/>
                  </w:tcBorders>
                  <w:noWrap w:val="0"/>
                  <w:vAlign w:val="center"/>
                </w:tcPr>
                <w:p w14:paraId="3B34B0B6">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148.3</w:t>
                  </w:r>
                </w:p>
              </w:tc>
              <w:tc>
                <w:tcPr>
                  <w:tcW w:w="654" w:type="pct"/>
                  <w:tcBorders>
                    <w:tl2br w:val="nil"/>
                    <w:tr2bl w:val="nil"/>
                  </w:tcBorders>
                  <w:noWrap w:val="0"/>
                  <w:vAlign w:val="center"/>
                </w:tcPr>
                <w:p w14:paraId="3C8C2653">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不达标</w:t>
                  </w:r>
                </w:p>
              </w:tc>
            </w:tr>
          </w:tbl>
          <w:p w14:paraId="27B812DC">
            <w:pPr>
              <w:spacing w:before="120" w:beforeLines="50" w:line="360" w:lineRule="auto"/>
              <w:ind w:firstLine="480" w:firstLineChars="200"/>
              <w:rPr>
                <w:color w:val="auto"/>
                <w:sz w:val="24"/>
              </w:rPr>
            </w:pPr>
            <w:r>
              <w:rPr>
                <w:rFonts w:hint="default" w:ascii="Times New Roman" w:hAnsi="Times New Roman" w:eastAsia="宋体" w:cs="Times New Roman"/>
                <w:b w:val="0"/>
                <w:bCs/>
                <w:color w:val="auto"/>
                <w:sz w:val="24"/>
                <w:szCs w:val="24"/>
                <w:highlight w:val="none"/>
              </w:rPr>
              <w:t>根据上表基本污染物的年评价指标的分析结果，</w:t>
            </w:r>
            <w:r>
              <w:rPr>
                <w:rFonts w:hint="eastAsia" w:ascii="Times New Roman" w:hAnsi="Times New Roman" w:eastAsia="宋体" w:cs="Times New Roman"/>
                <w:b w:val="0"/>
                <w:bCs/>
                <w:color w:val="auto"/>
                <w:sz w:val="24"/>
                <w:szCs w:val="24"/>
                <w:highlight w:val="none"/>
                <w:lang w:val="en-US" w:eastAsia="zh-CN"/>
              </w:rPr>
              <w:t>项目SO</w:t>
            </w:r>
            <w:r>
              <w:rPr>
                <w:rFonts w:hint="eastAsia" w:ascii="Times New Roman" w:hAnsi="Times New Roman" w:eastAsia="宋体" w:cs="Times New Roman"/>
                <w:b w:val="0"/>
                <w:bCs/>
                <w:color w:val="auto"/>
                <w:sz w:val="24"/>
                <w:szCs w:val="24"/>
                <w:highlight w:val="none"/>
                <w:vertAlign w:val="subscript"/>
                <w:lang w:val="en-US" w:eastAsia="zh-CN"/>
              </w:rPr>
              <w:t>2</w:t>
            </w:r>
            <w:r>
              <w:rPr>
                <w:rFonts w:hint="eastAsia" w:ascii="Times New Roman" w:hAnsi="Times New Roman" w:eastAsia="宋体" w:cs="Times New Roman"/>
                <w:b w:val="0"/>
                <w:bCs/>
                <w:color w:val="auto"/>
                <w:sz w:val="24"/>
                <w:szCs w:val="24"/>
                <w:highlight w:val="none"/>
                <w:lang w:val="en-US" w:eastAsia="zh-CN"/>
              </w:rPr>
              <w:t>，NO</w:t>
            </w:r>
            <w:r>
              <w:rPr>
                <w:rFonts w:hint="eastAsia" w:ascii="Times New Roman" w:hAnsi="Times New Roman" w:eastAsia="宋体" w:cs="Times New Roman"/>
                <w:b w:val="0"/>
                <w:bCs/>
                <w:color w:val="auto"/>
                <w:sz w:val="24"/>
                <w:szCs w:val="24"/>
                <w:highlight w:val="none"/>
                <w:vertAlign w:val="subscript"/>
                <w:lang w:val="en-US" w:eastAsia="zh-CN"/>
              </w:rPr>
              <w:t>2</w:t>
            </w:r>
            <w:r>
              <w:rPr>
                <w:rFonts w:hint="eastAsia" w:ascii="Times New Roman" w:hAnsi="Times New Roman" w:eastAsia="宋体" w:cs="Times New Roman"/>
                <w:b w:val="0"/>
                <w:bCs/>
                <w:color w:val="auto"/>
                <w:sz w:val="24"/>
                <w:szCs w:val="24"/>
                <w:highlight w:val="none"/>
                <w:lang w:val="en-US" w:eastAsia="zh-CN"/>
              </w:rPr>
              <w:t>，CO，O</w:t>
            </w:r>
            <w:r>
              <w:rPr>
                <w:rFonts w:hint="eastAsia" w:ascii="Times New Roman" w:hAnsi="Times New Roman" w:eastAsia="宋体" w:cs="Times New Roman"/>
                <w:b w:val="0"/>
                <w:bCs/>
                <w:color w:val="auto"/>
                <w:sz w:val="24"/>
                <w:szCs w:val="24"/>
                <w:highlight w:val="none"/>
                <w:vertAlign w:val="subscript"/>
                <w:lang w:val="en-US" w:eastAsia="zh-CN"/>
              </w:rPr>
              <w:t>3</w:t>
            </w:r>
            <w:r>
              <w:rPr>
                <w:rFonts w:hint="eastAsia" w:ascii="Times New Roman" w:hAnsi="Times New Roman" w:eastAsia="宋体" w:cs="Times New Roman"/>
                <w:b w:val="0"/>
                <w:bCs/>
                <w:color w:val="auto"/>
                <w:sz w:val="24"/>
                <w:szCs w:val="24"/>
                <w:highlight w:val="none"/>
                <w:lang w:val="en-US" w:eastAsia="zh-CN"/>
              </w:rPr>
              <w:t>均值达到</w:t>
            </w:r>
            <w:r>
              <w:rPr>
                <w:rFonts w:hint="eastAsia"/>
                <w:color w:val="auto"/>
                <w:sz w:val="24"/>
                <w:szCs w:val="24"/>
                <w:highlight w:val="none"/>
                <w:lang w:val="en-US" w:eastAsia="zh-CN"/>
              </w:rPr>
              <w:t>《环境空气质量标准》（GB3095-2026）过渡阶段浓度限值中二级标准</w:t>
            </w:r>
            <w:r>
              <w:rPr>
                <w:rFonts w:hint="eastAsia" w:ascii="Times New Roman" w:hAnsi="Times New Roman" w:eastAsia="宋体" w:cs="Times New Roman"/>
                <w:b w:val="0"/>
                <w:bCs/>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rPr>
              <w:t>项目所在区域PM</w:t>
            </w:r>
            <w:r>
              <w:rPr>
                <w:rFonts w:hint="default" w:ascii="Times New Roman" w:hAnsi="Times New Roman" w:eastAsia="宋体" w:cs="Times New Roman"/>
                <w:b w:val="0"/>
                <w:bCs/>
                <w:color w:val="auto"/>
                <w:sz w:val="24"/>
                <w:szCs w:val="24"/>
                <w:highlight w:val="none"/>
                <w:vertAlign w:val="subscript"/>
                <w:lang w:val="en-US" w:eastAsia="zh-CN"/>
              </w:rPr>
              <w:t>2.5</w:t>
            </w:r>
            <w:r>
              <w:rPr>
                <w:rFonts w:hint="default" w:ascii="Times New Roman" w:hAnsi="Times New Roman" w:eastAsia="宋体" w:cs="Times New Roman"/>
                <w:b w:val="0"/>
                <w:bCs/>
                <w:color w:val="auto"/>
                <w:sz w:val="24"/>
                <w:szCs w:val="24"/>
                <w:highlight w:val="none"/>
              </w:rPr>
              <w:t>、PM</w:t>
            </w:r>
            <w:r>
              <w:rPr>
                <w:rFonts w:hint="default" w:ascii="Times New Roman" w:hAnsi="Times New Roman" w:eastAsia="宋体" w:cs="Times New Roman"/>
                <w:b w:val="0"/>
                <w:bCs/>
                <w:color w:val="auto"/>
                <w:sz w:val="24"/>
                <w:szCs w:val="24"/>
                <w:highlight w:val="none"/>
                <w:vertAlign w:val="subscript"/>
                <w:lang w:val="en-US" w:eastAsia="zh-CN"/>
              </w:rPr>
              <w:t>10</w:t>
            </w:r>
            <w:r>
              <w:rPr>
                <w:rFonts w:hint="default" w:ascii="Times New Roman" w:hAnsi="Times New Roman" w:eastAsia="宋体" w:cs="Times New Roman"/>
                <w:b w:val="0"/>
                <w:bCs/>
                <w:color w:val="auto"/>
                <w:sz w:val="24"/>
                <w:szCs w:val="24"/>
                <w:highlight w:val="none"/>
              </w:rPr>
              <w:t>日均浓度和年均浓度均超标，超标原因主要是由于</w:t>
            </w:r>
            <w:r>
              <w:rPr>
                <w:rFonts w:hint="eastAsia" w:ascii="Times New Roman" w:hAnsi="Times New Roman" w:eastAsia="宋体" w:cs="Times New Roman"/>
                <w:b w:val="0"/>
                <w:bCs/>
                <w:color w:val="auto"/>
                <w:sz w:val="24"/>
                <w:szCs w:val="24"/>
                <w:highlight w:val="none"/>
                <w:lang w:eastAsia="zh-CN"/>
              </w:rPr>
              <w:t>项目</w:t>
            </w:r>
            <w:r>
              <w:rPr>
                <w:rFonts w:hint="default" w:ascii="Times New Roman" w:hAnsi="Times New Roman" w:eastAsia="宋体" w:cs="Times New Roman"/>
                <w:b w:val="0"/>
                <w:bCs/>
                <w:color w:val="auto"/>
                <w:sz w:val="24"/>
                <w:szCs w:val="24"/>
                <w:highlight w:val="none"/>
              </w:rPr>
              <w:t>地处南疆</w:t>
            </w:r>
            <w:r>
              <w:rPr>
                <w:rFonts w:hint="default" w:ascii="Times New Roman" w:hAnsi="Times New Roman" w:eastAsia="宋体"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rPr>
              <w:t>位于沙漠边缘，背景因素所致。因此，项目所在区域为不达标区域</w:t>
            </w:r>
            <w:r>
              <w:rPr>
                <w:color w:val="auto"/>
                <w:sz w:val="24"/>
              </w:rPr>
              <w:t>。</w:t>
            </w:r>
          </w:p>
          <w:p w14:paraId="5E2E3E65">
            <w:pPr>
              <w:widowControl/>
              <w:spacing w:line="360" w:lineRule="auto"/>
              <w:rPr>
                <w:b/>
                <w:color w:val="000000"/>
                <w:kern w:val="0"/>
                <w:sz w:val="24"/>
              </w:rPr>
            </w:pPr>
            <w:r>
              <w:rPr>
                <w:b/>
                <w:color w:val="000000"/>
                <w:kern w:val="0"/>
                <w:sz w:val="24"/>
              </w:rPr>
              <w:t>二、地表水环境质量现状</w:t>
            </w:r>
          </w:p>
          <w:p w14:paraId="1DF06383">
            <w:pPr>
              <w:spacing w:line="360" w:lineRule="auto"/>
              <w:ind w:firstLine="480" w:firstLineChars="200"/>
              <w:rPr>
                <w:rFonts w:hint="default" w:asciiTheme="minorAscii" w:hAnsiTheme="minorAscii" w:eastAsiaTheme="minorEastAsia" w:cstheme="minorEastAsia"/>
                <w:bCs/>
                <w:sz w:val="24"/>
                <w:lang w:val="en-US" w:eastAsia="zh-CN"/>
              </w:rPr>
            </w:pPr>
            <w:r>
              <w:rPr>
                <w:rFonts w:hint="default" w:asciiTheme="minorAscii" w:hAnsiTheme="minorAscii" w:eastAsiaTheme="minorEastAsia" w:cstheme="minorEastAsia"/>
                <w:bCs/>
                <w:sz w:val="24"/>
              </w:rPr>
              <w:t>根据巴州人民政府发布的</w:t>
            </w:r>
            <w:r>
              <w:rPr>
                <w:rFonts w:hint="default" w:asciiTheme="minorAscii" w:hAnsiTheme="minorAscii" w:eastAsiaTheme="minorEastAsia" w:cstheme="minorEastAsia"/>
                <w:bCs/>
                <w:color w:val="000000"/>
                <w:sz w:val="24"/>
              </w:rPr>
              <w:t>《20</w:t>
            </w:r>
            <w:r>
              <w:rPr>
                <w:rFonts w:hint="default" w:asciiTheme="minorAscii" w:hAnsiTheme="minorAscii" w:eastAsiaTheme="minorEastAsia" w:cstheme="minorEastAsia"/>
                <w:bCs/>
                <w:color w:val="000000"/>
                <w:sz w:val="24"/>
                <w:lang w:val="en-US" w:eastAsia="zh-CN"/>
              </w:rPr>
              <w:t>24</w:t>
            </w:r>
            <w:r>
              <w:rPr>
                <w:rFonts w:hint="default" w:asciiTheme="minorAscii" w:hAnsiTheme="minorAscii" w:eastAsiaTheme="minorEastAsia" w:cstheme="minorEastAsia"/>
                <w:bCs/>
                <w:color w:val="000000"/>
                <w:sz w:val="24"/>
              </w:rPr>
              <w:t>年巴音郭楞蒙古自治州环境状况公报</w:t>
            </w:r>
            <w:r>
              <w:rPr>
                <w:rFonts w:hint="default" w:asciiTheme="minorAscii" w:hAnsiTheme="minorAscii" w:eastAsiaTheme="minorEastAsia" w:cstheme="minorEastAsia"/>
                <w:bCs/>
                <w:sz w:val="24"/>
              </w:rPr>
              <w:t>》</w:t>
            </w:r>
            <w:r>
              <w:rPr>
                <w:rFonts w:hint="default" w:asciiTheme="minorAscii" w:hAnsiTheme="minorAscii" w:eastAsiaTheme="minorEastAsia" w:cstheme="minorEastAsia"/>
                <w:bCs/>
                <w:sz w:val="24"/>
                <w:lang w:eastAsia="zh-CN"/>
              </w:rPr>
              <w:t>：</w:t>
            </w:r>
            <w:r>
              <w:rPr>
                <w:rFonts w:hint="default" w:asciiTheme="minorAscii" w:hAnsiTheme="minorAscii" w:eastAsiaTheme="minorEastAsia" w:cstheme="minorEastAsia"/>
                <w:bCs/>
                <w:sz w:val="24"/>
                <w:lang w:val="en-US" w:eastAsia="zh-CN"/>
              </w:rPr>
              <w:t>开都河2024年开都河水质为优，5个监测断面中，I~Ⅲ类水质断面占100%，与2023年相比无变化。</w:t>
            </w:r>
          </w:p>
          <w:p w14:paraId="6B2E5510">
            <w:pPr>
              <w:spacing w:line="360" w:lineRule="auto"/>
              <w:ind w:firstLine="480" w:firstLineChars="200"/>
              <w:rPr>
                <w:rFonts w:hint="default" w:asciiTheme="minorAscii" w:hAnsiTheme="minorAscii" w:eastAsiaTheme="minorEastAsia" w:cstheme="minorEastAsia"/>
                <w:bCs/>
                <w:sz w:val="24"/>
              </w:rPr>
            </w:pPr>
            <w:r>
              <w:rPr>
                <w:rFonts w:hint="default" w:asciiTheme="minorAscii" w:hAnsiTheme="minorAscii" w:eastAsiaTheme="minorEastAsia" w:cstheme="minorEastAsia"/>
                <w:bCs/>
                <w:sz w:val="24"/>
              </w:rPr>
              <w:t>项目所在地最近地表水体开都河</w:t>
            </w:r>
            <w:r>
              <w:rPr>
                <w:rFonts w:hint="default" w:asciiTheme="minorAscii" w:hAnsiTheme="minorAscii" w:eastAsiaTheme="minorEastAsia" w:cstheme="minorEastAsia"/>
                <w:bCs/>
                <w:sz w:val="24"/>
                <w:lang w:eastAsia="zh-CN"/>
              </w:rPr>
              <w:t>（</w:t>
            </w:r>
            <w:r>
              <w:rPr>
                <w:rFonts w:hint="default" w:asciiTheme="minorAscii" w:hAnsiTheme="minorAscii" w:eastAsiaTheme="minorEastAsia" w:cstheme="minorEastAsia"/>
                <w:bCs/>
                <w:sz w:val="24"/>
                <w:lang w:val="en-US" w:eastAsia="zh-CN"/>
              </w:rPr>
              <w:t>西南侧距离约390m）</w:t>
            </w:r>
            <w:r>
              <w:rPr>
                <w:rFonts w:hint="default" w:asciiTheme="minorAscii" w:hAnsiTheme="minorAscii" w:eastAsiaTheme="minorEastAsia" w:cstheme="minorEastAsia"/>
                <w:kern w:val="0"/>
                <w:sz w:val="24"/>
                <w:szCs w:val="24"/>
                <w:lang w:val="en-US" w:eastAsia="zh-CN"/>
              </w:rPr>
              <w:t>，开都河执行《地表水环境质量标准》（GB3838-2002）I类标准，开都河水环境质量满足I类标准</w:t>
            </w:r>
            <w:r>
              <w:rPr>
                <w:rFonts w:hint="default" w:asciiTheme="minorAscii" w:hAnsiTheme="minorAscii" w:eastAsiaTheme="minorEastAsia" w:cstheme="minorEastAsia"/>
                <w:bCs/>
                <w:sz w:val="24"/>
              </w:rPr>
              <w:t>。</w:t>
            </w:r>
          </w:p>
          <w:p w14:paraId="34E97227">
            <w:pPr>
              <w:spacing w:line="360" w:lineRule="auto"/>
              <w:rPr>
                <w:rFonts w:hint="eastAsia" w:ascii="宋体" w:hAnsi="宋体" w:eastAsia="宋体" w:cs="宋体"/>
                <w:b/>
                <w:bCs/>
                <w:color w:val="auto"/>
                <w:sz w:val="24"/>
              </w:rPr>
            </w:pPr>
            <w:bookmarkStart w:id="5" w:name="_Toc329596227"/>
            <w:r>
              <w:rPr>
                <w:rFonts w:hint="eastAsia" w:ascii="宋体" w:hAnsi="宋体" w:cs="宋体"/>
                <w:b/>
                <w:bCs/>
                <w:color w:val="auto"/>
                <w:sz w:val="24"/>
                <w:lang w:val="en-US" w:eastAsia="zh-CN"/>
              </w:rPr>
              <w:t>三、</w:t>
            </w:r>
            <w:r>
              <w:rPr>
                <w:rFonts w:hint="eastAsia" w:ascii="宋体" w:hAnsi="宋体" w:eastAsia="宋体" w:cs="宋体"/>
                <w:b/>
                <w:color w:val="auto"/>
                <w:sz w:val="24"/>
              </w:rPr>
              <w:t>声环境状况调查与评价</w:t>
            </w:r>
          </w:p>
          <w:bookmarkEnd w:id="5"/>
          <w:p w14:paraId="5A3DC835">
            <w:pPr>
              <w:spacing w:line="360" w:lineRule="auto"/>
              <w:ind w:firstLine="480" w:firstLineChars="200"/>
              <w:rPr>
                <w:rFonts w:hint="eastAsia"/>
                <w:b/>
                <w:color w:val="auto"/>
                <w:kern w:val="0"/>
                <w:sz w:val="24"/>
              </w:rPr>
            </w:pPr>
            <w:r>
              <w:rPr>
                <w:rFonts w:hint="eastAsia"/>
                <w:color w:val="auto"/>
                <w:sz w:val="24"/>
              </w:rPr>
              <w:t>本项目50米范围内不涉及以居住、医疗卫生、文化教育、科研、行政办公为主要功能的区域，故不开展现状调查</w:t>
            </w:r>
            <w:r>
              <w:rPr>
                <w:color w:val="auto"/>
                <w:sz w:val="24"/>
              </w:rPr>
              <w:t>。</w:t>
            </w:r>
          </w:p>
          <w:p w14:paraId="15C7DE84">
            <w:pPr>
              <w:widowControl/>
              <w:spacing w:line="360" w:lineRule="auto"/>
              <w:rPr>
                <w:rFonts w:hint="eastAsia"/>
                <w:b/>
                <w:color w:val="auto"/>
                <w:kern w:val="0"/>
                <w:sz w:val="24"/>
              </w:rPr>
            </w:pPr>
            <w:r>
              <w:rPr>
                <w:rFonts w:hint="eastAsia"/>
                <w:b/>
                <w:color w:val="auto"/>
                <w:kern w:val="0"/>
                <w:sz w:val="24"/>
                <w:lang w:val="en-US" w:eastAsia="zh-CN"/>
              </w:rPr>
              <w:t>四</w:t>
            </w:r>
            <w:r>
              <w:rPr>
                <w:rFonts w:hint="eastAsia"/>
                <w:b/>
                <w:color w:val="auto"/>
                <w:kern w:val="0"/>
                <w:sz w:val="24"/>
              </w:rPr>
              <w:t>、地下水环境质量现状调查与评价</w:t>
            </w:r>
          </w:p>
          <w:p w14:paraId="2997ABBE">
            <w:pPr>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根据《建设项目环境影响评价报告表编制技术指南（污染影响类）（试行）》，本项目在采取防渗措施后可杜绝地下水污染途径，因此本项目不存在地下水污染途径。</w:t>
            </w:r>
          </w:p>
          <w:p w14:paraId="4A0621C8">
            <w:pPr>
              <w:spacing w:line="500" w:lineRule="exact"/>
              <w:rPr>
                <w:rFonts w:cs="Arial"/>
                <w:b/>
                <w:bCs/>
                <w:sz w:val="24"/>
                <w:szCs w:val="20"/>
              </w:rPr>
            </w:pPr>
            <w:r>
              <w:rPr>
                <w:rFonts w:hint="eastAsia" w:cs="Arial"/>
                <w:b/>
                <w:bCs/>
                <w:sz w:val="24"/>
                <w:szCs w:val="20"/>
                <w:lang w:val="en-US" w:eastAsia="zh-CN"/>
              </w:rPr>
              <w:t>五</w:t>
            </w:r>
            <w:r>
              <w:rPr>
                <w:rFonts w:cs="Arial"/>
                <w:b/>
                <w:bCs/>
                <w:sz w:val="24"/>
                <w:szCs w:val="20"/>
              </w:rPr>
              <w:t>、</w:t>
            </w:r>
            <w:r>
              <w:rPr>
                <w:rFonts w:hint="eastAsia" w:cs="Arial"/>
                <w:b/>
                <w:bCs/>
                <w:sz w:val="24"/>
                <w:szCs w:val="20"/>
              </w:rPr>
              <w:t>土壤</w:t>
            </w:r>
            <w:r>
              <w:rPr>
                <w:rFonts w:cs="Arial"/>
                <w:b/>
                <w:bCs/>
                <w:sz w:val="24"/>
                <w:szCs w:val="20"/>
              </w:rPr>
              <w:t>环境质量现状</w:t>
            </w:r>
          </w:p>
          <w:p w14:paraId="7F3AF394">
            <w:pPr>
              <w:spacing w:line="500" w:lineRule="exact"/>
              <w:ind w:firstLine="480" w:firstLineChars="200"/>
              <w:rPr>
                <w:rFonts w:hint="eastAsia"/>
                <w:bCs/>
                <w:sz w:val="24"/>
                <w:szCs w:val="20"/>
              </w:rPr>
            </w:pPr>
            <w:r>
              <w:rPr>
                <w:rFonts w:hint="eastAsia"/>
                <w:bCs/>
                <w:sz w:val="24"/>
                <w:szCs w:val="20"/>
              </w:rPr>
              <w:t>根据《建设项目环境影响评价报告表编制技术指南（污染影响类）（试行）》，本项目在采取防渗措施后可杜绝土壤污染途径，因此本项目不存在土壤污染途径。</w:t>
            </w:r>
          </w:p>
          <w:p w14:paraId="3CAC12AB">
            <w:pPr>
              <w:spacing w:line="500" w:lineRule="exact"/>
              <w:rPr>
                <w:rFonts w:hint="eastAsia"/>
                <w:b/>
                <w:bCs/>
                <w:sz w:val="24"/>
              </w:rPr>
            </w:pPr>
            <w:r>
              <w:rPr>
                <w:rFonts w:hint="eastAsia"/>
                <w:b/>
                <w:bCs/>
                <w:sz w:val="24"/>
              </w:rPr>
              <w:t>六、生态环境现状评价</w:t>
            </w:r>
          </w:p>
          <w:p w14:paraId="279EC4A9">
            <w:pPr>
              <w:spacing w:line="500" w:lineRule="exact"/>
              <w:ind w:firstLine="480" w:firstLineChars="200"/>
              <w:rPr>
                <w:rFonts w:hint="eastAsia" w:ascii="宋体" w:hAnsi="宋体" w:eastAsia="宋体" w:cs="宋体"/>
                <w:kern w:val="0"/>
                <w:szCs w:val="21"/>
                <w:lang w:val="en-US" w:eastAsia="zh-CN"/>
              </w:rPr>
            </w:pPr>
            <w:r>
              <w:rPr>
                <w:rFonts w:hint="eastAsia"/>
                <w:sz w:val="24"/>
              </w:rPr>
              <w:t>根据现场调查，本项目</w:t>
            </w:r>
            <w:r>
              <w:rPr>
                <w:rFonts w:hint="eastAsia"/>
                <w:sz w:val="24"/>
                <w:lang w:val="en-US" w:eastAsia="zh-CN"/>
              </w:rPr>
              <w:t>位于博湖县仓储物流园内</w:t>
            </w:r>
            <w:r>
              <w:rPr>
                <w:rFonts w:hint="eastAsia"/>
                <w:sz w:val="24"/>
                <w:lang w:eastAsia="zh-CN"/>
              </w:rPr>
              <w:t>，</w:t>
            </w:r>
            <w:r>
              <w:rPr>
                <w:rFonts w:hint="eastAsia"/>
                <w:sz w:val="24"/>
                <w:lang w:val="en-US" w:eastAsia="zh-CN"/>
              </w:rPr>
              <w:t>项目无新增占地，</w:t>
            </w:r>
            <w:r>
              <w:rPr>
                <w:rFonts w:hint="eastAsia"/>
                <w:sz w:val="24"/>
              </w:rPr>
              <w:t>用地范围内</w:t>
            </w:r>
            <w:r>
              <w:rPr>
                <w:rFonts w:hint="eastAsia"/>
                <w:sz w:val="24"/>
                <w:lang w:val="en-US" w:eastAsia="zh-CN"/>
              </w:rPr>
              <w:t>且</w:t>
            </w:r>
            <w:r>
              <w:rPr>
                <w:rFonts w:hint="eastAsia"/>
                <w:sz w:val="24"/>
              </w:rPr>
              <w:t>无自然保护区、</w:t>
            </w:r>
            <w:r>
              <w:rPr>
                <w:rFonts w:hint="eastAsia"/>
                <w:sz w:val="24"/>
                <w:lang w:eastAsia="zh-CN"/>
              </w:rPr>
              <w:t>其他</w:t>
            </w:r>
            <w:r>
              <w:rPr>
                <w:rFonts w:hint="eastAsia"/>
                <w:sz w:val="24"/>
              </w:rPr>
              <w:t>名胜古迹、地质遗迹、地质公园及风景旅游景点，不</w:t>
            </w:r>
            <w:r>
              <w:rPr>
                <w:rFonts w:hint="eastAsia"/>
                <w:sz w:val="24"/>
                <w:lang w:val="en-US" w:eastAsia="zh-CN"/>
              </w:rPr>
              <w:t>涉及</w:t>
            </w:r>
            <w:r>
              <w:rPr>
                <w:rFonts w:hint="eastAsia"/>
                <w:sz w:val="24"/>
              </w:rPr>
              <w:t>受影响的重要物种、生态敏感区以及其他需要保护的物种、种群、生物群落及生态空间等生态环境保护目标。根据《建设项目环境影响报告表编制技术指南（污染影响类）</w:t>
            </w:r>
            <w:r>
              <w:rPr>
                <w:rFonts w:hint="eastAsia"/>
                <w:sz w:val="24"/>
                <w:lang w:eastAsia="zh-CN"/>
              </w:rPr>
              <w:t>（试行）》</w:t>
            </w:r>
            <w:r>
              <w:rPr>
                <w:rFonts w:hint="eastAsia"/>
                <w:sz w:val="24"/>
                <w:lang w:val="en-US" w:eastAsia="zh-CN"/>
              </w:rPr>
              <w:t>依据</w:t>
            </w:r>
            <w:r>
              <w:rPr>
                <w:rFonts w:hint="eastAsia"/>
                <w:sz w:val="24"/>
              </w:rPr>
              <w:t>：项目用地范围内不含生态环境保护目标的，无需进行生态现状调查</w:t>
            </w:r>
            <w:r>
              <w:rPr>
                <w:sz w:val="24"/>
              </w:rPr>
              <w:t>。</w:t>
            </w:r>
          </w:p>
        </w:tc>
      </w:tr>
      <w:tr w14:paraId="190A8A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451" w:type="dxa"/>
            <w:noWrap w:val="0"/>
            <w:vAlign w:val="center"/>
          </w:tcPr>
          <w:p w14:paraId="4FAE4DF2">
            <w:pPr>
              <w:adjustRightInd w:val="0"/>
              <w:snapToGrid w:val="0"/>
              <w:jc w:val="center"/>
              <w:rPr>
                <w:rFonts w:hint="eastAsia" w:ascii="宋体" w:hAnsi="宋体" w:cs="宋体"/>
                <w:kern w:val="0"/>
                <w:sz w:val="24"/>
              </w:rPr>
            </w:pPr>
            <w:r>
              <w:rPr>
                <w:rFonts w:hint="eastAsia" w:ascii="宋体" w:hAnsi="宋体" w:cs="宋体"/>
                <w:kern w:val="0"/>
                <w:sz w:val="24"/>
              </w:rPr>
              <w:t>环境</w:t>
            </w:r>
          </w:p>
          <w:p w14:paraId="297411FF">
            <w:pPr>
              <w:adjustRightInd w:val="0"/>
              <w:snapToGrid w:val="0"/>
              <w:jc w:val="center"/>
              <w:rPr>
                <w:rFonts w:hint="eastAsia" w:ascii="宋体" w:hAnsi="宋体" w:cs="宋体"/>
                <w:kern w:val="0"/>
                <w:sz w:val="24"/>
              </w:rPr>
            </w:pPr>
            <w:r>
              <w:rPr>
                <w:rFonts w:hint="eastAsia" w:ascii="宋体" w:hAnsi="宋体" w:cs="宋体"/>
                <w:kern w:val="0"/>
                <w:sz w:val="24"/>
              </w:rPr>
              <w:t>保护</w:t>
            </w:r>
          </w:p>
          <w:p w14:paraId="3A3BED5B">
            <w:pPr>
              <w:adjustRightInd w:val="0"/>
              <w:snapToGrid w:val="0"/>
              <w:jc w:val="center"/>
              <w:rPr>
                <w:rFonts w:hint="eastAsia" w:ascii="宋体" w:hAnsi="宋体" w:cs="宋体"/>
                <w:kern w:val="0"/>
                <w:szCs w:val="21"/>
              </w:rPr>
            </w:pPr>
            <w:r>
              <w:rPr>
                <w:rFonts w:hint="eastAsia" w:ascii="宋体" w:hAnsi="宋体" w:cs="宋体"/>
                <w:kern w:val="0"/>
                <w:sz w:val="24"/>
              </w:rPr>
              <w:t>目标</w:t>
            </w:r>
          </w:p>
        </w:tc>
        <w:tc>
          <w:tcPr>
            <w:tcW w:w="8539" w:type="dxa"/>
            <w:noWrap w:val="0"/>
            <w:vAlign w:val="center"/>
          </w:tcPr>
          <w:p w14:paraId="3C6ABE5D">
            <w:pPr>
              <w:spacing w:before="120" w:beforeLines="50" w:line="360" w:lineRule="auto"/>
              <w:textAlignment w:val="baseline"/>
              <w:rPr>
                <w:b/>
                <w:sz w:val="24"/>
              </w:rPr>
            </w:pPr>
            <w:r>
              <w:rPr>
                <w:b/>
                <w:sz w:val="24"/>
              </w:rPr>
              <w:t>主要环境保护目标</w:t>
            </w:r>
          </w:p>
          <w:p w14:paraId="59D059FD">
            <w:pPr>
              <w:spacing w:line="360" w:lineRule="auto"/>
              <w:ind w:firstLine="482" w:firstLineChars="200"/>
              <w:rPr>
                <w:b/>
                <w:sz w:val="24"/>
              </w:rPr>
            </w:pPr>
            <w:r>
              <w:rPr>
                <w:rFonts w:hint="eastAsia"/>
                <w:b/>
                <w:sz w:val="24"/>
                <w:lang w:eastAsia="zh-CN"/>
              </w:rPr>
              <w:t>1.</w:t>
            </w:r>
            <w:r>
              <w:rPr>
                <w:b/>
                <w:sz w:val="24"/>
              </w:rPr>
              <w:t>大气环境</w:t>
            </w:r>
          </w:p>
          <w:p w14:paraId="4304DCD2">
            <w:pPr>
              <w:spacing w:line="360" w:lineRule="auto"/>
              <w:ind w:firstLine="480" w:firstLineChars="200"/>
              <w:rPr>
                <w:bCs/>
                <w:sz w:val="24"/>
              </w:rPr>
            </w:pPr>
            <w:r>
              <w:rPr>
                <w:rFonts w:hint="eastAsia" w:ascii="Times New Roman" w:hAnsi="Times New Roman" w:eastAsia="宋体" w:cs="Times New Roman"/>
                <w:color w:val="auto"/>
                <w:sz w:val="24"/>
              </w:rPr>
              <w:t>本项目厂界外</w:t>
            </w:r>
            <w:r>
              <w:rPr>
                <w:rFonts w:hint="eastAsia" w:cs="Times New Roman"/>
                <w:color w:val="auto"/>
                <w:sz w:val="24"/>
                <w:lang w:val="en-US" w:eastAsia="zh-CN"/>
              </w:rPr>
              <w:t>500米</w:t>
            </w:r>
            <w:r>
              <w:rPr>
                <w:rFonts w:hint="eastAsia" w:ascii="Times New Roman" w:hAnsi="Times New Roman" w:eastAsia="宋体" w:cs="Times New Roman"/>
                <w:color w:val="auto"/>
                <w:sz w:val="24"/>
              </w:rPr>
              <w:t>范围内无自然保护区、风景名胜区、居住区、文化区</w:t>
            </w:r>
            <w:r>
              <w:rPr>
                <w:sz w:val="24"/>
              </w:rPr>
              <w:t>。</w:t>
            </w:r>
          </w:p>
          <w:p w14:paraId="6B31B7B8">
            <w:pPr>
              <w:spacing w:line="360" w:lineRule="auto"/>
              <w:ind w:firstLine="482" w:firstLineChars="200"/>
              <w:rPr>
                <w:b/>
                <w:sz w:val="24"/>
              </w:rPr>
            </w:pPr>
            <w:r>
              <w:rPr>
                <w:rFonts w:hint="eastAsia"/>
                <w:b/>
                <w:sz w:val="24"/>
                <w:lang w:eastAsia="zh-CN"/>
              </w:rPr>
              <w:t>2.</w:t>
            </w:r>
            <w:r>
              <w:rPr>
                <w:b/>
                <w:sz w:val="24"/>
              </w:rPr>
              <w:t>声环境</w:t>
            </w:r>
          </w:p>
          <w:p w14:paraId="56E2D78D">
            <w:pPr>
              <w:spacing w:line="360" w:lineRule="auto"/>
              <w:ind w:firstLine="480" w:firstLineChars="200"/>
              <w:rPr>
                <w:bCs/>
                <w:sz w:val="24"/>
              </w:rPr>
            </w:pPr>
            <w:r>
              <w:rPr>
                <w:rFonts w:hint="eastAsia"/>
                <w:bCs/>
                <w:sz w:val="24"/>
              </w:rPr>
              <w:t>本项目厂界外50米范围内无声环境保护目标</w:t>
            </w:r>
            <w:r>
              <w:rPr>
                <w:bCs/>
                <w:sz w:val="24"/>
              </w:rPr>
              <w:t>。</w:t>
            </w:r>
          </w:p>
          <w:p w14:paraId="015105AE">
            <w:pPr>
              <w:spacing w:line="360" w:lineRule="auto"/>
              <w:ind w:firstLine="482" w:firstLineChars="200"/>
              <w:rPr>
                <w:b/>
                <w:sz w:val="24"/>
              </w:rPr>
            </w:pPr>
            <w:r>
              <w:rPr>
                <w:rFonts w:hint="eastAsia"/>
                <w:b/>
                <w:sz w:val="24"/>
                <w:lang w:val="en-US" w:eastAsia="zh-CN"/>
              </w:rPr>
              <w:t>3</w:t>
            </w:r>
            <w:r>
              <w:rPr>
                <w:rFonts w:hint="eastAsia"/>
                <w:b/>
                <w:sz w:val="24"/>
                <w:lang w:eastAsia="zh-CN"/>
              </w:rPr>
              <w:t>.</w:t>
            </w:r>
            <w:r>
              <w:rPr>
                <w:b/>
                <w:sz w:val="24"/>
              </w:rPr>
              <w:t>地下水环境</w:t>
            </w:r>
          </w:p>
          <w:p w14:paraId="0E9621A6">
            <w:pPr>
              <w:spacing w:line="360" w:lineRule="auto"/>
              <w:ind w:firstLine="480" w:firstLineChars="200"/>
              <w:rPr>
                <w:bCs/>
                <w:sz w:val="24"/>
              </w:rPr>
            </w:pPr>
            <w:r>
              <w:rPr>
                <w:bCs/>
                <w:sz w:val="24"/>
              </w:rPr>
              <w:t>本项目厂界外500m范围内无地下水集中式使用水水源和热水、矿泉水、温泉等特殊地下水资源。</w:t>
            </w:r>
          </w:p>
          <w:p w14:paraId="65F71880">
            <w:pPr>
              <w:spacing w:line="360" w:lineRule="auto"/>
              <w:ind w:firstLine="482" w:firstLineChars="200"/>
              <w:rPr>
                <w:b/>
                <w:sz w:val="24"/>
              </w:rPr>
            </w:pPr>
            <w:r>
              <w:rPr>
                <w:rFonts w:hint="eastAsia"/>
                <w:b/>
                <w:sz w:val="24"/>
                <w:lang w:val="en-US" w:eastAsia="zh-CN"/>
              </w:rPr>
              <w:t>4</w:t>
            </w:r>
            <w:r>
              <w:rPr>
                <w:rFonts w:hint="eastAsia"/>
                <w:b/>
                <w:sz w:val="24"/>
                <w:lang w:eastAsia="zh-CN"/>
              </w:rPr>
              <w:t>.</w:t>
            </w:r>
            <w:r>
              <w:rPr>
                <w:b/>
                <w:sz w:val="24"/>
              </w:rPr>
              <w:t>生态环境</w:t>
            </w:r>
          </w:p>
          <w:p w14:paraId="7115F5F3">
            <w:pPr>
              <w:spacing w:line="360" w:lineRule="auto"/>
              <w:ind w:firstLine="480" w:firstLineChars="200"/>
              <w:rPr>
                <w:rFonts w:hint="eastAsia" w:ascii="宋体" w:hAnsi="宋体" w:cs="宋体"/>
                <w:kern w:val="0"/>
                <w:szCs w:val="21"/>
              </w:rPr>
            </w:pPr>
            <w:r>
              <w:rPr>
                <w:bCs/>
                <w:sz w:val="24"/>
              </w:rPr>
              <w:t>本项目位于</w:t>
            </w:r>
            <w:r>
              <w:rPr>
                <w:rFonts w:hint="eastAsia"/>
                <w:bCs/>
                <w:sz w:val="24"/>
              </w:rPr>
              <w:t>博湖县仓储物流园内</w:t>
            </w:r>
            <w:r>
              <w:rPr>
                <w:bCs/>
                <w:sz w:val="24"/>
              </w:rPr>
              <w:t>，</w:t>
            </w:r>
            <w:r>
              <w:rPr>
                <w:rFonts w:hint="eastAsia" w:ascii="Times New Roman" w:hAnsi="Times New Roman" w:eastAsia="宋体" w:cs="Times New Roman"/>
                <w:sz w:val="24"/>
              </w:rPr>
              <w:t>项目用地范围内无生态环境保护目标</w:t>
            </w:r>
            <w:r>
              <w:rPr>
                <w:bCs/>
                <w:sz w:val="24"/>
              </w:rPr>
              <w:t>。</w:t>
            </w:r>
          </w:p>
        </w:tc>
      </w:tr>
      <w:tr w14:paraId="6BB7E5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51" w:type="dxa"/>
            <w:noWrap w:val="0"/>
            <w:tcMar>
              <w:left w:w="28" w:type="dxa"/>
              <w:right w:w="28" w:type="dxa"/>
            </w:tcMar>
            <w:vAlign w:val="center"/>
          </w:tcPr>
          <w:p w14:paraId="2461F830">
            <w:pPr>
              <w:adjustRightInd w:val="0"/>
              <w:snapToGrid w:val="0"/>
              <w:jc w:val="center"/>
              <w:rPr>
                <w:rFonts w:hint="eastAsia" w:ascii="宋体" w:hAnsi="宋体" w:cs="宋体"/>
                <w:kern w:val="0"/>
                <w:sz w:val="24"/>
              </w:rPr>
            </w:pPr>
            <w:r>
              <w:rPr>
                <w:rFonts w:hint="eastAsia" w:ascii="宋体" w:hAnsi="宋体" w:cs="宋体"/>
                <w:kern w:val="0"/>
                <w:sz w:val="24"/>
              </w:rPr>
              <w:t>污染</w:t>
            </w:r>
          </w:p>
          <w:p w14:paraId="46955700">
            <w:pPr>
              <w:adjustRightInd w:val="0"/>
              <w:snapToGrid w:val="0"/>
              <w:jc w:val="center"/>
              <w:rPr>
                <w:rFonts w:hint="eastAsia" w:ascii="宋体" w:hAnsi="宋体" w:cs="宋体"/>
                <w:kern w:val="0"/>
                <w:sz w:val="24"/>
              </w:rPr>
            </w:pPr>
            <w:r>
              <w:rPr>
                <w:rFonts w:hint="eastAsia" w:ascii="宋体" w:hAnsi="宋体" w:cs="宋体"/>
                <w:kern w:val="0"/>
                <w:sz w:val="24"/>
              </w:rPr>
              <w:t>物排</w:t>
            </w:r>
          </w:p>
          <w:p w14:paraId="1FDA6FC6">
            <w:pPr>
              <w:adjustRightInd w:val="0"/>
              <w:snapToGrid w:val="0"/>
              <w:jc w:val="center"/>
              <w:rPr>
                <w:rFonts w:hint="eastAsia" w:ascii="宋体" w:hAnsi="宋体" w:cs="宋体"/>
                <w:kern w:val="0"/>
                <w:sz w:val="24"/>
              </w:rPr>
            </w:pPr>
            <w:r>
              <w:rPr>
                <w:rFonts w:hint="eastAsia" w:ascii="宋体" w:hAnsi="宋体" w:cs="宋体"/>
                <w:kern w:val="0"/>
                <w:sz w:val="24"/>
              </w:rPr>
              <w:t>放控</w:t>
            </w:r>
          </w:p>
          <w:p w14:paraId="17965C11">
            <w:pPr>
              <w:adjustRightInd w:val="0"/>
              <w:snapToGrid w:val="0"/>
              <w:jc w:val="center"/>
              <w:rPr>
                <w:rFonts w:hint="eastAsia" w:ascii="宋体" w:hAnsi="宋体" w:cs="宋体"/>
                <w:kern w:val="0"/>
                <w:sz w:val="24"/>
              </w:rPr>
            </w:pPr>
            <w:r>
              <w:rPr>
                <w:rFonts w:hint="eastAsia" w:ascii="宋体" w:hAnsi="宋体" w:cs="宋体"/>
                <w:kern w:val="0"/>
                <w:sz w:val="24"/>
              </w:rPr>
              <w:t>制标</w:t>
            </w:r>
          </w:p>
          <w:p w14:paraId="30FA4344">
            <w:pPr>
              <w:adjustRightInd w:val="0"/>
              <w:snapToGrid w:val="0"/>
              <w:jc w:val="center"/>
              <w:rPr>
                <w:rFonts w:ascii="宋体" w:hAnsi="宋体" w:cs="宋体"/>
                <w:kern w:val="0"/>
                <w:szCs w:val="21"/>
              </w:rPr>
            </w:pPr>
            <w:r>
              <w:rPr>
                <w:rFonts w:hint="eastAsia" w:ascii="宋体" w:hAnsi="宋体" w:cs="宋体"/>
                <w:kern w:val="0"/>
                <w:sz w:val="24"/>
              </w:rPr>
              <w:t>准</w:t>
            </w:r>
          </w:p>
        </w:tc>
        <w:tc>
          <w:tcPr>
            <w:tcW w:w="8539" w:type="dxa"/>
            <w:noWrap w:val="0"/>
            <w:vAlign w:val="center"/>
          </w:tcPr>
          <w:p w14:paraId="5819B5B3">
            <w:pPr>
              <w:widowControl/>
              <w:spacing w:line="360" w:lineRule="auto"/>
              <w:ind w:firstLine="482" w:firstLineChars="200"/>
              <w:jc w:val="left"/>
              <w:rPr>
                <w:rFonts w:hint="eastAsia"/>
                <w:b/>
                <w:bCs/>
                <w:sz w:val="24"/>
              </w:rPr>
            </w:pPr>
            <w:r>
              <w:rPr>
                <w:rFonts w:hint="eastAsia"/>
                <w:b/>
                <w:bCs/>
                <w:sz w:val="24"/>
                <w:lang w:eastAsia="zh-CN"/>
              </w:rPr>
              <w:t>1.</w:t>
            </w:r>
            <w:r>
              <w:rPr>
                <w:b/>
                <w:bCs/>
                <w:sz w:val="24"/>
              </w:rPr>
              <w:t>大气污染物排放标准</w:t>
            </w:r>
          </w:p>
          <w:p w14:paraId="7B9F3EEA">
            <w:pPr>
              <w:spacing w:line="360" w:lineRule="auto"/>
              <w:ind w:firstLine="480" w:firstLineChars="200"/>
              <w:rPr>
                <w:rFonts w:hint="eastAsia" w:eastAsia="宋体"/>
                <w:sz w:val="24"/>
                <w:lang w:eastAsia="zh-CN"/>
              </w:rPr>
            </w:pPr>
            <w:r>
              <w:rPr>
                <w:rFonts w:hint="eastAsia"/>
                <w:sz w:val="24"/>
              </w:rPr>
              <w:t>施工场地扬尘执行《大气污染物综合排放标准》（GB16297—1996）中表2颗粒物无组织排放监控浓度限值</w:t>
            </w:r>
            <w:r>
              <w:rPr>
                <w:rFonts w:hint="eastAsia"/>
                <w:sz w:val="24"/>
                <w:lang w:eastAsia="zh-CN"/>
              </w:rPr>
              <w:t>。</w:t>
            </w:r>
          </w:p>
          <w:p w14:paraId="53A7AD5C">
            <w:pPr>
              <w:spacing w:line="360" w:lineRule="auto"/>
              <w:ind w:firstLine="480" w:firstLineChars="200"/>
              <w:rPr>
                <w:sz w:val="24"/>
              </w:rPr>
            </w:pPr>
            <w:r>
              <w:rPr>
                <w:rFonts w:hint="eastAsia"/>
                <w:sz w:val="24"/>
                <w:lang w:val="en-US" w:eastAsia="zh-CN"/>
              </w:rPr>
              <w:t>运营期</w:t>
            </w:r>
            <w:r>
              <w:rPr>
                <w:sz w:val="24"/>
              </w:rPr>
              <w:t>污水处理厂排放的有组织废气执行《恶臭污染物排放标准》（GB14554-1993）中表2标准；污水处理厂排放的无组织废气执行《城镇污水处理厂污染物排放标准》</w:t>
            </w:r>
            <w:r>
              <w:rPr>
                <w:rFonts w:hint="eastAsia"/>
                <w:sz w:val="24"/>
                <w:lang w:eastAsia="zh-CN"/>
              </w:rPr>
              <w:t>（</w:t>
            </w:r>
            <w:r>
              <w:rPr>
                <w:sz w:val="24"/>
              </w:rPr>
              <w:t>GB18918-2002）厂界（防护带边缘）废气排放最高允许浓度二级标准。</w:t>
            </w:r>
          </w:p>
          <w:p w14:paraId="78A748F9">
            <w:pPr>
              <w:ind w:firstLine="472" w:firstLineChars="196"/>
              <w:jc w:val="center"/>
              <w:rPr>
                <w:b/>
                <w:bCs/>
                <w:sz w:val="24"/>
              </w:rPr>
            </w:pPr>
            <w:r>
              <w:rPr>
                <w:b/>
                <w:bCs/>
                <w:sz w:val="24"/>
              </w:rPr>
              <w:t>表</w:t>
            </w:r>
            <w:r>
              <w:rPr>
                <w:rFonts w:hint="eastAsia"/>
                <w:b/>
                <w:bCs/>
                <w:sz w:val="24"/>
                <w:lang w:val="en-US" w:eastAsia="zh-CN"/>
              </w:rPr>
              <w:t xml:space="preserve">3-2 </w:t>
            </w:r>
            <w:r>
              <w:rPr>
                <w:b/>
                <w:bCs/>
                <w:sz w:val="24"/>
              </w:rPr>
              <w:t xml:space="preserve">  废气污染物排放标准</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7"/>
              <w:gridCol w:w="1435"/>
              <w:gridCol w:w="1841"/>
              <w:gridCol w:w="1116"/>
              <w:gridCol w:w="2721"/>
            </w:tblGrid>
            <w:tr w14:paraId="42FF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0" w:type="pct"/>
                  <w:vAlign w:val="center"/>
                </w:tcPr>
                <w:p w14:paraId="0B917C17">
                  <w:pPr>
                    <w:pStyle w:val="56"/>
                    <w:rPr>
                      <w:rFonts w:ascii="Calibri" w:hAnsi="Calibri" w:cs="Calibri"/>
                      <w:sz w:val="21"/>
                      <w:szCs w:val="21"/>
                    </w:rPr>
                  </w:pPr>
                  <w:r>
                    <w:rPr>
                      <w:rFonts w:ascii="Calibri" w:hAnsi="Calibri" w:cs="Calibri"/>
                      <w:sz w:val="21"/>
                      <w:szCs w:val="21"/>
                    </w:rPr>
                    <w:t>污染源</w:t>
                  </w:r>
                </w:p>
                <w:p w14:paraId="67522F49">
                  <w:pPr>
                    <w:pStyle w:val="56"/>
                    <w:rPr>
                      <w:rFonts w:ascii="Calibri" w:hAnsi="Calibri" w:cs="Calibri"/>
                      <w:sz w:val="21"/>
                      <w:szCs w:val="21"/>
                    </w:rPr>
                  </w:pPr>
                  <w:r>
                    <w:rPr>
                      <w:rFonts w:ascii="Calibri" w:hAnsi="Calibri" w:cs="Calibri"/>
                      <w:sz w:val="21"/>
                      <w:szCs w:val="21"/>
                    </w:rPr>
                    <w:t>（类型）</w:t>
                  </w:r>
                </w:p>
              </w:tc>
              <w:tc>
                <w:tcPr>
                  <w:tcW w:w="863" w:type="pct"/>
                  <w:vAlign w:val="center"/>
                </w:tcPr>
                <w:p w14:paraId="56ECE571">
                  <w:pPr>
                    <w:pStyle w:val="56"/>
                    <w:rPr>
                      <w:rFonts w:ascii="Calibri" w:hAnsi="Calibri" w:cs="Calibri"/>
                      <w:sz w:val="21"/>
                      <w:szCs w:val="21"/>
                    </w:rPr>
                  </w:pPr>
                  <w:r>
                    <w:rPr>
                      <w:rFonts w:ascii="Calibri" w:hAnsi="Calibri" w:cs="Calibri"/>
                      <w:sz w:val="21"/>
                      <w:szCs w:val="21"/>
                    </w:rPr>
                    <w:t>污染物</w:t>
                  </w:r>
                </w:p>
              </w:tc>
              <w:tc>
                <w:tcPr>
                  <w:tcW w:w="1778" w:type="pct"/>
                  <w:gridSpan w:val="2"/>
                  <w:tcBorders>
                    <w:bottom w:val="single" w:color="auto" w:sz="8" w:space="0"/>
                  </w:tcBorders>
                  <w:vAlign w:val="center"/>
                </w:tcPr>
                <w:p w14:paraId="592AFA1D">
                  <w:pPr>
                    <w:pStyle w:val="56"/>
                    <w:rPr>
                      <w:rFonts w:ascii="Calibri" w:hAnsi="Calibri" w:cs="Calibri"/>
                      <w:sz w:val="21"/>
                      <w:szCs w:val="21"/>
                    </w:rPr>
                  </w:pPr>
                  <w:r>
                    <w:rPr>
                      <w:rFonts w:ascii="Calibri" w:hAnsi="Calibri" w:cs="Calibri"/>
                      <w:sz w:val="21"/>
                      <w:szCs w:val="21"/>
                    </w:rPr>
                    <w:t>标准值</w:t>
                  </w:r>
                </w:p>
              </w:tc>
              <w:tc>
                <w:tcPr>
                  <w:tcW w:w="1636" w:type="pct"/>
                  <w:tcBorders>
                    <w:bottom w:val="single" w:color="auto" w:sz="8" w:space="0"/>
                  </w:tcBorders>
                  <w:vAlign w:val="center"/>
                </w:tcPr>
                <w:p w14:paraId="60CA111C">
                  <w:pPr>
                    <w:pStyle w:val="56"/>
                    <w:rPr>
                      <w:rFonts w:ascii="Calibri" w:hAnsi="Calibri" w:cs="Calibri"/>
                      <w:sz w:val="21"/>
                      <w:szCs w:val="21"/>
                    </w:rPr>
                  </w:pPr>
                  <w:r>
                    <w:rPr>
                      <w:rFonts w:ascii="Calibri" w:hAnsi="Calibri" w:cs="Calibri"/>
                      <w:sz w:val="21"/>
                      <w:szCs w:val="21"/>
                    </w:rPr>
                    <w:t>标准来源</w:t>
                  </w:r>
                </w:p>
              </w:tc>
            </w:tr>
            <w:tr w14:paraId="0BEB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0" w:type="pct"/>
                  <w:vMerge w:val="restart"/>
                  <w:vAlign w:val="center"/>
                </w:tcPr>
                <w:p w14:paraId="0B714060">
                  <w:pPr>
                    <w:pStyle w:val="56"/>
                    <w:rPr>
                      <w:rFonts w:ascii="Calibri" w:hAnsi="Calibri" w:cs="Calibri"/>
                      <w:sz w:val="21"/>
                      <w:szCs w:val="21"/>
                    </w:rPr>
                  </w:pPr>
                  <w:r>
                    <w:rPr>
                      <w:rFonts w:ascii="Calibri" w:hAnsi="Calibri" w:cs="Calibri"/>
                      <w:sz w:val="21"/>
                      <w:szCs w:val="21"/>
                    </w:rPr>
                    <w:t>有组织废气</w:t>
                  </w:r>
                </w:p>
              </w:tc>
              <w:tc>
                <w:tcPr>
                  <w:tcW w:w="863" w:type="pct"/>
                  <w:vAlign w:val="center"/>
                </w:tcPr>
                <w:p w14:paraId="12BF5142">
                  <w:pPr>
                    <w:pStyle w:val="56"/>
                    <w:rPr>
                      <w:rFonts w:ascii="Calibri" w:hAnsi="Calibri" w:cs="Calibri"/>
                      <w:sz w:val="21"/>
                      <w:szCs w:val="21"/>
                    </w:rPr>
                  </w:pPr>
                  <w:r>
                    <w:rPr>
                      <w:rFonts w:ascii="Calibri" w:hAnsi="Calibri" w:cs="Calibri"/>
                      <w:sz w:val="21"/>
                      <w:szCs w:val="21"/>
                      <w:lang w:eastAsia="zh-CN"/>
                    </w:rPr>
                    <w:t>氨</w:t>
                  </w:r>
                </w:p>
              </w:tc>
              <w:tc>
                <w:tcPr>
                  <w:tcW w:w="1107" w:type="pct"/>
                  <w:vAlign w:val="center"/>
                </w:tcPr>
                <w:p w14:paraId="509D1529">
                  <w:pPr>
                    <w:pStyle w:val="56"/>
                    <w:rPr>
                      <w:rFonts w:ascii="Calibri" w:hAnsi="Calibri" w:cs="Calibri"/>
                      <w:sz w:val="21"/>
                      <w:szCs w:val="21"/>
                    </w:rPr>
                  </w:pPr>
                  <w:r>
                    <w:rPr>
                      <w:rFonts w:ascii="Calibri" w:hAnsi="Calibri" w:cs="Calibri"/>
                      <w:sz w:val="21"/>
                      <w:szCs w:val="21"/>
                    </w:rPr>
                    <w:t>4.9</w:t>
                  </w:r>
                  <w:r>
                    <w:rPr>
                      <w:rFonts w:ascii="Calibri" w:hAnsi="Calibri" w:cs="Calibri"/>
                      <w:sz w:val="21"/>
                      <w:szCs w:val="21"/>
                      <w:lang w:eastAsia="zh-CN"/>
                    </w:rPr>
                    <w:t>kg/h</w:t>
                  </w:r>
                </w:p>
              </w:tc>
              <w:tc>
                <w:tcPr>
                  <w:tcW w:w="671" w:type="pct"/>
                  <w:vMerge w:val="restart"/>
                  <w:vAlign w:val="center"/>
                </w:tcPr>
                <w:p w14:paraId="3541AAF9">
                  <w:pPr>
                    <w:pStyle w:val="56"/>
                    <w:rPr>
                      <w:rFonts w:ascii="Calibri" w:hAnsi="Calibri" w:cs="Calibri"/>
                      <w:sz w:val="21"/>
                      <w:szCs w:val="21"/>
                      <w:lang w:eastAsia="zh-CN"/>
                    </w:rPr>
                  </w:pPr>
                  <w:r>
                    <w:rPr>
                      <w:rFonts w:ascii="Calibri" w:hAnsi="Calibri" w:cs="Calibri"/>
                      <w:sz w:val="21"/>
                      <w:szCs w:val="21"/>
                      <w:lang w:eastAsia="zh-CN"/>
                    </w:rPr>
                    <w:t>15m高</w:t>
                  </w:r>
                </w:p>
                <w:p w14:paraId="3348ED92">
                  <w:pPr>
                    <w:pStyle w:val="56"/>
                    <w:rPr>
                      <w:rFonts w:ascii="Calibri" w:hAnsi="Calibri" w:cs="Calibri"/>
                      <w:sz w:val="21"/>
                      <w:szCs w:val="21"/>
                      <w:lang w:eastAsia="zh-CN"/>
                    </w:rPr>
                  </w:pPr>
                  <w:r>
                    <w:rPr>
                      <w:rFonts w:ascii="Calibri" w:hAnsi="Calibri" w:cs="Calibri"/>
                      <w:sz w:val="21"/>
                      <w:szCs w:val="21"/>
                      <w:lang w:eastAsia="zh-CN"/>
                    </w:rPr>
                    <w:t>排气筒</w:t>
                  </w:r>
                </w:p>
              </w:tc>
              <w:tc>
                <w:tcPr>
                  <w:tcW w:w="1636" w:type="pct"/>
                  <w:vMerge w:val="restart"/>
                  <w:vAlign w:val="center"/>
                </w:tcPr>
                <w:p w14:paraId="0FCECF16">
                  <w:pPr>
                    <w:pStyle w:val="56"/>
                    <w:rPr>
                      <w:rFonts w:ascii="Calibri" w:hAnsi="Calibri" w:cs="Calibri"/>
                      <w:sz w:val="21"/>
                      <w:szCs w:val="21"/>
                      <w:lang w:eastAsia="zh-CN"/>
                    </w:rPr>
                  </w:pPr>
                  <w:r>
                    <w:rPr>
                      <w:rFonts w:ascii="Calibri" w:hAnsi="Calibri" w:cs="Calibri"/>
                      <w:bCs/>
                      <w:sz w:val="21"/>
                      <w:szCs w:val="21"/>
                      <w:lang w:eastAsia="zh-CN"/>
                    </w:rPr>
                    <w:t>《恶臭污染物排放标准》（GB14554-93）</w:t>
                  </w:r>
                </w:p>
              </w:tc>
            </w:tr>
            <w:tr w14:paraId="32E6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20" w:type="pct"/>
                  <w:vMerge w:val="continue"/>
                  <w:vAlign w:val="center"/>
                </w:tcPr>
                <w:p w14:paraId="161E1A05">
                  <w:pPr>
                    <w:pStyle w:val="56"/>
                    <w:rPr>
                      <w:rFonts w:ascii="Calibri" w:hAnsi="Calibri" w:cs="Calibri"/>
                      <w:sz w:val="21"/>
                      <w:szCs w:val="21"/>
                      <w:lang w:eastAsia="zh-CN"/>
                    </w:rPr>
                  </w:pPr>
                </w:p>
              </w:tc>
              <w:tc>
                <w:tcPr>
                  <w:tcW w:w="863" w:type="pct"/>
                  <w:vAlign w:val="center"/>
                </w:tcPr>
                <w:p w14:paraId="1BD8F8C7">
                  <w:pPr>
                    <w:pStyle w:val="56"/>
                    <w:rPr>
                      <w:rFonts w:ascii="Calibri" w:hAnsi="Calibri" w:cs="Calibri"/>
                      <w:sz w:val="21"/>
                      <w:szCs w:val="21"/>
                    </w:rPr>
                  </w:pPr>
                  <w:r>
                    <w:rPr>
                      <w:rFonts w:ascii="Calibri" w:hAnsi="Calibri" w:cs="Calibri"/>
                      <w:sz w:val="21"/>
                      <w:szCs w:val="21"/>
                      <w:lang w:eastAsia="zh-CN"/>
                    </w:rPr>
                    <w:t>硫化氢</w:t>
                  </w:r>
                </w:p>
              </w:tc>
              <w:tc>
                <w:tcPr>
                  <w:tcW w:w="1107" w:type="pct"/>
                  <w:vAlign w:val="center"/>
                </w:tcPr>
                <w:p w14:paraId="6DCC9E4A">
                  <w:pPr>
                    <w:pStyle w:val="56"/>
                    <w:rPr>
                      <w:rFonts w:ascii="Calibri" w:hAnsi="Calibri" w:cs="Calibri"/>
                      <w:sz w:val="21"/>
                      <w:szCs w:val="21"/>
                      <w:lang w:eastAsia="zh-CN"/>
                    </w:rPr>
                  </w:pPr>
                  <w:r>
                    <w:rPr>
                      <w:rFonts w:ascii="Calibri" w:hAnsi="Calibri" w:cs="Calibri"/>
                      <w:sz w:val="21"/>
                      <w:szCs w:val="21"/>
                      <w:lang w:eastAsia="zh-CN"/>
                    </w:rPr>
                    <w:t>0.33kg/h</w:t>
                  </w:r>
                </w:p>
              </w:tc>
              <w:tc>
                <w:tcPr>
                  <w:tcW w:w="671" w:type="pct"/>
                  <w:vMerge w:val="continue"/>
                  <w:vAlign w:val="center"/>
                </w:tcPr>
                <w:p w14:paraId="5DE17F55">
                  <w:pPr>
                    <w:pStyle w:val="56"/>
                    <w:rPr>
                      <w:rFonts w:ascii="Calibri" w:hAnsi="Calibri" w:cs="Calibri"/>
                      <w:sz w:val="21"/>
                      <w:szCs w:val="21"/>
                    </w:rPr>
                  </w:pPr>
                </w:p>
              </w:tc>
              <w:tc>
                <w:tcPr>
                  <w:tcW w:w="1636" w:type="pct"/>
                  <w:vMerge w:val="continue"/>
                  <w:vAlign w:val="center"/>
                </w:tcPr>
                <w:p w14:paraId="2EDEC2DC">
                  <w:pPr>
                    <w:pStyle w:val="56"/>
                    <w:rPr>
                      <w:rFonts w:ascii="Calibri" w:hAnsi="Calibri" w:cs="Calibri"/>
                      <w:sz w:val="21"/>
                      <w:szCs w:val="21"/>
                    </w:rPr>
                  </w:pPr>
                </w:p>
              </w:tc>
            </w:tr>
            <w:tr w14:paraId="0A90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20" w:type="pct"/>
                  <w:vMerge w:val="continue"/>
                  <w:vAlign w:val="center"/>
                </w:tcPr>
                <w:p w14:paraId="06A4D4EF">
                  <w:pPr>
                    <w:pStyle w:val="56"/>
                    <w:rPr>
                      <w:rFonts w:ascii="Calibri" w:hAnsi="Calibri" w:cs="Calibri"/>
                      <w:sz w:val="21"/>
                      <w:szCs w:val="21"/>
                      <w:lang w:eastAsia="zh-CN"/>
                    </w:rPr>
                  </w:pPr>
                </w:p>
              </w:tc>
              <w:tc>
                <w:tcPr>
                  <w:tcW w:w="863" w:type="pct"/>
                  <w:vAlign w:val="center"/>
                </w:tcPr>
                <w:p w14:paraId="4B218AF2">
                  <w:pPr>
                    <w:pStyle w:val="56"/>
                    <w:rPr>
                      <w:rFonts w:ascii="Calibri" w:hAnsi="Calibri" w:cs="Calibri"/>
                      <w:sz w:val="21"/>
                      <w:szCs w:val="21"/>
                      <w:lang w:eastAsia="zh-CN"/>
                    </w:rPr>
                  </w:pPr>
                  <w:r>
                    <w:rPr>
                      <w:rFonts w:ascii="Calibri" w:hAnsi="Calibri" w:cs="Calibri"/>
                      <w:sz w:val="21"/>
                      <w:szCs w:val="21"/>
                      <w:lang w:eastAsia="zh-CN"/>
                    </w:rPr>
                    <w:t>臭气浓度</w:t>
                  </w:r>
                </w:p>
              </w:tc>
              <w:tc>
                <w:tcPr>
                  <w:tcW w:w="1107" w:type="pct"/>
                  <w:vAlign w:val="center"/>
                </w:tcPr>
                <w:p w14:paraId="78841963">
                  <w:pPr>
                    <w:pStyle w:val="56"/>
                    <w:rPr>
                      <w:rFonts w:ascii="Calibri" w:hAnsi="Calibri" w:cs="Calibri"/>
                      <w:sz w:val="21"/>
                      <w:szCs w:val="21"/>
                      <w:lang w:eastAsia="zh-CN"/>
                    </w:rPr>
                  </w:pPr>
                  <w:r>
                    <w:rPr>
                      <w:rFonts w:ascii="Calibri" w:hAnsi="Calibri" w:cs="Calibri"/>
                      <w:sz w:val="21"/>
                      <w:szCs w:val="21"/>
                      <w:lang w:eastAsia="zh-CN"/>
                    </w:rPr>
                    <w:t>2000（无量纲）</w:t>
                  </w:r>
                </w:p>
              </w:tc>
              <w:tc>
                <w:tcPr>
                  <w:tcW w:w="671" w:type="pct"/>
                  <w:vMerge w:val="continue"/>
                  <w:vAlign w:val="center"/>
                </w:tcPr>
                <w:p w14:paraId="7AF43E0E">
                  <w:pPr>
                    <w:pStyle w:val="56"/>
                    <w:rPr>
                      <w:rFonts w:ascii="Calibri" w:hAnsi="Calibri" w:cs="Calibri"/>
                      <w:sz w:val="21"/>
                      <w:szCs w:val="21"/>
                    </w:rPr>
                  </w:pPr>
                </w:p>
              </w:tc>
              <w:tc>
                <w:tcPr>
                  <w:tcW w:w="1636" w:type="pct"/>
                  <w:vMerge w:val="continue"/>
                  <w:vAlign w:val="center"/>
                </w:tcPr>
                <w:p w14:paraId="06FD9A1F">
                  <w:pPr>
                    <w:pStyle w:val="56"/>
                    <w:rPr>
                      <w:rFonts w:ascii="Calibri" w:hAnsi="Calibri" w:cs="Calibri"/>
                      <w:sz w:val="21"/>
                      <w:szCs w:val="21"/>
                    </w:rPr>
                  </w:pPr>
                </w:p>
              </w:tc>
            </w:tr>
            <w:tr w14:paraId="6AD5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0" w:type="pct"/>
                  <w:vMerge w:val="restart"/>
                  <w:vAlign w:val="center"/>
                </w:tcPr>
                <w:p w14:paraId="588C5DD6">
                  <w:pPr>
                    <w:pStyle w:val="56"/>
                    <w:rPr>
                      <w:rFonts w:ascii="Calibri" w:hAnsi="Calibri" w:cs="Calibri"/>
                      <w:sz w:val="21"/>
                      <w:szCs w:val="21"/>
                    </w:rPr>
                  </w:pPr>
                  <w:r>
                    <w:rPr>
                      <w:rFonts w:ascii="Calibri" w:hAnsi="Calibri" w:cs="Calibri"/>
                      <w:sz w:val="21"/>
                      <w:szCs w:val="21"/>
                    </w:rPr>
                    <w:t>无组织废气</w:t>
                  </w:r>
                </w:p>
              </w:tc>
              <w:tc>
                <w:tcPr>
                  <w:tcW w:w="863" w:type="pct"/>
                  <w:vAlign w:val="center"/>
                </w:tcPr>
                <w:p w14:paraId="1BF8B40F">
                  <w:pPr>
                    <w:pStyle w:val="56"/>
                    <w:rPr>
                      <w:rFonts w:ascii="Calibri" w:hAnsi="Calibri" w:cs="Calibri"/>
                      <w:sz w:val="21"/>
                      <w:szCs w:val="21"/>
                    </w:rPr>
                  </w:pPr>
                  <w:r>
                    <w:rPr>
                      <w:rFonts w:ascii="Calibri" w:hAnsi="Calibri" w:cs="Calibri"/>
                      <w:sz w:val="21"/>
                      <w:szCs w:val="21"/>
                      <w:lang w:eastAsia="zh-CN"/>
                    </w:rPr>
                    <w:t>氨</w:t>
                  </w:r>
                </w:p>
              </w:tc>
              <w:tc>
                <w:tcPr>
                  <w:tcW w:w="1778" w:type="pct"/>
                  <w:gridSpan w:val="2"/>
                  <w:vAlign w:val="center"/>
                </w:tcPr>
                <w:p w14:paraId="2F206AB5">
                  <w:pPr>
                    <w:pStyle w:val="56"/>
                    <w:rPr>
                      <w:rFonts w:ascii="Calibri" w:hAnsi="Calibri" w:cs="Calibri"/>
                      <w:sz w:val="21"/>
                      <w:szCs w:val="21"/>
                    </w:rPr>
                  </w:pPr>
                  <w:r>
                    <w:rPr>
                      <w:rFonts w:ascii="Calibri" w:hAnsi="Calibri" w:cs="Calibri"/>
                      <w:sz w:val="21"/>
                      <w:szCs w:val="21"/>
                    </w:rPr>
                    <w:t>1.50mg/m</w:t>
                  </w:r>
                  <w:r>
                    <w:rPr>
                      <w:rFonts w:ascii="Calibri" w:hAnsi="Calibri" w:cs="Calibri"/>
                      <w:sz w:val="21"/>
                      <w:szCs w:val="21"/>
                      <w:vertAlign w:val="superscript"/>
                    </w:rPr>
                    <w:t>3</w:t>
                  </w:r>
                </w:p>
              </w:tc>
              <w:tc>
                <w:tcPr>
                  <w:tcW w:w="1636" w:type="pct"/>
                  <w:vMerge w:val="restart"/>
                  <w:vAlign w:val="center"/>
                </w:tcPr>
                <w:p w14:paraId="09AA71A2">
                  <w:pPr>
                    <w:pStyle w:val="56"/>
                    <w:rPr>
                      <w:rFonts w:ascii="Calibri" w:hAnsi="Calibri" w:cs="Calibri"/>
                      <w:sz w:val="21"/>
                      <w:szCs w:val="21"/>
                      <w:lang w:eastAsia="zh-CN"/>
                    </w:rPr>
                  </w:pPr>
                  <w:r>
                    <w:rPr>
                      <w:rFonts w:ascii="Calibri" w:hAnsi="Calibri" w:cs="Calibri"/>
                      <w:sz w:val="21"/>
                      <w:szCs w:val="21"/>
                      <w:lang w:eastAsia="zh-CN"/>
                    </w:rPr>
                    <w:t>《城镇污水处理厂污染物排放标准》（GB18918-2002）中表4厂界（防护带边缘）废气排放最高允许浓度的二级标准</w:t>
                  </w:r>
                </w:p>
              </w:tc>
            </w:tr>
            <w:tr w14:paraId="42783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0" w:type="pct"/>
                  <w:vMerge w:val="continue"/>
                  <w:vAlign w:val="center"/>
                </w:tcPr>
                <w:p w14:paraId="7EB2BA99">
                  <w:pPr>
                    <w:pStyle w:val="56"/>
                    <w:rPr>
                      <w:rFonts w:ascii="Calibri" w:hAnsi="Calibri" w:cs="Calibri"/>
                      <w:sz w:val="21"/>
                      <w:szCs w:val="21"/>
                      <w:lang w:eastAsia="zh-CN"/>
                    </w:rPr>
                  </w:pPr>
                </w:p>
              </w:tc>
              <w:tc>
                <w:tcPr>
                  <w:tcW w:w="863" w:type="pct"/>
                  <w:vAlign w:val="center"/>
                </w:tcPr>
                <w:p w14:paraId="29AD79B8">
                  <w:pPr>
                    <w:pStyle w:val="56"/>
                    <w:rPr>
                      <w:rFonts w:ascii="Calibri" w:hAnsi="Calibri" w:cs="Calibri"/>
                      <w:sz w:val="21"/>
                      <w:szCs w:val="21"/>
                    </w:rPr>
                  </w:pPr>
                  <w:r>
                    <w:rPr>
                      <w:rFonts w:ascii="Calibri" w:hAnsi="Calibri" w:cs="Calibri"/>
                      <w:sz w:val="21"/>
                      <w:szCs w:val="21"/>
                      <w:lang w:eastAsia="zh-CN"/>
                    </w:rPr>
                    <w:t>硫化氢</w:t>
                  </w:r>
                </w:p>
              </w:tc>
              <w:tc>
                <w:tcPr>
                  <w:tcW w:w="1778" w:type="pct"/>
                  <w:gridSpan w:val="2"/>
                  <w:vAlign w:val="center"/>
                </w:tcPr>
                <w:p w14:paraId="7F233E50">
                  <w:pPr>
                    <w:pStyle w:val="56"/>
                    <w:rPr>
                      <w:rFonts w:ascii="Calibri" w:hAnsi="Calibri" w:cs="Calibri"/>
                      <w:sz w:val="21"/>
                      <w:szCs w:val="21"/>
                    </w:rPr>
                  </w:pPr>
                  <w:r>
                    <w:rPr>
                      <w:rFonts w:ascii="Calibri" w:hAnsi="Calibri" w:cs="Calibri"/>
                      <w:sz w:val="21"/>
                      <w:szCs w:val="21"/>
                    </w:rPr>
                    <w:t>0.06mg/m</w:t>
                  </w:r>
                  <w:r>
                    <w:rPr>
                      <w:rFonts w:ascii="Calibri" w:hAnsi="Calibri" w:cs="Calibri"/>
                      <w:sz w:val="21"/>
                      <w:szCs w:val="21"/>
                      <w:vertAlign w:val="superscript"/>
                    </w:rPr>
                    <w:t>3</w:t>
                  </w:r>
                </w:p>
              </w:tc>
              <w:tc>
                <w:tcPr>
                  <w:tcW w:w="1636" w:type="pct"/>
                  <w:vMerge w:val="continue"/>
                  <w:vAlign w:val="center"/>
                </w:tcPr>
                <w:p w14:paraId="061A854B">
                  <w:pPr>
                    <w:pStyle w:val="56"/>
                    <w:rPr>
                      <w:rFonts w:ascii="Calibri" w:hAnsi="Calibri" w:cs="Calibri"/>
                      <w:sz w:val="21"/>
                      <w:szCs w:val="21"/>
                    </w:rPr>
                  </w:pPr>
                </w:p>
              </w:tc>
            </w:tr>
            <w:tr w14:paraId="6F728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0" w:type="pct"/>
                  <w:vMerge w:val="continue"/>
                  <w:vAlign w:val="center"/>
                </w:tcPr>
                <w:p w14:paraId="41E4352F">
                  <w:pPr>
                    <w:pStyle w:val="56"/>
                    <w:rPr>
                      <w:rFonts w:ascii="Calibri" w:hAnsi="Calibri" w:cs="Calibri"/>
                      <w:sz w:val="21"/>
                      <w:szCs w:val="21"/>
                    </w:rPr>
                  </w:pPr>
                </w:p>
              </w:tc>
              <w:tc>
                <w:tcPr>
                  <w:tcW w:w="863" w:type="pct"/>
                  <w:vAlign w:val="center"/>
                </w:tcPr>
                <w:p w14:paraId="6AD92C94">
                  <w:pPr>
                    <w:pStyle w:val="56"/>
                    <w:rPr>
                      <w:rFonts w:ascii="Calibri" w:hAnsi="Calibri" w:cs="Calibri"/>
                      <w:sz w:val="21"/>
                      <w:szCs w:val="21"/>
                      <w:lang w:eastAsia="zh-CN"/>
                    </w:rPr>
                  </w:pPr>
                  <w:r>
                    <w:rPr>
                      <w:rFonts w:ascii="Calibri" w:hAnsi="Calibri" w:cs="Calibri"/>
                      <w:sz w:val="21"/>
                      <w:szCs w:val="21"/>
                      <w:lang w:eastAsia="zh-CN"/>
                    </w:rPr>
                    <w:t>臭气浓度</w:t>
                  </w:r>
                </w:p>
              </w:tc>
              <w:tc>
                <w:tcPr>
                  <w:tcW w:w="1778" w:type="pct"/>
                  <w:gridSpan w:val="2"/>
                  <w:vAlign w:val="center"/>
                </w:tcPr>
                <w:p w14:paraId="2890282C">
                  <w:pPr>
                    <w:pStyle w:val="56"/>
                    <w:rPr>
                      <w:rFonts w:ascii="Calibri" w:hAnsi="Calibri" w:cs="Calibri"/>
                      <w:sz w:val="21"/>
                      <w:szCs w:val="21"/>
                      <w:lang w:eastAsia="zh-CN"/>
                    </w:rPr>
                  </w:pPr>
                  <w:r>
                    <w:rPr>
                      <w:rFonts w:ascii="Calibri" w:hAnsi="Calibri" w:cs="Calibri"/>
                      <w:sz w:val="21"/>
                      <w:szCs w:val="21"/>
                      <w:lang w:eastAsia="zh-CN"/>
                    </w:rPr>
                    <w:t>20（无量纲）</w:t>
                  </w:r>
                </w:p>
              </w:tc>
              <w:tc>
                <w:tcPr>
                  <w:tcW w:w="1636" w:type="pct"/>
                  <w:vMerge w:val="continue"/>
                  <w:vAlign w:val="center"/>
                </w:tcPr>
                <w:p w14:paraId="3D61E3F2">
                  <w:pPr>
                    <w:pStyle w:val="56"/>
                    <w:rPr>
                      <w:rFonts w:ascii="Calibri" w:hAnsi="Calibri" w:cs="Calibri"/>
                      <w:sz w:val="21"/>
                      <w:szCs w:val="21"/>
                    </w:rPr>
                  </w:pPr>
                </w:p>
              </w:tc>
            </w:tr>
            <w:tr w14:paraId="3C51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0" w:type="pct"/>
                  <w:vMerge w:val="continue"/>
                  <w:vAlign w:val="center"/>
                </w:tcPr>
                <w:p w14:paraId="1E217997">
                  <w:pPr>
                    <w:pStyle w:val="56"/>
                    <w:rPr>
                      <w:rFonts w:ascii="Calibri" w:hAnsi="Calibri" w:cs="Calibri"/>
                      <w:sz w:val="21"/>
                      <w:szCs w:val="21"/>
                    </w:rPr>
                  </w:pPr>
                </w:p>
              </w:tc>
              <w:tc>
                <w:tcPr>
                  <w:tcW w:w="863" w:type="pct"/>
                  <w:vAlign w:val="center"/>
                </w:tcPr>
                <w:p w14:paraId="05426116">
                  <w:pPr>
                    <w:pStyle w:val="56"/>
                    <w:rPr>
                      <w:rFonts w:ascii="Calibri" w:hAnsi="Calibri" w:cs="Calibri"/>
                      <w:sz w:val="21"/>
                      <w:szCs w:val="21"/>
                      <w:lang w:eastAsia="zh-CN"/>
                    </w:rPr>
                  </w:pPr>
                  <w:r>
                    <w:rPr>
                      <w:rFonts w:ascii="Calibri" w:hAnsi="Calibri" w:cs="Calibri"/>
                      <w:sz w:val="21"/>
                      <w:szCs w:val="21"/>
                      <w:lang w:eastAsia="zh-CN"/>
                    </w:rPr>
                    <w:t>甲烷</w:t>
                  </w:r>
                  <w:r>
                    <w:rPr>
                      <w:rFonts w:hint="eastAsia"/>
                      <w:sz w:val="21"/>
                      <w:szCs w:val="21"/>
                      <w:lang w:eastAsia="zh-CN"/>
                    </w:rPr>
                    <w:t>（</w:t>
                  </w:r>
                  <w:r>
                    <w:rPr>
                      <w:rFonts w:hint="eastAsia"/>
                      <w:sz w:val="21"/>
                      <w:szCs w:val="21"/>
                      <w:lang w:val="en-US" w:eastAsia="zh-CN"/>
                    </w:rPr>
                    <w:t>厂区最体积浓度</w:t>
                  </w:r>
                  <w:r>
                    <w:rPr>
                      <w:rFonts w:hint="eastAsia"/>
                      <w:sz w:val="21"/>
                      <w:szCs w:val="21"/>
                      <w:lang w:eastAsia="zh-CN"/>
                    </w:rPr>
                    <w:t>）</w:t>
                  </w:r>
                </w:p>
              </w:tc>
              <w:tc>
                <w:tcPr>
                  <w:tcW w:w="1778" w:type="pct"/>
                  <w:gridSpan w:val="2"/>
                  <w:vAlign w:val="center"/>
                </w:tcPr>
                <w:p w14:paraId="5E934A8E">
                  <w:pPr>
                    <w:pStyle w:val="56"/>
                    <w:rPr>
                      <w:rFonts w:ascii="Calibri" w:hAnsi="Calibri" w:cs="Calibri"/>
                      <w:sz w:val="21"/>
                      <w:szCs w:val="21"/>
                      <w:lang w:eastAsia="zh-CN"/>
                    </w:rPr>
                  </w:pPr>
                  <w:r>
                    <w:rPr>
                      <w:rFonts w:ascii="Calibri" w:hAnsi="Calibri" w:cs="Calibri"/>
                      <w:sz w:val="21"/>
                      <w:szCs w:val="21"/>
                      <w:lang w:eastAsia="zh-CN"/>
                    </w:rPr>
                    <w:t>1%</w:t>
                  </w:r>
                </w:p>
              </w:tc>
              <w:tc>
                <w:tcPr>
                  <w:tcW w:w="1636" w:type="pct"/>
                  <w:vMerge w:val="continue"/>
                  <w:vAlign w:val="center"/>
                </w:tcPr>
                <w:p w14:paraId="53A000F4">
                  <w:pPr>
                    <w:pStyle w:val="56"/>
                    <w:rPr>
                      <w:rFonts w:ascii="Calibri" w:hAnsi="Calibri" w:cs="Calibri"/>
                      <w:sz w:val="21"/>
                      <w:szCs w:val="21"/>
                    </w:rPr>
                  </w:pPr>
                </w:p>
              </w:tc>
            </w:tr>
          </w:tbl>
          <w:p w14:paraId="7476FAC1">
            <w:pPr>
              <w:widowControl/>
              <w:spacing w:line="360" w:lineRule="auto"/>
              <w:ind w:firstLine="482" w:firstLineChars="200"/>
              <w:jc w:val="left"/>
              <w:rPr>
                <w:b/>
                <w:bCs/>
                <w:kern w:val="0"/>
                <w:sz w:val="24"/>
              </w:rPr>
            </w:pPr>
            <w:r>
              <w:rPr>
                <w:rFonts w:hint="eastAsia"/>
                <w:b/>
                <w:bCs/>
                <w:sz w:val="24"/>
                <w:lang w:eastAsia="zh-CN"/>
              </w:rPr>
              <w:t>2.</w:t>
            </w:r>
            <w:r>
              <w:rPr>
                <w:b/>
                <w:bCs/>
                <w:kern w:val="0"/>
                <w:sz w:val="24"/>
              </w:rPr>
              <w:t>废水</w:t>
            </w:r>
          </w:p>
          <w:p w14:paraId="5618CD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施工期废水执行《污水综合排放标准》（GB 8978-1996）中</w:t>
            </w:r>
            <w:r>
              <w:rPr>
                <w:rFonts w:hint="default" w:ascii="Calibri" w:hAnsi="Calibri" w:eastAsia="宋体" w:cs="Calibri"/>
                <w:spacing w:val="2"/>
                <w:sz w:val="24"/>
                <w:szCs w:val="24"/>
              </w:rPr>
              <w:t>表4</w:t>
            </w:r>
            <w:r>
              <w:rPr>
                <w:rFonts w:hint="eastAsia"/>
                <w:color w:val="000000"/>
                <w:kern w:val="0"/>
                <w:sz w:val="24"/>
                <w:lang w:val="en-US" w:eastAsia="zh-CN"/>
              </w:rPr>
              <w:t>中</w:t>
            </w:r>
            <w:r>
              <w:rPr>
                <w:rFonts w:hint="eastAsia"/>
                <w:color w:val="000000"/>
                <w:kern w:val="0"/>
                <w:sz w:val="24"/>
              </w:rPr>
              <w:t>三级标准</w:t>
            </w:r>
            <w:r>
              <w:rPr>
                <w:rFonts w:hint="eastAsia"/>
                <w:color w:val="000000"/>
                <w:kern w:val="0"/>
                <w:sz w:val="24"/>
                <w:lang w:eastAsia="zh-CN"/>
              </w:rPr>
              <w:t>。</w:t>
            </w:r>
          </w:p>
          <w:p w14:paraId="70CAFC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lang w:val="en-US" w:eastAsia="zh-CN"/>
              </w:rPr>
              <w:t>运营期</w:t>
            </w:r>
            <w:r>
              <w:rPr>
                <w:rFonts w:hint="eastAsia" w:ascii="Times New Roman" w:hAnsi="Times New Roman" w:eastAsia="宋体" w:cs="Times New Roman"/>
                <w:sz w:val="24"/>
              </w:rPr>
              <w:t>污水处理</w:t>
            </w:r>
            <w:r>
              <w:rPr>
                <w:rFonts w:hint="eastAsia" w:ascii="Times New Roman" w:hAnsi="Times New Roman" w:eastAsia="宋体" w:cs="Times New Roman"/>
                <w:sz w:val="24"/>
                <w:lang w:val="en-US" w:eastAsia="zh-CN"/>
              </w:rPr>
              <w:t>站</w:t>
            </w:r>
            <w:r>
              <w:rPr>
                <w:rFonts w:hint="eastAsia" w:ascii="Times New Roman" w:hAnsi="Times New Roman" w:eastAsia="宋体" w:cs="Times New Roman"/>
                <w:sz w:val="24"/>
              </w:rPr>
              <w:t>出水水质达到《城镇污水处理厂污染物排放标准》（GB18918-2002）一级A标准。本项目污水处理厂出水通过排碱渠排入下游苇区灌溉，出水</w:t>
            </w:r>
            <w:r>
              <w:rPr>
                <w:rFonts w:hint="eastAsia" w:ascii="Times New Roman" w:hAnsi="Times New Roman" w:eastAsia="宋体" w:cs="Times New Roman"/>
                <w:sz w:val="24"/>
                <w:lang w:val="en-US" w:eastAsia="zh-CN"/>
              </w:rPr>
              <w:t>同时</w:t>
            </w:r>
            <w:r>
              <w:rPr>
                <w:rFonts w:hint="eastAsia" w:ascii="Times New Roman" w:hAnsi="Times New Roman" w:eastAsia="宋体" w:cs="Times New Roman"/>
                <w:sz w:val="24"/>
              </w:rPr>
              <w:t>需要执行《城市污水再生利用 景观环境用水水质》（GB/T 18921-2019）中湿地环境用水相关要求标准。</w:t>
            </w:r>
          </w:p>
          <w:p w14:paraId="3647F7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sz w:val="24"/>
              </w:rPr>
            </w:pPr>
            <w:r>
              <w:rPr>
                <w:rFonts w:hint="eastAsia" w:ascii="Times New Roman" w:hAnsi="Times New Roman" w:eastAsia="宋体" w:cs="Times New Roman"/>
                <w:b/>
                <w:bCs/>
                <w:sz w:val="24"/>
              </w:rPr>
              <w:t>表</w:t>
            </w:r>
            <w:r>
              <w:rPr>
                <w:rFonts w:hint="eastAsia" w:ascii="Times New Roman" w:hAnsi="Times New Roman" w:eastAsia="宋体" w:cs="Times New Roman"/>
                <w:b/>
                <w:bCs/>
                <w:sz w:val="24"/>
                <w:lang w:val="en-US" w:eastAsia="zh-CN"/>
              </w:rPr>
              <w:t>3-5</w:t>
            </w:r>
            <w:r>
              <w:rPr>
                <w:rFonts w:hint="eastAsia" w:ascii="Times New Roman" w:hAnsi="Times New Roman" w:eastAsia="宋体" w:cs="Times New Roman"/>
                <w:b/>
                <w:bCs/>
                <w:sz w:val="24"/>
              </w:rPr>
              <w:t xml:space="preserve">    污水处理</w:t>
            </w:r>
            <w:r>
              <w:rPr>
                <w:rFonts w:hint="eastAsia" w:ascii="Times New Roman" w:hAnsi="Times New Roman" w:eastAsia="宋体" w:cs="Times New Roman"/>
                <w:b/>
                <w:bCs/>
                <w:sz w:val="24"/>
                <w:lang w:val="en-US" w:eastAsia="zh-CN"/>
              </w:rPr>
              <w:t>站</w:t>
            </w:r>
            <w:r>
              <w:rPr>
                <w:rFonts w:hint="eastAsia" w:ascii="Times New Roman" w:hAnsi="Times New Roman" w:eastAsia="宋体" w:cs="Times New Roman"/>
                <w:b/>
                <w:bCs/>
                <w:sz w:val="24"/>
              </w:rPr>
              <w:t>污染物排放标准</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1"/>
              <w:gridCol w:w="2459"/>
              <w:gridCol w:w="2722"/>
              <w:gridCol w:w="1338"/>
            </w:tblGrid>
            <w:tr w14:paraId="34C7D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7" w:type="pct"/>
                  <w:vAlign w:val="center"/>
                </w:tcPr>
                <w:p w14:paraId="075A59C4">
                  <w:pPr>
                    <w:pStyle w:val="56"/>
                    <w:rPr>
                      <w:rFonts w:ascii="Calibri" w:hAnsi="Calibri" w:cs="Calibri"/>
                      <w:sz w:val="21"/>
                      <w:szCs w:val="21"/>
                      <w:lang w:eastAsia="zh-CN"/>
                    </w:rPr>
                  </w:pPr>
                  <w:r>
                    <w:rPr>
                      <w:rFonts w:ascii="Calibri" w:hAnsi="Calibri" w:cs="Calibri"/>
                      <w:sz w:val="21"/>
                      <w:szCs w:val="21"/>
                      <w:lang w:eastAsia="zh-CN"/>
                    </w:rPr>
                    <w:t>污染物</w:t>
                  </w:r>
                </w:p>
              </w:tc>
              <w:tc>
                <w:tcPr>
                  <w:tcW w:w="1479" w:type="pct"/>
                  <w:vAlign w:val="center"/>
                </w:tcPr>
                <w:p w14:paraId="4535D2D5">
                  <w:pPr>
                    <w:pStyle w:val="56"/>
                    <w:rPr>
                      <w:rFonts w:ascii="Calibri" w:hAnsi="Calibri" w:cs="Calibri"/>
                      <w:sz w:val="21"/>
                      <w:szCs w:val="21"/>
                      <w:lang w:eastAsia="zh-CN"/>
                    </w:rPr>
                  </w:pPr>
                  <w:r>
                    <w:rPr>
                      <w:rFonts w:ascii="Calibri" w:hAnsi="Calibri" w:cs="Calibri"/>
                      <w:sz w:val="21"/>
                      <w:szCs w:val="21"/>
                      <w:lang w:eastAsia="zh-CN"/>
                    </w:rPr>
                    <w:t>《城镇污水处理厂污染物排放标准》（GB18918-2002）</w:t>
                  </w:r>
                </w:p>
              </w:tc>
              <w:tc>
                <w:tcPr>
                  <w:tcW w:w="1637" w:type="pct"/>
                  <w:vAlign w:val="center"/>
                </w:tcPr>
                <w:p w14:paraId="70F507DC">
                  <w:pPr>
                    <w:pStyle w:val="56"/>
                    <w:rPr>
                      <w:rFonts w:ascii="Calibri" w:hAnsi="Calibri" w:cs="Calibri"/>
                      <w:sz w:val="21"/>
                      <w:szCs w:val="21"/>
                      <w:lang w:eastAsia="zh-CN"/>
                    </w:rPr>
                  </w:pPr>
                  <w:r>
                    <w:rPr>
                      <w:rFonts w:hint="eastAsia" w:ascii="Calibri" w:hAnsi="Calibri" w:cs="Calibri"/>
                      <w:sz w:val="21"/>
                      <w:szCs w:val="21"/>
                      <w:lang w:eastAsia="zh-CN"/>
                    </w:rPr>
                    <w:t>《城市污水再生利用 景观环境用水水质》（GB/T 18921-2019）</w:t>
                  </w:r>
                </w:p>
              </w:tc>
              <w:tc>
                <w:tcPr>
                  <w:tcW w:w="805" w:type="pct"/>
                  <w:vAlign w:val="center"/>
                </w:tcPr>
                <w:p w14:paraId="49D40099">
                  <w:pPr>
                    <w:pStyle w:val="56"/>
                    <w:rPr>
                      <w:rFonts w:hint="default" w:ascii="Calibri" w:hAnsi="Calibri" w:cs="Calibri"/>
                      <w:sz w:val="21"/>
                      <w:szCs w:val="21"/>
                      <w:lang w:val="en-US" w:eastAsia="zh-CN"/>
                    </w:rPr>
                  </w:pPr>
                  <w:r>
                    <w:rPr>
                      <w:rFonts w:hint="eastAsia" w:ascii="Calibri" w:hAnsi="Calibri" w:cs="Calibri"/>
                      <w:sz w:val="21"/>
                      <w:szCs w:val="21"/>
                      <w:lang w:val="en-US" w:eastAsia="zh-CN"/>
                    </w:rPr>
                    <w:t>限值</w:t>
                  </w:r>
                </w:p>
              </w:tc>
            </w:tr>
            <w:tr w14:paraId="7062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7" w:type="pct"/>
                  <w:vAlign w:val="center"/>
                </w:tcPr>
                <w:p w14:paraId="62E20C0B">
                  <w:pPr>
                    <w:pStyle w:val="56"/>
                    <w:rPr>
                      <w:rFonts w:hint="eastAsia" w:ascii="Calibri" w:hAnsi="Calibri" w:eastAsia="宋体" w:cs="Calibri"/>
                      <w:sz w:val="21"/>
                      <w:szCs w:val="21"/>
                      <w:lang w:eastAsia="zh-CN"/>
                    </w:rPr>
                  </w:pPr>
                  <w:r>
                    <w:rPr>
                      <w:rFonts w:hint="eastAsia" w:ascii="Calibri" w:hAnsi="Calibri" w:cs="Calibri"/>
                      <w:sz w:val="21"/>
                      <w:szCs w:val="21"/>
                      <w:lang w:eastAsia="zh-CN"/>
                    </w:rPr>
                    <w:t>CODcr</w:t>
                  </w:r>
                </w:p>
              </w:tc>
              <w:tc>
                <w:tcPr>
                  <w:tcW w:w="1479" w:type="pct"/>
                  <w:vAlign w:val="center"/>
                </w:tcPr>
                <w:p w14:paraId="15A6E0C9">
                  <w:pPr>
                    <w:pStyle w:val="56"/>
                    <w:rPr>
                      <w:rFonts w:ascii="Calibri" w:hAnsi="Calibri" w:cs="Calibri"/>
                      <w:sz w:val="21"/>
                      <w:szCs w:val="21"/>
                    </w:rPr>
                  </w:pPr>
                  <w:r>
                    <w:rPr>
                      <w:rFonts w:ascii="Calibri" w:hAnsi="Calibri" w:cs="Calibri"/>
                      <w:sz w:val="21"/>
                      <w:szCs w:val="21"/>
                      <w:lang w:eastAsia="zh-CN"/>
                    </w:rPr>
                    <w:t>≤</w:t>
                  </w:r>
                  <w:r>
                    <w:rPr>
                      <w:rFonts w:ascii="Calibri" w:hAnsi="Calibri" w:cs="Calibri"/>
                      <w:sz w:val="21"/>
                      <w:szCs w:val="21"/>
                    </w:rPr>
                    <w:t>50</w:t>
                  </w:r>
                </w:p>
              </w:tc>
              <w:tc>
                <w:tcPr>
                  <w:tcW w:w="1637" w:type="pct"/>
                  <w:vAlign w:val="center"/>
                </w:tcPr>
                <w:p w14:paraId="5BE9215B">
                  <w:pPr>
                    <w:pStyle w:val="56"/>
                    <w:rPr>
                      <w:rFonts w:ascii="Calibri" w:hAnsi="Calibri" w:cs="Calibri"/>
                      <w:sz w:val="21"/>
                      <w:szCs w:val="21"/>
                      <w:lang w:eastAsia="zh-CN"/>
                    </w:rPr>
                  </w:pPr>
                  <w:r>
                    <w:rPr>
                      <w:rFonts w:hint="eastAsia" w:ascii="Calibri" w:hAnsi="Calibri" w:cs="Calibri"/>
                      <w:sz w:val="21"/>
                      <w:szCs w:val="21"/>
                      <w:lang w:eastAsia="zh-CN"/>
                    </w:rPr>
                    <w:t>/</w:t>
                  </w:r>
                </w:p>
              </w:tc>
              <w:tc>
                <w:tcPr>
                  <w:tcW w:w="805" w:type="pct"/>
                  <w:vAlign w:val="center"/>
                </w:tcPr>
                <w:p w14:paraId="6C77AE01">
                  <w:pPr>
                    <w:pStyle w:val="56"/>
                    <w:rPr>
                      <w:rFonts w:hint="default" w:ascii="Calibri" w:hAnsi="Calibri" w:cs="Calibri"/>
                      <w:sz w:val="21"/>
                      <w:szCs w:val="21"/>
                      <w:lang w:val="en-US" w:eastAsia="zh-CN"/>
                    </w:rPr>
                  </w:pPr>
                  <w:r>
                    <w:rPr>
                      <w:rFonts w:ascii="Calibri" w:hAnsi="Calibri" w:cs="Calibri"/>
                      <w:sz w:val="21"/>
                      <w:szCs w:val="21"/>
                      <w:lang w:eastAsia="zh-CN"/>
                    </w:rPr>
                    <w:t>≤</w:t>
                  </w:r>
                  <w:r>
                    <w:rPr>
                      <w:rFonts w:hint="eastAsia" w:ascii="Calibri" w:hAnsi="Calibri" w:cs="Calibri"/>
                      <w:sz w:val="21"/>
                      <w:szCs w:val="21"/>
                      <w:lang w:val="en-US" w:eastAsia="zh-CN"/>
                    </w:rPr>
                    <w:t>50</w:t>
                  </w:r>
                </w:p>
              </w:tc>
            </w:tr>
            <w:tr w14:paraId="5873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7" w:type="pct"/>
                  <w:vAlign w:val="center"/>
                </w:tcPr>
                <w:p w14:paraId="41DE1200">
                  <w:pPr>
                    <w:pStyle w:val="56"/>
                    <w:rPr>
                      <w:rFonts w:ascii="Calibri" w:hAnsi="Calibri" w:cs="Calibri"/>
                      <w:sz w:val="21"/>
                      <w:szCs w:val="21"/>
                      <w:lang w:eastAsia="zh-CN"/>
                    </w:rPr>
                  </w:pPr>
                  <w:r>
                    <w:rPr>
                      <w:rFonts w:ascii="Calibri" w:hAnsi="Calibri" w:cs="Calibri"/>
                      <w:sz w:val="21"/>
                      <w:szCs w:val="21"/>
                    </w:rPr>
                    <w:t>BOD</w:t>
                  </w:r>
                  <w:r>
                    <w:rPr>
                      <w:rFonts w:ascii="Calibri" w:hAnsi="Calibri" w:cs="Calibri"/>
                      <w:sz w:val="21"/>
                      <w:szCs w:val="21"/>
                      <w:vertAlign w:val="subscript"/>
                    </w:rPr>
                    <w:t>5</w:t>
                  </w:r>
                </w:p>
              </w:tc>
              <w:tc>
                <w:tcPr>
                  <w:tcW w:w="1479" w:type="pct"/>
                  <w:vAlign w:val="center"/>
                </w:tcPr>
                <w:p w14:paraId="356C5EC4">
                  <w:pPr>
                    <w:pStyle w:val="56"/>
                    <w:rPr>
                      <w:rFonts w:ascii="Calibri" w:hAnsi="Calibri" w:cs="Calibri"/>
                      <w:sz w:val="21"/>
                      <w:szCs w:val="21"/>
                      <w:lang w:eastAsia="zh-CN"/>
                    </w:rPr>
                  </w:pPr>
                  <w:r>
                    <w:rPr>
                      <w:rFonts w:ascii="Calibri" w:hAnsi="Calibri" w:cs="Calibri"/>
                      <w:sz w:val="21"/>
                      <w:szCs w:val="21"/>
                      <w:lang w:eastAsia="zh-CN"/>
                    </w:rPr>
                    <w:t>≤10</w:t>
                  </w:r>
                </w:p>
              </w:tc>
              <w:tc>
                <w:tcPr>
                  <w:tcW w:w="1637" w:type="pct"/>
                  <w:vAlign w:val="center"/>
                </w:tcPr>
                <w:p w14:paraId="4AEA80A8">
                  <w:pPr>
                    <w:pStyle w:val="56"/>
                    <w:rPr>
                      <w:rFonts w:hint="default" w:ascii="Calibri" w:hAnsi="Calibri" w:cs="Calibri"/>
                      <w:sz w:val="21"/>
                      <w:szCs w:val="21"/>
                      <w:lang w:val="en-US" w:eastAsia="zh-CN"/>
                    </w:rPr>
                  </w:pPr>
                  <w:r>
                    <w:rPr>
                      <w:rFonts w:ascii="Calibri" w:hAnsi="Calibri" w:cs="Calibri"/>
                      <w:sz w:val="21"/>
                      <w:szCs w:val="21"/>
                      <w:lang w:eastAsia="zh-CN"/>
                    </w:rPr>
                    <w:t>≤</w:t>
                  </w:r>
                  <w:r>
                    <w:rPr>
                      <w:rFonts w:hint="eastAsia" w:ascii="Calibri" w:hAnsi="Calibri" w:cs="Calibri"/>
                      <w:sz w:val="21"/>
                      <w:szCs w:val="21"/>
                      <w:lang w:val="en-US" w:eastAsia="zh-CN"/>
                    </w:rPr>
                    <w:t>10</w:t>
                  </w:r>
                </w:p>
              </w:tc>
              <w:tc>
                <w:tcPr>
                  <w:tcW w:w="805" w:type="pct"/>
                  <w:vAlign w:val="center"/>
                </w:tcPr>
                <w:p w14:paraId="3141E93F">
                  <w:pPr>
                    <w:pStyle w:val="56"/>
                    <w:rPr>
                      <w:rFonts w:hint="default" w:ascii="Calibri" w:hAnsi="Calibri" w:cs="Calibri"/>
                      <w:sz w:val="21"/>
                      <w:szCs w:val="21"/>
                      <w:lang w:val="en-US" w:eastAsia="zh-CN"/>
                    </w:rPr>
                  </w:pPr>
                  <w:r>
                    <w:rPr>
                      <w:rFonts w:ascii="Calibri" w:hAnsi="Calibri" w:cs="Calibri"/>
                      <w:sz w:val="21"/>
                      <w:szCs w:val="21"/>
                      <w:lang w:eastAsia="zh-CN"/>
                    </w:rPr>
                    <w:t>≤</w:t>
                  </w:r>
                  <w:r>
                    <w:rPr>
                      <w:rFonts w:hint="eastAsia" w:ascii="Calibri" w:hAnsi="Calibri" w:cs="Calibri"/>
                      <w:sz w:val="21"/>
                      <w:szCs w:val="21"/>
                      <w:lang w:val="en-US" w:eastAsia="zh-CN"/>
                    </w:rPr>
                    <w:t>10</w:t>
                  </w:r>
                </w:p>
              </w:tc>
            </w:tr>
            <w:tr w14:paraId="435B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7" w:type="pct"/>
                  <w:vAlign w:val="center"/>
                </w:tcPr>
                <w:p w14:paraId="0DCD214A">
                  <w:pPr>
                    <w:pStyle w:val="56"/>
                    <w:rPr>
                      <w:rFonts w:ascii="Calibri" w:hAnsi="Calibri" w:cs="Calibri"/>
                      <w:sz w:val="21"/>
                      <w:szCs w:val="21"/>
                      <w:lang w:eastAsia="zh-CN"/>
                    </w:rPr>
                  </w:pPr>
                  <w:r>
                    <w:rPr>
                      <w:rFonts w:ascii="Calibri" w:hAnsi="Calibri" w:cs="Calibri"/>
                      <w:sz w:val="21"/>
                      <w:szCs w:val="21"/>
                    </w:rPr>
                    <w:t>SS</w:t>
                  </w:r>
                </w:p>
              </w:tc>
              <w:tc>
                <w:tcPr>
                  <w:tcW w:w="1479" w:type="pct"/>
                  <w:vAlign w:val="center"/>
                </w:tcPr>
                <w:p w14:paraId="26D6C66A">
                  <w:pPr>
                    <w:pStyle w:val="56"/>
                    <w:rPr>
                      <w:rFonts w:ascii="Calibri" w:hAnsi="Calibri" w:cs="Calibri"/>
                      <w:sz w:val="21"/>
                      <w:szCs w:val="21"/>
                      <w:lang w:eastAsia="zh-CN"/>
                    </w:rPr>
                  </w:pPr>
                  <w:r>
                    <w:rPr>
                      <w:rFonts w:ascii="Calibri" w:hAnsi="Calibri" w:cs="Calibri"/>
                      <w:sz w:val="21"/>
                      <w:szCs w:val="21"/>
                      <w:lang w:eastAsia="zh-CN"/>
                    </w:rPr>
                    <w:t>≤10</w:t>
                  </w:r>
                </w:p>
              </w:tc>
              <w:tc>
                <w:tcPr>
                  <w:tcW w:w="1637" w:type="pct"/>
                  <w:vAlign w:val="center"/>
                </w:tcPr>
                <w:p w14:paraId="616F544B">
                  <w:pPr>
                    <w:pStyle w:val="56"/>
                    <w:rPr>
                      <w:rFonts w:ascii="Calibri" w:hAnsi="Calibri" w:cs="Calibri"/>
                      <w:sz w:val="21"/>
                      <w:szCs w:val="21"/>
                      <w:lang w:eastAsia="zh-CN"/>
                    </w:rPr>
                  </w:pPr>
                  <w:r>
                    <w:rPr>
                      <w:rFonts w:ascii="Calibri" w:hAnsi="Calibri" w:cs="Calibri"/>
                      <w:sz w:val="21"/>
                      <w:szCs w:val="21"/>
                      <w:lang w:eastAsia="zh-CN"/>
                    </w:rPr>
                    <w:t>/</w:t>
                  </w:r>
                </w:p>
              </w:tc>
              <w:tc>
                <w:tcPr>
                  <w:tcW w:w="805" w:type="pct"/>
                  <w:vAlign w:val="center"/>
                </w:tcPr>
                <w:p w14:paraId="09BC1369">
                  <w:pPr>
                    <w:pStyle w:val="56"/>
                    <w:rPr>
                      <w:rFonts w:hint="default" w:ascii="Calibri" w:hAnsi="Calibri" w:cs="Calibri"/>
                      <w:sz w:val="21"/>
                      <w:szCs w:val="21"/>
                      <w:lang w:val="en-US" w:eastAsia="zh-CN"/>
                    </w:rPr>
                  </w:pPr>
                  <w:r>
                    <w:rPr>
                      <w:rFonts w:ascii="Calibri" w:hAnsi="Calibri" w:cs="Calibri"/>
                      <w:sz w:val="21"/>
                      <w:szCs w:val="21"/>
                      <w:lang w:eastAsia="zh-CN"/>
                    </w:rPr>
                    <w:t>≤</w:t>
                  </w:r>
                  <w:r>
                    <w:rPr>
                      <w:rFonts w:hint="eastAsia" w:ascii="Calibri" w:hAnsi="Calibri" w:cs="Calibri"/>
                      <w:sz w:val="21"/>
                      <w:szCs w:val="21"/>
                      <w:lang w:val="en-US" w:eastAsia="zh-CN"/>
                    </w:rPr>
                    <w:t>10</w:t>
                  </w:r>
                </w:p>
              </w:tc>
            </w:tr>
            <w:tr w14:paraId="42C2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7" w:type="pct"/>
                  <w:vAlign w:val="center"/>
                </w:tcPr>
                <w:p w14:paraId="48CAAB70">
                  <w:pPr>
                    <w:pStyle w:val="56"/>
                    <w:rPr>
                      <w:rFonts w:ascii="Calibri" w:hAnsi="Calibri" w:cs="Calibri"/>
                      <w:sz w:val="21"/>
                      <w:szCs w:val="21"/>
                      <w:lang w:eastAsia="zh-CN"/>
                    </w:rPr>
                  </w:pPr>
                  <w:r>
                    <w:rPr>
                      <w:rFonts w:ascii="Calibri" w:hAnsi="Calibri" w:cs="Calibri"/>
                      <w:sz w:val="21"/>
                      <w:szCs w:val="21"/>
                      <w:lang w:eastAsia="zh-CN"/>
                    </w:rPr>
                    <w:t>动植物油</w:t>
                  </w:r>
                </w:p>
              </w:tc>
              <w:tc>
                <w:tcPr>
                  <w:tcW w:w="1479" w:type="pct"/>
                  <w:vAlign w:val="center"/>
                </w:tcPr>
                <w:p w14:paraId="0D1B8ACD">
                  <w:pPr>
                    <w:pStyle w:val="56"/>
                    <w:rPr>
                      <w:rFonts w:ascii="Calibri" w:hAnsi="Calibri" w:cs="Calibri"/>
                      <w:sz w:val="21"/>
                      <w:szCs w:val="21"/>
                      <w:lang w:eastAsia="zh-CN"/>
                    </w:rPr>
                  </w:pPr>
                  <w:r>
                    <w:rPr>
                      <w:rFonts w:ascii="Calibri" w:hAnsi="Calibri" w:cs="Calibri"/>
                      <w:sz w:val="21"/>
                      <w:szCs w:val="21"/>
                      <w:lang w:eastAsia="zh-CN"/>
                    </w:rPr>
                    <w:t>≤1</w:t>
                  </w:r>
                </w:p>
              </w:tc>
              <w:tc>
                <w:tcPr>
                  <w:tcW w:w="1637" w:type="pct"/>
                  <w:vAlign w:val="center"/>
                </w:tcPr>
                <w:p w14:paraId="6F7848F9">
                  <w:pPr>
                    <w:pStyle w:val="56"/>
                    <w:rPr>
                      <w:rFonts w:ascii="Calibri" w:hAnsi="Calibri" w:cs="Calibri"/>
                      <w:sz w:val="21"/>
                      <w:szCs w:val="21"/>
                      <w:lang w:eastAsia="zh-CN"/>
                    </w:rPr>
                  </w:pPr>
                  <w:r>
                    <w:rPr>
                      <w:rFonts w:ascii="Calibri" w:hAnsi="Calibri" w:cs="Calibri"/>
                      <w:sz w:val="21"/>
                      <w:szCs w:val="21"/>
                      <w:lang w:eastAsia="zh-CN"/>
                    </w:rPr>
                    <w:t>/</w:t>
                  </w:r>
                </w:p>
              </w:tc>
              <w:tc>
                <w:tcPr>
                  <w:tcW w:w="805" w:type="pct"/>
                  <w:vAlign w:val="center"/>
                </w:tcPr>
                <w:p w14:paraId="2699CA13">
                  <w:pPr>
                    <w:pStyle w:val="56"/>
                    <w:rPr>
                      <w:rFonts w:hint="default" w:ascii="Calibri" w:hAnsi="Calibri" w:cs="Calibri"/>
                      <w:sz w:val="21"/>
                      <w:szCs w:val="21"/>
                      <w:lang w:val="en-US" w:eastAsia="zh-CN"/>
                    </w:rPr>
                  </w:pPr>
                  <w:r>
                    <w:rPr>
                      <w:rFonts w:ascii="Calibri" w:hAnsi="Calibri" w:cs="Calibri"/>
                      <w:sz w:val="21"/>
                      <w:szCs w:val="21"/>
                      <w:lang w:eastAsia="zh-CN"/>
                    </w:rPr>
                    <w:t>≤</w:t>
                  </w:r>
                  <w:r>
                    <w:rPr>
                      <w:rFonts w:hint="eastAsia" w:ascii="Calibri" w:hAnsi="Calibri" w:cs="Calibri"/>
                      <w:sz w:val="21"/>
                      <w:szCs w:val="21"/>
                      <w:lang w:val="en-US" w:eastAsia="zh-CN"/>
                    </w:rPr>
                    <w:t>1</w:t>
                  </w:r>
                </w:p>
              </w:tc>
            </w:tr>
            <w:tr w14:paraId="52F66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7" w:type="pct"/>
                  <w:vAlign w:val="center"/>
                </w:tcPr>
                <w:p w14:paraId="5BA15D83">
                  <w:pPr>
                    <w:pStyle w:val="56"/>
                    <w:rPr>
                      <w:rFonts w:ascii="Calibri" w:hAnsi="Calibri" w:cs="Calibri"/>
                      <w:sz w:val="21"/>
                      <w:szCs w:val="21"/>
                      <w:lang w:eastAsia="zh-CN"/>
                    </w:rPr>
                  </w:pPr>
                  <w:r>
                    <w:rPr>
                      <w:rFonts w:ascii="Calibri" w:hAnsi="Calibri" w:cs="Calibri"/>
                      <w:sz w:val="21"/>
                      <w:szCs w:val="21"/>
                      <w:lang w:eastAsia="zh-CN"/>
                    </w:rPr>
                    <w:t>石油类</w:t>
                  </w:r>
                </w:p>
              </w:tc>
              <w:tc>
                <w:tcPr>
                  <w:tcW w:w="1479" w:type="pct"/>
                  <w:vAlign w:val="center"/>
                </w:tcPr>
                <w:p w14:paraId="12DA8982">
                  <w:pPr>
                    <w:pStyle w:val="56"/>
                    <w:rPr>
                      <w:rFonts w:ascii="Calibri" w:hAnsi="Calibri" w:cs="Calibri"/>
                      <w:sz w:val="21"/>
                      <w:szCs w:val="21"/>
                      <w:lang w:eastAsia="zh-CN"/>
                    </w:rPr>
                  </w:pPr>
                  <w:r>
                    <w:rPr>
                      <w:rFonts w:ascii="Calibri" w:hAnsi="Calibri" w:cs="Calibri"/>
                      <w:sz w:val="21"/>
                      <w:szCs w:val="21"/>
                      <w:lang w:eastAsia="zh-CN"/>
                    </w:rPr>
                    <w:t>≤1</w:t>
                  </w:r>
                </w:p>
              </w:tc>
              <w:tc>
                <w:tcPr>
                  <w:tcW w:w="1637" w:type="pct"/>
                  <w:vAlign w:val="center"/>
                </w:tcPr>
                <w:p w14:paraId="02954A39">
                  <w:pPr>
                    <w:pStyle w:val="56"/>
                    <w:rPr>
                      <w:rFonts w:ascii="Calibri" w:hAnsi="Calibri" w:cs="Calibri"/>
                      <w:sz w:val="21"/>
                      <w:szCs w:val="21"/>
                      <w:lang w:eastAsia="zh-CN"/>
                    </w:rPr>
                  </w:pPr>
                  <w:r>
                    <w:rPr>
                      <w:rFonts w:ascii="Calibri" w:hAnsi="Calibri" w:cs="Calibri"/>
                      <w:sz w:val="21"/>
                      <w:szCs w:val="21"/>
                      <w:lang w:eastAsia="zh-CN"/>
                    </w:rPr>
                    <w:t>/</w:t>
                  </w:r>
                </w:p>
              </w:tc>
              <w:tc>
                <w:tcPr>
                  <w:tcW w:w="805" w:type="pct"/>
                  <w:vAlign w:val="center"/>
                </w:tcPr>
                <w:p w14:paraId="5A291994">
                  <w:pPr>
                    <w:pStyle w:val="56"/>
                    <w:rPr>
                      <w:rFonts w:hint="default" w:ascii="Calibri" w:hAnsi="Calibri" w:cs="Calibri"/>
                      <w:sz w:val="21"/>
                      <w:szCs w:val="21"/>
                      <w:lang w:val="en-US" w:eastAsia="zh-CN"/>
                    </w:rPr>
                  </w:pPr>
                  <w:r>
                    <w:rPr>
                      <w:rFonts w:ascii="Calibri" w:hAnsi="Calibri" w:cs="Calibri"/>
                      <w:sz w:val="21"/>
                      <w:szCs w:val="21"/>
                      <w:lang w:eastAsia="zh-CN"/>
                    </w:rPr>
                    <w:t>≤</w:t>
                  </w:r>
                  <w:r>
                    <w:rPr>
                      <w:rFonts w:hint="eastAsia" w:ascii="Calibri" w:hAnsi="Calibri" w:cs="Calibri"/>
                      <w:sz w:val="21"/>
                      <w:szCs w:val="21"/>
                      <w:lang w:val="en-US" w:eastAsia="zh-CN"/>
                    </w:rPr>
                    <w:t>1</w:t>
                  </w:r>
                </w:p>
              </w:tc>
            </w:tr>
            <w:tr w14:paraId="482E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7" w:type="pct"/>
                  <w:vAlign w:val="center"/>
                </w:tcPr>
                <w:p w14:paraId="2001E68F">
                  <w:pPr>
                    <w:pStyle w:val="56"/>
                    <w:rPr>
                      <w:rFonts w:ascii="Calibri" w:hAnsi="Calibri" w:cs="Calibri"/>
                      <w:sz w:val="21"/>
                      <w:szCs w:val="21"/>
                      <w:lang w:eastAsia="zh-CN"/>
                    </w:rPr>
                  </w:pPr>
                  <w:r>
                    <w:rPr>
                      <w:rFonts w:ascii="Calibri" w:hAnsi="Calibri" w:cs="Calibri"/>
                      <w:sz w:val="21"/>
                      <w:szCs w:val="21"/>
                      <w:lang w:eastAsia="zh-CN"/>
                    </w:rPr>
                    <w:t>浊度/NTU</w:t>
                  </w:r>
                </w:p>
              </w:tc>
              <w:tc>
                <w:tcPr>
                  <w:tcW w:w="1479" w:type="pct"/>
                  <w:vAlign w:val="center"/>
                </w:tcPr>
                <w:p w14:paraId="204F8264">
                  <w:pPr>
                    <w:pStyle w:val="56"/>
                    <w:rPr>
                      <w:rFonts w:ascii="Calibri" w:hAnsi="Calibri" w:cs="Calibri"/>
                      <w:sz w:val="21"/>
                      <w:szCs w:val="21"/>
                      <w:lang w:eastAsia="zh-CN"/>
                    </w:rPr>
                  </w:pPr>
                  <w:r>
                    <w:rPr>
                      <w:rFonts w:ascii="Calibri" w:hAnsi="Calibri" w:cs="Calibri"/>
                      <w:sz w:val="21"/>
                      <w:szCs w:val="21"/>
                      <w:lang w:eastAsia="zh-CN"/>
                    </w:rPr>
                    <w:t>/</w:t>
                  </w:r>
                </w:p>
              </w:tc>
              <w:tc>
                <w:tcPr>
                  <w:tcW w:w="1637" w:type="pct"/>
                  <w:vAlign w:val="center"/>
                </w:tcPr>
                <w:p w14:paraId="61F08A3D">
                  <w:pPr>
                    <w:pStyle w:val="56"/>
                    <w:rPr>
                      <w:rFonts w:ascii="Calibri" w:hAnsi="Calibri" w:cs="Calibri"/>
                      <w:sz w:val="21"/>
                      <w:szCs w:val="21"/>
                      <w:lang w:eastAsia="zh-CN"/>
                    </w:rPr>
                  </w:pPr>
                  <w:r>
                    <w:rPr>
                      <w:rFonts w:ascii="Calibri" w:hAnsi="Calibri" w:cs="Calibri"/>
                      <w:sz w:val="21"/>
                      <w:szCs w:val="21"/>
                      <w:lang w:eastAsia="zh-CN"/>
                    </w:rPr>
                    <w:t>≤10</w:t>
                  </w:r>
                </w:p>
              </w:tc>
              <w:tc>
                <w:tcPr>
                  <w:tcW w:w="805" w:type="pct"/>
                  <w:vAlign w:val="center"/>
                </w:tcPr>
                <w:p w14:paraId="26577808">
                  <w:pPr>
                    <w:pStyle w:val="56"/>
                    <w:rPr>
                      <w:rFonts w:hint="default" w:ascii="Calibri" w:hAnsi="Calibri" w:cs="Calibri"/>
                      <w:sz w:val="21"/>
                      <w:szCs w:val="21"/>
                      <w:lang w:val="en-US" w:eastAsia="zh-CN"/>
                    </w:rPr>
                  </w:pPr>
                  <w:r>
                    <w:rPr>
                      <w:rFonts w:ascii="Calibri" w:hAnsi="Calibri" w:cs="Calibri"/>
                      <w:sz w:val="21"/>
                      <w:szCs w:val="21"/>
                      <w:lang w:eastAsia="zh-CN"/>
                    </w:rPr>
                    <w:t>≤</w:t>
                  </w:r>
                  <w:r>
                    <w:rPr>
                      <w:rFonts w:hint="eastAsia" w:ascii="Calibri" w:hAnsi="Calibri" w:cs="Calibri"/>
                      <w:sz w:val="21"/>
                      <w:szCs w:val="21"/>
                      <w:lang w:val="en-US" w:eastAsia="zh-CN"/>
                    </w:rPr>
                    <w:t>10</w:t>
                  </w:r>
                </w:p>
              </w:tc>
            </w:tr>
            <w:tr w14:paraId="18DF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7" w:type="pct"/>
                  <w:vAlign w:val="center"/>
                </w:tcPr>
                <w:p w14:paraId="2136251F">
                  <w:pPr>
                    <w:pStyle w:val="56"/>
                    <w:rPr>
                      <w:rFonts w:ascii="Calibri" w:hAnsi="Calibri" w:cs="Calibri"/>
                      <w:sz w:val="21"/>
                      <w:szCs w:val="21"/>
                      <w:lang w:eastAsia="zh-CN"/>
                    </w:rPr>
                  </w:pPr>
                  <w:r>
                    <w:rPr>
                      <w:rFonts w:ascii="Calibri" w:hAnsi="Calibri" w:cs="Calibri"/>
                      <w:sz w:val="21"/>
                      <w:szCs w:val="21"/>
                      <w:lang w:eastAsia="zh-CN"/>
                    </w:rPr>
                    <w:t>阴离子表面活性剂</w:t>
                  </w:r>
                </w:p>
              </w:tc>
              <w:tc>
                <w:tcPr>
                  <w:tcW w:w="1479" w:type="pct"/>
                  <w:vAlign w:val="center"/>
                </w:tcPr>
                <w:p w14:paraId="778AAAFD">
                  <w:pPr>
                    <w:pStyle w:val="56"/>
                    <w:rPr>
                      <w:rFonts w:ascii="Calibri" w:hAnsi="Calibri" w:cs="Calibri"/>
                      <w:sz w:val="21"/>
                      <w:szCs w:val="21"/>
                      <w:lang w:eastAsia="zh-CN"/>
                    </w:rPr>
                  </w:pPr>
                  <w:r>
                    <w:rPr>
                      <w:rFonts w:ascii="Calibri" w:hAnsi="Calibri" w:cs="Calibri"/>
                      <w:sz w:val="21"/>
                      <w:szCs w:val="21"/>
                      <w:lang w:eastAsia="zh-CN"/>
                    </w:rPr>
                    <w:t>≤0.5</w:t>
                  </w:r>
                </w:p>
              </w:tc>
              <w:tc>
                <w:tcPr>
                  <w:tcW w:w="1637" w:type="pct"/>
                  <w:vAlign w:val="center"/>
                </w:tcPr>
                <w:p w14:paraId="14D8D7C7">
                  <w:pPr>
                    <w:pStyle w:val="56"/>
                    <w:rPr>
                      <w:rFonts w:ascii="Calibri" w:hAnsi="Calibri" w:cs="Calibri"/>
                      <w:sz w:val="21"/>
                      <w:szCs w:val="21"/>
                      <w:lang w:eastAsia="zh-CN"/>
                    </w:rPr>
                  </w:pPr>
                  <w:r>
                    <w:rPr>
                      <w:rFonts w:ascii="Calibri" w:hAnsi="Calibri" w:cs="Calibri"/>
                      <w:sz w:val="21"/>
                      <w:szCs w:val="21"/>
                      <w:lang w:eastAsia="zh-CN"/>
                    </w:rPr>
                    <w:t>≤0.5</w:t>
                  </w:r>
                </w:p>
              </w:tc>
              <w:tc>
                <w:tcPr>
                  <w:tcW w:w="805" w:type="pct"/>
                  <w:vAlign w:val="center"/>
                </w:tcPr>
                <w:p w14:paraId="41F18533">
                  <w:pPr>
                    <w:pStyle w:val="56"/>
                    <w:rPr>
                      <w:rFonts w:hint="default" w:ascii="Calibri" w:hAnsi="Calibri" w:cs="Calibri"/>
                      <w:sz w:val="21"/>
                      <w:szCs w:val="21"/>
                      <w:lang w:val="en-US" w:eastAsia="zh-CN"/>
                    </w:rPr>
                  </w:pPr>
                  <w:r>
                    <w:rPr>
                      <w:rFonts w:ascii="Calibri" w:hAnsi="Calibri" w:cs="Calibri"/>
                      <w:sz w:val="21"/>
                      <w:szCs w:val="21"/>
                      <w:lang w:eastAsia="zh-CN"/>
                    </w:rPr>
                    <w:t>≤</w:t>
                  </w:r>
                  <w:r>
                    <w:rPr>
                      <w:rFonts w:hint="eastAsia" w:ascii="Calibri" w:hAnsi="Calibri" w:cs="Calibri"/>
                      <w:sz w:val="21"/>
                      <w:szCs w:val="21"/>
                      <w:lang w:val="en-US" w:eastAsia="zh-CN"/>
                    </w:rPr>
                    <w:t>0.5</w:t>
                  </w:r>
                </w:p>
              </w:tc>
            </w:tr>
            <w:tr w14:paraId="52F4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7" w:type="pct"/>
                  <w:vAlign w:val="center"/>
                </w:tcPr>
                <w:p w14:paraId="33C5C300">
                  <w:pPr>
                    <w:pStyle w:val="56"/>
                    <w:rPr>
                      <w:rFonts w:ascii="Calibri" w:hAnsi="Calibri" w:cs="Calibri"/>
                      <w:sz w:val="21"/>
                      <w:szCs w:val="21"/>
                      <w:lang w:eastAsia="zh-CN"/>
                    </w:rPr>
                  </w:pPr>
                  <w:r>
                    <w:rPr>
                      <w:rFonts w:ascii="Calibri" w:hAnsi="Calibri" w:cs="Calibri"/>
                      <w:sz w:val="21"/>
                      <w:szCs w:val="21"/>
                    </w:rPr>
                    <w:t>TN</w:t>
                  </w:r>
                </w:p>
              </w:tc>
              <w:tc>
                <w:tcPr>
                  <w:tcW w:w="1479" w:type="pct"/>
                  <w:vAlign w:val="center"/>
                </w:tcPr>
                <w:p w14:paraId="3297023D">
                  <w:pPr>
                    <w:pStyle w:val="56"/>
                    <w:rPr>
                      <w:rFonts w:ascii="Calibri" w:hAnsi="Calibri" w:cs="Calibri"/>
                      <w:sz w:val="21"/>
                      <w:szCs w:val="21"/>
                      <w:lang w:eastAsia="zh-CN"/>
                    </w:rPr>
                  </w:pPr>
                  <w:r>
                    <w:rPr>
                      <w:rFonts w:ascii="Calibri" w:hAnsi="Calibri" w:cs="Calibri"/>
                      <w:sz w:val="21"/>
                      <w:szCs w:val="21"/>
                      <w:lang w:eastAsia="zh-CN"/>
                    </w:rPr>
                    <w:t>≤15</w:t>
                  </w:r>
                </w:p>
              </w:tc>
              <w:tc>
                <w:tcPr>
                  <w:tcW w:w="1637" w:type="pct"/>
                  <w:vAlign w:val="center"/>
                </w:tcPr>
                <w:p w14:paraId="23D8F7DB">
                  <w:pPr>
                    <w:pStyle w:val="56"/>
                    <w:rPr>
                      <w:rFonts w:ascii="Calibri" w:hAnsi="Calibri" w:cs="Calibri"/>
                      <w:sz w:val="21"/>
                      <w:szCs w:val="21"/>
                      <w:lang w:eastAsia="zh-CN"/>
                    </w:rPr>
                  </w:pPr>
                  <w:r>
                    <w:rPr>
                      <w:rFonts w:ascii="Calibri" w:hAnsi="Calibri" w:cs="Calibri"/>
                      <w:sz w:val="21"/>
                      <w:szCs w:val="21"/>
                      <w:lang w:eastAsia="zh-CN"/>
                    </w:rPr>
                    <w:t>≤15</w:t>
                  </w:r>
                </w:p>
              </w:tc>
              <w:tc>
                <w:tcPr>
                  <w:tcW w:w="805" w:type="pct"/>
                  <w:vAlign w:val="center"/>
                </w:tcPr>
                <w:p w14:paraId="5CF6A9F5">
                  <w:pPr>
                    <w:pStyle w:val="56"/>
                    <w:rPr>
                      <w:rFonts w:hint="default" w:ascii="Calibri" w:hAnsi="Calibri" w:cs="Calibri"/>
                      <w:sz w:val="21"/>
                      <w:szCs w:val="21"/>
                      <w:lang w:val="en-US" w:eastAsia="zh-CN"/>
                    </w:rPr>
                  </w:pPr>
                  <w:r>
                    <w:rPr>
                      <w:rFonts w:ascii="Calibri" w:hAnsi="Calibri" w:cs="Calibri"/>
                      <w:sz w:val="21"/>
                      <w:szCs w:val="21"/>
                      <w:lang w:eastAsia="zh-CN"/>
                    </w:rPr>
                    <w:t>≤</w:t>
                  </w:r>
                  <w:r>
                    <w:rPr>
                      <w:rFonts w:hint="eastAsia" w:ascii="Calibri" w:hAnsi="Calibri" w:cs="Calibri"/>
                      <w:sz w:val="21"/>
                      <w:szCs w:val="21"/>
                      <w:lang w:val="en-US" w:eastAsia="zh-CN"/>
                    </w:rPr>
                    <w:t>15</w:t>
                  </w:r>
                </w:p>
              </w:tc>
            </w:tr>
            <w:tr w14:paraId="62AA8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7" w:type="pct"/>
                  <w:vAlign w:val="center"/>
                </w:tcPr>
                <w:p w14:paraId="41E3DEBD">
                  <w:pPr>
                    <w:pStyle w:val="56"/>
                    <w:rPr>
                      <w:rFonts w:ascii="Calibri" w:hAnsi="Calibri" w:cs="Calibri"/>
                      <w:sz w:val="21"/>
                      <w:szCs w:val="21"/>
                      <w:lang w:eastAsia="zh-CN"/>
                    </w:rPr>
                  </w:pPr>
                  <w:r>
                    <w:rPr>
                      <w:rFonts w:ascii="Calibri" w:hAnsi="Calibri" w:cs="Calibri"/>
                      <w:sz w:val="21"/>
                      <w:szCs w:val="21"/>
                    </w:rPr>
                    <w:t>NH</w:t>
                  </w:r>
                  <w:r>
                    <w:rPr>
                      <w:rFonts w:ascii="Calibri" w:hAnsi="Calibri" w:cs="Calibri"/>
                      <w:sz w:val="21"/>
                      <w:szCs w:val="21"/>
                      <w:vertAlign w:val="subscript"/>
                    </w:rPr>
                    <w:t>3</w:t>
                  </w:r>
                  <w:r>
                    <w:rPr>
                      <w:rFonts w:ascii="Calibri" w:hAnsi="Calibri" w:cs="Calibri"/>
                      <w:sz w:val="21"/>
                      <w:szCs w:val="21"/>
                    </w:rPr>
                    <w:t>-N</w:t>
                  </w:r>
                </w:p>
              </w:tc>
              <w:tc>
                <w:tcPr>
                  <w:tcW w:w="1479" w:type="pct"/>
                  <w:vAlign w:val="center"/>
                </w:tcPr>
                <w:p w14:paraId="4BDAB9DB">
                  <w:pPr>
                    <w:pStyle w:val="56"/>
                    <w:rPr>
                      <w:rFonts w:ascii="Calibri" w:hAnsi="Calibri" w:cs="Calibri"/>
                      <w:sz w:val="21"/>
                      <w:szCs w:val="21"/>
                      <w:lang w:eastAsia="zh-CN"/>
                    </w:rPr>
                  </w:pPr>
                  <w:r>
                    <w:rPr>
                      <w:rFonts w:ascii="Calibri" w:hAnsi="Calibri" w:cs="Calibri"/>
                      <w:sz w:val="21"/>
                      <w:szCs w:val="21"/>
                      <w:lang w:eastAsia="zh-CN"/>
                    </w:rPr>
                    <w:t>≤5</w:t>
                  </w:r>
                  <w:r>
                    <w:rPr>
                      <w:rFonts w:hint="eastAsia" w:ascii="Calibri" w:hAnsi="Calibri" w:cs="Calibri"/>
                      <w:sz w:val="21"/>
                      <w:szCs w:val="21"/>
                      <w:lang w:eastAsia="zh-CN"/>
                    </w:rPr>
                    <w:t>(</w:t>
                  </w:r>
                  <w:r>
                    <w:rPr>
                      <w:rFonts w:ascii="Calibri" w:hAnsi="Calibri" w:cs="Calibri"/>
                      <w:sz w:val="21"/>
                      <w:szCs w:val="21"/>
                      <w:lang w:eastAsia="zh-CN"/>
                    </w:rPr>
                    <w:t>8</w:t>
                  </w:r>
                  <w:r>
                    <w:rPr>
                      <w:rFonts w:hint="eastAsia" w:ascii="Calibri" w:hAnsi="Calibri" w:cs="Calibri"/>
                      <w:sz w:val="21"/>
                      <w:szCs w:val="21"/>
                      <w:lang w:eastAsia="zh-CN"/>
                    </w:rPr>
                    <w:t>)</w:t>
                  </w:r>
                </w:p>
              </w:tc>
              <w:tc>
                <w:tcPr>
                  <w:tcW w:w="1637" w:type="pct"/>
                  <w:vAlign w:val="center"/>
                </w:tcPr>
                <w:p w14:paraId="42BA6ADE">
                  <w:pPr>
                    <w:pStyle w:val="56"/>
                    <w:rPr>
                      <w:rFonts w:ascii="Calibri" w:hAnsi="Calibri" w:cs="Calibri"/>
                      <w:sz w:val="21"/>
                      <w:szCs w:val="21"/>
                      <w:lang w:eastAsia="zh-CN"/>
                    </w:rPr>
                  </w:pPr>
                  <w:r>
                    <w:rPr>
                      <w:rFonts w:ascii="Calibri" w:hAnsi="Calibri" w:cs="Calibri"/>
                      <w:sz w:val="21"/>
                      <w:szCs w:val="21"/>
                      <w:lang w:eastAsia="zh-CN"/>
                    </w:rPr>
                    <w:t>≤</w:t>
                  </w:r>
                  <w:r>
                    <w:rPr>
                      <w:rFonts w:hint="eastAsia" w:ascii="Calibri" w:hAnsi="Calibri" w:cs="Calibri"/>
                      <w:sz w:val="21"/>
                      <w:szCs w:val="21"/>
                      <w:lang w:val="en-US" w:eastAsia="zh-CN"/>
                    </w:rPr>
                    <w:t>5</w:t>
                  </w:r>
                </w:p>
              </w:tc>
              <w:tc>
                <w:tcPr>
                  <w:tcW w:w="805" w:type="pct"/>
                  <w:vAlign w:val="center"/>
                </w:tcPr>
                <w:p w14:paraId="0C4C6DE4">
                  <w:pPr>
                    <w:pStyle w:val="56"/>
                    <w:rPr>
                      <w:rFonts w:hint="default" w:ascii="Calibri" w:hAnsi="Calibri" w:cs="Calibri"/>
                      <w:sz w:val="21"/>
                      <w:szCs w:val="21"/>
                      <w:lang w:val="en-US" w:eastAsia="zh-CN"/>
                    </w:rPr>
                  </w:pPr>
                  <w:r>
                    <w:rPr>
                      <w:rFonts w:ascii="Calibri" w:hAnsi="Calibri" w:cs="Calibri"/>
                      <w:sz w:val="21"/>
                      <w:szCs w:val="21"/>
                      <w:lang w:eastAsia="zh-CN"/>
                    </w:rPr>
                    <w:t>≤</w:t>
                  </w:r>
                  <w:r>
                    <w:rPr>
                      <w:rFonts w:hint="eastAsia" w:ascii="Calibri" w:hAnsi="Calibri" w:cs="Calibri"/>
                      <w:sz w:val="21"/>
                      <w:szCs w:val="21"/>
                      <w:lang w:val="en-US" w:eastAsia="zh-CN"/>
                    </w:rPr>
                    <w:t>5</w:t>
                  </w:r>
                </w:p>
              </w:tc>
            </w:tr>
            <w:tr w14:paraId="0D6D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7" w:type="pct"/>
                  <w:vAlign w:val="center"/>
                </w:tcPr>
                <w:p w14:paraId="7F9B8108">
                  <w:pPr>
                    <w:pStyle w:val="56"/>
                    <w:rPr>
                      <w:rFonts w:ascii="Calibri" w:hAnsi="Calibri" w:cs="Calibri"/>
                      <w:sz w:val="21"/>
                      <w:szCs w:val="21"/>
                      <w:lang w:eastAsia="zh-CN"/>
                    </w:rPr>
                  </w:pPr>
                  <w:r>
                    <w:rPr>
                      <w:rFonts w:ascii="Calibri" w:hAnsi="Calibri" w:cs="Calibri"/>
                      <w:sz w:val="21"/>
                      <w:szCs w:val="21"/>
                    </w:rPr>
                    <w:t>TP</w:t>
                  </w:r>
                </w:p>
              </w:tc>
              <w:tc>
                <w:tcPr>
                  <w:tcW w:w="1479" w:type="pct"/>
                  <w:vAlign w:val="center"/>
                </w:tcPr>
                <w:p w14:paraId="481DEE70">
                  <w:pPr>
                    <w:pStyle w:val="56"/>
                    <w:rPr>
                      <w:rFonts w:ascii="Calibri" w:hAnsi="Calibri" w:cs="Calibri"/>
                      <w:sz w:val="21"/>
                      <w:szCs w:val="21"/>
                      <w:lang w:eastAsia="zh-CN"/>
                    </w:rPr>
                  </w:pPr>
                  <w:r>
                    <w:rPr>
                      <w:rFonts w:ascii="Calibri" w:hAnsi="Calibri" w:cs="Calibri"/>
                      <w:sz w:val="21"/>
                      <w:szCs w:val="21"/>
                      <w:lang w:eastAsia="zh-CN"/>
                    </w:rPr>
                    <w:t>≤0.5</w:t>
                  </w:r>
                </w:p>
              </w:tc>
              <w:tc>
                <w:tcPr>
                  <w:tcW w:w="1637" w:type="pct"/>
                  <w:vAlign w:val="center"/>
                </w:tcPr>
                <w:p w14:paraId="644B91B3">
                  <w:pPr>
                    <w:pStyle w:val="56"/>
                    <w:rPr>
                      <w:rFonts w:hint="default" w:ascii="Calibri" w:hAnsi="Calibri" w:cs="Calibri"/>
                      <w:sz w:val="21"/>
                      <w:szCs w:val="21"/>
                      <w:lang w:val="en-US" w:eastAsia="zh-CN"/>
                    </w:rPr>
                  </w:pPr>
                  <w:r>
                    <w:rPr>
                      <w:rFonts w:ascii="Calibri" w:hAnsi="Calibri" w:cs="Calibri"/>
                      <w:sz w:val="21"/>
                      <w:szCs w:val="21"/>
                      <w:lang w:eastAsia="zh-CN"/>
                    </w:rPr>
                    <w:t>≤</w:t>
                  </w:r>
                  <w:r>
                    <w:rPr>
                      <w:rFonts w:hint="eastAsia" w:ascii="Calibri" w:hAnsi="Calibri" w:cs="Calibri"/>
                      <w:sz w:val="21"/>
                      <w:szCs w:val="21"/>
                      <w:lang w:val="en-US" w:eastAsia="zh-CN"/>
                    </w:rPr>
                    <w:t>0.5</w:t>
                  </w:r>
                </w:p>
              </w:tc>
              <w:tc>
                <w:tcPr>
                  <w:tcW w:w="805" w:type="pct"/>
                  <w:vAlign w:val="center"/>
                </w:tcPr>
                <w:p w14:paraId="11956298">
                  <w:pPr>
                    <w:pStyle w:val="56"/>
                    <w:rPr>
                      <w:rFonts w:hint="default" w:ascii="Calibri" w:hAnsi="Calibri" w:cs="Calibri"/>
                      <w:sz w:val="21"/>
                      <w:szCs w:val="21"/>
                      <w:lang w:val="en-US" w:eastAsia="zh-CN"/>
                    </w:rPr>
                  </w:pPr>
                  <w:r>
                    <w:rPr>
                      <w:rFonts w:ascii="Calibri" w:hAnsi="Calibri" w:cs="Calibri"/>
                      <w:sz w:val="21"/>
                      <w:szCs w:val="21"/>
                      <w:lang w:eastAsia="zh-CN"/>
                    </w:rPr>
                    <w:t>≤</w:t>
                  </w:r>
                  <w:r>
                    <w:rPr>
                      <w:rFonts w:hint="eastAsia" w:ascii="Calibri" w:hAnsi="Calibri" w:cs="Calibri"/>
                      <w:sz w:val="21"/>
                      <w:szCs w:val="21"/>
                      <w:lang w:val="en-US" w:eastAsia="zh-CN"/>
                    </w:rPr>
                    <w:t>0.5</w:t>
                  </w:r>
                </w:p>
              </w:tc>
            </w:tr>
            <w:tr w14:paraId="7B2F1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7" w:type="pct"/>
                  <w:vAlign w:val="center"/>
                </w:tcPr>
                <w:p w14:paraId="2683A536">
                  <w:pPr>
                    <w:pStyle w:val="56"/>
                    <w:rPr>
                      <w:rFonts w:ascii="Calibri" w:hAnsi="Calibri" w:cs="Calibri"/>
                      <w:sz w:val="21"/>
                      <w:szCs w:val="21"/>
                      <w:lang w:eastAsia="zh-CN"/>
                    </w:rPr>
                  </w:pPr>
                  <w:r>
                    <w:rPr>
                      <w:rFonts w:ascii="Calibri" w:hAnsi="Calibri" w:cs="Calibri"/>
                      <w:sz w:val="21"/>
                      <w:szCs w:val="21"/>
                      <w:lang w:eastAsia="zh-CN"/>
                    </w:rPr>
                    <w:t>色度</w:t>
                  </w:r>
                </w:p>
              </w:tc>
              <w:tc>
                <w:tcPr>
                  <w:tcW w:w="1479" w:type="pct"/>
                  <w:vAlign w:val="center"/>
                </w:tcPr>
                <w:p w14:paraId="22E1FCB5">
                  <w:pPr>
                    <w:pStyle w:val="56"/>
                    <w:rPr>
                      <w:rFonts w:ascii="Calibri" w:hAnsi="Calibri" w:cs="Calibri"/>
                      <w:sz w:val="21"/>
                      <w:szCs w:val="21"/>
                      <w:lang w:eastAsia="zh-CN"/>
                    </w:rPr>
                  </w:pPr>
                  <w:r>
                    <w:rPr>
                      <w:rFonts w:ascii="Calibri" w:hAnsi="Calibri" w:cs="Calibri"/>
                      <w:sz w:val="21"/>
                      <w:szCs w:val="21"/>
                      <w:lang w:eastAsia="zh-CN"/>
                    </w:rPr>
                    <w:t>≤30</w:t>
                  </w:r>
                </w:p>
              </w:tc>
              <w:tc>
                <w:tcPr>
                  <w:tcW w:w="1637" w:type="pct"/>
                  <w:vAlign w:val="center"/>
                </w:tcPr>
                <w:p w14:paraId="1AB14588">
                  <w:pPr>
                    <w:pStyle w:val="56"/>
                    <w:rPr>
                      <w:rFonts w:hint="default" w:ascii="Calibri" w:hAnsi="Calibri" w:cs="Calibri"/>
                      <w:sz w:val="21"/>
                      <w:szCs w:val="21"/>
                      <w:lang w:val="en-US" w:eastAsia="zh-CN"/>
                    </w:rPr>
                  </w:pPr>
                  <w:r>
                    <w:rPr>
                      <w:rFonts w:ascii="Calibri" w:hAnsi="Calibri" w:cs="Calibri"/>
                      <w:sz w:val="21"/>
                      <w:szCs w:val="21"/>
                      <w:lang w:eastAsia="zh-CN"/>
                    </w:rPr>
                    <w:t>≤</w:t>
                  </w:r>
                  <w:r>
                    <w:rPr>
                      <w:rFonts w:hint="eastAsia" w:ascii="Calibri" w:hAnsi="Calibri" w:cs="Calibri"/>
                      <w:sz w:val="21"/>
                      <w:szCs w:val="21"/>
                      <w:lang w:val="en-US" w:eastAsia="zh-CN"/>
                    </w:rPr>
                    <w:t>20</w:t>
                  </w:r>
                </w:p>
              </w:tc>
              <w:tc>
                <w:tcPr>
                  <w:tcW w:w="805" w:type="pct"/>
                  <w:vAlign w:val="center"/>
                </w:tcPr>
                <w:p w14:paraId="143C3C59">
                  <w:pPr>
                    <w:pStyle w:val="56"/>
                    <w:rPr>
                      <w:rFonts w:hint="default" w:ascii="Calibri" w:hAnsi="Calibri" w:cs="Calibri"/>
                      <w:sz w:val="21"/>
                      <w:szCs w:val="21"/>
                      <w:lang w:val="en-US" w:eastAsia="zh-CN"/>
                    </w:rPr>
                  </w:pPr>
                  <w:r>
                    <w:rPr>
                      <w:rFonts w:ascii="Calibri" w:hAnsi="Calibri" w:cs="Calibri"/>
                      <w:sz w:val="21"/>
                      <w:szCs w:val="21"/>
                      <w:lang w:eastAsia="zh-CN"/>
                    </w:rPr>
                    <w:t>≤</w:t>
                  </w:r>
                  <w:r>
                    <w:rPr>
                      <w:rFonts w:hint="eastAsia" w:ascii="Calibri" w:hAnsi="Calibri" w:cs="Calibri"/>
                      <w:sz w:val="21"/>
                      <w:szCs w:val="21"/>
                      <w:lang w:val="en-US" w:eastAsia="zh-CN"/>
                    </w:rPr>
                    <w:t>20</w:t>
                  </w:r>
                </w:p>
              </w:tc>
            </w:tr>
            <w:tr w14:paraId="57FA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7" w:type="pct"/>
                  <w:vAlign w:val="center"/>
                </w:tcPr>
                <w:p w14:paraId="679CDC56">
                  <w:pPr>
                    <w:pStyle w:val="56"/>
                    <w:rPr>
                      <w:rFonts w:ascii="Calibri" w:hAnsi="Calibri" w:cs="Calibri"/>
                      <w:sz w:val="21"/>
                      <w:szCs w:val="21"/>
                      <w:lang w:eastAsia="zh-CN"/>
                    </w:rPr>
                  </w:pPr>
                  <w:r>
                    <w:rPr>
                      <w:rFonts w:ascii="Calibri" w:hAnsi="Calibri" w:cs="Calibri"/>
                      <w:sz w:val="21"/>
                      <w:szCs w:val="21"/>
                    </w:rPr>
                    <w:t>pH</w:t>
                  </w:r>
                </w:p>
              </w:tc>
              <w:tc>
                <w:tcPr>
                  <w:tcW w:w="1479" w:type="pct"/>
                  <w:vAlign w:val="center"/>
                </w:tcPr>
                <w:p w14:paraId="72B0F504">
                  <w:pPr>
                    <w:pStyle w:val="56"/>
                    <w:rPr>
                      <w:rFonts w:ascii="Calibri" w:hAnsi="Calibri" w:cs="Calibri"/>
                      <w:sz w:val="21"/>
                      <w:szCs w:val="21"/>
                      <w:lang w:eastAsia="zh-CN"/>
                    </w:rPr>
                  </w:pPr>
                  <w:r>
                    <w:rPr>
                      <w:rFonts w:ascii="Calibri" w:hAnsi="Calibri" w:cs="Calibri"/>
                      <w:sz w:val="21"/>
                      <w:szCs w:val="21"/>
                      <w:lang w:eastAsia="zh-CN"/>
                    </w:rPr>
                    <w:t>6-9</w:t>
                  </w:r>
                </w:p>
              </w:tc>
              <w:tc>
                <w:tcPr>
                  <w:tcW w:w="1637" w:type="pct"/>
                  <w:vAlign w:val="center"/>
                </w:tcPr>
                <w:p w14:paraId="11CABADC">
                  <w:pPr>
                    <w:pStyle w:val="56"/>
                    <w:rPr>
                      <w:rFonts w:ascii="Calibri" w:hAnsi="Calibri" w:cs="Calibri"/>
                      <w:sz w:val="21"/>
                      <w:szCs w:val="21"/>
                      <w:lang w:eastAsia="zh-CN"/>
                    </w:rPr>
                  </w:pPr>
                  <w:r>
                    <w:rPr>
                      <w:rFonts w:ascii="Calibri" w:hAnsi="Calibri" w:cs="Calibri"/>
                      <w:sz w:val="21"/>
                      <w:szCs w:val="21"/>
                      <w:lang w:eastAsia="zh-CN"/>
                    </w:rPr>
                    <w:t>6-9</w:t>
                  </w:r>
                </w:p>
              </w:tc>
              <w:tc>
                <w:tcPr>
                  <w:tcW w:w="805" w:type="pct"/>
                  <w:vAlign w:val="center"/>
                </w:tcPr>
                <w:p w14:paraId="395E44E5">
                  <w:pPr>
                    <w:pStyle w:val="56"/>
                    <w:rPr>
                      <w:rFonts w:hint="default" w:ascii="Calibri" w:hAnsi="Calibri" w:cs="Calibri"/>
                      <w:sz w:val="21"/>
                      <w:szCs w:val="21"/>
                      <w:lang w:val="en-US" w:eastAsia="zh-CN"/>
                    </w:rPr>
                  </w:pPr>
                  <w:r>
                    <w:rPr>
                      <w:rFonts w:hint="eastAsia" w:ascii="Calibri" w:hAnsi="Calibri" w:cs="Calibri"/>
                      <w:sz w:val="21"/>
                      <w:szCs w:val="21"/>
                      <w:lang w:val="en-US" w:eastAsia="zh-CN"/>
                    </w:rPr>
                    <w:t>6-9</w:t>
                  </w:r>
                </w:p>
              </w:tc>
            </w:tr>
            <w:tr w14:paraId="3657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7" w:type="pct"/>
                  <w:vAlign w:val="center"/>
                </w:tcPr>
                <w:p w14:paraId="3366F92F">
                  <w:pPr>
                    <w:pStyle w:val="56"/>
                    <w:rPr>
                      <w:rFonts w:ascii="Calibri" w:hAnsi="Calibri" w:cs="Calibri"/>
                      <w:sz w:val="21"/>
                      <w:szCs w:val="21"/>
                      <w:lang w:eastAsia="zh-CN"/>
                    </w:rPr>
                  </w:pPr>
                  <w:r>
                    <w:rPr>
                      <w:rFonts w:ascii="Calibri" w:hAnsi="Calibri" w:cs="Calibri"/>
                      <w:sz w:val="21"/>
                      <w:szCs w:val="21"/>
                      <w:lang w:eastAsia="zh-CN"/>
                    </w:rPr>
                    <w:t>粪大肠菌群数（个/L）</w:t>
                  </w:r>
                </w:p>
              </w:tc>
              <w:tc>
                <w:tcPr>
                  <w:tcW w:w="1479" w:type="pct"/>
                  <w:vAlign w:val="center"/>
                </w:tcPr>
                <w:p w14:paraId="6124D12A">
                  <w:pPr>
                    <w:pStyle w:val="56"/>
                    <w:rPr>
                      <w:rFonts w:ascii="Calibri" w:hAnsi="Calibri" w:cs="Calibri"/>
                      <w:sz w:val="21"/>
                      <w:szCs w:val="21"/>
                      <w:lang w:eastAsia="zh-CN"/>
                    </w:rPr>
                  </w:pPr>
                  <w:r>
                    <w:rPr>
                      <w:rFonts w:ascii="Calibri" w:hAnsi="Calibri" w:cs="Calibri"/>
                      <w:sz w:val="21"/>
                      <w:szCs w:val="21"/>
                      <w:lang w:eastAsia="zh-CN"/>
                    </w:rPr>
                    <w:t>≤1*10</w:t>
                  </w:r>
                  <w:r>
                    <w:rPr>
                      <w:rFonts w:ascii="Calibri" w:hAnsi="Calibri" w:cs="Calibri"/>
                      <w:sz w:val="21"/>
                      <w:szCs w:val="21"/>
                      <w:vertAlign w:val="superscript"/>
                      <w:lang w:eastAsia="zh-CN"/>
                    </w:rPr>
                    <w:t>3</w:t>
                  </w:r>
                </w:p>
              </w:tc>
              <w:tc>
                <w:tcPr>
                  <w:tcW w:w="1637" w:type="pct"/>
                  <w:vAlign w:val="center"/>
                </w:tcPr>
                <w:p w14:paraId="6A60FD41">
                  <w:pPr>
                    <w:pStyle w:val="56"/>
                    <w:rPr>
                      <w:rFonts w:ascii="Calibri" w:hAnsi="Calibri" w:cs="Calibri"/>
                      <w:sz w:val="21"/>
                      <w:szCs w:val="21"/>
                      <w:lang w:eastAsia="zh-CN"/>
                    </w:rPr>
                  </w:pPr>
                  <w:r>
                    <w:rPr>
                      <w:rFonts w:ascii="Calibri" w:hAnsi="Calibri" w:cs="Calibri"/>
                      <w:sz w:val="21"/>
                      <w:szCs w:val="21"/>
                      <w:lang w:eastAsia="zh-CN"/>
                    </w:rPr>
                    <w:t>≤1*10</w:t>
                  </w:r>
                  <w:r>
                    <w:rPr>
                      <w:rFonts w:ascii="Calibri" w:hAnsi="Calibri" w:cs="Calibri"/>
                      <w:sz w:val="21"/>
                      <w:szCs w:val="21"/>
                      <w:vertAlign w:val="superscript"/>
                      <w:lang w:eastAsia="zh-CN"/>
                    </w:rPr>
                    <w:t>3</w:t>
                  </w:r>
                </w:p>
              </w:tc>
              <w:tc>
                <w:tcPr>
                  <w:tcW w:w="805" w:type="pct"/>
                  <w:vAlign w:val="center"/>
                </w:tcPr>
                <w:p w14:paraId="1AFAC54B">
                  <w:pPr>
                    <w:pStyle w:val="56"/>
                    <w:rPr>
                      <w:rFonts w:ascii="Calibri" w:hAnsi="Calibri" w:cs="Calibri"/>
                      <w:sz w:val="21"/>
                      <w:szCs w:val="21"/>
                      <w:lang w:eastAsia="zh-CN"/>
                    </w:rPr>
                  </w:pPr>
                  <w:r>
                    <w:rPr>
                      <w:rFonts w:ascii="Calibri" w:hAnsi="Calibri" w:cs="Calibri"/>
                      <w:sz w:val="21"/>
                      <w:szCs w:val="21"/>
                      <w:lang w:eastAsia="zh-CN"/>
                    </w:rPr>
                    <w:t>1*10</w:t>
                  </w:r>
                  <w:r>
                    <w:rPr>
                      <w:rFonts w:ascii="Calibri" w:hAnsi="Calibri" w:cs="Calibri"/>
                      <w:sz w:val="21"/>
                      <w:szCs w:val="21"/>
                      <w:vertAlign w:val="superscript"/>
                      <w:lang w:eastAsia="zh-CN"/>
                    </w:rPr>
                    <w:t>3</w:t>
                  </w:r>
                </w:p>
              </w:tc>
            </w:tr>
          </w:tbl>
          <w:p w14:paraId="313BE4DD">
            <w:pPr>
              <w:ind w:firstLine="420"/>
              <w:rPr>
                <w:rFonts w:hint="eastAsia"/>
                <w:bCs/>
                <w:sz w:val="18"/>
                <w:szCs w:val="18"/>
              </w:rPr>
            </w:pPr>
            <w:r>
              <w:rPr>
                <w:rFonts w:hint="default" w:ascii="Calibri" w:hAnsi="Calibri" w:cs="Calibri"/>
                <w:sz w:val="21"/>
                <w:szCs w:val="21"/>
              </w:rPr>
              <w:t>*NH</w:t>
            </w:r>
            <w:r>
              <w:rPr>
                <w:rFonts w:hint="default" w:ascii="Calibri" w:hAnsi="Calibri" w:cs="Calibri"/>
                <w:sz w:val="21"/>
                <w:szCs w:val="21"/>
                <w:vertAlign w:val="subscript"/>
              </w:rPr>
              <w:t>3</w:t>
            </w:r>
            <w:r>
              <w:rPr>
                <w:rFonts w:hint="default" w:ascii="Calibri" w:hAnsi="Calibri" w:cs="Calibri"/>
                <w:sz w:val="21"/>
                <w:szCs w:val="21"/>
              </w:rPr>
              <w:t>-N指标在水温大于12℃时，执行5mg/L的排放标准；在水温小于等于 12℃时，执行8mg/L的排放标准</w:t>
            </w:r>
            <w:r>
              <w:rPr>
                <w:rFonts w:hint="eastAsia"/>
                <w:bCs/>
                <w:sz w:val="18"/>
                <w:szCs w:val="18"/>
              </w:rPr>
              <w:t>。</w:t>
            </w:r>
          </w:p>
          <w:p w14:paraId="1D5CBBA4">
            <w:pPr>
              <w:spacing w:line="360" w:lineRule="auto"/>
              <w:ind w:firstLine="482" w:firstLineChars="200"/>
              <w:contextualSpacing/>
              <w:rPr>
                <w:rFonts w:hint="eastAsia"/>
                <w:b/>
                <w:bCs/>
                <w:sz w:val="24"/>
              </w:rPr>
            </w:pPr>
            <w:r>
              <w:rPr>
                <w:rFonts w:hint="eastAsia"/>
                <w:b/>
                <w:bCs/>
                <w:sz w:val="24"/>
                <w:lang w:eastAsia="zh-CN"/>
              </w:rPr>
              <w:t>3.</w:t>
            </w:r>
            <w:r>
              <w:rPr>
                <w:b/>
                <w:bCs/>
                <w:sz w:val="24"/>
              </w:rPr>
              <w:t>噪声</w:t>
            </w:r>
          </w:p>
          <w:p w14:paraId="5D791FD4">
            <w:pPr>
              <w:spacing w:line="360" w:lineRule="auto"/>
              <w:ind w:firstLine="480" w:firstLineChars="200"/>
              <w:jc w:val="left"/>
              <w:rPr>
                <w:rFonts w:hint="default" w:eastAsia="宋体"/>
                <w:color w:val="000000"/>
                <w:sz w:val="24"/>
                <w:lang w:val="en-US" w:eastAsia="zh-CN"/>
              </w:rPr>
            </w:pPr>
            <w:r>
              <w:rPr>
                <w:rFonts w:hint="eastAsia"/>
                <w:color w:val="000000"/>
                <w:sz w:val="24"/>
                <w:lang w:val="en-US" w:eastAsia="zh-CN"/>
              </w:rPr>
              <w:t>施工期噪声执行</w:t>
            </w:r>
            <w:r>
              <w:rPr>
                <w:rFonts w:hint="eastAsia" w:cs="Times New Roman"/>
                <w:color w:val="auto"/>
                <w:kern w:val="0"/>
                <w:sz w:val="24"/>
                <w:lang w:val="en-US" w:eastAsia="zh-CN"/>
              </w:rPr>
              <w:t>《建筑施工噪声排放标准》（GB 12523-2025）中昼间70dB（A）、夜间55dB（A）的限值要求。</w:t>
            </w:r>
          </w:p>
          <w:p w14:paraId="6B48C4B3">
            <w:pPr>
              <w:spacing w:line="360" w:lineRule="auto"/>
              <w:ind w:firstLine="480" w:firstLineChars="200"/>
              <w:jc w:val="left"/>
              <w:rPr>
                <w:rFonts w:hint="eastAsia" w:eastAsia="宋体"/>
                <w:color w:val="000000"/>
                <w:sz w:val="24"/>
                <w:lang w:val="en-US" w:eastAsia="zh-CN"/>
              </w:rPr>
            </w:pPr>
            <w:r>
              <w:rPr>
                <w:rFonts w:hint="eastAsia"/>
                <w:color w:val="000000"/>
                <w:sz w:val="24"/>
                <w:lang w:val="en-US" w:eastAsia="zh-CN"/>
              </w:rPr>
              <w:t>根据《巴音郭楞蒙古自治州环境功能区划》，项目</w:t>
            </w:r>
            <w:r>
              <w:rPr>
                <w:rFonts w:hint="eastAsia"/>
                <w:color w:val="000000"/>
                <w:sz w:val="24"/>
              </w:rPr>
              <w:t>运营期噪声执行《工业企业厂界环境噪声排放标准》</w:t>
            </w:r>
            <w:r>
              <w:rPr>
                <w:rFonts w:hint="eastAsia"/>
                <w:color w:val="000000"/>
                <w:sz w:val="24"/>
                <w:lang w:eastAsia="zh-CN"/>
              </w:rPr>
              <w:t>（</w:t>
            </w:r>
            <w:r>
              <w:rPr>
                <w:rFonts w:hint="eastAsia"/>
                <w:color w:val="000000"/>
                <w:sz w:val="24"/>
              </w:rPr>
              <w:t>GB 12348-2008</w:t>
            </w:r>
            <w:r>
              <w:rPr>
                <w:rFonts w:hint="eastAsia"/>
                <w:color w:val="000000"/>
                <w:sz w:val="24"/>
                <w:lang w:eastAsia="zh-CN"/>
              </w:rPr>
              <w:t>）</w:t>
            </w:r>
            <w:r>
              <w:rPr>
                <w:rFonts w:hint="eastAsia"/>
                <w:color w:val="000000"/>
                <w:sz w:val="24"/>
              </w:rPr>
              <w:t>中</w:t>
            </w:r>
            <w:r>
              <w:rPr>
                <w:rFonts w:hint="eastAsia"/>
                <w:color w:val="000000"/>
                <w:sz w:val="24"/>
                <w:lang w:val="en-US" w:eastAsia="zh-CN"/>
              </w:rPr>
              <w:t>2</w:t>
            </w:r>
            <w:r>
              <w:rPr>
                <w:rFonts w:hint="eastAsia"/>
                <w:color w:val="000000"/>
                <w:sz w:val="24"/>
              </w:rPr>
              <w:t>类标准。</w:t>
            </w:r>
            <w:r>
              <w:rPr>
                <w:rFonts w:hint="eastAsia" w:cs="Times New Roman"/>
                <w:color w:val="auto"/>
                <w:kern w:val="0"/>
                <w:sz w:val="24"/>
                <w:lang w:val="en-US" w:eastAsia="zh-CN"/>
              </w:rPr>
              <w:t>昼间60dB（A）、夜间50dB（A）的限值要求</w:t>
            </w:r>
            <w:r>
              <w:rPr>
                <w:rFonts w:hint="eastAsia"/>
                <w:lang w:eastAsia="zh-CN"/>
              </w:rPr>
              <w:t>。</w:t>
            </w:r>
          </w:p>
          <w:p w14:paraId="4CD0FEE5">
            <w:pPr>
              <w:spacing w:line="360" w:lineRule="auto"/>
              <w:ind w:firstLine="482" w:firstLineChars="200"/>
              <w:jc w:val="left"/>
              <w:rPr>
                <w:b/>
                <w:bCs/>
                <w:color w:val="000000"/>
                <w:sz w:val="24"/>
              </w:rPr>
            </w:pPr>
            <w:r>
              <w:rPr>
                <w:rFonts w:hint="eastAsia"/>
                <w:b/>
                <w:bCs/>
                <w:color w:val="000000"/>
                <w:sz w:val="24"/>
                <w:lang w:eastAsia="zh-CN"/>
              </w:rPr>
              <w:t>4.</w:t>
            </w:r>
            <w:r>
              <w:rPr>
                <w:b/>
                <w:bCs/>
                <w:color w:val="000000"/>
                <w:sz w:val="24"/>
              </w:rPr>
              <w:t>固废</w:t>
            </w:r>
          </w:p>
          <w:p w14:paraId="5E76ADF6">
            <w:pPr>
              <w:spacing w:line="360" w:lineRule="auto"/>
              <w:ind w:firstLine="480" w:firstLineChars="200"/>
              <w:jc w:val="left"/>
              <w:rPr>
                <w:color w:val="000000"/>
                <w:sz w:val="24"/>
              </w:rPr>
            </w:pPr>
            <w:r>
              <w:rPr>
                <w:rFonts w:hint="eastAsia"/>
                <w:color w:val="000000"/>
                <w:sz w:val="24"/>
              </w:rPr>
              <w:t>一般固废</w:t>
            </w:r>
            <w:r>
              <w:rPr>
                <w:rFonts w:hint="eastAsia"/>
                <w:color w:val="000000"/>
                <w:sz w:val="24"/>
                <w:lang w:eastAsia="zh-CN"/>
              </w:rPr>
              <w:t>执行</w:t>
            </w:r>
            <w:r>
              <w:rPr>
                <w:rFonts w:hint="eastAsia"/>
                <w:color w:val="000000"/>
                <w:sz w:val="24"/>
              </w:rPr>
              <w:t>《一般工业固体废物贮存和填埋污染控制标准》（GB18599-2020）</w:t>
            </w:r>
            <w:r>
              <w:rPr>
                <w:color w:val="000000"/>
                <w:sz w:val="24"/>
              </w:rPr>
              <w:t>。</w:t>
            </w:r>
            <w:r>
              <w:rPr>
                <w:rFonts w:hint="eastAsia"/>
                <w:color w:val="000000"/>
                <w:sz w:val="24"/>
              </w:rPr>
              <w:t>本项目危险废物贮存执行《危险废物贮存污染控制标准》（GB18597-2023）有关要求</w:t>
            </w:r>
            <w:r>
              <w:rPr>
                <w:color w:val="000000"/>
                <w:sz w:val="24"/>
              </w:rPr>
              <w:t>。</w:t>
            </w:r>
          </w:p>
          <w:p w14:paraId="3522FD98">
            <w:pPr>
              <w:spacing w:line="360" w:lineRule="auto"/>
              <w:ind w:firstLine="480" w:firstLineChars="200"/>
              <w:jc w:val="left"/>
              <w:rPr>
                <w:color w:val="000000"/>
                <w:sz w:val="24"/>
              </w:rPr>
            </w:pPr>
          </w:p>
          <w:p w14:paraId="24932E29">
            <w:pPr>
              <w:spacing w:line="360" w:lineRule="auto"/>
              <w:ind w:firstLine="480" w:firstLineChars="200"/>
              <w:jc w:val="left"/>
              <w:rPr>
                <w:color w:val="000000"/>
                <w:sz w:val="24"/>
              </w:rPr>
            </w:pPr>
          </w:p>
          <w:p w14:paraId="6BECDBC8">
            <w:pPr>
              <w:spacing w:line="360" w:lineRule="auto"/>
              <w:ind w:firstLine="480" w:firstLineChars="200"/>
              <w:jc w:val="left"/>
              <w:rPr>
                <w:color w:val="000000"/>
                <w:sz w:val="24"/>
              </w:rPr>
            </w:pPr>
          </w:p>
          <w:p w14:paraId="645A5167">
            <w:pPr>
              <w:spacing w:line="360" w:lineRule="auto"/>
              <w:ind w:firstLine="480" w:firstLineChars="200"/>
              <w:jc w:val="left"/>
              <w:rPr>
                <w:color w:val="000000"/>
                <w:sz w:val="24"/>
              </w:rPr>
            </w:pPr>
          </w:p>
          <w:p w14:paraId="37A0AFF4">
            <w:pPr>
              <w:spacing w:line="360" w:lineRule="auto"/>
              <w:ind w:firstLine="480" w:firstLineChars="200"/>
              <w:jc w:val="left"/>
              <w:rPr>
                <w:rFonts w:hint="eastAsia" w:ascii="宋体" w:hAnsi="宋体" w:eastAsia="宋体" w:cs="宋体"/>
                <w:kern w:val="0"/>
                <w:szCs w:val="21"/>
                <w:lang w:val="en-US" w:eastAsia="zh-CN"/>
              </w:rPr>
            </w:pPr>
            <w:r>
              <w:rPr>
                <w:rFonts w:hint="eastAsia"/>
                <w:color w:val="000000"/>
                <w:sz w:val="24"/>
                <w:lang w:val="en-US" w:eastAsia="zh-CN"/>
              </w:rPr>
              <w:t xml:space="preserve"> </w:t>
            </w:r>
          </w:p>
        </w:tc>
      </w:tr>
      <w:tr w14:paraId="733EB9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451" w:type="dxa"/>
            <w:noWrap w:val="0"/>
            <w:vAlign w:val="center"/>
          </w:tcPr>
          <w:p w14:paraId="3B6D7CD2">
            <w:pPr>
              <w:adjustRightInd w:val="0"/>
              <w:snapToGrid w:val="0"/>
              <w:jc w:val="center"/>
              <w:rPr>
                <w:rFonts w:hint="eastAsia" w:ascii="宋体" w:hAnsi="宋体" w:cs="宋体"/>
                <w:kern w:val="0"/>
                <w:sz w:val="24"/>
              </w:rPr>
            </w:pPr>
            <w:r>
              <w:rPr>
                <w:rFonts w:hint="eastAsia" w:ascii="宋体" w:hAnsi="宋体" w:cs="宋体"/>
                <w:kern w:val="0"/>
                <w:sz w:val="24"/>
              </w:rPr>
              <w:t>总量</w:t>
            </w:r>
          </w:p>
          <w:p w14:paraId="4A10976D">
            <w:pPr>
              <w:adjustRightInd w:val="0"/>
              <w:snapToGrid w:val="0"/>
              <w:jc w:val="center"/>
              <w:rPr>
                <w:rFonts w:hint="eastAsia" w:ascii="宋体" w:hAnsi="宋体" w:cs="宋体"/>
                <w:kern w:val="0"/>
                <w:sz w:val="24"/>
              </w:rPr>
            </w:pPr>
            <w:r>
              <w:rPr>
                <w:rFonts w:hint="eastAsia" w:ascii="宋体" w:hAnsi="宋体" w:cs="宋体"/>
                <w:kern w:val="0"/>
                <w:sz w:val="24"/>
              </w:rPr>
              <w:t>控制</w:t>
            </w:r>
          </w:p>
          <w:p w14:paraId="572B430D">
            <w:pPr>
              <w:adjustRightInd w:val="0"/>
              <w:snapToGrid w:val="0"/>
              <w:jc w:val="center"/>
              <w:rPr>
                <w:rFonts w:ascii="宋体" w:hAnsi="宋体" w:cs="宋体"/>
                <w:kern w:val="0"/>
                <w:szCs w:val="21"/>
              </w:rPr>
            </w:pPr>
            <w:r>
              <w:rPr>
                <w:rFonts w:hint="eastAsia" w:ascii="宋体" w:hAnsi="宋体" w:cs="宋体"/>
                <w:kern w:val="0"/>
                <w:sz w:val="24"/>
              </w:rPr>
              <w:t>指标</w:t>
            </w:r>
          </w:p>
        </w:tc>
        <w:tc>
          <w:tcPr>
            <w:tcW w:w="8539" w:type="dxa"/>
            <w:noWrap w:val="0"/>
            <w:vAlign w:val="center"/>
          </w:tcPr>
          <w:p w14:paraId="244D63A9">
            <w:pPr>
              <w:spacing w:line="540" w:lineRule="exact"/>
              <w:ind w:firstLine="480" w:firstLineChars="200"/>
              <w:jc w:val="left"/>
              <w:rPr>
                <w:color w:val="auto"/>
                <w:sz w:val="24"/>
              </w:rPr>
            </w:pPr>
            <w:r>
              <w:rPr>
                <w:color w:val="auto"/>
                <w:sz w:val="24"/>
              </w:rPr>
              <w:t>本项目废水通过处理后出水达到《城镇污水处理厂污染物排放标准》（GB18918-2002）一级A标准，需要进行总量控制的指标为</w:t>
            </w:r>
            <w:r>
              <w:rPr>
                <w:rFonts w:hint="eastAsia"/>
                <w:color w:val="auto"/>
                <w:sz w:val="24"/>
                <w:lang w:eastAsia="zh-CN"/>
              </w:rPr>
              <w:t>CODcr</w:t>
            </w:r>
            <w:r>
              <w:rPr>
                <w:color w:val="auto"/>
                <w:sz w:val="24"/>
              </w:rPr>
              <w:t>和氨氮。</w:t>
            </w:r>
          </w:p>
          <w:p w14:paraId="7CEF4ABE">
            <w:pPr>
              <w:spacing w:line="540" w:lineRule="exact"/>
              <w:ind w:firstLine="480" w:firstLineChars="200"/>
              <w:jc w:val="left"/>
              <w:rPr>
                <w:color w:val="auto"/>
                <w:sz w:val="24"/>
              </w:rPr>
            </w:pPr>
            <w:r>
              <w:rPr>
                <w:rFonts w:hint="eastAsia"/>
                <w:color w:val="auto"/>
                <w:sz w:val="24"/>
              </w:rPr>
              <w:t>根据《排污许可证申请与核发技术规范 水处理（试行）》（HJ978-2018）中允许排放量核算方法，本项目排污许可量核定为</w:t>
            </w:r>
            <w:r>
              <w:rPr>
                <w:rFonts w:hint="eastAsia"/>
                <w:color w:val="auto"/>
                <w:sz w:val="24"/>
                <w:lang w:eastAsia="zh-CN"/>
              </w:rPr>
              <w:t>CODcr</w:t>
            </w:r>
            <w:r>
              <w:rPr>
                <w:rFonts w:hint="eastAsia"/>
                <w:color w:val="auto"/>
                <w:sz w:val="24"/>
              </w:rPr>
              <w:t>：91.25t/a、氨氮：9.13t/a</w:t>
            </w:r>
            <w:r>
              <w:rPr>
                <w:color w:val="auto"/>
                <w:sz w:val="24"/>
              </w:rPr>
              <w:t>。</w:t>
            </w:r>
          </w:p>
          <w:p w14:paraId="3A09BB8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sz w:val="24"/>
              </w:rPr>
            </w:pPr>
          </w:p>
          <w:p w14:paraId="3D9DCB3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sz w:val="24"/>
              </w:rPr>
            </w:pPr>
          </w:p>
          <w:p w14:paraId="2079996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sz w:val="24"/>
              </w:rPr>
            </w:pPr>
          </w:p>
          <w:p w14:paraId="2E1EE115">
            <w:pPr>
              <w:pStyle w:val="16"/>
              <w:keepNext w:val="0"/>
              <w:keepLines w:val="0"/>
              <w:pageBreakBefore w:val="0"/>
              <w:widowControl w:val="0"/>
              <w:kinsoku/>
              <w:wordWrap/>
              <w:overflowPunct/>
              <w:topLinePunct w:val="0"/>
              <w:autoSpaceDE/>
              <w:autoSpaceDN/>
              <w:bidi w:val="0"/>
              <w:adjustRightInd/>
              <w:snapToGrid/>
              <w:spacing w:line="360" w:lineRule="auto"/>
              <w:ind w:left="0" w:hanging="480"/>
              <w:jc w:val="left"/>
              <w:textAlignment w:val="auto"/>
              <w:rPr>
                <w:rFonts w:hint="eastAsia"/>
                <w:sz w:val="24"/>
              </w:rPr>
            </w:pPr>
          </w:p>
          <w:p w14:paraId="77451157">
            <w:pPr>
              <w:pStyle w:val="16"/>
              <w:keepNext w:val="0"/>
              <w:keepLines w:val="0"/>
              <w:pageBreakBefore w:val="0"/>
              <w:widowControl w:val="0"/>
              <w:kinsoku/>
              <w:wordWrap/>
              <w:overflowPunct/>
              <w:topLinePunct w:val="0"/>
              <w:autoSpaceDE/>
              <w:autoSpaceDN/>
              <w:bidi w:val="0"/>
              <w:adjustRightInd/>
              <w:snapToGrid/>
              <w:spacing w:line="360" w:lineRule="auto"/>
              <w:ind w:left="0" w:hanging="480"/>
              <w:jc w:val="left"/>
              <w:textAlignment w:val="auto"/>
              <w:rPr>
                <w:rFonts w:hint="eastAsia"/>
                <w:sz w:val="24"/>
              </w:rPr>
            </w:pPr>
          </w:p>
          <w:p w14:paraId="0B21B63E">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044FE62F">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019F0C83">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1A9083AD">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0413269B">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421FA08E">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323AE870">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6F99AA3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70750728">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509C9D03">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27BE9DC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6EC467CA">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1F90017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2EF158A3">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6AFE564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7C30B180">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5E1CE27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11D88F31">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63BC322D">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sz w:val="24"/>
              </w:rPr>
            </w:pPr>
          </w:p>
          <w:p w14:paraId="68A06C4D">
            <w:pPr>
              <w:adjustRightInd w:val="0"/>
              <w:snapToGrid w:val="0"/>
              <w:rPr>
                <w:rFonts w:ascii="宋体" w:hAnsi="宋体" w:cs="宋体"/>
                <w:kern w:val="0"/>
                <w:szCs w:val="21"/>
              </w:rPr>
            </w:pPr>
          </w:p>
        </w:tc>
      </w:tr>
    </w:tbl>
    <w:p w14:paraId="743043C9">
      <w:pPr>
        <w:pStyle w:val="19"/>
        <w:jc w:val="center"/>
        <w:outlineLvl w:val="0"/>
        <w:rPr>
          <w:rFonts w:ascii="黑体" w:hAnsi="黑体" w:eastAsia="黑体"/>
          <w:snapToGrid w:val="0"/>
          <w:sz w:val="30"/>
          <w:szCs w:val="30"/>
        </w:rPr>
      </w:pPr>
      <w:r>
        <w:rPr>
          <w:rFonts w:ascii="黑体" w:hAnsi="黑体" w:eastAsia="黑体"/>
          <w:snapToGrid w:val="0"/>
          <w:sz w:val="36"/>
          <w:szCs w:val="36"/>
        </w:rPr>
        <w:br w:type="page"/>
      </w:r>
      <w:r>
        <w:rPr>
          <w:rFonts w:hint="eastAsia" w:ascii="黑体" w:hAnsi="黑体" w:eastAsia="黑体"/>
          <w:snapToGrid w:val="0"/>
          <w:sz w:val="30"/>
          <w:szCs w:val="30"/>
        </w:rPr>
        <w:t>四、主要环境影响和保护措施</w:t>
      </w:r>
    </w:p>
    <w:tbl>
      <w:tblPr>
        <w:tblStyle w:val="22"/>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7"/>
        <w:gridCol w:w="8524"/>
      </w:tblGrid>
      <w:tr w14:paraId="6465CE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57" w:type="dxa"/>
            <w:noWrap w:val="0"/>
            <w:tcMar>
              <w:left w:w="28" w:type="dxa"/>
              <w:right w:w="28" w:type="dxa"/>
            </w:tcMar>
            <w:vAlign w:val="center"/>
          </w:tcPr>
          <w:p w14:paraId="2E1FB338">
            <w:pPr>
              <w:pStyle w:val="19"/>
              <w:adjustRightInd w:val="0"/>
              <w:snapToGrid w:val="0"/>
              <w:spacing w:before="0" w:beforeAutospacing="0" w:after="0" w:afterAutospacing="0"/>
              <w:jc w:val="center"/>
              <w:rPr>
                <w:rFonts w:hint="eastAsia" w:cs="宋体"/>
                <w:kern w:val="2"/>
                <w:szCs w:val="24"/>
                <w:lang w:val="en-US" w:eastAsia="zh-CN"/>
              </w:rPr>
            </w:pPr>
            <w:r>
              <w:rPr>
                <w:rFonts w:hint="eastAsia" w:cs="宋体"/>
                <w:kern w:val="2"/>
                <w:szCs w:val="24"/>
                <w:lang w:val="en-US" w:eastAsia="zh-CN"/>
              </w:rPr>
              <w:t>施工</w:t>
            </w:r>
          </w:p>
          <w:p w14:paraId="47334C5C">
            <w:pPr>
              <w:pStyle w:val="19"/>
              <w:adjustRightInd w:val="0"/>
              <w:snapToGrid w:val="0"/>
              <w:spacing w:before="0" w:beforeAutospacing="0" w:after="0" w:afterAutospacing="0"/>
              <w:jc w:val="center"/>
              <w:rPr>
                <w:rFonts w:hint="eastAsia" w:cs="宋体"/>
                <w:kern w:val="2"/>
                <w:szCs w:val="24"/>
                <w:lang w:val="en-US" w:eastAsia="zh-CN"/>
              </w:rPr>
            </w:pPr>
            <w:r>
              <w:rPr>
                <w:rFonts w:hint="eastAsia" w:cs="宋体"/>
                <w:kern w:val="2"/>
                <w:szCs w:val="24"/>
                <w:lang w:val="en-US" w:eastAsia="zh-CN"/>
              </w:rPr>
              <w:t>期环</w:t>
            </w:r>
          </w:p>
          <w:p w14:paraId="0591DFA3">
            <w:pPr>
              <w:pStyle w:val="19"/>
              <w:adjustRightInd w:val="0"/>
              <w:snapToGrid w:val="0"/>
              <w:spacing w:before="0" w:beforeAutospacing="0" w:after="0" w:afterAutospacing="0"/>
              <w:jc w:val="center"/>
              <w:rPr>
                <w:rFonts w:hint="eastAsia" w:cs="宋体"/>
                <w:kern w:val="2"/>
                <w:szCs w:val="24"/>
                <w:lang w:val="en-US" w:eastAsia="zh-CN"/>
              </w:rPr>
            </w:pPr>
            <w:r>
              <w:rPr>
                <w:rFonts w:hint="eastAsia" w:cs="宋体"/>
                <w:kern w:val="2"/>
                <w:szCs w:val="24"/>
                <w:lang w:val="en-US" w:eastAsia="zh-CN"/>
              </w:rPr>
              <w:t>境保</w:t>
            </w:r>
          </w:p>
          <w:p w14:paraId="216298D0">
            <w:pPr>
              <w:pStyle w:val="19"/>
              <w:adjustRightInd w:val="0"/>
              <w:snapToGrid w:val="0"/>
              <w:spacing w:before="0" w:beforeAutospacing="0" w:after="0" w:afterAutospacing="0"/>
              <w:jc w:val="center"/>
              <w:rPr>
                <w:rFonts w:hint="eastAsia" w:cs="宋体"/>
                <w:kern w:val="2"/>
                <w:szCs w:val="24"/>
                <w:lang w:val="en-US" w:eastAsia="zh-CN"/>
              </w:rPr>
            </w:pPr>
            <w:r>
              <w:rPr>
                <w:rFonts w:hint="eastAsia" w:cs="宋体"/>
                <w:kern w:val="2"/>
                <w:szCs w:val="24"/>
                <w:lang w:val="en-US" w:eastAsia="zh-CN"/>
              </w:rPr>
              <w:t>护措</w:t>
            </w:r>
          </w:p>
          <w:p w14:paraId="356D2704">
            <w:pPr>
              <w:pStyle w:val="19"/>
              <w:adjustRightInd w:val="0"/>
              <w:snapToGrid w:val="0"/>
              <w:spacing w:before="0" w:beforeAutospacing="0" w:after="0" w:afterAutospacing="0"/>
              <w:jc w:val="center"/>
              <w:rPr>
                <w:rFonts w:hint="eastAsia" w:cs="宋体"/>
                <w:bCs/>
                <w:kern w:val="2"/>
                <w:sz w:val="21"/>
                <w:szCs w:val="21"/>
                <w:lang w:val="en-US" w:eastAsia="zh-CN"/>
              </w:rPr>
            </w:pPr>
            <w:r>
              <w:rPr>
                <w:rFonts w:hint="eastAsia" w:cs="宋体"/>
                <w:kern w:val="2"/>
                <w:szCs w:val="24"/>
                <w:lang w:val="en-US" w:eastAsia="zh-CN"/>
              </w:rPr>
              <w:t>施</w:t>
            </w:r>
          </w:p>
        </w:tc>
        <w:tc>
          <w:tcPr>
            <w:tcW w:w="8524" w:type="dxa"/>
            <w:noWrap w:val="0"/>
            <w:vAlign w:val="center"/>
          </w:tcPr>
          <w:p w14:paraId="5D8CE094">
            <w:pPr>
              <w:pStyle w:val="66"/>
              <w:ind w:firstLine="0" w:firstLineChars="0"/>
              <w:rPr>
                <w:rFonts w:hint="eastAsia" w:ascii="宋体" w:hAnsi="宋体" w:cs="宋体"/>
                <w:b/>
              </w:rPr>
            </w:pPr>
            <w:bookmarkStart w:id="6" w:name="_Toc168121379"/>
            <w:bookmarkStart w:id="7" w:name="_Toc156819103"/>
            <w:bookmarkStart w:id="8" w:name="_Toc168312904"/>
            <w:bookmarkStart w:id="9" w:name="_Toc168121571"/>
            <w:bookmarkStart w:id="10" w:name="_Toc167859200"/>
            <w:r>
              <w:rPr>
                <w:rFonts w:hint="eastAsia" w:ascii="宋体" w:hAnsi="宋体" w:cs="宋体"/>
                <w:b/>
              </w:rPr>
              <w:t>（一）施工期大气环境</w:t>
            </w:r>
            <w:bookmarkEnd w:id="6"/>
            <w:bookmarkEnd w:id="7"/>
            <w:bookmarkEnd w:id="8"/>
            <w:bookmarkEnd w:id="9"/>
            <w:bookmarkEnd w:id="10"/>
            <w:r>
              <w:rPr>
                <w:rFonts w:hint="eastAsia" w:ascii="宋体" w:hAnsi="宋体" w:cs="宋体"/>
                <w:b/>
              </w:rPr>
              <w:t>保护措施</w:t>
            </w:r>
          </w:p>
          <w:p w14:paraId="5F3E516E">
            <w:pPr>
              <w:spacing w:line="360" w:lineRule="auto"/>
              <w:ind w:firstLine="480" w:firstLineChars="200"/>
              <w:rPr>
                <w:sz w:val="24"/>
              </w:rPr>
            </w:pPr>
            <w:r>
              <w:rPr>
                <w:sz w:val="24"/>
              </w:rPr>
              <w:t>（1）施工现场实行围挡、围护（彩钢板）全封闭施工，</w:t>
            </w:r>
            <w:r>
              <w:rPr>
                <w:rFonts w:hint="eastAsia"/>
                <w:sz w:val="24"/>
                <w:lang w:eastAsia="zh-CN"/>
              </w:rPr>
              <w:t>围挡</w:t>
            </w:r>
            <w:r>
              <w:rPr>
                <w:sz w:val="24"/>
              </w:rPr>
              <w:t>设置高度不低于2.5m，围挡间无缝隙，围挡底端设置防溢座。</w:t>
            </w:r>
          </w:p>
          <w:p w14:paraId="141081E1">
            <w:pPr>
              <w:spacing w:line="360" w:lineRule="auto"/>
              <w:ind w:firstLine="480" w:firstLineChars="200"/>
              <w:rPr>
                <w:sz w:val="24"/>
              </w:rPr>
            </w:pPr>
            <w:r>
              <w:rPr>
                <w:sz w:val="24"/>
              </w:rPr>
              <w:t>根据调研分析，有</w:t>
            </w:r>
            <w:r>
              <w:rPr>
                <w:rFonts w:hint="eastAsia"/>
                <w:sz w:val="24"/>
                <w:lang w:eastAsia="zh-CN"/>
              </w:rPr>
              <w:t>围挡</w:t>
            </w:r>
            <w:r>
              <w:rPr>
                <w:sz w:val="24"/>
              </w:rPr>
              <w:t>的施工现场，其扬尘污染相对无</w:t>
            </w:r>
            <w:r>
              <w:rPr>
                <w:rFonts w:hint="eastAsia"/>
                <w:sz w:val="24"/>
                <w:lang w:eastAsia="zh-CN"/>
              </w:rPr>
              <w:t>围挡</w:t>
            </w:r>
            <w:r>
              <w:rPr>
                <w:sz w:val="24"/>
              </w:rPr>
              <w:t>的有明显改善，当风速为0.5m/s时，</w:t>
            </w:r>
            <w:r>
              <w:rPr>
                <w:rFonts w:hint="eastAsia"/>
                <w:sz w:val="24"/>
                <w:lang w:eastAsia="zh-CN"/>
              </w:rPr>
              <w:t>围挡</w:t>
            </w:r>
            <w:r>
              <w:rPr>
                <w:sz w:val="24"/>
              </w:rPr>
              <w:t>施工可使被污染地区的TSP浓度减少四分之一左右，围挡高度一般不低于2.5m。</w:t>
            </w:r>
          </w:p>
          <w:p w14:paraId="3A95BF87">
            <w:pPr>
              <w:spacing w:line="360" w:lineRule="auto"/>
              <w:ind w:firstLine="480" w:firstLineChars="200"/>
              <w:rPr>
                <w:sz w:val="24"/>
              </w:rPr>
            </w:pPr>
            <w:r>
              <w:rPr>
                <w:sz w:val="24"/>
              </w:rPr>
              <w:t>（2）禁止施工现场搅拌混凝土，采用商品混凝土，大大减少水泥、</w:t>
            </w:r>
            <w:r>
              <w:rPr>
                <w:rFonts w:hint="eastAsia"/>
                <w:sz w:val="24"/>
                <w:lang w:eastAsia="zh-CN"/>
              </w:rPr>
              <w:t>黄沙</w:t>
            </w:r>
            <w:r>
              <w:rPr>
                <w:sz w:val="24"/>
              </w:rPr>
              <w:t>、石子等建筑材料在运输、装卸、堆放及搅拌过程中产生的扬尘影响。</w:t>
            </w:r>
          </w:p>
          <w:p w14:paraId="21FC3DFD">
            <w:pPr>
              <w:spacing w:line="360" w:lineRule="auto"/>
              <w:ind w:firstLine="480" w:firstLineChars="200"/>
              <w:rPr>
                <w:sz w:val="24"/>
              </w:rPr>
            </w:pPr>
            <w:r>
              <w:rPr>
                <w:sz w:val="24"/>
              </w:rPr>
              <w:t>（3）施工方严格按照《防治城市扬尘污染技术规范》（HJ/T 393-2007）中的要求，晴朗天气每周等时间间隔洒水二至七次，扬尘严重时加大洒水频次。驶离建筑工地的车辆轮胎必须经过清洗，以避免工地泥浆带入道路影响环境。</w:t>
            </w:r>
          </w:p>
          <w:p w14:paraId="678DCE46">
            <w:pPr>
              <w:spacing w:line="360" w:lineRule="auto"/>
              <w:ind w:firstLine="480" w:firstLineChars="200"/>
              <w:rPr>
                <w:sz w:val="24"/>
              </w:rPr>
            </w:pPr>
            <w:r>
              <w:rPr>
                <w:sz w:val="24"/>
              </w:rPr>
              <w:t>（4）施工现场道路应经常洒水、清扫，尽量保持路面湿润。对工地周围的道路应保持清洁，若发生建材或泥浆洒落、带泥车辆影响路面整洁，工程施工单位有责任及时组织人力进行清扫。当风力</w:t>
            </w:r>
            <w:r>
              <w:rPr>
                <w:rFonts w:hint="eastAsia"/>
                <w:sz w:val="24"/>
                <w:lang w:eastAsia="zh-CN"/>
              </w:rPr>
              <w:t>超过4级</w:t>
            </w:r>
            <w:r>
              <w:rPr>
                <w:sz w:val="24"/>
              </w:rPr>
              <w:t>的天气，停止易产生扬尘的施工作业。</w:t>
            </w:r>
          </w:p>
          <w:p w14:paraId="302CF165">
            <w:pPr>
              <w:spacing w:line="360" w:lineRule="auto"/>
              <w:ind w:firstLine="480" w:firstLineChars="200"/>
              <w:rPr>
                <w:sz w:val="24"/>
              </w:rPr>
            </w:pPr>
            <w:r>
              <w:rPr>
                <w:sz w:val="24"/>
              </w:rPr>
              <w:t>通过以上措施治理后，可有效控制施工扬尘对周围环境的影响。</w:t>
            </w:r>
            <w:bookmarkStart w:id="11" w:name="_Toc167859202"/>
            <w:bookmarkStart w:id="12" w:name="_Toc168312906"/>
            <w:bookmarkStart w:id="13" w:name="_Toc156819106"/>
            <w:bookmarkStart w:id="14" w:name="_Toc168121381"/>
            <w:bookmarkStart w:id="15" w:name="_Toc168121573"/>
          </w:p>
          <w:p w14:paraId="47D23383">
            <w:pPr>
              <w:spacing w:line="360" w:lineRule="auto"/>
              <w:rPr>
                <w:rFonts w:hint="eastAsia" w:ascii="宋体" w:hAnsi="宋体" w:cs="宋体"/>
                <w:b/>
                <w:bCs/>
                <w:sz w:val="24"/>
              </w:rPr>
            </w:pPr>
            <w:r>
              <w:rPr>
                <w:rFonts w:hint="eastAsia" w:ascii="宋体" w:hAnsi="宋体" w:cs="宋体"/>
                <w:b/>
                <w:sz w:val="24"/>
              </w:rPr>
              <w:t>（二）</w:t>
            </w:r>
            <w:bookmarkEnd w:id="11"/>
            <w:bookmarkEnd w:id="12"/>
            <w:bookmarkEnd w:id="13"/>
            <w:bookmarkEnd w:id="14"/>
            <w:bookmarkEnd w:id="15"/>
            <w:r>
              <w:rPr>
                <w:rFonts w:hint="eastAsia" w:ascii="宋体" w:hAnsi="宋体" w:cs="宋体"/>
                <w:b/>
                <w:bCs/>
                <w:sz w:val="24"/>
              </w:rPr>
              <w:t>施工期水污染源保护措施</w:t>
            </w:r>
          </w:p>
          <w:p w14:paraId="00B63661">
            <w:pPr>
              <w:spacing w:line="360" w:lineRule="auto"/>
              <w:ind w:firstLine="480" w:firstLineChars="200"/>
              <w:rPr>
                <w:rFonts w:hint="eastAsia" w:ascii="Calibri" w:hAnsi="Calibri" w:cs="Calibri"/>
                <w:color w:val="auto"/>
                <w:sz w:val="24"/>
                <w:lang w:eastAsia="zh-CN"/>
              </w:rPr>
            </w:pPr>
            <w:r>
              <w:rPr>
                <w:rFonts w:hint="eastAsia" w:ascii="Calibri" w:hAnsi="Calibri" w:cs="Calibri"/>
                <w:color w:val="auto"/>
                <w:sz w:val="24"/>
                <w:lang w:eastAsia="zh-CN"/>
              </w:rPr>
              <w:t>施工期间的水污染物主要为工程养护废水、施工机械车辆的清洗废水。这些废水的主要成分为SS和石油类，施工场地设置防渗隔油</w:t>
            </w:r>
            <w:r>
              <w:rPr>
                <w:rFonts w:hint="eastAsia" w:ascii="Calibri" w:hAnsi="Calibri" w:cs="Calibri"/>
                <w:color w:val="auto"/>
                <w:sz w:val="24"/>
                <w:lang w:val="en-US" w:eastAsia="zh-CN"/>
              </w:rPr>
              <w:t>-</w:t>
            </w:r>
            <w:r>
              <w:rPr>
                <w:rFonts w:hint="eastAsia" w:ascii="Calibri" w:hAnsi="Calibri" w:cs="Calibri"/>
                <w:color w:val="auto"/>
                <w:sz w:val="24"/>
                <w:lang w:eastAsia="zh-CN"/>
              </w:rPr>
              <w:t>沉淀池，施工场地废水经隔油、沉淀处理后全部回用于场地洒水降尘、施工机具冲洗，实现施工生产废水零排放，严禁向外环境排放。</w:t>
            </w:r>
          </w:p>
          <w:p w14:paraId="051BD8D5">
            <w:pPr>
              <w:spacing w:line="360" w:lineRule="auto"/>
              <w:ind w:firstLine="480" w:firstLineChars="200"/>
              <w:rPr>
                <w:rFonts w:hint="eastAsia" w:ascii="宋体" w:hAnsi="宋体" w:eastAsia="宋体" w:cs="宋体"/>
                <w:sz w:val="24"/>
                <w:lang w:val="en-US" w:eastAsia="zh-CN"/>
              </w:rPr>
            </w:pPr>
            <w:r>
              <w:rPr>
                <w:rFonts w:hint="eastAsia" w:ascii="Calibri" w:hAnsi="Calibri" w:cs="Calibri"/>
                <w:color w:val="auto"/>
                <w:sz w:val="24"/>
                <w:lang w:eastAsia="zh-CN"/>
              </w:rPr>
              <w:t>项目施工期施工人员约20人，参考《新疆维吾尔自治区生活用水定额》（新政办发〔2007〕105号）规定，人均用水指标为50L/人・d计。生活污水按用水量的80％计，则生活污水的排放量为1m³/d。施工人员生活污水设置防渗化粪池收集，经化粪池预处理后</w:t>
            </w:r>
            <w:r>
              <w:rPr>
                <w:rFonts w:ascii="宋体" w:hAnsi="宋体" w:eastAsia="宋体" w:cs="宋体"/>
                <w:sz w:val="24"/>
                <w:szCs w:val="24"/>
              </w:rPr>
              <w:t>拉运至当地生活污水处理厂处置，施工期生活污水不外排</w:t>
            </w:r>
            <w:r>
              <w:rPr>
                <w:rFonts w:hint="eastAsia" w:ascii="Calibri" w:hAnsi="Calibri" w:cs="Calibri"/>
                <w:color w:val="auto"/>
                <w:sz w:val="24"/>
                <w:lang w:eastAsia="zh-CN"/>
              </w:rPr>
              <w:t>。</w:t>
            </w:r>
          </w:p>
          <w:p w14:paraId="350A8ECB">
            <w:pPr>
              <w:spacing w:line="360" w:lineRule="auto"/>
              <w:rPr>
                <w:rFonts w:hint="eastAsia" w:ascii="宋体" w:hAnsi="宋体" w:cs="宋体"/>
                <w:b/>
                <w:sz w:val="24"/>
              </w:rPr>
            </w:pPr>
            <w:r>
              <w:rPr>
                <w:rFonts w:hint="eastAsia" w:ascii="宋体" w:hAnsi="宋体" w:cs="宋体"/>
                <w:b/>
                <w:sz w:val="24"/>
              </w:rPr>
              <w:t>（三）施工期噪声环境</w:t>
            </w:r>
            <w:r>
              <w:rPr>
                <w:rFonts w:hint="eastAsia" w:ascii="宋体" w:hAnsi="宋体" w:cs="宋体"/>
                <w:b/>
                <w:bCs/>
                <w:sz w:val="24"/>
              </w:rPr>
              <w:t>保护措施</w:t>
            </w:r>
          </w:p>
          <w:p w14:paraId="5FF54D40">
            <w:pPr>
              <w:spacing w:line="360" w:lineRule="auto"/>
              <w:ind w:firstLine="480" w:firstLineChars="200"/>
              <w:rPr>
                <w:rFonts w:hint="eastAsia" w:ascii="宋体" w:hAnsi="宋体" w:cs="宋体"/>
                <w:sz w:val="24"/>
              </w:rPr>
            </w:pPr>
            <w:r>
              <w:rPr>
                <w:rFonts w:hint="eastAsia" w:ascii="宋体" w:hAnsi="宋体" w:cs="宋体"/>
                <w:sz w:val="24"/>
              </w:rPr>
              <w:t>①从声源上控制：建设单位与施工单位签订合同时，应要求其使用的主要机械设备为低噪声机械设备。同时在施工过程中施工单位应设专人对设备进行定期保养和维护，并负责对现场工作人员进行培训，严格按操作规范使用各类机械。</w:t>
            </w:r>
          </w:p>
          <w:p w14:paraId="7E30B915">
            <w:pPr>
              <w:spacing w:line="360" w:lineRule="auto"/>
              <w:ind w:firstLine="480" w:firstLineChars="200"/>
              <w:rPr>
                <w:rFonts w:hint="eastAsia" w:ascii="宋体" w:hAnsi="宋体" w:cs="宋体"/>
                <w:kern w:val="24"/>
                <w:sz w:val="24"/>
                <w:lang w:val="zh-CN"/>
              </w:rPr>
            </w:pPr>
            <w:r>
              <w:rPr>
                <w:rFonts w:hint="eastAsia" w:ascii="宋体" w:hAnsi="宋体" w:cs="宋体"/>
                <w:sz w:val="24"/>
              </w:rPr>
              <w:t>②合理安排施工时间：</w:t>
            </w:r>
            <w:r>
              <w:rPr>
                <w:rFonts w:hint="eastAsia" w:ascii="宋体" w:hAnsi="宋体" w:cs="宋体"/>
                <w:kern w:val="24"/>
                <w:sz w:val="24"/>
                <w:lang w:val="zh-CN"/>
              </w:rPr>
              <w:t>首先制订施工计划时，应尽可能避免大量高噪声设备同时施工。除此之外，高噪声施工时间尽量安排在日间，减少夜间施工量。中午（14∶00-16∶00）及夜间（0∶00-8∶00）禁止施工。</w:t>
            </w:r>
          </w:p>
          <w:p w14:paraId="4A4CCB60">
            <w:pPr>
              <w:spacing w:line="360" w:lineRule="auto"/>
              <w:ind w:firstLine="480" w:firstLineChars="200"/>
              <w:rPr>
                <w:rFonts w:hint="eastAsia" w:ascii="宋体" w:hAnsi="宋体" w:cs="宋体"/>
                <w:sz w:val="24"/>
              </w:rPr>
            </w:pPr>
            <w:r>
              <w:rPr>
                <w:rFonts w:hint="eastAsia" w:ascii="宋体" w:hAnsi="宋体" w:cs="宋体"/>
                <w:sz w:val="24"/>
              </w:rPr>
              <w:t>③合理布置施工现场。施工现场应合理布局，将施工中的固定噪声源相对集中摆放，闲置不用的设备立即关闭，降低施工噪声对周边声环境的影响。</w:t>
            </w:r>
          </w:p>
          <w:p w14:paraId="77675A65">
            <w:pPr>
              <w:spacing w:line="360" w:lineRule="auto"/>
              <w:ind w:firstLine="480" w:firstLineChars="200"/>
              <w:rPr>
                <w:rFonts w:hint="eastAsia" w:ascii="宋体" w:hAnsi="宋体" w:cs="宋体"/>
                <w:sz w:val="24"/>
              </w:rPr>
            </w:pPr>
            <w:r>
              <w:rPr>
                <w:rFonts w:hint="eastAsia" w:ascii="宋体" w:hAnsi="宋体" w:cs="宋体"/>
                <w:sz w:val="24"/>
              </w:rPr>
              <w:t>④车辆出入施工现场时应低速、禁鸣。</w:t>
            </w:r>
          </w:p>
          <w:p w14:paraId="013B1174">
            <w:pPr>
              <w:spacing w:line="360" w:lineRule="auto"/>
              <w:rPr>
                <w:rFonts w:hint="eastAsia" w:ascii="宋体" w:hAnsi="宋体" w:cs="宋体"/>
                <w:b/>
                <w:bCs/>
                <w:sz w:val="24"/>
              </w:rPr>
            </w:pPr>
            <w:bookmarkStart w:id="16" w:name="_Toc527339390"/>
            <w:bookmarkStart w:id="17" w:name="_Toc519840850"/>
            <w:bookmarkStart w:id="18" w:name="_Toc520705159"/>
            <w:bookmarkStart w:id="19" w:name="_Toc13105922"/>
            <w:bookmarkStart w:id="20" w:name="_Toc508028298"/>
            <w:bookmarkStart w:id="21" w:name="_Toc527339557"/>
            <w:bookmarkStart w:id="22" w:name="_Toc41270224"/>
            <w:r>
              <w:rPr>
                <w:rFonts w:hint="eastAsia" w:ascii="宋体" w:hAnsi="宋体" w:cs="宋体"/>
                <w:b/>
                <w:bCs/>
                <w:sz w:val="24"/>
              </w:rPr>
              <w:t>（四）施工期固废</w:t>
            </w:r>
            <w:bookmarkEnd w:id="16"/>
            <w:bookmarkEnd w:id="17"/>
            <w:bookmarkEnd w:id="18"/>
            <w:bookmarkEnd w:id="19"/>
            <w:bookmarkEnd w:id="20"/>
            <w:bookmarkEnd w:id="21"/>
            <w:bookmarkEnd w:id="22"/>
            <w:r>
              <w:rPr>
                <w:rFonts w:hint="eastAsia" w:ascii="宋体" w:hAnsi="宋体" w:cs="宋体"/>
                <w:b/>
                <w:bCs/>
                <w:sz w:val="24"/>
              </w:rPr>
              <w:t>影响和保护措施</w:t>
            </w:r>
          </w:p>
          <w:p w14:paraId="458286E0">
            <w:pPr>
              <w:pStyle w:val="16"/>
              <w:spacing w:line="360" w:lineRule="auto"/>
              <w:ind w:left="0" w:firstLine="480" w:firstLineChars="200"/>
              <w:rPr>
                <w:rFonts w:hint="eastAsia" w:ascii="宋体" w:hAnsi="宋体"/>
                <w:sz w:val="24"/>
              </w:rPr>
            </w:pPr>
            <w:r>
              <w:rPr>
                <w:rFonts w:hint="eastAsia" w:ascii="宋体" w:hAnsi="宋体"/>
                <w:sz w:val="24"/>
              </w:rPr>
              <w:t>建设期固体废弃物主要来源于施工人员日常生活产生的生活垃圾、工程弃方及废建筑材料。</w:t>
            </w:r>
          </w:p>
          <w:p w14:paraId="11B2E0A2">
            <w:pPr>
              <w:pStyle w:val="16"/>
              <w:spacing w:line="360" w:lineRule="auto"/>
              <w:ind w:left="0" w:firstLine="480" w:firstLineChars="200"/>
              <w:rPr>
                <w:rFonts w:hint="eastAsia" w:ascii="宋体" w:hAnsi="宋体"/>
                <w:sz w:val="24"/>
              </w:rPr>
            </w:pPr>
            <w:r>
              <w:rPr>
                <w:rFonts w:hint="eastAsia" w:ascii="宋体" w:hAnsi="宋体"/>
                <w:sz w:val="24"/>
              </w:rPr>
              <w:t>本项目所产生的弃方不多，产生的废建筑材料也有限。外运的弃土以及建筑废料应运至当地</w:t>
            </w:r>
            <w:r>
              <w:rPr>
                <w:rFonts w:hint="eastAsia" w:ascii="宋体" w:hAnsi="宋体"/>
                <w:sz w:val="24"/>
                <w:lang w:val="en-US" w:eastAsia="zh-CN"/>
              </w:rPr>
              <w:t>住建</w:t>
            </w:r>
            <w:r>
              <w:rPr>
                <w:rFonts w:hint="eastAsia" w:ascii="宋体" w:hAnsi="宋体"/>
                <w:sz w:val="24"/>
              </w:rPr>
              <w:t>部门指定的专门建筑垃圾堆放场；生活垃圾应及时交由环卫部门清运统一处置；</w:t>
            </w:r>
          </w:p>
          <w:p w14:paraId="16133965">
            <w:pPr>
              <w:spacing w:line="360" w:lineRule="auto"/>
              <w:ind w:firstLine="480" w:firstLineChars="200"/>
              <w:rPr>
                <w:rFonts w:hint="eastAsia" w:ascii="宋体" w:hAnsi="宋体" w:cs="宋体"/>
                <w:sz w:val="24"/>
              </w:rPr>
            </w:pPr>
            <w:r>
              <w:rPr>
                <w:rFonts w:hint="eastAsia" w:ascii="宋体" w:hAnsi="宋体"/>
                <w:sz w:val="24"/>
              </w:rPr>
              <w:t>在工程竣工以后，施工单位应拆除各种临时施工设施，并负责将工地的剩余建筑垃圾、工程渣土处理干净，做到“工完、料尽、场地清”，建设单位应负责督促施工单位的固体废物处置清理工作</w:t>
            </w:r>
            <w:r>
              <w:rPr>
                <w:rFonts w:hint="eastAsia" w:ascii="宋体" w:hAnsi="宋体" w:cs="宋体"/>
                <w:sz w:val="24"/>
              </w:rPr>
              <w:t>。</w:t>
            </w:r>
          </w:p>
          <w:p w14:paraId="65AF0FDA">
            <w:pPr>
              <w:spacing w:line="360" w:lineRule="auto"/>
              <w:rPr>
                <w:rFonts w:hint="eastAsia" w:ascii="宋体" w:hAnsi="宋体"/>
                <w:sz w:val="24"/>
                <w:lang w:val="en-US" w:eastAsia="zh-CN"/>
              </w:rPr>
            </w:pPr>
            <w:r>
              <w:rPr>
                <w:rFonts w:hint="eastAsia" w:ascii="宋体" w:hAnsi="宋体" w:cs="宋体"/>
                <w:b/>
                <w:bCs/>
                <w:sz w:val="24"/>
                <w:lang w:val="en-US" w:eastAsia="zh-CN"/>
              </w:rPr>
              <w:t>（五）施工期水土保持、防沙治沙措施</w:t>
            </w:r>
          </w:p>
          <w:p w14:paraId="544DD4C0">
            <w:pPr>
              <w:spacing w:line="360" w:lineRule="auto"/>
              <w:ind w:firstLine="480" w:firstLineChars="200"/>
              <w:rPr>
                <w:rFonts w:ascii="宋体" w:hAnsi="宋体" w:cs="宋体"/>
                <w:bCs/>
                <w:spacing w:val="-10"/>
                <w:szCs w:val="21"/>
              </w:rPr>
            </w:pPr>
            <w:r>
              <w:rPr>
                <w:rFonts w:hint="eastAsia" w:ascii="宋体" w:hAnsi="宋体"/>
                <w:sz w:val="24"/>
                <w:lang w:val="en-US" w:eastAsia="zh-CN"/>
              </w:rPr>
              <w:t>项目</w:t>
            </w:r>
            <w:r>
              <w:rPr>
                <w:rFonts w:hint="eastAsia"/>
                <w:sz w:val="24"/>
                <w:lang w:val="en-US" w:eastAsia="zh-CN"/>
              </w:rPr>
              <w:t>位于博湖县仓储物流园内</w:t>
            </w:r>
            <w:r>
              <w:rPr>
                <w:rFonts w:hint="eastAsia"/>
                <w:sz w:val="24"/>
                <w:lang w:eastAsia="zh-CN"/>
              </w:rPr>
              <w:t>，</w:t>
            </w:r>
            <w:r>
              <w:rPr>
                <w:rFonts w:hint="eastAsia"/>
                <w:sz w:val="24"/>
                <w:lang w:val="en-US" w:eastAsia="zh-CN"/>
              </w:rPr>
              <w:t>无新增占地。</w:t>
            </w:r>
            <w:r>
              <w:rPr>
                <w:rFonts w:hint="eastAsia" w:ascii="宋体" w:hAnsi="宋体"/>
                <w:sz w:val="24"/>
                <w:lang w:val="en-US" w:eastAsia="zh-CN"/>
              </w:rPr>
              <w:t>项目施工过程中，会对原有地表造成一定程度的扰动，破坏表层土壤结构，降低区域原有水土保持能力，在大风天气易产生风蚀。施工中需对临时堆放的土方采取土工布覆盖措施，减少风力对松散土体的侵蚀；施工完成后及时对临时占地进行平整压实，恢复原有地貌，对裸露地面及时进行硬化，减少土壤裸露时间；在施工场地周边可设置简易挡沙网，阻挡流沙扩散，避免施工活动加剧周边沙化影响，通过上述措施可有效降低施工期水土流失及风沙影响，避免对区域生态环境造成明显破坏。</w:t>
            </w:r>
          </w:p>
        </w:tc>
      </w:tr>
      <w:tr w14:paraId="0C7D4C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457" w:type="dxa"/>
            <w:noWrap w:val="0"/>
            <w:tcMar>
              <w:left w:w="28" w:type="dxa"/>
              <w:right w:w="28" w:type="dxa"/>
            </w:tcMar>
            <w:vAlign w:val="center"/>
          </w:tcPr>
          <w:p w14:paraId="6EF8A5B7">
            <w:pPr>
              <w:adjustRightInd w:val="0"/>
              <w:snapToGrid w:val="0"/>
              <w:jc w:val="center"/>
              <w:rPr>
                <w:rFonts w:hint="eastAsia" w:ascii="宋体" w:hAnsi="宋体" w:cs="宋体"/>
                <w:bCs/>
                <w:sz w:val="24"/>
              </w:rPr>
            </w:pPr>
            <w:r>
              <w:rPr>
                <w:rFonts w:hint="eastAsia" w:ascii="宋体" w:hAnsi="宋体" w:cs="宋体"/>
                <w:bCs/>
                <w:sz w:val="24"/>
              </w:rPr>
              <w:t>运营</w:t>
            </w:r>
          </w:p>
          <w:p w14:paraId="4E2109AD">
            <w:pPr>
              <w:adjustRightInd w:val="0"/>
              <w:snapToGrid w:val="0"/>
              <w:jc w:val="center"/>
              <w:rPr>
                <w:rFonts w:hint="eastAsia" w:ascii="宋体" w:hAnsi="宋体" w:cs="宋体"/>
                <w:bCs/>
                <w:sz w:val="24"/>
              </w:rPr>
            </w:pPr>
            <w:r>
              <w:rPr>
                <w:rFonts w:hint="eastAsia" w:ascii="宋体" w:hAnsi="宋体" w:cs="宋体"/>
                <w:bCs/>
                <w:sz w:val="24"/>
              </w:rPr>
              <w:t>期环</w:t>
            </w:r>
          </w:p>
          <w:p w14:paraId="28311BF9">
            <w:pPr>
              <w:adjustRightInd w:val="0"/>
              <w:snapToGrid w:val="0"/>
              <w:jc w:val="center"/>
              <w:rPr>
                <w:rFonts w:hint="eastAsia" w:ascii="宋体" w:hAnsi="宋体" w:cs="宋体"/>
                <w:bCs/>
                <w:sz w:val="24"/>
              </w:rPr>
            </w:pPr>
            <w:r>
              <w:rPr>
                <w:rFonts w:hint="eastAsia" w:ascii="宋体" w:hAnsi="宋体" w:cs="宋体"/>
                <w:bCs/>
                <w:sz w:val="24"/>
              </w:rPr>
              <w:t>境影</w:t>
            </w:r>
          </w:p>
          <w:p w14:paraId="6ECA545D">
            <w:pPr>
              <w:adjustRightInd w:val="0"/>
              <w:snapToGrid w:val="0"/>
              <w:jc w:val="center"/>
              <w:rPr>
                <w:rFonts w:hint="eastAsia" w:ascii="宋体" w:hAnsi="宋体" w:cs="宋体"/>
                <w:bCs/>
                <w:sz w:val="24"/>
              </w:rPr>
            </w:pPr>
            <w:r>
              <w:rPr>
                <w:rFonts w:hint="eastAsia" w:ascii="宋体" w:hAnsi="宋体" w:cs="宋体"/>
                <w:bCs/>
                <w:sz w:val="24"/>
              </w:rPr>
              <w:t>响和</w:t>
            </w:r>
          </w:p>
          <w:p w14:paraId="1C86CF4F">
            <w:pPr>
              <w:adjustRightInd w:val="0"/>
              <w:snapToGrid w:val="0"/>
              <w:jc w:val="center"/>
              <w:rPr>
                <w:rFonts w:hint="eastAsia" w:ascii="宋体" w:hAnsi="宋体" w:cs="宋体"/>
                <w:bCs/>
                <w:sz w:val="24"/>
              </w:rPr>
            </w:pPr>
            <w:r>
              <w:rPr>
                <w:rFonts w:hint="eastAsia" w:ascii="宋体" w:hAnsi="宋体" w:cs="宋体"/>
                <w:bCs/>
                <w:sz w:val="24"/>
              </w:rPr>
              <w:t>保护</w:t>
            </w:r>
          </w:p>
          <w:p w14:paraId="71324914">
            <w:pPr>
              <w:adjustRightInd w:val="0"/>
              <w:snapToGrid w:val="0"/>
              <w:jc w:val="center"/>
              <w:rPr>
                <w:rFonts w:ascii="宋体" w:hAnsi="宋体" w:cs="宋体"/>
                <w:bCs/>
                <w:szCs w:val="21"/>
              </w:rPr>
            </w:pPr>
            <w:r>
              <w:rPr>
                <w:rFonts w:hint="eastAsia" w:ascii="宋体" w:hAnsi="宋体" w:cs="宋体"/>
                <w:bCs/>
                <w:sz w:val="24"/>
              </w:rPr>
              <w:t>措施</w:t>
            </w:r>
          </w:p>
        </w:tc>
        <w:tc>
          <w:tcPr>
            <w:tcW w:w="8524" w:type="dxa"/>
            <w:noWrap w:val="0"/>
            <w:vAlign w:val="center"/>
          </w:tcPr>
          <w:p w14:paraId="71F9207D">
            <w:pPr>
              <w:spacing w:line="360" w:lineRule="auto"/>
              <w:rPr>
                <w:rFonts w:hint="eastAsia" w:ascii="宋体" w:hAnsi="宋体" w:cs="宋体"/>
                <w:b/>
                <w:sz w:val="24"/>
              </w:rPr>
            </w:pPr>
            <w:r>
              <w:rPr>
                <w:rFonts w:hint="eastAsia" w:ascii="宋体" w:hAnsi="宋体" w:cs="宋体"/>
                <w:b/>
                <w:sz w:val="24"/>
              </w:rPr>
              <w:t>（一）运营期大气环境影响和保护措施</w:t>
            </w:r>
          </w:p>
          <w:p w14:paraId="71A2839C">
            <w:pPr>
              <w:spacing w:line="360" w:lineRule="auto"/>
              <w:ind w:firstLine="482" w:firstLineChars="200"/>
              <w:rPr>
                <w:rFonts w:hint="eastAsia"/>
                <w:bCs/>
                <w:sz w:val="24"/>
              </w:rPr>
            </w:pPr>
            <w:r>
              <w:rPr>
                <w:rFonts w:hint="eastAsia" w:cs="Times New Roman"/>
                <w:b/>
                <w:bCs/>
                <w:snapToGrid w:val="0"/>
                <w:sz w:val="24"/>
                <w:szCs w:val="24"/>
                <w:vertAlign w:val="baseline"/>
                <w:lang w:val="en-US" w:eastAsia="zh-CN"/>
              </w:rPr>
              <w:t>1.污染</w:t>
            </w:r>
            <w:r>
              <w:rPr>
                <w:rFonts w:hint="default" w:ascii="Times New Roman" w:hAnsi="Times New Roman" w:eastAsia="宋体" w:cs="Times New Roman"/>
                <w:b/>
                <w:bCs/>
                <w:snapToGrid w:val="0"/>
                <w:sz w:val="24"/>
                <w:szCs w:val="24"/>
                <w:vertAlign w:val="baseline"/>
                <w:lang w:val="en-US" w:eastAsia="zh-CN"/>
              </w:rPr>
              <w:t>源强</w:t>
            </w:r>
          </w:p>
          <w:p w14:paraId="3B30EFB9">
            <w:pPr>
              <w:spacing w:line="360" w:lineRule="auto"/>
              <w:ind w:firstLine="480" w:firstLineChars="200"/>
              <w:rPr>
                <w:rFonts w:hint="default" w:eastAsia="宋体"/>
                <w:sz w:val="24"/>
                <w:lang w:val="en-US" w:eastAsia="zh-CN"/>
              </w:rPr>
            </w:pPr>
            <w:r>
              <w:rPr>
                <w:rFonts w:hint="eastAsia"/>
                <w:sz w:val="24"/>
                <w:lang w:eastAsia="zh-CN"/>
              </w:rPr>
              <w:t>（</w:t>
            </w:r>
            <w:r>
              <w:rPr>
                <w:rFonts w:hint="eastAsia"/>
                <w:sz w:val="24"/>
                <w:lang w:val="en-US" w:eastAsia="zh-CN"/>
              </w:rPr>
              <w:t>1</w:t>
            </w:r>
            <w:r>
              <w:rPr>
                <w:rFonts w:hint="eastAsia"/>
                <w:sz w:val="24"/>
                <w:lang w:eastAsia="zh-CN"/>
              </w:rPr>
              <w:t>）</w:t>
            </w:r>
            <w:r>
              <w:rPr>
                <w:rFonts w:hint="eastAsia"/>
                <w:sz w:val="24"/>
                <w:lang w:val="en-US" w:eastAsia="zh-CN"/>
              </w:rPr>
              <w:t>恶臭</w:t>
            </w:r>
          </w:p>
          <w:p w14:paraId="5CEB7311">
            <w:pPr>
              <w:spacing w:line="360" w:lineRule="auto"/>
              <w:ind w:firstLine="480" w:firstLineChars="200"/>
              <w:rPr>
                <w:rFonts w:hint="eastAsia"/>
                <w:sz w:val="24"/>
              </w:rPr>
            </w:pPr>
            <w:r>
              <w:rPr>
                <w:rFonts w:hint="eastAsia"/>
                <w:sz w:val="24"/>
              </w:rPr>
              <w:t>污水处理厂恶臭是多种物质的混合物，有NH</w:t>
            </w:r>
            <w:r>
              <w:rPr>
                <w:rFonts w:hint="eastAsia"/>
                <w:sz w:val="24"/>
                <w:vertAlign w:val="subscript"/>
              </w:rPr>
              <w:t>3</w:t>
            </w:r>
            <w:r>
              <w:rPr>
                <w:rFonts w:hint="eastAsia"/>
                <w:sz w:val="24"/>
              </w:rPr>
              <w:t>、H</w:t>
            </w:r>
            <w:r>
              <w:rPr>
                <w:rFonts w:hint="eastAsia"/>
                <w:sz w:val="24"/>
                <w:vertAlign w:val="subscript"/>
              </w:rPr>
              <w:t>2</w:t>
            </w:r>
            <w:r>
              <w:rPr>
                <w:rFonts w:hint="eastAsia"/>
                <w:sz w:val="24"/>
              </w:rPr>
              <w:t>S、甲硫醇、甲硫醚、二甲硫醚、三甲胺、乙醛、苯乙烯等，最主要的是H</w:t>
            </w:r>
            <w:r>
              <w:rPr>
                <w:rFonts w:hint="eastAsia"/>
                <w:sz w:val="24"/>
                <w:vertAlign w:val="subscript"/>
              </w:rPr>
              <w:t>2</w:t>
            </w:r>
            <w:r>
              <w:rPr>
                <w:rFonts w:hint="eastAsia"/>
                <w:sz w:val="24"/>
              </w:rPr>
              <w:t>S和NH</w:t>
            </w:r>
            <w:r>
              <w:rPr>
                <w:rFonts w:hint="eastAsia"/>
                <w:sz w:val="24"/>
                <w:vertAlign w:val="subscript"/>
              </w:rPr>
              <w:t>3</w:t>
            </w:r>
            <w:r>
              <w:rPr>
                <w:rFonts w:hint="eastAsia"/>
                <w:sz w:val="24"/>
              </w:rPr>
              <w:t>。恶臭气体的产生量与污水水质、污水水力停留时间等因素有关，本项目源强采用类比和排污系数的方法确定。</w:t>
            </w:r>
          </w:p>
          <w:p w14:paraId="6F0DEB77">
            <w:pPr>
              <w:spacing w:line="360" w:lineRule="auto"/>
              <w:ind w:firstLine="480" w:firstLineChars="200"/>
              <w:rPr>
                <w:rFonts w:hint="eastAsia"/>
                <w:sz w:val="24"/>
              </w:rPr>
            </w:pPr>
            <w:r>
              <w:rPr>
                <w:rFonts w:hint="eastAsia"/>
                <w:sz w:val="24"/>
              </w:rPr>
              <w:t>恶臭气体的溢出量与污水处理厂水质情况、污水和污泥处理工艺、处理构筑物种类、构筑物和设备密封情况及其换风量、水温及污水处理厂操作运行状况等因素有关，难以准确量化。因此本项目根据《城镇污水处理厂臭气处理技术规程》（CJJ/T 243-2016）中污水处理厂臭气污染物浓度应根据实测资料确定，无实测资料时可按下表规定取值。</w:t>
            </w:r>
          </w:p>
          <w:p w14:paraId="3165DC91">
            <w:pPr>
              <w:spacing w:line="400" w:lineRule="exact"/>
              <w:ind w:firstLine="236" w:firstLineChars="98"/>
              <w:jc w:val="center"/>
              <w:rPr>
                <w:rFonts w:hint="eastAsia"/>
                <w:sz w:val="24"/>
              </w:rPr>
            </w:pPr>
            <w:r>
              <w:rPr>
                <w:rFonts w:hint="eastAsia" w:ascii="宋体" w:hAnsi="宋体" w:cs="宋体"/>
                <w:b/>
                <w:bCs/>
                <w:sz w:val="24"/>
              </w:rPr>
              <w:t>表</w:t>
            </w:r>
            <w:r>
              <w:rPr>
                <w:rFonts w:hint="eastAsia" w:ascii="宋体" w:hAnsi="宋体" w:cs="宋体"/>
                <w:b/>
                <w:bCs/>
                <w:sz w:val="24"/>
                <w:lang w:val="en-US" w:eastAsia="zh-CN"/>
              </w:rPr>
              <w:t>4-1</w:t>
            </w:r>
            <w:r>
              <w:rPr>
                <w:rFonts w:hint="eastAsia" w:ascii="宋体" w:hAnsi="宋体" w:cs="宋体"/>
                <w:b/>
                <w:bCs/>
                <w:sz w:val="24"/>
              </w:rPr>
              <w:t xml:space="preserve">   污水处理厂臭气污染物浓度</w:t>
            </w:r>
          </w:p>
          <w:tbl>
            <w:tblPr>
              <w:tblStyle w:val="2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8"/>
              <w:gridCol w:w="2222"/>
              <w:gridCol w:w="1711"/>
              <w:gridCol w:w="2565"/>
            </w:tblGrid>
            <w:tr w14:paraId="4B9F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pct"/>
                  <w:noWrap w:val="0"/>
                  <w:vAlign w:val="center"/>
                </w:tcPr>
                <w:p w14:paraId="4269D6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处理区域</w:t>
                  </w:r>
                </w:p>
              </w:tc>
              <w:tc>
                <w:tcPr>
                  <w:tcW w:w="1339" w:type="pct"/>
                  <w:noWrap w:val="0"/>
                  <w:vAlign w:val="center"/>
                </w:tcPr>
                <w:p w14:paraId="092A57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硫化氢（mg/m</w:t>
                  </w:r>
                  <w:r>
                    <w:rPr>
                      <w:rFonts w:hint="eastAsia"/>
                      <w:szCs w:val="21"/>
                      <w:vertAlign w:val="superscript"/>
                    </w:rPr>
                    <w:t>3</w:t>
                  </w:r>
                  <w:r>
                    <w:rPr>
                      <w:rFonts w:hint="eastAsia"/>
                      <w:szCs w:val="21"/>
                    </w:rPr>
                    <w:t>）</w:t>
                  </w:r>
                </w:p>
              </w:tc>
              <w:tc>
                <w:tcPr>
                  <w:tcW w:w="1031" w:type="pct"/>
                  <w:noWrap w:val="0"/>
                  <w:vAlign w:val="center"/>
                </w:tcPr>
                <w:p w14:paraId="01F9DE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氨（mg/m</w:t>
                  </w:r>
                  <w:r>
                    <w:rPr>
                      <w:rFonts w:hint="eastAsia"/>
                      <w:szCs w:val="21"/>
                      <w:vertAlign w:val="superscript"/>
                    </w:rPr>
                    <w:t>3</w:t>
                  </w:r>
                  <w:r>
                    <w:rPr>
                      <w:rFonts w:hint="eastAsia"/>
                      <w:szCs w:val="21"/>
                    </w:rPr>
                    <w:t>）</w:t>
                  </w:r>
                </w:p>
              </w:tc>
              <w:tc>
                <w:tcPr>
                  <w:tcW w:w="1545" w:type="pct"/>
                  <w:noWrap w:val="0"/>
                  <w:vAlign w:val="center"/>
                </w:tcPr>
                <w:p w14:paraId="1B1A5E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臭气浓度（无量纲）</w:t>
                  </w:r>
                </w:p>
              </w:tc>
            </w:tr>
            <w:tr w14:paraId="26F57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pct"/>
                  <w:noWrap w:val="0"/>
                  <w:vAlign w:val="center"/>
                </w:tcPr>
                <w:p w14:paraId="78404B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污水处理区域</w:t>
                  </w:r>
                </w:p>
              </w:tc>
              <w:tc>
                <w:tcPr>
                  <w:tcW w:w="1339" w:type="pct"/>
                  <w:noWrap w:val="0"/>
                  <w:vAlign w:val="center"/>
                </w:tcPr>
                <w:p w14:paraId="4B37E9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rFonts w:hint="eastAsia"/>
                      <w:szCs w:val="21"/>
                    </w:rPr>
                    <w:t>1</w:t>
                  </w:r>
                  <w:r>
                    <w:rPr>
                      <w:rFonts w:hint="eastAsia"/>
                      <w:szCs w:val="21"/>
                      <w:lang w:eastAsia="zh-CN"/>
                    </w:rPr>
                    <w:t>~</w:t>
                  </w:r>
                  <w:r>
                    <w:rPr>
                      <w:rFonts w:hint="eastAsia"/>
                      <w:szCs w:val="21"/>
                    </w:rPr>
                    <w:t>10</w:t>
                  </w:r>
                </w:p>
              </w:tc>
              <w:tc>
                <w:tcPr>
                  <w:tcW w:w="1031" w:type="pct"/>
                  <w:noWrap w:val="0"/>
                  <w:vAlign w:val="center"/>
                </w:tcPr>
                <w:p w14:paraId="1A0B29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rFonts w:hint="eastAsia"/>
                      <w:szCs w:val="21"/>
                    </w:rPr>
                    <w:t>0.5</w:t>
                  </w:r>
                  <w:r>
                    <w:rPr>
                      <w:rFonts w:hint="eastAsia"/>
                      <w:szCs w:val="21"/>
                      <w:lang w:eastAsia="zh-CN"/>
                    </w:rPr>
                    <w:t>~</w:t>
                  </w:r>
                  <w:r>
                    <w:rPr>
                      <w:rFonts w:hint="eastAsia"/>
                      <w:szCs w:val="21"/>
                    </w:rPr>
                    <w:t>5.0</w:t>
                  </w:r>
                </w:p>
              </w:tc>
              <w:tc>
                <w:tcPr>
                  <w:tcW w:w="1545" w:type="pct"/>
                  <w:noWrap w:val="0"/>
                  <w:vAlign w:val="center"/>
                </w:tcPr>
                <w:p w14:paraId="6D865C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rFonts w:hint="eastAsia"/>
                      <w:szCs w:val="21"/>
                    </w:rPr>
                    <w:t>1000</w:t>
                  </w:r>
                  <w:r>
                    <w:rPr>
                      <w:rFonts w:hint="eastAsia"/>
                      <w:szCs w:val="21"/>
                      <w:lang w:eastAsia="zh-CN"/>
                    </w:rPr>
                    <w:t>~</w:t>
                  </w:r>
                  <w:r>
                    <w:rPr>
                      <w:rFonts w:hint="eastAsia"/>
                      <w:szCs w:val="21"/>
                    </w:rPr>
                    <w:t>5000</w:t>
                  </w:r>
                </w:p>
              </w:tc>
            </w:tr>
            <w:tr w14:paraId="4D7C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pct"/>
                  <w:noWrap w:val="0"/>
                  <w:vAlign w:val="center"/>
                </w:tcPr>
                <w:p w14:paraId="3A85CB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污泥处理区域</w:t>
                  </w:r>
                </w:p>
              </w:tc>
              <w:tc>
                <w:tcPr>
                  <w:tcW w:w="1339" w:type="pct"/>
                  <w:noWrap w:val="0"/>
                  <w:vAlign w:val="center"/>
                </w:tcPr>
                <w:p w14:paraId="730DED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5</w:t>
                  </w:r>
                  <w:r>
                    <w:rPr>
                      <w:rFonts w:hint="eastAsia"/>
                      <w:szCs w:val="21"/>
                      <w:lang w:eastAsia="zh-CN"/>
                    </w:rPr>
                    <w:t>~</w:t>
                  </w:r>
                  <w:r>
                    <w:rPr>
                      <w:rFonts w:hint="eastAsia"/>
                      <w:szCs w:val="21"/>
                    </w:rPr>
                    <w:t>30</w:t>
                  </w:r>
                </w:p>
              </w:tc>
              <w:tc>
                <w:tcPr>
                  <w:tcW w:w="1031" w:type="pct"/>
                  <w:noWrap w:val="0"/>
                  <w:vAlign w:val="center"/>
                </w:tcPr>
                <w:p w14:paraId="6F7B18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1</w:t>
                  </w:r>
                  <w:r>
                    <w:rPr>
                      <w:rFonts w:hint="eastAsia"/>
                      <w:szCs w:val="21"/>
                      <w:lang w:eastAsia="zh-CN"/>
                    </w:rPr>
                    <w:t>~</w:t>
                  </w:r>
                  <w:r>
                    <w:rPr>
                      <w:rFonts w:hint="eastAsia"/>
                      <w:szCs w:val="21"/>
                    </w:rPr>
                    <w:t>10</w:t>
                  </w:r>
                </w:p>
              </w:tc>
              <w:tc>
                <w:tcPr>
                  <w:tcW w:w="1545" w:type="pct"/>
                  <w:noWrap w:val="0"/>
                  <w:vAlign w:val="center"/>
                </w:tcPr>
                <w:p w14:paraId="6134CC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rFonts w:hint="eastAsia"/>
                      <w:szCs w:val="21"/>
                    </w:rPr>
                    <w:t>5000</w:t>
                  </w:r>
                  <w:r>
                    <w:rPr>
                      <w:rFonts w:hint="eastAsia"/>
                      <w:szCs w:val="21"/>
                      <w:lang w:eastAsia="zh-CN"/>
                    </w:rPr>
                    <w:t>~</w:t>
                  </w:r>
                  <w:r>
                    <w:rPr>
                      <w:rFonts w:hint="eastAsia"/>
                      <w:szCs w:val="21"/>
                    </w:rPr>
                    <w:t>10000</w:t>
                  </w:r>
                </w:p>
              </w:tc>
            </w:tr>
          </w:tbl>
          <w:p w14:paraId="13866178">
            <w:pPr>
              <w:spacing w:line="360" w:lineRule="auto"/>
              <w:ind w:firstLine="480" w:firstLineChars="200"/>
              <w:rPr>
                <w:rFonts w:hint="eastAsia"/>
                <w:sz w:val="24"/>
              </w:rPr>
            </w:pPr>
            <w:r>
              <w:rPr>
                <w:rFonts w:hint="eastAsia"/>
                <w:sz w:val="24"/>
              </w:rPr>
              <w:t>本项目</w:t>
            </w:r>
            <w:r>
              <w:rPr>
                <w:rFonts w:hint="eastAsia"/>
                <w:sz w:val="24"/>
                <w:lang w:val="en-US" w:eastAsia="zh-CN"/>
              </w:rPr>
              <w:t>恶臭</w:t>
            </w:r>
            <w:r>
              <w:rPr>
                <w:rFonts w:hint="eastAsia"/>
                <w:sz w:val="24"/>
              </w:rPr>
              <w:t>污染物浓度根据上述规程中给定的</w:t>
            </w:r>
            <w:r>
              <w:rPr>
                <w:rFonts w:hint="eastAsia"/>
                <w:sz w:val="24"/>
                <w:lang w:eastAsia="zh-CN"/>
              </w:rPr>
              <w:t>阈值</w:t>
            </w:r>
            <w:r>
              <w:rPr>
                <w:rFonts w:hint="eastAsia"/>
                <w:sz w:val="24"/>
              </w:rPr>
              <w:t>范围和经验数据，核算出恶臭污染物排放浓度和速率见下表，</w:t>
            </w:r>
          </w:p>
          <w:p w14:paraId="7DDD2C6D">
            <w:pPr>
              <w:ind w:firstLine="482" w:firstLineChars="200"/>
              <w:jc w:val="center"/>
              <w:rPr>
                <w:rFonts w:hint="eastAsia" w:ascii="宋体" w:hAnsi="宋体" w:cs="宋体"/>
                <w:b/>
                <w:bCs/>
                <w:sz w:val="24"/>
              </w:rPr>
            </w:pPr>
            <w:r>
              <w:rPr>
                <w:rFonts w:hint="eastAsia" w:ascii="宋体" w:hAnsi="宋体" w:cs="宋体"/>
                <w:b/>
                <w:bCs/>
                <w:sz w:val="24"/>
              </w:rPr>
              <w:t>表</w:t>
            </w:r>
            <w:r>
              <w:rPr>
                <w:rFonts w:hint="eastAsia" w:ascii="宋体" w:hAnsi="宋体" w:cs="宋体"/>
                <w:b/>
                <w:bCs/>
                <w:sz w:val="24"/>
                <w:lang w:val="en-US" w:eastAsia="zh-CN"/>
              </w:rPr>
              <w:t xml:space="preserve">4-2 </w:t>
            </w:r>
            <w:r>
              <w:rPr>
                <w:rFonts w:hint="eastAsia" w:ascii="宋体" w:hAnsi="宋体" w:cs="宋体"/>
                <w:b/>
                <w:bCs/>
                <w:sz w:val="24"/>
              </w:rPr>
              <w:t xml:space="preserve"> 主要恶臭污染物排放源（有组织）</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6"/>
              <w:gridCol w:w="1660"/>
              <w:gridCol w:w="1210"/>
              <w:gridCol w:w="1323"/>
              <w:gridCol w:w="1220"/>
              <w:gridCol w:w="1226"/>
            </w:tblGrid>
            <w:tr w14:paraId="7AB4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998" w:type="pct"/>
                  <w:vMerge w:val="restart"/>
                  <w:noWrap w:val="0"/>
                  <w:vAlign w:val="center"/>
                </w:tcPr>
                <w:p w14:paraId="2CC480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区域</w:t>
                  </w:r>
                </w:p>
              </w:tc>
              <w:tc>
                <w:tcPr>
                  <w:tcW w:w="1000" w:type="pct"/>
                  <w:vMerge w:val="restart"/>
                  <w:noWrap w:val="0"/>
                  <w:vAlign w:val="center"/>
                </w:tcPr>
                <w:p w14:paraId="32BFE2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风量（m</w:t>
                  </w:r>
                  <w:r>
                    <w:rPr>
                      <w:rFonts w:hint="eastAsia"/>
                      <w:szCs w:val="21"/>
                      <w:vertAlign w:val="superscript"/>
                    </w:rPr>
                    <w:t>3</w:t>
                  </w:r>
                  <w:r>
                    <w:rPr>
                      <w:rFonts w:hint="eastAsia"/>
                      <w:szCs w:val="21"/>
                    </w:rPr>
                    <w:t>/h）</w:t>
                  </w:r>
                </w:p>
              </w:tc>
              <w:tc>
                <w:tcPr>
                  <w:tcW w:w="1526" w:type="pct"/>
                  <w:gridSpan w:val="2"/>
                  <w:noWrap w:val="0"/>
                  <w:vAlign w:val="center"/>
                </w:tcPr>
                <w:p w14:paraId="7A23B4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rFonts w:hint="eastAsia"/>
                      <w:szCs w:val="21"/>
                    </w:rPr>
                    <w:t>H</w:t>
                  </w:r>
                  <w:r>
                    <w:rPr>
                      <w:rFonts w:hint="eastAsia"/>
                      <w:szCs w:val="21"/>
                      <w:vertAlign w:val="subscript"/>
                    </w:rPr>
                    <w:t>2</w:t>
                  </w:r>
                  <w:r>
                    <w:rPr>
                      <w:rFonts w:hint="eastAsia"/>
                      <w:szCs w:val="21"/>
                    </w:rPr>
                    <w:t>S</w:t>
                  </w:r>
                </w:p>
              </w:tc>
              <w:tc>
                <w:tcPr>
                  <w:tcW w:w="1474" w:type="pct"/>
                  <w:gridSpan w:val="2"/>
                  <w:noWrap w:val="0"/>
                  <w:vAlign w:val="center"/>
                </w:tcPr>
                <w:p w14:paraId="2AF695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NH</w:t>
                  </w:r>
                  <w:r>
                    <w:rPr>
                      <w:rFonts w:hint="eastAsia"/>
                      <w:szCs w:val="21"/>
                      <w:vertAlign w:val="subscript"/>
                    </w:rPr>
                    <w:t>3</w:t>
                  </w:r>
                </w:p>
              </w:tc>
            </w:tr>
            <w:tr w14:paraId="0FD7C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998" w:type="pct"/>
                  <w:vMerge w:val="continue"/>
                  <w:noWrap w:val="0"/>
                  <w:vAlign w:val="center"/>
                </w:tcPr>
                <w:p w14:paraId="7EA781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p>
              </w:tc>
              <w:tc>
                <w:tcPr>
                  <w:tcW w:w="1000" w:type="pct"/>
                  <w:vMerge w:val="continue"/>
                  <w:noWrap w:val="0"/>
                  <w:vAlign w:val="center"/>
                </w:tcPr>
                <w:p w14:paraId="7F67BE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p>
              </w:tc>
              <w:tc>
                <w:tcPr>
                  <w:tcW w:w="729" w:type="pct"/>
                  <w:noWrap w:val="0"/>
                  <w:vAlign w:val="center"/>
                </w:tcPr>
                <w:p w14:paraId="31ECD9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szCs w:val="21"/>
                      <w:lang w:eastAsia="zh-CN"/>
                    </w:rPr>
                  </w:pPr>
                  <w:r>
                    <w:rPr>
                      <w:rFonts w:hint="eastAsia"/>
                      <w:szCs w:val="21"/>
                    </w:rPr>
                    <w:t>mg/m</w:t>
                  </w:r>
                  <w:r>
                    <w:rPr>
                      <w:rFonts w:hint="eastAsia"/>
                      <w:szCs w:val="21"/>
                      <w:vertAlign w:val="superscript"/>
                      <w:lang w:val="en-US" w:eastAsia="zh-CN"/>
                    </w:rPr>
                    <w:t>3</w:t>
                  </w:r>
                </w:p>
              </w:tc>
              <w:tc>
                <w:tcPr>
                  <w:tcW w:w="797" w:type="pct"/>
                  <w:noWrap w:val="0"/>
                  <w:vAlign w:val="center"/>
                </w:tcPr>
                <w:p w14:paraId="283AC6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rFonts w:hint="eastAsia"/>
                      <w:szCs w:val="21"/>
                    </w:rPr>
                    <w:t>kg/h</w:t>
                  </w:r>
                </w:p>
              </w:tc>
              <w:tc>
                <w:tcPr>
                  <w:tcW w:w="735" w:type="pct"/>
                  <w:noWrap w:val="0"/>
                  <w:vAlign w:val="center"/>
                </w:tcPr>
                <w:p w14:paraId="193DD9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szCs w:val="21"/>
                      <w:lang w:eastAsia="zh-CN"/>
                    </w:rPr>
                  </w:pPr>
                  <w:r>
                    <w:rPr>
                      <w:rFonts w:hint="eastAsia"/>
                      <w:szCs w:val="21"/>
                    </w:rPr>
                    <w:t>mg/m</w:t>
                  </w:r>
                  <w:r>
                    <w:rPr>
                      <w:rFonts w:hint="eastAsia"/>
                      <w:szCs w:val="21"/>
                      <w:vertAlign w:val="superscript"/>
                      <w:lang w:val="en-US" w:eastAsia="zh-CN"/>
                    </w:rPr>
                    <w:t>3</w:t>
                  </w:r>
                </w:p>
              </w:tc>
              <w:tc>
                <w:tcPr>
                  <w:tcW w:w="738" w:type="pct"/>
                  <w:noWrap w:val="0"/>
                  <w:vAlign w:val="center"/>
                </w:tcPr>
                <w:p w14:paraId="058647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kg/h</w:t>
                  </w:r>
                </w:p>
              </w:tc>
            </w:tr>
            <w:tr w14:paraId="4DCB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998" w:type="pct"/>
                  <w:noWrap w:val="0"/>
                  <w:vAlign w:val="center"/>
                </w:tcPr>
                <w:p w14:paraId="171F00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污水处理区域</w:t>
                  </w:r>
                </w:p>
              </w:tc>
              <w:tc>
                <w:tcPr>
                  <w:tcW w:w="1000" w:type="pct"/>
                  <w:vMerge w:val="restart"/>
                  <w:noWrap w:val="0"/>
                  <w:vAlign w:val="center"/>
                </w:tcPr>
                <w:p w14:paraId="46A8C3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rFonts w:hint="eastAsia"/>
                      <w:szCs w:val="21"/>
                      <w:lang w:val="en-US" w:eastAsia="zh-CN"/>
                    </w:rPr>
                    <w:t>10000</w:t>
                  </w:r>
                </w:p>
              </w:tc>
              <w:tc>
                <w:tcPr>
                  <w:tcW w:w="729" w:type="pct"/>
                  <w:noWrap w:val="0"/>
                  <w:vAlign w:val="center"/>
                </w:tcPr>
                <w:p w14:paraId="20B1EF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rFonts w:hint="eastAsia"/>
                      <w:szCs w:val="21"/>
                    </w:rPr>
                    <w:t>1.0</w:t>
                  </w:r>
                </w:p>
              </w:tc>
              <w:tc>
                <w:tcPr>
                  <w:tcW w:w="797" w:type="pct"/>
                  <w:noWrap w:val="0"/>
                  <w:vAlign w:val="center"/>
                </w:tcPr>
                <w:p w14:paraId="3D3059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szCs w:val="21"/>
                      <w:lang w:val="en-US" w:eastAsia="zh-CN"/>
                    </w:rPr>
                  </w:pPr>
                  <w:r>
                    <w:rPr>
                      <w:rFonts w:hint="eastAsia"/>
                      <w:szCs w:val="21"/>
                      <w:lang w:val="en-US" w:eastAsia="zh-CN"/>
                    </w:rPr>
                    <w:t>0.01</w:t>
                  </w:r>
                </w:p>
              </w:tc>
              <w:tc>
                <w:tcPr>
                  <w:tcW w:w="735" w:type="pct"/>
                  <w:noWrap w:val="0"/>
                  <w:vAlign w:val="center"/>
                </w:tcPr>
                <w:p w14:paraId="705A03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rFonts w:hint="eastAsia"/>
                      <w:szCs w:val="21"/>
                    </w:rPr>
                    <w:t>2.0</w:t>
                  </w:r>
                </w:p>
              </w:tc>
              <w:tc>
                <w:tcPr>
                  <w:tcW w:w="738" w:type="pct"/>
                  <w:noWrap w:val="0"/>
                  <w:vAlign w:val="center"/>
                </w:tcPr>
                <w:p w14:paraId="3B5949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szCs w:val="21"/>
                      <w:lang w:val="en-US" w:eastAsia="zh-CN"/>
                    </w:rPr>
                  </w:pPr>
                  <w:r>
                    <w:rPr>
                      <w:rFonts w:hint="eastAsia"/>
                      <w:szCs w:val="21"/>
                      <w:lang w:val="en-US" w:eastAsia="zh-CN"/>
                    </w:rPr>
                    <w:t>0.02</w:t>
                  </w:r>
                </w:p>
              </w:tc>
            </w:tr>
            <w:tr w14:paraId="445C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8" w:type="pct"/>
                  <w:noWrap w:val="0"/>
                  <w:vAlign w:val="center"/>
                </w:tcPr>
                <w:p w14:paraId="5A8C1D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污泥处理区域</w:t>
                  </w:r>
                </w:p>
              </w:tc>
              <w:tc>
                <w:tcPr>
                  <w:tcW w:w="1000" w:type="pct"/>
                  <w:vMerge w:val="continue"/>
                  <w:noWrap w:val="0"/>
                  <w:vAlign w:val="center"/>
                </w:tcPr>
                <w:p w14:paraId="451D48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p>
              </w:tc>
              <w:tc>
                <w:tcPr>
                  <w:tcW w:w="729" w:type="pct"/>
                  <w:noWrap w:val="0"/>
                  <w:vAlign w:val="center"/>
                </w:tcPr>
                <w:p w14:paraId="13100D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rFonts w:hint="eastAsia"/>
                      <w:szCs w:val="21"/>
                    </w:rPr>
                    <w:t>5.0</w:t>
                  </w:r>
                </w:p>
              </w:tc>
              <w:tc>
                <w:tcPr>
                  <w:tcW w:w="797" w:type="pct"/>
                  <w:noWrap w:val="0"/>
                  <w:vAlign w:val="center"/>
                </w:tcPr>
                <w:p w14:paraId="625569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szCs w:val="21"/>
                      <w:lang w:val="en-US" w:eastAsia="zh-CN"/>
                    </w:rPr>
                  </w:pPr>
                  <w:r>
                    <w:rPr>
                      <w:rFonts w:hint="eastAsia"/>
                      <w:szCs w:val="21"/>
                      <w:lang w:val="en-US" w:eastAsia="zh-CN"/>
                    </w:rPr>
                    <w:t>0.05</w:t>
                  </w:r>
                </w:p>
              </w:tc>
              <w:tc>
                <w:tcPr>
                  <w:tcW w:w="735" w:type="pct"/>
                  <w:noWrap w:val="0"/>
                  <w:vAlign w:val="center"/>
                </w:tcPr>
                <w:p w14:paraId="19CD93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rFonts w:hint="eastAsia"/>
                      <w:szCs w:val="21"/>
                    </w:rPr>
                    <w:t>3.0</w:t>
                  </w:r>
                </w:p>
              </w:tc>
              <w:tc>
                <w:tcPr>
                  <w:tcW w:w="738" w:type="pct"/>
                  <w:noWrap w:val="0"/>
                  <w:vAlign w:val="center"/>
                </w:tcPr>
                <w:p w14:paraId="5A705D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szCs w:val="21"/>
                      <w:lang w:val="en-US" w:eastAsia="zh-CN"/>
                    </w:rPr>
                  </w:pPr>
                  <w:r>
                    <w:rPr>
                      <w:rFonts w:hint="eastAsia"/>
                      <w:szCs w:val="21"/>
                      <w:lang w:val="en-US" w:eastAsia="zh-CN"/>
                    </w:rPr>
                    <w:t>0.03</w:t>
                  </w:r>
                </w:p>
              </w:tc>
            </w:tr>
            <w:tr w14:paraId="2F587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8" w:type="pct"/>
                  <w:noWrap w:val="0"/>
                  <w:vAlign w:val="center"/>
                </w:tcPr>
                <w:p w14:paraId="1683CF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合计</w:t>
                  </w:r>
                </w:p>
              </w:tc>
              <w:tc>
                <w:tcPr>
                  <w:tcW w:w="1000" w:type="pct"/>
                  <w:noWrap w:val="0"/>
                  <w:vAlign w:val="center"/>
                </w:tcPr>
                <w:p w14:paraId="5E41BD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w:t>
                  </w:r>
                </w:p>
              </w:tc>
              <w:tc>
                <w:tcPr>
                  <w:tcW w:w="729" w:type="pct"/>
                  <w:noWrap w:val="0"/>
                  <w:vAlign w:val="center"/>
                </w:tcPr>
                <w:p w14:paraId="67B332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Cs w:val="21"/>
                    </w:rPr>
                  </w:pPr>
                  <w:r>
                    <w:rPr>
                      <w:rFonts w:hint="eastAsia"/>
                      <w:szCs w:val="21"/>
                    </w:rPr>
                    <w:t>6.0</w:t>
                  </w:r>
                </w:p>
              </w:tc>
              <w:tc>
                <w:tcPr>
                  <w:tcW w:w="797" w:type="pct"/>
                  <w:noWrap w:val="0"/>
                  <w:vAlign w:val="center"/>
                </w:tcPr>
                <w:p w14:paraId="27D98E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szCs w:val="21"/>
                      <w:lang w:val="en-US" w:eastAsia="zh-CN"/>
                    </w:rPr>
                  </w:pPr>
                  <w:r>
                    <w:rPr>
                      <w:rFonts w:hint="eastAsia"/>
                      <w:szCs w:val="21"/>
                      <w:lang w:val="en-US" w:eastAsia="zh-CN"/>
                    </w:rPr>
                    <w:t>0.06</w:t>
                  </w:r>
                </w:p>
              </w:tc>
              <w:tc>
                <w:tcPr>
                  <w:tcW w:w="735" w:type="pct"/>
                  <w:noWrap w:val="0"/>
                  <w:vAlign w:val="center"/>
                </w:tcPr>
                <w:p w14:paraId="7D84AE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Cs w:val="21"/>
                    </w:rPr>
                  </w:pPr>
                  <w:r>
                    <w:rPr>
                      <w:rFonts w:hint="eastAsia"/>
                      <w:szCs w:val="21"/>
                    </w:rPr>
                    <w:t>5.0</w:t>
                  </w:r>
                </w:p>
              </w:tc>
              <w:tc>
                <w:tcPr>
                  <w:tcW w:w="738" w:type="pct"/>
                  <w:noWrap w:val="0"/>
                  <w:vAlign w:val="center"/>
                </w:tcPr>
                <w:p w14:paraId="3D45A8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szCs w:val="21"/>
                      <w:lang w:val="en-US" w:eastAsia="zh-CN"/>
                    </w:rPr>
                  </w:pPr>
                  <w:r>
                    <w:rPr>
                      <w:rFonts w:hint="eastAsia"/>
                      <w:szCs w:val="21"/>
                      <w:lang w:val="en-US" w:eastAsia="zh-CN"/>
                    </w:rPr>
                    <w:t>0.05</w:t>
                  </w:r>
                </w:p>
              </w:tc>
            </w:tr>
          </w:tbl>
          <w:p w14:paraId="1EFD137A">
            <w:pPr>
              <w:spacing w:line="360" w:lineRule="auto"/>
              <w:ind w:firstLine="480" w:firstLineChars="200"/>
              <w:rPr>
                <w:rFonts w:hint="eastAsia" w:eastAsia="宋体"/>
                <w:sz w:val="24"/>
                <w:lang w:eastAsia="zh-CN"/>
              </w:rPr>
            </w:pPr>
            <w:r>
              <w:rPr>
                <w:rFonts w:hint="eastAsia"/>
                <w:sz w:val="24"/>
              </w:rPr>
              <w:t>本项目在污水预处理区、生化处理区和污泥处理系统设置加盖密闭、恶臭通过封闭经集气管道收集后引入</w:t>
            </w:r>
            <w:r>
              <w:rPr>
                <w:rFonts w:hint="eastAsia"/>
                <w:sz w:val="24"/>
                <w:lang w:val="en-US" w:eastAsia="zh-CN"/>
              </w:rPr>
              <w:t>活性炭吸附装置</w:t>
            </w:r>
            <w:r>
              <w:rPr>
                <w:rFonts w:hint="eastAsia"/>
                <w:sz w:val="24"/>
              </w:rPr>
              <w:t>处理后经15m排气筒（DA001）排放，从而减轻恶臭影响。参考《污水处理厂恶臭防治对策及环境影响评价的研究》（薛松等），收集效率在85%～90%，本次环评收集效率按85%计，根据</w:t>
            </w:r>
            <w:r>
              <w:rPr>
                <w:rFonts w:hint="eastAsia"/>
                <w:sz w:val="24"/>
                <w:lang w:eastAsia="zh-CN"/>
              </w:rPr>
              <w:t>《</w:t>
            </w:r>
            <w:r>
              <w:rPr>
                <w:rFonts w:hint="eastAsia"/>
                <w:sz w:val="24"/>
              </w:rPr>
              <w:t>城镇污水处理厂臭气处理技术规程》（CJJ/T 243-2016）</w:t>
            </w:r>
            <w:r>
              <w:rPr>
                <w:rFonts w:hint="eastAsia"/>
                <w:sz w:val="24"/>
                <w:lang w:val="en-US" w:eastAsia="zh-CN"/>
              </w:rPr>
              <w:t>中第5.2.2条：</w:t>
            </w:r>
            <w:r>
              <w:rPr>
                <w:rFonts w:hint="eastAsia"/>
                <w:sz w:val="24"/>
              </w:rPr>
              <w:t>活性炭吸附装置对H</w:t>
            </w:r>
            <w:r>
              <w:rPr>
                <w:rFonts w:hint="eastAsia"/>
                <w:sz w:val="24"/>
                <w:vertAlign w:val="subscript"/>
                <w:lang w:val="en-US" w:eastAsia="zh-CN"/>
              </w:rPr>
              <w:t>2</w:t>
            </w:r>
            <w:r>
              <w:rPr>
                <w:rFonts w:hint="eastAsia"/>
                <w:sz w:val="24"/>
              </w:rPr>
              <w:t>S的去除效率宜按</w:t>
            </w:r>
            <w:r>
              <w:rPr>
                <w:rFonts w:hint="eastAsia"/>
                <w:sz w:val="24"/>
                <w:lang w:eastAsia="zh-CN"/>
              </w:rPr>
              <w:t>90%～95%</w:t>
            </w:r>
            <w:r>
              <w:rPr>
                <w:rFonts w:hint="eastAsia"/>
                <w:sz w:val="24"/>
              </w:rPr>
              <w:t>设计，对NH</w:t>
            </w:r>
            <w:r>
              <w:rPr>
                <w:rFonts w:hint="eastAsia"/>
                <w:sz w:val="24"/>
                <w:vertAlign w:val="subscript"/>
                <w:lang w:val="en-US" w:eastAsia="zh-CN"/>
              </w:rPr>
              <w:t>3</w:t>
            </w:r>
            <w:r>
              <w:rPr>
                <w:rFonts w:hint="eastAsia"/>
                <w:sz w:val="24"/>
              </w:rPr>
              <w:t>的去除效率宜按</w:t>
            </w:r>
            <w:r>
              <w:rPr>
                <w:rFonts w:hint="eastAsia"/>
                <w:sz w:val="24"/>
                <w:lang w:eastAsia="zh-CN"/>
              </w:rPr>
              <w:t>85%～90%</w:t>
            </w:r>
            <w:r>
              <w:rPr>
                <w:rFonts w:hint="eastAsia"/>
                <w:sz w:val="24"/>
              </w:rPr>
              <w:t>设计</w:t>
            </w:r>
            <w:r>
              <w:rPr>
                <w:rFonts w:hint="eastAsia"/>
                <w:sz w:val="24"/>
                <w:lang w:eastAsia="zh-CN"/>
              </w:rPr>
              <w:t>。</w:t>
            </w:r>
            <w:r>
              <w:rPr>
                <w:rFonts w:hint="eastAsia"/>
                <w:sz w:val="24"/>
              </w:rPr>
              <w:t>本次环评活性炭吸附装置去除效率氨和硫化氢按90%进行估算，未收集气体呈无组织面源排放</w:t>
            </w:r>
            <w:r>
              <w:rPr>
                <w:rFonts w:hint="eastAsia"/>
                <w:sz w:val="24"/>
                <w:lang w:eastAsia="zh-CN"/>
              </w:rPr>
              <w:t>。</w:t>
            </w:r>
          </w:p>
          <w:p w14:paraId="0DE28D88">
            <w:pPr>
              <w:spacing w:line="360" w:lineRule="auto"/>
              <w:ind w:firstLine="480" w:firstLineChars="200"/>
              <w:rPr>
                <w:rFonts w:hint="default" w:eastAsia="宋体"/>
                <w:sz w:val="24"/>
                <w:lang w:val="en-US" w:eastAsia="zh-CN"/>
              </w:rPr>
            </w:pPr>
            <w:r>
              <w:rPr>
                <w:rFonts w:hint="eastAsia"/>
                <w:sz w:val="24"/>
                <w:lang w:val="en-US" w:eastAsia="zh-CN"/>
              </w:rPr>
              <w:t>活性炭吸附装置设计参数：设备处理风量：10000 m</w:t>
            </w:r>
            <w:r>
              <w:rPr>
                <w:rFonts w:hint="eastAsia"/>
                <w:sz w:val="24"/>
                <w:vertAlign w:val="superscript"/>
                <w:lang w:val="en-US" w:eastAsia="zh-CN"/>
              </w:rPr>
              <w:t>3</w:t>
            </w:r>
            <w:r>
              <w:rPr>
                <w:rFonts w:hint="eastAsia"/>
                <w:sz w:val="24"/>
                <w:lang w:val="en-US" w:eastAsia="zh-CN"/>
              </w:rPr>
              <w:t>/h；选用耐硫化氢浸渍改性颗粒活性炭，碘吸附值≥800 mg/g；炭层厚度0.4 m；空塔流速0.45 m/s；废气停留时间≥0.8s；活性炭装填总量约1200 kg；动态吸附容量按10%计；结合废气污染物负荷，活性炭最大更换周期为90天。</w:t>
            </w:r>
          </w:p>
          <w:p w14:paraId="34B3081D">
            <w:pPr>
              <w:spacing w:line="360" w:lineRule="auto"/>
              <w:ind w:firstLine="480" w:firstLineChars="200"/>
              <w:rPr>
                <w:rFonts w:hint="eastAsia" w:eastAsia="宋体"/>
                <w:sz w:val="24"/>
                <w:lang w:val="en-US" w:eastAsia="zh-CN"/>
              </w:rPr>
            </w:pPr>
            <w:r>
              <w:rPr>
                <w:rFonts w:hint="eastAsia"/>
                <w:sz w:val="24"/>
              </w:rPr>
              <w:t>本项目恶臭气体产生及排放情况见下表。</w:t>
            </w:r>
          </w:p>
          <w:p w14:paraId="5CA7A823">
            <w:pPr>
              <w:ind w:firstLine="482" w:firstLineChars="200"/>
              <w:jc w:val="center"/>
              <w:rPr>
                <w:rFonts w:hint="eastAsia" w:ascii="宋体" w:hAnsi="宋体" w:eastAsia="宋体" w:cs="宋体"/>
                <w:b/>
                <w:bCs/>
                <w:sz w:val="24"/>
              </w:rPr>
            </w:pPr>
            <w:r>
              <w:rPr>
                <w:rFonts w:hint="eastAsia" w:ascii="宋体" w:hAnsi="宋体" w:eastAsia="宋体" w:cs="宋体"/>
                <w:b/>
                <w:bCs/>
                <w:sz w:val="24"/>
              </w:rPr>
              <w:t>表</w:t>
            </w:r>
            <w:r>
              <w:rPr>
                <w:rFonts w:hint="eastAsia" w:ascii="宋体" w:hAnsi="宋体" w:cs="宋体"/>
                <w:b/>
                <w:bCs/>
                <w:sz w:val="24"/>
                <w:lang w:val="en-US" w:eastAsia="zh-CN"/>
              </w:rPr>
              <w:t>4-3</w:t>
            </w:r>
            <w:r>
              <w:rPr>
                <w:rFonts w:hint="eastAsia" w:ascii="宋体" w:hAnsi="宋体" w:eastAsia="宋体" w:cs="宋体"/>
                <w:b/>
                <w:bCs/>
                <w:sz w:val="24"/>
              </w:rPr>
              <w:t xml:space="preserve">    本项目恶臭气体产生及排放情况一览表</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662"/>
              <w:gridCol w:w="760"/>
              <w:gridCol w:w="858"/>
              <w:gridCol w:w="986"/>
              <w:gridCol w:w="1184"/>
              <w:gridCol w:w="858"/>
              <w:gridCol w:w="988"/>
              <w:gridCol w:w="1184"/>
            </w:tblGrid>
            <w:tr w14:paraId="564A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491" w:type="pct"/>
                  <w:vMerge w:val="restart"/>
                  <w:vAlign w:val="center"/>
                </w:tcPr>
                <w:p w14:paraId="26EA32C3">
                  <w:pPr>
                    <w:pStyle w:val="56"/>
                    <w:rPr>
                      <w:rFonts w:hint="default" w:cs="Calibri" w:asciiTheme="minorAscii" w:hAnsiTheme="minorAscii"/>
                      <w:color w:val="auto"/>
                      <w:sz w:val="21"/>
                      <w:szCs w:val="21"/>
                    </w:rPr>
                  </w:pPr>
                  <w:r>
                    <w:rPr>
                      <w:rFonts w:hint="default" w:cs="Calibri" w:asciiTheme="minorAscii" w:hAnsiTheme="minorAscii"/>
                      <w:color w:val="auto"/>
                      <w:sz w:val="21"/>
                      <w:szCs w:val="21"/>
                    </w:rPr>
                    <w:t>排放形式</w:t>
                  </w:r>
                </w:p>
              </w:tc>
              <w:tc>
                <w:tcPr>
                  <w:tcW w:w="399" w:type="pct"/>
                  <w:vAlign w:val="center"/>
                </w:tcPr>
                <w:p w14:paraId="01AA39D6">
                  <w:pPr>
                    <w:pStyle w:val="56"/>
                    <w:rPr>
                      <w:rFonts w:hint="default" w:cs="Calibri" w:asciiTheme="minorAscii" w:hAnsiTheme="minorAscii"/>
                      <w:color w:val="auto"/>
                      <w:sz w:val="21"/>
                      <w:szCs w:val="21"/>
                      <w:lang w:eastAsia="zh-CN"/>
                    </w:rPr>
                  </w:pPr>
                  <w:r>
                    <w:rPr>
                      <w:rFonts w:hint="default" w:cs="Calibri" w:asciiTheme="minorAscii" w:hAnsiTheme="minorAscii"/>
                      <w:color w:val="auto"/>
                      <w:sz w:val="21"/>
                      <w:szCs w:val="21"/>
                      <w:lang w:eastAsia="zh-CN"/>
                    </w:rPr>
                    <w:t>污染物</w:t>
                  </w:r>
                </w:p>
              </w:tc>
              <w:tc>
                <w:tcPr>
                  <w:tcW w:w="458" w:type="pct"/>
                  <w:vMerge w:val="restart"/>
                  <w:vAlign w:val="center"/>
                </w:tcPr>
                <w:p w14:paraId="7A7975CB">
                  <w:pPr>
                    <w:pStyle w:val="56"/>
                    <w:rPr>
                      <w:rFonts w:hint="default" w:cs="Calibri" w:asciiTheme="minorAscii" w:hAnsiTheme="minorAscii"/>
                      <w:color w:val="auto"/>
                      <w:sz w:val="21"/>
                      <w:szCs w:val="21"/>
                      <w:lang w:eastAsia="zh-CN"/>
                    </w:rPr>
                  </w:pPr>
                  <w:r>
                    <w:rPr>
                      <w:rFonts w:hint="default" w:cs="Calibri" w:asciiTheme="minorAscii" w:hAnsiTheme="minorAscii"/>
                      <w:color w:val="auto"/>
                      <w:sz w:val="21"/>
                      <w:szCs w:val="21"/>
                      <w:lang w:eastAsia="zh-CN"/>
                    </w:rPr>
                    <w:t>排气筒</w:t>
                  </w:r>
                </w:p>
              </w:tc>
              <w:tc>
                <w:tcPr>
                  <w:tcW w:w="517" w:type="pct"/>
                  <w:vAlign w:val="center"/>
                </w:tcPr>
                <w:p w14:paraId="3FAD36F2">
                  <w:pPr>
                    <w:pStyle w:val="56"/>
                    <w:rPr>
                      <w:rFonts w:hint="default" w:cs="Calibri" w:asciiTheme="minorAscii" w:hAnsiTheme="minorAscii"/>
                      <w:color w:val="auto"/>
                      <w:sz w:val="21"/>
                      <w:szCs w:val="21"/>
                      <w:lang w:eastAsia="zh-CN"/>
                    </w:rPr>
                  </w:pPr>
                  <w:r>
                    <w:rPr>
                      <w:rFonts w:hint="default" w:cs="Calibri" w:asciiTheme="minorAscii" w:hAnsiTheme="minorAscii"/>
                      <w:color w:val="auto"/>
                      <w:sz w:val="21"/>
                      <w:szCs w:val="21"/>
                      <w:lang w:eastAsia="zh-CN"/>
                    </w:rPr>
                    <w:t>产生量（t/a）</w:t>
                  </w:r>
                </w:p>
              </w:tc>
              <w:tc>
                <w:tcPr>
                  <w:tcW w:w="594" w:type="pct"/>
                  <w:vAlign w:val="center"/>
                </w:tcPr>
                <w:p w14:paraId="09CE3780">
                  <w:pPr>
                    <w:pStyle w:val="56"/>
                    <w:rPr>
                      <w:rFonts w:hint="default" w:cs="Calibri" w:asciiTheme="minorAscii" w:hAnsiTheme="minorAscii"/>
                      <w:color w:val="auto"/>
                      <w:sz w:val="21"/>
                      <w:szCs w:val="21"/>
                      <w:lang w:eastAsia="zh-CN"/>
                    </w:rPr>
                  </w:pPr>
                  <w:r>
                    <w:rPr>
                      <w:rFonts w:hint="default" w:cs="Calibri" w:asciiTheme="minorAscii" w:hAnsiTheme="minorAscii"/>
                      <w:color w:val="auto"/>
                      <w:sz w:val="21"/>
                      <w:szCs w:val="21"/>
                      <w:lang w:eastAsia="zh-CN"/>
                    </w:rPr>
                    <w:t>产生速率（kg/h）</w:t>
                  </w:r>
                </w:p>
              </w:tc>
              <w:tc>
                <w:tcPr>
                  <w:tcW w:w="713" w:type="pct"/>
                  <w:vAlign w:val="center"/>
                </w:tcPr>
                <w:p w14:paraId="6FE406D6">
                  <w:pPr>
                    <w:pStyle w:val="56"/>
                    <w:rPr>
                      <w:rFonts w:hint="default" w:cs="Calibri" w:asciiTheme="minorAscii" w:hAnsiTheme="minorAscii"/>
                      <w:color w:val="auto"/>
                      <w:sz w:val="21"/>
                      <w:szCs w:val="21"/>
                      <w:lang w:eastAsia="zh-CN"/>
                    </w:rPr>
                  </w:pPr>
                  <w:r>
                    <w:rPr>
                      <w:rFonts w:hint="default" w:cs="Calibri" w:asciiTheme="minorAscii" w:hAnsiTheme="minorAscii"/>
                      <w:color w:val="auto"/>
                      <w:sz w:val="21"/>
                      <w:szCs w:val="21"/>
                      <w:lang w:eastAsia="zh-CN"/>
                    </w:rPr>
                    <w:t>产生浓度（mg/m</w:t>
                  </w:r>
                  <w:r>
                    <w:rPr>
                      <w:rFonts w:hint="default" w:cs="Calibri" w:asciiTheme="minorAscii" w:hAnsiTheme="minorAscii"/>
                      <w:color w:val="auto"/>
                      <w:sz w:val="21"/>
                      <w:szCs w:val="21"/>
                      <w:vertAlign w:val="superscript"/>
                      <w:lang w:eastAsia="zh-CN"/>
                    </w:rPr>
                    <w:t>3</w:t>
                  </w:r>
                  <w:r>
                    <w:rPr>
                      <w:rFonts w:hint="default" w:cs="Calibri" w:asciiTheme="minorAscii" w:hAnsiTheme="minorAscii"/>
                      <w:color w:val="auto"/>
                      <w:sz w:val="21"/>
                      <w:szCs w:val="21"/>
                      <w:lang w:eastAsia="zh-CN"/>
                    </w:rPr>
                    <w:t>）</w:t>
                  </w:r>
                </w:p>
              </w:tc>
              <w:tc>
                <w:tcPr>
                  <w:tcW w:w="517" w:type="pct"/>
                  <w:vAlign w:val="center"/>
                </w:tcPr>
                <w:p w14:paraId="5A12E921">
                  <w:pPr>
                    <w:pStyle w:val="56"/>
                    <w:rPr>
                      <w:rFonts w:hint="default" w:cs="Calibri" w:asciiTheme="minorAscii" w:hAnsiTheme="minorAscii"/>
                      <w:color w:val="auto"/>
                      <w:sz w:val="21"/>
                      <w:szCs w:val="21"/>
                    </w:rPr>
                  </w:pPr>
                  <w:r>
                    <w:rPr>
                      <w:rFonts w:hint="default" w:cs="Calibri" w:asciiTheme="minorAscii" w:hAnsiTheme="minorAscii"/>
                      <w:color w:val="auto"/>
                      <w:sz w:val="21"/>
                      <w:szCs w:val="21"/>
                      <w:lang w:eastAsia="zh-CN"/>
                    </w:rPr>
                    <w:t>排放量（t/a）</w:t>
                  </w:r>
                </w:p>
              </w:tc>
              <w:tc>
                <w:tcPr>
                  <w:tcW w:w="595" w:type="pct"/>
                  <w:vAlign w:val="center"/>
                </w:tcPr>
                <w:p w14:paraId="4CA1B7C2">
                  <w:pPr>
                    <w:pStyle w:val="56"/>
                    <w:rPr>
                      <w:rFonts w:hint="default" w:cs="Calibri" w:asciiTheme="minorAscii" w:hAnsiTheme="minorAscii"/>
                      <w:color w:val="auto"/>
                      <w:sz w:val="21"/>
                      <w:szCs w:val="21"/>
                    </w:rPr>
                  </w:pPr>
                  <w:r>
                    <w:rPr>
                      <w:rFonts w:hint="default" w:cs="Calibri" w:asciiTheme="minorAscii" w:hAnsiTheme="minorAscii"/>
                      <w:color w:val="auto"/>
                      <w:sz w:val="21"/>
                      <w:szCs w:val="21"/>
                      <w:lang w:eastAsia="zh-CN"/>
                    </w:rPr>
                    <w:t>排放速率（kg/h）</w:t>
                  </w:r>
                </w:p>
              </w:tc>
              <w:tc>
                <w:tcPr>
                  <w:tcW w:w="713" w:type="pct"/>
                  <w:vAlign w:val="center"/>
                </w:tcPr>
                <w:p w14:paraId="7435DE14">
                  <w:pPr>
                    <w:pStyle w:val="56"/>
                    <w:rPr>
                      <w:rFonts w:hint="default" w:cs="Calibri" w:asciiTheme="minorAscii" w:hAnsiTheme="minorAscii"/>
                      <w:color w:val="auto"/>
                      <w:sz w:val="21"/>
                      <w:szCs w:val="21"/>
                    </w:rPr>
                  </w:pPr>
                  <w:r>
                    <w:rPr>
                      <w:rFonts w:hint="default" w:cs="Calibri" w:asciiTheme="minorAscii" w:hAnsiTheme="minorAscii"/>
                      <w:color w:val="auto"/>
                      <w:sz w:val="21"/>
                      <w:szCs w:val="21"/>
                      <w:lang w:eastAsia="zh-CN"/>
                    </w:rPr>
                    <w:t>排放浓度（mg/m</w:t>
                  </w:r>
                  <w:r>
                    <w:rPr>
                      <w:rFonts w:hint="default" w:cs="Calibri" w:asciiTheme="minorAscii" w:hAnsiTheme="minorAscii"/>
                      <w:color w:val="auto"/>
                      <w:sz w:val="21"/>
                      <w:szCs w:val="21"/>
                      <w:vertAlign w:val="superscript"/>
                      <w:lang w:eastAsia="zh-CN"/>
                    </w:rPr>
                    <w:t>3</w:t>
                  </w:r>
                  <w:r>
                    <w:rPr>
                      <w:rFonts w:hint="default" w:cs="Calibri" w:asciiTheme="minorAscii" w:hAnsiTheme="minorAscii"/>
                      <w:color w:val="auto"/>
                      <w:sz w:val="21"/>
                      <w:szCs w:val="21"/>
                      <w:lang w:eastAsia="zh-CN"/>
                    </w:rPr>
                    <w:t>）</w:t>
                  </w:r>
                </w:p>
              </w:tc>
            </w:tr>
            <w:tr w14:paraId="28E9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91" w:type="pct"/>
                  <w:vMerge w:val="restart"/>
                  <w:vAlign w:val="center"/>
                </w:tcPr>
                <w:p w14:paraId="4945F579">
                  <w:pPr>
                    <w:pStyle w:val="56"/>
                    <w:rPr>
                      <w:rFonts w:hint="default" w:cs="Calibri" w:asciiTheme="minorAscii" w:hAnsiTheme="minorAscii"/>
                      <w:color w:val="auto"/>
                      <w:sz w:val="21"/>
                      <w:szCs w:val="21"/>
                    </w:rPr>
                  </w:pPr>
                  <w:r>
                    <w:rPr>
                      <w:rFonts w:hint="default" w:cs="Calibri" w:asciiTheme="minorAscii" w:hAnsiTheme="minorAscii"/>
                      <w:color w:val="auto"/>
                      <w:sz w:val="21"/>
                      <w:szCs w:val="21"/>
                    </w:rPr>
                    <w:t>有组织排放</w:t>
                  </w:r>
                </w:p>
              </w:tc>
              <w:tc>
                <w:tcPr>
                  <w:tcW w:w="399" w:type="pct"/>
                  <w:vAlign w:val="center"/>
                </w:tcPr>
                <w:p w14:paraId="1BE6FA8D">
                  <w:pPr>
                    <w:pStyle w:val="56"/>
                    <w:rPr>
                      <w:rFonts w:hint="default" w:cs="Calibri" w:asciiTheme="minorAscii" w:hAnsiTheme="minorAscii"/>
                      <w:color w:val="auto"/>
                      <w:sz w:val="21"/>
                      <w:szCs w:val="21"/>
                      <w:lang w:eastAsia="zh-CN"/>
                    </w:rPr>
                  </w:pPr>
                  <w:r>
                    <w:rPr>
                      <w:rFonts w:hint="default" w:cs="Calibri" w:asciiTheme="minorAscii" w:hAnsiTheme="minorAscii"/>
                      <w:color w:val="auto"/>
                      <w:sz w:val="21"/>
                      <w:szCs w:val="21"/>
                      <w:lang w:eastAsia="zh-CN"/>
                    </w:rPr>
                    <w:t>H</w:t>
                  </w:r>
                  <w:r>
                    <w:rPr>
                      <w:rFonts w:hint="default" w:cs="Calibri" w:asciiTheme="minorAscii" w:hAnsiTheme="minorAscii"/>
                      <w:color w:val="auto"/>
                      <w:sz w:val="21"/>
                      <w:szCs w:val="21"/>
                      <w:vertAlign w:val="subscript"/>
                      <w:lang w:eastAsia="zh-CN"/>
                    </w:rPr>
                    <w:t>2</w:t>
                  </w:r>
                  <w:r>
                    <w:rPr>
                      <w:rFonts w:hint="default" w:cs="Calibri" w:asciiTheme="minorAscii" w:hAnsiTheme="minorAscii"/>
                      <w:color w:val="auto"/>
                      <w:sz w:val="21"/>
                      <w:szCs w:val="21"/>
                      <w:lang w:eastAsia="zh-CN"/>
                    </w:rPr>
                    <w:t>S</w:t>
                  </w:r>
                </w:p>
              </w:tc>
              <w:tc>
                <w:tcPr>
                  <w:tcW w:w="458" w:type="pct"/>
                  <w:vMerge w:val="restart"/>
                  <w:vAlign w:val="center"/>
                </w:tcPr>
                <w:p w14:paraId="0726B3AA">
                  <w:pPr>
                    <w:pStyle w:val="56"/>
                    <w:rPr>
                      <w:rFonts w:hint="default" w:cs="Calibri" w:asciiTheme="minorAscii" w:hAnsiTheme="minorAscii"/>
                      <w:color w:val="auto"/>
                      <w:sz w:val="21"/>
                      <w:szCs w:val="21"/>
                      <w:lang w:eastAsia="zh-CN"/>
                    </w:rPr>
                  </w:pPr>
                  <w:r>
                    <w:rPr>
                      <w:rFonts w:hint="default" w:cs="Calibri" w:asciiTheme="minorAscii" w:hAnsiTheme="minorAscii"/>
                      <w:color w:val="auto"/>
                      <w:sz w:val="21"/>
                      <w:szCs w:val="21"/>
                      <w:lang w:eastAsia="zh-CN"/>
                    </w:rPr>
                    <w:t>DA001</w:t>
                  </w:r>
                </w:p>
              </w:tc>
              <w:tc>
                <w:tcPr>
                  <w:tcW w:w="517" w:type="pct"/>
                  <w:vAlign w:val="center"/>
                </w:tcPr>
                <w:p w14:paraId="72C73C53">
                  <w:pPr>
                    <w:pStyle w:val="56"/>
                    <w:rPr>
                      <w:rFonts w:hint="default" w:cs="Calibri" w:asciiTheme="minorAscii" w:hAnsiTheme="minorAscii"/>
                      <w:color w:val="auto"/>
                      <w:sz w:val="21"/>
                      <w:szCs w:val="21"/>
                      <w:lang w:val="en-US" w:eastAsia="zh-CN"/>
                    </w:rPr>
                  </w:pPr>
                  <w:r>
                    <w:rPr>
                      <w:rFonts w:hint="eastAsia" w:cs="Calibri" w:asciiTheme="minorAscii" w:hAnsiTheme="minorAscii"/>
                      <w:color w:val="auto"/>
                      <w:sz w:val="21"/>
                      <w:szCs w:val="21"/>
                      <w:lang w:val="en-US" w:eastAsia="zh-CN"/>
                    </w:rPr>
                    <w:t>0.447</w:t>
                  </w:r>
                </w:p>
              </w:tc>
              <w:tc>
                <w:tcPr>
                  <w:tcW w:w="594" w:type="pct"/>
                  <w:vAlign w:val="center"/>
                </w:tcPr>
                <w:p w14:paraId="60622580">
                  <w:pPr>
                    <w:pStyle w:val="56"/>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0.</w:t>
                  </w:r>
                  <w:r>
                    <w:rPr>
                      <w:rFonts w:hint="eastAsia" w:cs="Calibri" w:asciiTheme="minorAscii" w:hAnsiTheme="minorAscii"/>
                      <w:color w:val="auto"/>
                      <w:sz w:val="21"/>
                      <w:szCs w:val="21"/>
                      <w:lang w:val="en-US" w:eastAsia="zh-CN"/>
                    </w:rPr>
                    <w:t>0</w:t>
                  </w:r>
                  <w:r>
                    <w:rPr>
                      <w:rFonts w:hint="default" w:cs="Calibri" w:asciiTheme="minorAscii" w:hAnsiTheme="minorAscii"/>
                      <w:color w:val="auto"/>
                      <w:sz w:val="21"/>
                      <w:szCs w:val="21"/>
                      <w:lang w:val="en-US" w:eastAsia="zh-CN"/>
                    </w:rPr>
                    <w:t>51</w:t>
                  </w:r>
                </w:p>
              </w:tc>
              <w:tc>
                <w:tcPr>
                  <w:tcW w:w="713" w:type="pct"/>
                  <w:vAlign w:val="center"/>
                </w:tcPr>
                <w:p w14:paraId="30458853">
                  <w:pPr>
                    <w:pStyle w:val="56"/>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5</w:t>
                  </w:r>
                  <w:r>
                    <w:rPr>
                      <w:rFonts w:hint="eastAsia" w:cs="Calibri" w:asciiTheme="minorAscii" w:hAnsiTheme="minorAscii"/>
                      <w:color w:val="auto"/>
                      <w:sz w:val="21"/>
                      <w:szCs w:val="21"/>
                      <w:lang w:val="en-US" w:eastAsia="zh-CN"/>
                    </w:rPr>
                    <w:t>.</w:t>
                  </w:r>
                  <w:r>
                    <w:rPr>
                      <w:rFonts w:hint="default" w:cs="Calibri" w:asciiTheme="minorAscii" w:hAnsiTheme="minorAscii"/>
                      <w:color w:val="auto"/>
                      <w:sz w:val="21"/>
                      <w:szCs w:val="21"/>
                      <w:lang w:val="en-US" w:eastAsia="zh-CN"/>
                    </w:rPr>
                    <w:t>1</w:t>
                  </w:r>
                  <w:r>
                    <w:rPr>
                      <w:rFonts w:hint="eastAsia" w:cs="Calibri" w:asciiTheme="minorAscii" w:hAnsiTheme="minorAscii"/>
                      <w:color w:val="auto"/>
                      <w:sz w:val="21"/>
                      <w:szCs w:val="21"/>
                      <w:lang w:val="en-US" w:eastAsia="zh-CN"/>
                    </w:rPr>
                    <w:t>00</w:t>
                  </w:r>
                </w:p>
              </w:tc>
              <w:tc>
                <w:tcPr>
                  <w:tcW w:w="517" w:type="pct"/>
                  <w:vAlign w:val="center"/>
                </w:tcPr>
                <w:p w14:paraId="768BB669">
                  <w:pPr>
                    <w:pStyle w:val="56"/>
                    <w:rPr>
                      <w:rFonts w:hint="default" w:cs="Calibri" w:asciiTheme="minorAscii" w:hAnsiTheme="minorAscii"/>
                      <w:color w:val="auto"/>
                      <w:sz w:val="21"/>
                      <w:szCs w:val="21"/>
                      <w:lang w:val="en-US" w:eastAsia="zh-CN"/>
                    </w:rPr>
                  </w:pPr>
                  <w:r>
                    <w:rPr>
                      <w:rFonts w:hint="eastAsia" w:cs="Calibri" w:asciiTheme="minorAscii" w:hAnsiTheme="minorAscii"/>
                      <w:color w:val="auto"/>
                      <w:sz w:val="21"/>
                      <w:szCs w:val="21"/>
                      <w:lang w:val="en-US" w:eastAsia="zh-CN"/>
                    </w:rPr>
                    <w:t>0.045</w:t>
                  </w:r>
                </w:p>
              </w:tc>
              <w:tc>
                <w:tcPr>
                  <w:tcW w:w="595" w:type="pct"/>
                  <w:vAlign w:val="center"/>
                </w:tcPr>
                <w:p w14:paraId="68E1C750">
                  <w:pPr>
                    <w:pStyle w:val="56"/>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0.0</w:t>
                  </w:r>
                  <w:r>
                    <w:rPr>
                      <w:rFonts w:hint="eastAsia" w:cs="Calibri" w:asciiTheme="minorAscii" w:hAnsiTheme="minorAscii"/>
                      <w:color w:val="auto"/>
                      <w:sz w:val="21"/>
                      <w:szCs w:val="21"/>
                      <w:lang w:val="en-US" w:eastAsia="zh-CN"/>
                    </w:rPr>
                    <w:t>05</w:t>
                  </w:r>
                </w:p>
              </w:tc>
              <w:tc>
                <w:tcPr>
                  <w:tcW w:w="713" w:type="pct"/>
                  <w:vAlign w:val="center"/>
                </w:tcPr>
                <w:p w14:paraId="38A83AEE">
                  <w:pPr>
                    <w:pStyle w:val="56"/>
                    <w:rPr>
                      <w:rFonts w:hint="default" w:cs="Calibri" w:asciiTheme="minorAscii" w:hAnsiTheme="minorAscii"/>
                      <w:color w:val="auto"/>
                      <w:sz w:val="21"/>
                      <w:szCs w:val="21"/>
                      <w:lang w:val="en-US" w:eastAsia="zh-CN"/>
                    </w:rPr>
                  </w:pPr>
                  <w:r>
                    <w:rPr>
                      <w:rFonts w:hint="eastAsia" w:cs="Calibri" w:asciiTheme="minorAscii" w:hAnsiTheme="minorAscii"/>
                      <w:color w:val="auto"/>
                      <w:sz w:val="21"/>
                      <w:szCs w:val="21"/>
                      <w:lang w:val="en-US" w:eastAsia="zh-CN"/>
                    </w:rPr>
                    <w:t>0.510</w:t>
                  </w:r>
                </w:p>
              </w:tc>
            </w:tr>
            <w:tr w14:paraId="7482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1" w:type="pct"/>
                  <w:vMerge w:val="continue"/>
                  <w:vAlign w:val="center"/>
                </w:tcPr>
                <w:p w14:paraId="2115DDBB">
                  <w:pPr>
                    <w:pStyle w:val="56"/>
                    <w:rPr>
                      <w:rFonts w:hint="default" w:cs="Calibri" w:asciiTheme="minorAscii" w:hAnsiTheme="minorAscii"/>
                      <w:color w:val="auto"/>
                      <w:sz w:val="21"/>
                      <w:szCs w:val="21"/>
                    </w:rPr>
                  </w:pPr>
                </w:p>
              </w:tc>
              <w:tc>
                <w:tcPr>
                  <w:tcW w:w="399" w:type="pct"/>
                  <w:vAlign w:val="center"/>
                </w:tcPr>
                <w:p w14:paraId="5EE800D6">
                  <w:pPr>
                    <w:pStyle w:val="56"/>
                    <w:rPr>
                      <w:rFonts w:hint="default" w:cs="Calibri" w:asciiTheme="minorAscii" w:hAnsiTheme="minorAscii"/>
                      <w:color w:val="auto"/>
                      <w:sz w:val="21"/>
                      <w:szCs w:val="21"/>
                      <w:lang w:eastAsia="zh-CN"/>
                    </w:rPr>
                  </w:pPr>
                  <w:r>
                    <w:rPr>
                      <w:rFonts w:hint="eastAsia" w:cs="Calibri" w:asciiTheme="minorAscii" w:hAnsiTheme="minorAscii"/>
                      <w:color w:val="auto"/>
                      <w:sz w:val="21"/>
                      <w:szCs w:val="21"/>
                      <w:lang w:eastAsia="zh-CN"/>
                    </w:rPr>
                    <w:t>NH</w:t>
                  </w:r>
                  <w:r>
                    <w:rPr>
                      <w:rFonts w:hint="eastAsia" w:cs="Calibri" w:asciiTheme="minorAscii" w:hAnsiTheme="minorAscii"/>
                      <w:color w:val="auto"/>
                      <w:sz w:val="21"/>
                      <w:szCs w:val="21"/>
                      <w:vertAlign w:val="subscript"/>
                      <w:lang w:eastAsia="zh-CN"/>
                    </w:rPr>
                    <w:t>3</w:t>
                  </w:r>
                </w:p>
              </w:tc>
              <w:tc>
                <w:tcPr>
                  <w:tcW w:w="458" w:type="pct"/>
                  <w:vMerge w:val="continue"/>
                  <w:vAlign w:val="center"/>
                </w:tcPr>
                <w:p w14:paraId="0574EA89">
                  <w:pPr>
                    <w:pStyle w:val="56"/>
                    <w:rPr>
                      <w:rFonts w:hint="default" w:cs="Calibri" w:asciiTheme="minorAscii" w:hAnsiTheme="minorAscii"/>
                      <w:color w:val="auto"/>
                      <w:sz w:val="21"/>
                      <w:szCs w:val="21"/>
                      <w:lang w:eastAsia="zh-CN"/>
                    </w:rPr>
                  </w:pPr>
                </w:p>
              </w:tc>
              <w:tc>
                <w:tcPr>
                  <w:tcW w:w="517" w:type="pct"/>
                  <w:vAlign w:val="center"/>
                </w:tcPr>
                <w:p w14:paraId="7156469C">
                  <w:pPr>
                    <w:pStyle w:val="56"/>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0.</w:t>
                  </w:r>
                  <w:r>
                    <w:rPr>
                      <w:rFonts w:hint="eastAsia" w:cs="Calibri" w:asciiTheme="minorAscii" w:hAnsiTheme="minorAscii"/>
                      <w:color w:val="auto"/>
                      <w:sz w:val="21"/>
                      <w:szCs w:val="21"/>
                      <w:lang w:val="en-US" w:eastAsia="zh-CN"/>
                    </w:rPr>
                    <w:t>372</w:t>
                  </w:r>
                </w:p>
              </w:tc>
              <w:tc>
                <w:tcPr>
                  <w:tcW w:w="594" w:type="pct"/>
                  <w:vAlign w:val="center"/>
                </w:tcPr>
                <w:p w14:paraId="15DFBB65">
                  <w:pPr>
                    <w:pStyle w:val="56"/>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0.042</w:t>
                  </w:r>
                </w:p>
              </w:tc>
              <w:tc>
                <w:tcPr>
                  <w:tcW w:w="713" w:type="pct"/>
                  <w:vAlign w:val="center"/>
                </w:tcPr>
                <w:p w14:paraId="4324DABF">
                  <w:pPr>
                    <w:pStyle w:val="56"/>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4.2</w:t>
                  </w:r>
                  <w:r>
                    <w:rPr>
                      <w:rFonts w:hint="eastAsia" w:cs="Calibri" w:asciiTheme="minorAscii" w:hAnsiTheme="minorAscii"/>
                      <w:color w:val="auto"/>
                      <w:sz w:val="21"/>
                      <w:szCs w:val="21"/>
                      <w:lang w:val="en-US" w:eastAsia="zh-CN"/>
                    </w:rPr>
                    <w:t>00</w:t>
                  </w:r>
                </w:p>
              </w:tc>
              <w:tc>
                <w:tcPr>
                  <w:tcW w:w="517" w:type="pct"/>
                  <w:vAlign w:val="center"/>
                </w:tcPr>
                <w:p w14:paraId="77E8AF0B">
                  <w:pPr>
                    <w:pStyle w:val="56"/>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0.037</w:t>
                  </w:r>
                </w:p>
              </w:tc>
              <w:tc>
                <w:tcPr>
                  <w:tcW w:w="595" w:type="pct"/>
                  <w:vAlign w:val="center"/>
                </w:tcPr>
                <w:p w14:paraId="34903B26">
                  <w:pPr>
                    <w:pStyle w:val="56"/>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0.004</w:t>
                  </w:r>
                </w:p>
              </w:tc>
              <w:tc>
                <w:tcPr>
                  <w:tcW w:w="713" w:type="pct"/>
                  <w:vAlign w:val="center"/>
                </w:tcPr>
                <w:p w14:paraId="1C39E7EA">
                  <w:pPr>
                    <w:pStyle w:val="56"/>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0.4</w:t>
                  </w:r>
                  <w:r>
                    <w:rPr>
                      <w:rFonts w:hint="eastAsia" w:cs="Calibri" w:asciiTheme="minorAscii" w:hAnsiTheme="minorAscii"/>
                      <w:color w:val="auto"/>
                      <w:sz w:val="21"/>
                      <w:szCs w:val="21"/>
                      <w:lang w:val="en-US" w:eastAsia="zh-CN"/>
                    </w:rPr>
                    <w:t>30</w:t>
                  </w:r>
                </w:p>
              </w:tc>
            </w:tr>
            <w:tr w14:paraId="2E82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1" w:type="pct"/>
                  <w:vMerge w:val="restart"/>
                  <w:vAlign w:val="center"/>
                </w:tcPr>
                <w:p w14:paraId="56BDC0C2">
                  <w:pPr>
                    <w:pStyle w:val="56"/>
                    <w:rPr>
                      <w:rFonts w:hint="default" w:cs="Calibri" w:asciiTheme="minorAscii" w:hAnsiTheme="minorAscii"/>
                      <w:color w:val="auto"/>
                      <w:sz w:val="21"/>
                      <w:szCs w:val="21"/>
                    </w:rPr>
                  </w:pPr>
                  <w:r>
                    <w:rPr>
                      <w:rFonts w:hint="default" w:cs="Calibri" w:asciiTheme="minorAscii" w:hAnsiTheme="minorAscii"/>
                      <w:color w:val="auto"/>
                      <w:sz w:val="21"/>
                      <w:szCs w:val="21"/>
                    </w:rPr>
                    <w:t>无组织排放</w:t>
                  </w:r>
                </w:p>
              </w:tc>
              <w:tc>
                <w:tcPr>
                  <w:tcW w:w="399" w:type="pct"/>
                  <w:vAlign w:val="center"/>
                </w:tcPr>
                <w:p w14:paraId="4898B635">
                  <w:pPr>
                    <w:pStyle w:val="56"/>
                    <w:rPr>
                      <w:rFonts w:hint="default" w:cs="Calibri" w:asciiTheme="minorAscii" w:hAnsiTheme="minorAscii"/>
                      <w:color w:val="auto"/>
                      <w:sz w:val="21"/>
                      <w:szCs w:val="21"/>
                    </w:rPr>
                  </w:pPr>
                  <w:r>
                    <w:rPr>
                      <w:rFonts w:hint="default" w:cs="Calibri" w:asciiTheme="minorAscii" w:hAnsiTheme="minorAscii"/>
                      <w:color w:val="auto"/>
                      <w:sz w:val="21"/>
                      <w:szCs w:val="21"/>
                      <w:lang w:eastAsia="zh-CN"/>
                    </w:rPr>
                    <w:t>H</w:t>
                  </w:r>
                  <w:r>
                    <w:rPr>
                      <w:rFonts w:hint="default" w:cs="Calibri" w:asciiTheme="minorAscii" w:hAnsiTheme="minorAscii"/>
                      <w:color w:val="auto"/>
                      <w:sz w:val="21"/>
                      <w:szCs w:val="21"/>
                      <w:vertAlign w:val="subscript"/>
                      <w:lang w:eastAsia="zh-CN"/>
                    </w:rPr>
                    <w:t>2</w:t>
                  </w:r>
                  <w:r>
                    <w:rPr>
                      <w:rFonts w:hint="default" w:cs="Calibri" w:asciiTheme="minorAscii" w:hAnsiTheme="minorAscii"/>
                      <w:color w:val="auto"/>
                      <w:sz w:val="21"/>
                      <w:szCs w:val="21"/>
                      <w:lang w:eastAsia="zh-CN"/>
                    </w:rPr>
                    <w:t>S</w:t>
                  </w:r>
                </w:p>
              </w:tc>
              <w:tc>
                <w:tcPr>
                  <w:tcW w:w="458" w:type="pct"/>
                  <w:vAlign w:val="center"/>
                </w:tcPr>
                <w:p w14:paraId="2592E007">
                  <w:pPr>
                    <w:pStyle w:val="56"/>
                    <w:rPr>
                      <w:rFonts w:hint="default" w:cs="Calibri" w:asciiTheme="minorAscii" w:hAnsiTheme="minorAscii"/>
                      <w:color w:val="auto"/>
                      <w:sz w:val="21"/>
                      <w:szCs w:val="21"/>
                      <w:lang w:eastAsia="zh-CN"/>
                    </w:rPr>
                  </w:pPr>
                  <w:r>
                    <w:rPr>
                      <w:rFonts w:hint="default" w:cs="Calibri" w:asciiTheme="minorAscii" w:hAnsiTheme="minorAscii"/>
                      <w:color w:val="auto"/>
                      <w:sz w:val="21"/>
                      <w:szCs w:val="21"/>
                      <w:lang w:eastAsia="zh-CN"/>
                    </w:rPr>
                    <w:t>/</w:t>
                  </w:r>
                </w:p>
              </w:tc>
              <w:tc>
                <w:tcPr>
                  <w:tcW w:w="517" w:type="pct"/>
                  <w:vAlign w:val="center"/>
                </w:tcPr>
                <w:p w14:paraId="42D68283">
                  <w:pPr>
                    <w:pStyle w:val="56"/>
                    <w:rPr>
                      <w:rFonts w:hint="default" w:eastAsia="宋体" w:asciiTheme="minorAscii" w:hAnsiTheme="minorAscii"/>
                      <w:color w:val="auto"/>
                      <w:sz w:val="21"/>
                      <w:szCs w:val="21"/>
                      <w:lang w:val="en-US" w:eastAsia="zh-CN"/>
                    </w:rPr>
                  </w:pPr>
                  <w:r>
                    <w:rPr>
                      <w:rFonts w:hint="default" w:asciiTheme="minorAscii" w:hAnsiTheme="minorAscii"/>
                      <w:color w:val="auto"/>
                      <w:sz w:val="21"/>
                      <w:szCs w:val="21"/>
                      <w:lang w:val="en-US" w:eastAsia="zh-CN"/>
                    </w:rPr>
                    <w:t>0.079</w:t>
                  </w:r>
                </w:p>
              </w:tc>
              <w:tc>
                <w:tcPr>
                  <w:tcW w:w="594" w:type="pct"/>
                  <w:vAlign w:val="center"/>
                </w:tcPr>
                <w:p w14:paraId="0DE43BF3">
                  <w:pPr>
                    <w:pStyle w:val="56"/>
                    <w:ind w:firstLine="0" w:firstLineChars="0"/>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0.009</w:t>
                  </w:r>
                </w:p>
              </w:tc>
              <w:tc>
                <w:tcPr>
                  <w:tcW w:w="713" w:type="pct"/>
                  <w:vAlign w:val="center"/>
                </w:tcPr>
                <w:p w14:paraId="07DCA08A">
                  <w:pPr>
                    <w:pStyle w:val="56"/>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w:t>
                  </w:r>
                </w:p>
              </w:tc>
              <w:tc>
                <w:tcPr>
                  <w:tcW w:w="517" w:type="pct"/>
                  <w:vAlign w:val="center"/>
                </w:tcPr>
                <w:p w14:paraId="360777A5">
                  <w:pPr>
                    <w:pStyle w:val="56"/>
                    <w:ind w:firstLine="0" w:firstLineChars="0"/>
                    <w:rPr>
                      <w:rFonts w:hint="default" w:cs="Calibri" w:asciiTheme="minorAscii" w:hAnsiTheme="minorAscii"/>
                      <w:color w:val="auto"/>
                      <w:sz w:val="21"/>
                      <w:szCs w:val="21"/>
                    </w:rPr>
                  </w:pPr>
                  <w:r>
                    <w:rPr>
                      <w:rFonts w:hint="default" w:asciiTheme="minorAscii" w:hAnsiTheme="minorAscii"/>
                      <w:color w:val="auto"/>
                      <w:sz w:val="21"/>
                      <w:szCs w:val="21"/>
                      <w:lang w:val="en-US" w:eastAsia="zh-CN"/>
                    </w:rPr>
                    <w:t>0.079</w:t>
                  </w:r>
                </w:p>
              </w:tc>
              <w:tc>
                <w:tcPr>
                  <w:tcW w:w="595" w:type="pct"/>
                  <w:vAlign w:val="center"/>
                </w:tcPr>
                <w:p w14:paraId="5785C08B">
                  <w:pPr>
                    <w:pStyle w:val="56"/>
                    <w:ind w:firstLine="0" w:firstLineChars="0"/>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0.009</w:t>
                  </w:r>
                </w:p>
              </w:tc>
              <w:tc>
                <w:tcPr>
                  <w:tcW w:w="713" w:type="pct"/>
                  <w:vAlign w:val="center"/>
                </w:tcPr>
                <w:p w14:paraId="413878E6">
                  <w:pPr>
                    <w:pStyle w:val="56"/>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w:t>
                  </w:r>
                </w:p>
              </w:tc>
            </w:tr>
            <w:tr w14:paraId="01338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continue"/>
                  <w:vAlign w:val="center"/>
                </w:tcPr>
                <w:p w14:paraId="718AFEFA">
                  <w:pPr>
                    <w:pStyle w:val="56"/>
                    <w:rPr>
                      <w:rFonts w:hint="default" w:cs="Calibri" w:asciiTheme="minorAscii" w:hAnsiTheme="minorAscii"/>
                      <w:color w:val="auto"/>
                      <w:sz w:val="21"/>
                      <w:szCs w:val="21"/>
                    </w:rPr>
                  </w:pPr>
                </w:p>
              </w:tc>
              <w:tc>
                <w:tcPr>
                  <w:tcW w:w="399" w:type="pct"/>
                  <w:vAlign w:val="center"/>
                </w:tcPr>
                <w:p w14:paraId="7C64BFDE">
                  <w:pPr>
                    <w:pStyle w:val="56"/>
                    <w:rPr>
                      <w:rFonts w:hint="default" w:cs="Calibri" w:asciiTheme="minorAscii" w:hAnsiTheme="minorAscii"/>
                      <w:color w:val="auto"/>
                      <w:sz w:val="21"/>
                      <w:szCs w:val="21"/>
                    </w:rPr>
                  </w:pPr>
                  <w:r>
                    <w:rPr>
                      <w:rFonts w:hint="eastAsia" w:cs="Calibri" w:asciiTheme="minorAscii" w:hAnsiTheme="minorAscii"/>
                      <w:color w:val="auto"/>
                      <w:sz w:val="21"/>
                      <w:szCs w:val="21"/>
                      <w:lang w:eastAsia="zh-CN"/>
                    </w:rPr>
                    <w:t>NH</w:t>
                  </w:r>
                  <w:r>
                    <w:rPr>
                      <w:rFonts w:hint="eastAsia" w:cs="Calibri" w:asciiTheme="minorAscii" w:hAnsiTheme="minorAscii"/>
                      <w:color w:val="auto"/>
                      <w:sz w:val="21"/>
                      <w:szCs w:val="21"/>
                      <w:vertAlign w:val="subscript"/>
                      <w:lang w:eastAsia="zh-CN"/>
                    </w:rPr>
                    <w:t>3</w:t>
                  </w:r>
                </w:p>
              </w:tc>
              <w:tc>
                <w:tcPr>
                  <w:tcW w:w="458" w:type="pct"/>
                  <w:vAlign w:val="center"/>
                </w:tcPr>
                <w:p w14:paraId="40219C03">
                  <w:pPr>
                    <w:pStyle w:val="56"/>
                    <w:rPr>
                      <w:rFonts w:hint="default" w:cs="Calibri" w:asciiTheme="minorAscii" w:hAnsiTheme="minorAscii"/>
                      <w:color w:val="auto"/>
                      <w:sz w:val="21"/>
                      <w:szCs w:val="21"/>
                      <w:lang w:eastAsia="zh-CN"/>
                    </w:rPr>
                  </w:pPr>
                  <w:r>
                    <w:rPr>
                      <w:rFonts w:hint="default" w:cs="Calibri" w:asciiTheme="minorAscii" w:hAnsiTheme="minorAscii"/>
                      <w:color w:val="auto"/>
                      <w:sz w:val="21"/>
                      <w:szCs w:val="21"/>
                      <w:lang w:eastAsia="zh-CN"/>
                    </w:rPr>
                    <w:t>/</w:t>
                  </w:r>
                </w:p>
              </w:tc>
              <w:tc>
                <w:tcPr>
                  <w:tcW w:w="517" w:type="pct"/>
                  <w:vAlign w:val="center"/>
                </w:tcPr>
                <w:p w14:paraId="1CA8D742">
                  <w:pPr>
                    <w:pStyle w:val="56"/>
                    <w:rPr>
                      <w:rFonts w:hint="default" w:eastAsia="宋体" w:asciiTheme="minorAscii" w:hAnsiTheme="minorAscii"/>
                      <w:color w:val="auto"/>
                      <w:sz w:val="21"/>
                      <w:szCs w:val="21"/>
                      <w:lang w:val="en-US" w:eastAsia="zh-CN"/>
                    </w:rPr>
                  </w:pPr>
                  <w:r>
                    <w:rPr>
                      <w:rFonts w:hint="default" w:asciiTheme="minorAscii" w:hAnsiTheme="minorAscii"/>
                      <w:color w:val="auto"/>
                      <w:sz w:val="21"/>
                      <w:szCs w:val="21"/>
                      <w:lang w:val="en-US" w:eastAsia="zh-CN"/>
                    </w:rPr>
                    <w:t>0.0</w:t>
                  </w:r>
                  <w:r>
                    <w:rPr>
                      <w:rFonts w:hint="eastAsia" w:asciiTheme="minorAscii" w:hAnsiTheme="minorAscii"/>
                      <w:color w:val="auto"/>
                      <w:sz w:val="21"/>
                      <w:szCs w:val="21"/>
                      <w:lang w:val="en-US" w:eastAsia="zh-CN"/>
                    </w:rPr>
                    <w:t>66</w:t>
                  </w:r>
                </w:p>
              </w:tc>
              <w:tc>
                <w:tcPr>
                  <w:tcW w:w="594" w:type="pct"/>
                  <w:vAlign w:val="center"/>
                </w:tcPr>
                <w:p w14:paraId="7760CE2E">
                  <w:pPr>
                    <w:pStyle w:val="56"/>
                    <w:ind w:firstLine="0" w:firstLineChars="0"/>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0.008</w:t>
                  </w:r>
                </w:p>
              </w:tc>
              <w:tc>
                <w:tcPr>
                  <w:tcW w:w="713" w:type="pct"/>
                  <w:vAlign w:val="center"/>
                </w:tcPr>
                <w:p w14:paraId="57D2BCB6">
                  <w:pPr>
                    <w:pStyle w:val="56"/>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w:t>
                  </w:r>
                </w:p>
              </w:tc>
              <w:tc>
                <w:tcPr>
                  <w:tcW w:w="517" w:type="pct"/>
                  <w:vAlign w:val="center"/>
                </w:tcPr>
                <w:p w14:paraId="4A9E71A7">
                  <w:pPr>
                    <w:pStyle w:val="56"/>
                    <w:ind w:firstLine="0" w:firstLineChars="0"/>
                    <w:rPr>
                      <w:rFonts w:hint="default" w:cs="Calibri" w:asciiTheme="minorAscii" w:hAnsiTheme="minorAscii"/>
                      <w:color w:val="auto"/>
                      <w:sz w:val="21"/>
                      <w:szCs w:val="21"/>
                      <w:lang w:val="en-US"/>
                    </w:rPr>
                  </w:pPr>
                  <w:r>
                    <w:rPr>
                      <w:rFonts w:hint="default" w:asciiTheme="minorAscii" w:hAnsiTheme="minorAscii"/>
                      <w:color w:val="auto"/>
                      <w:sz w:val="21"/>
                      <w:szCs w:val="21"/>
                      <w:lang w:val="en-US" w:eastAsia="zh-CN"/>
                    </w:rPr>
                    <w:t>0.0</w:t>
                  </w:r>
                  <w:r>
                    <w:rPr>
                      <w:rFonts w:hint="eastAsia" w:asciiTheme="minorAscii" w:hAnsiTheme="minorAscii"/>
                      <w:color w:val="auto"/>
                      <w:sz w:val="21"/>
                      <w:szCs w:val="21"/>
                      <w:lang w:val="en-US" w:eastAsia="zh-CN"/>
                    </w:rPr>
                    <w:t>66</w:t>
                  </w:r>
                </w:p>
              </w:tc>
              <w:tc>
                <w:tcPr>
                  <w:tcW w:w="595" w:type="pct"/>
                  <w:vAlign w:val="center"/>
                </w:tcPr>
                <w:p w14:paraId="3B7ADDD9">
                  <w:pPr>
                    <w:pStyle w:val="56"/>
                    <w:ind w:firstLine="0" w:firstLineChars="0"/>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0.008</w:t>
                  </w:r>
                </w:p>
              </w:tc>
              <w:tc>
                <w:tcPr>
                  <w:tcW w:w="713" w:type="pct"/>
                  <w:vAlign w:val="center"/>
                </w:tcPr>
                <w:p w14:paraId="739DA0ED">
                  <w:pPr>
                    <w:pStyle w:val="56"/>
                    <w:rPr>
                      <w:rFonts w:hint="default" w:cs="Calibri" w:asciiTheme="minorAscii" w:hAnsiTheme="minorAscii"/>
                      <w:color w:val="auto"/>
                      <w:sz w:val="21"/>
                      <w:szCs w:val="21"/>
                      <w:lang w:val="en-US" w:eastAsia="zh-CN"/>
                    </w:rPr>
                  </w:pPr>
                  <w:r>
                    <w:rPr>
                      <w:rFonts w:hint="default" w:cs="Calibri" w:asciiTheme="minorAscii" w:hAnsiTheme="minorAscii"/>
                      <w:color w:val="auto"/>
                      <w:sz w:val="21"/>
                      <w:szCs w:val="21"/>
                      <w:lang w:val="en-US" w:eastAsia="zh-CN"/>
                    </w:rPr>
                    <w:t>/</w:t>
                  </w:r>
                </w:p>
              </w:tc>
            </w:tr>
          </w:tbl>
          <w:p w14:paraId="31F9F4C3">
            <w:pPr>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2</w:t>
            </w:r>
            <w:r>
              <w:rPr>
                <w:rFonts w:hint="eastAsia" w:ascii="Times New Roman" w:hAnsi="Times New Roman" w:eastAsia="宋体" w:cs="Times New Roman"/>
                <w:sz w:val="24"/>
              </w:rPr>
              <w:t>）臭气浓度</w:t>
            </w:r>
          </w:p>
          <w:p w14:paraId="5D2FAFB6">
            <w:pPr>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废气污染源主要是污水处理过程散发出来的恶臭气体，其主要成分为硫化氢、氨、甲硫醇等。氨气是一种无色有强烈刺激气味的气体，嗅觉阈值为0.037ppm；</w:t>
            </w:r>
          </w:p>
          <w:p w14:paraId="0974BA6A">
            <w:pPr>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硫化氢是一种有恶臭和毒性的无色气体，嗅觉阈值为0.0005ppm，具有臭鸡蛋味；臭气分为6级，具体见下表：</w:t>
            </w:r>
          </w:p>
          <w:p w14:paraId="5E2035D8">
            <w:pPr>
              <w:spacing w:line="240" w:lineRule="auto"/>
              <w:ind w:firstLine="0" w:firstLineChars="0"/>
              <w:jc w:val="center"/>
              <w:rPr>
                <w:rFonts w:ascii="Calibri" w:hAnsi="Calibri" w:cs="Calibri"/>
                <w:b/>
                <w:bCs/>
                <w:sz w:val="24"/>
                <w:szCs w:val="24"/>
              </w:rPr>
            </w:pPr>
            <w:r>
              <w:rPr>
                <w:rFonts w:ascii="Calibri" w:hAnsi="Calibri" w:cs="Calibri"/>
                <w:b/>
                <w:bCs/>
                <w:sz w:val="24"/>
                <w:szCs w:val="24"/>
              </w:rPr>
              <w:t>表</w:t>
            </w:r>
            <w:r>
              <w:rPr>
                <w:rFonts w:hint="eastAsia" w:ascii="Calibri" w:hAnsi="Calibri" w:cs="Calibri"/>
                <w:b/>
                <w:bCs/>
                <w:sz w:val="24"/>
                <w:szCs w:val="24"/>
                <w:lang w:val="en-US" w:eastAsia="zh-CN"/>
              </w:rPr>
              <w:t>4-4</w:t>
            </w:r>
            <w:r>
              <w:rPr>
                <w:rFonts w:ascii="Calibri" w:hAnsi="Calibri" w:cs="Calibri"/>
                <w:b/>
                <w:bCs/>
                <w:sz w:val="24"/>
                <w:szCs w:val="24"/>
              </w:rPr>
              <w:t xml:space="preserve">   恶臭强度表示法</w:t>
            </w:r>
          </w:p>
          <w:tbl>
            <w:tblPr>
              <w:tblStyle w:val="2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6"/>
              <w:gridCol w:w="6680"/>
            </w:tblGrid>
            <w:tr w14:paraId="72E4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74" w:type="pct"/>
                  <w:vAlign w:val="center"/>
                </w:tcPr>
                <w:p w14:paraId="14BE884C">
                  <w:pPr>
                    <w:pStyle w:val="56"/>
                    <w:rPr>
                      <w:rFonts w:ascii="Calibri" w:hAnsi="Calibri" w:cs="Calibri"/>
                      <w:color w:val="auto"/>
                      <w:sz w:val="21"/>
                      <w:szCs w:val="21"/>
                      <w:lang w:eastAsia="zh-CN"/>
                    </w:rPr>
                  </w:pPr>
                  <w:r>
                    <w:rPr>
                      <w:rFonts w:ascii="Calibri" w:hAnsi="Calibri" w:cs="Calibri"/>
                      <w:color w:val="auto"/>
                      <w:sz w:val="21"/>
                      <w:szCs w:val="21"/>
                      <w:lang w:eastAsia="zh-CN"/>
                    </w:rPr>
                    <w:t>恶臭强度级别</w:t>
                  </w:r>
                </w:p>
              </w:tc>
              <w:tc>
                <w:tcPr>
                  <w:tcW w:w="4025" w:type="pct"/>
                  <w:vAlign w:val="center"/>
                </w:tcPr>
                <w:p w14:paraId="6C7F8381">
                  <w:pPr>
                    <w:pStyle w:val="56"/>
                    <w:rPr>
                      <w:rFonts w:ascii="Calibri" w:hAnsi="Calibri" w:cs="Calibri"/>
                      <w:color w:val="auto"/>
                      <w:sz w:val="21"/>
                      <w:szCs w:val="21"/>
                      <w:lang w:eastAsia="zh-CN"/>
                    </w:rPr>
                  </w:pPr>
                  <w:r>
                    <w:rPr>
                      <w:rFonts w:ascii="Calibri" w:hAnsi="Calibri" w:cs="Calibri"/>
                      <w:color w:val="auto"/>
                      <w:sz w:val="21"/>
                      <w:szCs w:val="21"/>
                      <w:lang w:eastAsia="zh-CN"/>
                    </w:rPr>
                    <w:t>表现</w:t>
                  </w:r>
                </w:p>
              </w:tc>
            </w:tr>
            <w:tr w14:paraId="73A7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pct"/>
                  <w:vAlign w:val="center"/>
                </w:tcPr>
                <w:p w14:paraId="5066FAC5">
                  <w:pPr>
                    <w:pStyle w:val="56"/>
                    <w:rPr>
                      <w:rFonts w:ascii="Calibri" w:hAnsi="Calibri" w:cs="Calibri"/>
                      <w:color w:val="auto"/>
                      <w:sz w:val="21"/>
                      <w:szCs w:val="21"/>
                      <w:lang w:eastAsia="zh-CN"/>
                    </w:rPr>
                  </w:pPr>
                  <w:r>
                    <w:rPr>
                      <w:rFonts w:ascii="Calibri" w:hAnsi="Calibri" w:cs="Calibri"/>
                      <w:color w:val="auto"/>
                      <w:sz w:val="21"/>
                      <w:szCs w:val="21"/>
                      <w:lang w:eastAsia="zh-CN"/>
                    </w:rPr>
                    <w:t>0</w:t>
                  </w:r>
                </w:p>
              </w:tc>
              <w:tc>
                <w:tcPr>
                  <w:tcW w:w="4025" w:type="pct"/>
                  <w:vAlign w:val="center"/>
                </w:tcPr>
                <w:p w14:paraId="19AF42F1">
                  <w:pPr>
                    <w:pStyle w:val="56"/>
                    <w:rPr>
                      <w:rFonts w:ascii="Calibri" w:hAnsi="Calibri" w:cs="Calibri"/>
                      <w:color w:val="auto"/>
                      <w:sz w:val="21"/>
                      <w:szCs w:val="21"/>
                      <w:lang w:eastAsia="zh-CN"/>
                    </w:rPr>
                  </w:pPr>
                  <w:r>
                    <w:rPr>
                      <w:rFonts w:ascii="Calibri" w:hAnsi="Calibri" w:cs="Calibri"/>
                      <w:color w:val="auto"/>
                      <w:sz w:val="21"/>
                      <w:szCs w:val="21"/>
                      <w:lang w:eastAsia="zh-CN"/>
                    </w:rPr>
                    <w:t>无味</w:t>
                  </w:r>
                </w:p>
              </w:tc>
            </w:tr>
            <w:tr w14:paraId="45443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pct"/>
                  <w:vAlign w:val="center"/>
                </w:tcPr>
                <w:p w14:paraId="08D0E9F3">
                  <w:pPr>
                    <w:pStyle w:val="56"/>
                    <w:rPr>
                      <w:rFonts w:ascii="Calibri" w:hAnsi="Calibri" w:cs="Calibri"/>
                      <w:color w:val="auto"/>
                      <w:sz w:val="21"/>
                      <w:szCs w:val="21"/>
                      <w:lang w:eastAsia="zh-CN"/>
                    </w:rPr>
                  </w:pPr>
                  <w:r>
                    <w:rPr>
                      <w:rFonts w:ascii="Calibri" w:hAnsi="Calibri" w:cs="Calibri"/>
                      <w:color w:val="auto"/>
                      <w:sz w:val="21"/>
                      <w:szCs w:val="21"/>
                      <w:lang w:eastAsia="zh-CN"/>
                    </w:rPr>
                    <w:t>1</w:t>
                  </w:r>
                </w:p>
              </w:tc>
              <w:tc>
                <w:tcPr>
                  <w:tcW w:w="4025" w:type="pct"/>
                  <w:vAlign w:val="center"/>
                </w:tcPr>
                <w:p w14:paraId="51ABC227">
                  <w:pPr>
                    <w:pStyle w:val="56"/>
                    <w:rPr>
                      <w:rFonts w:ascii="Calibri" w:hAnsi="Calibri" w:cs="Calibri"/>
                      <w:color w:val="auto"/>
                      <w:sz w:val="21"/>
                      <w:szCs w:val="21"/>
                      <w:lang w:eastAsia="zh-CN"/>
                    </w:rPr>
                  </w:pPr>
                  <w:r>
                    <w:rPr>
                      <w:rFonts w:ascii="Calibri" w:hAnsi="Calibri" w:cs="Calibri"/>
                      <w:color w:val="auto"/>
                      <w:sz w:val="21"/>
                      <w:szCs w:val="21"/>
                      <w:lang w:eastAsia="zh-CN"/>
                    </w:rPr>
                    <w:t>勉强能感觉到气味</w:t>
                  </w:r>
                </w:p>
              </w:tc>
            </w:tr>
            <w:tr w14:paraId="0483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pct"/>
                  <w:vAlign w:val="center"/>
                </w:tcPr>
                <w:p w14:paraId="6544A448">
                  <w:pPr>
                    <w:pStyle w:val="56"/>
                    <w:rPr>
                      <w:rFonts w:ascii="Calibri" w:hAnsi="Calibri" w:cs="Calibri"/>
                      <w:color w:val="auto"/>
                      <w:sz w:val="21"/>
                      <w:szCs w:val="21"/>
                      <w:lang w:eastAsia="zh-CN"/>
                    </w:rPr>
                  </w:pPr>
                  <w:r>
                    <w:rPr>
                      <w:rFonts w:ascii="Calibri" w:hAnsi="Calibri" w:cs="Calibri"/>
                      <w:color w:val="auto"/>
                      <w:sz w:val="21"/>
                      <w:szCs w:val="21"/>
                      <w:lang w:eastAsia="zh-CN"/>
                    </w:rPr>
                    <w:t>2</w:t>
                  </w:r>
                </w:p>
              </w:tc>
              <w:tc>
                <w:tcPr>
                  <w:tcW w:w="4025" w:type="pct"/>
                  <w:vAlign w:val="center"/>
                </w:tcPr>
                <w:p w14:paraId="155F4FC0">
                  <w:pPr>
                    <w:pStyle w:val="56"/>
                    <w:rPr>
                      <w:rFonts w:ascii="Calibri" w:hAnsi="Calibri" w:cs="Calibri"/>
                      <w:color w:val="auto"/>
                      <w:sz w:val="21"/>
                      <w:szCs w:val="21"/>
                      <w:lang w:eastAsia="zh-CN"/>
                    </w:rPr>
                  </w:pPr>
                  <w:r>
                    <w:rPr>
                      <w:rFonts w:ascii="Calibri" w:hAnsi="Calibri" w:cs="Calibri"/>
                      <w:color w:val="auto"/>
                      <w:sz w:val="21"/>
                      <w:szCs w:val="21"/>
                      <w:lang w:eastAsia="zh-CN"/>
                    </w:rPr>
                    <w:t>气味很弱但能分辨其性质</w:t>
                  </w:r>
                </w:p>
              </w:tc>
            </w:tr>
            <w:tr w14:paraId="7F234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pct"/>
                  <w:vAlign w:val="center"/>
                </w:tcPr>
                <w:p w14:paraId="3960E66E">
                  <w:pPr>
                    <w:pStyle w:val="56"/>
                    <w:rPr>
                      <w:rFonts w:ascii="Calibri" w:hAnsi="Calibri" w:cs="Calibri"/>
                      <w:color w:val="auto"/>
                      <w:sz w:val="21"/>
                      <w:szCs w:val="21"/>
                      <w:lang w:eastAsia="zh-CN"/>
                    </w:rPr>
                  </w:pPr>
                  <w:r>
                    <w:rPr>
                      <w:rFonts w:ascii="Calibri" w:hAnsi="Calibri" w:cs="Calibri"/>
                      <w:color w:val="auto"/>
                      <w:sz w:val="21"/>
                      <w:szCs w:val="21"/>
                      <w:lang w:eastAsia="zh-CN"/>
                    </w:rPr>
                    <w:t>3</w:t>
                  </w:r>
                </w:p>
              </w:tc>
              <w:tc>
                <w:tcPr>
                  <w:tcW w:w="4025" w:type="pct"/>
                  <w:vAlign w:val="center"/>
                </w:tcPr>
                <w:p w14:paraId="5574DBDB">
                  <w:pPr>
                    <w:pStyle w:val="56"/>
                    <w:rPr>
                      <w:rFonts w:ascii="Calibri" w:hAnsi="Calibri" w:cs="Calibri"/>
                      <w:color w:val="auto"/>
                      <w:sz w:val="21"/>
                      <w:szCs w:val="21"/>
                      <w:lang w:eastAsia="zh-CN"/>
                    </w:rPr>
                  </w:pPr>
                  <w:r>
                    <w:rPr>
                      <w:rFonts w:ascii="Calibri" w:hAnsi="Calibri" w:cs="Calibri"/>
                      <w:color w:val="auto"/>
                      <w:sz w:val="21"/>
                      <w:szCs w:val="21"/>
                      <w:lang w:eastAsia="zh-CN"/>
                    </w:rPr>
                    <w:t>很容易感觉到气味</w:t>
                  </w:r>
                </w:p>
              </w:tc>
            </w:tr>
            <w:tr w14:paraId="45F37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pct"/>
                  <w:vAlign w:val="center"/>
                </w:tcPr>
                <w:p w14:paraId="0894E96D">
                  <w:pPr>
                    <w:pStyle w:val="56"/>
                    <w:rPr>
                      <w:rFonts w:ascii="Calibri" w:hAnsi="Calibri" w:cs="Calibri"/>
                      <w:color w:val="auto"/>
                      <w:sz w:val="21"/>
                      <w:szCs w:val="21"/>
                      <w:lang w:eastAsia="zh-CN"/>
                    </w:rPr>
                  </w:pPr>
                  <w:r>
                    <w:rPr>
                      <w:rFonts w:ascii="Calibri" w:hAnsi="Calibri" w:cs="Calibri"/>
                      <w:color w:val="auto"/>
                      <w:sz w:val="21"/>
                      <w:szCs w:val="21"/>
                      <w:lang w:eastAsia="zh-CN"/>
                    </w:rPr>
                    <w:t>4</w:t>
                  </w:r>
                </w:p>
              </w:tc>
              <w:tc>
                <w:tcPr>
                  <w:tcW w:w="4025" w:type="pct"/>
                  <w:vAlign w:val="center"/>
                </w:tcPr>
                <w:p w14:paraId="53CBA12F">
                  <w:pPr>
                    <w:pStyle w:val="56"/>
                    <w:rPr>
                      <w:rFonts w:ascii="Calibri" w:hAnsi="Calibri" w:cs="Calibri"/>
                      <w:color w:val="auto"/>
                      <w:sz w:val="21"/>
                      <w:szCs w:val="21"/>
                      <w:lang w:eastAsia="zh-CN"/>
                    </w:rPr>
                  </w:pPr>
                  <w:r>
                    <w:rPr>
                      <w:rFonts w:ascii="Calibri" w:hAnsi="Calibri" w:cs="Calibri"/>
                      <w:color w:val="auto"/>
                      <w:sz w:val="21"/>
                      <w:szCs w:val="21"/>
                      <w:lang w:eastAsia="zh-CN"/>
                    </w:rPr>
                    <w:t>强烈的气味</w:t>
                  </w:r>
                </w:p>
              </w:tc>
            </w:tr>
            <w:tr w14:paraId="1C765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pct"/>
                  <w:vAlign w:val="center"/>
                </w:tcPr>
                <w:p w14:paraId="28221B99">
                  <w:pPr>
                    <w:pStyle w:val="56"/>
                    <w:rPr>
                      <w:rFonts w:ascii="Calibri" w:hAnsi="Calibri" w:cs="Calibri"/>
                      <w:color w:val="auto"/>
                      <w:sz w:val="21"/>
                      <w:szCs w:val="21"/>
                      <w:lang w:eastAsia="zh-CN"/>
                    </w:rPr>
                  </w:pPr>
                  <w:r>
                    <w:rPr>
                      <w:rFonts w:ascii="Calibri" w:hAnsi="Calibri" w:cs="Calibri"/>
                      <w:color w:val="auto"/>
                      <w:sz w:val="21"/>
                      <w:szCs w:val="21"/>
                      <w:lang w:eastAsia="zh-CN"/>
                    </w:rPr>
                    <w:t>5</w:t>
                  </w:r>
                </w:p>
              </w:tc>
              <w:tc>
                <w:tcPr>
                  <w:tcW w:w="4025" w:type="pct"/>
                  <w:vAlign w:val="center"/>
                </w:tcPr>
                <w:p w14:paraId="3F899719">
                  <w:pPr>
                    <w:pStyle w:val="56"/>
                    <w:rPr>
                      <w:rFonts w:ascii="Calibri" w:hAnsi="Calibri" w:cs="Calibri"/>
                      <w:color w:val="auto"/>
                      <w:sz w:val="21"/>
                      <w:szCs w:val="21"/>
                      <w:lang w:eastAsia="zh-CN"/>
                    </w:rPr>
                  </w:pPr>
                  <w:r>
                    <w:rPr>
                      <w:rFonts w:ascii="Calibri" w:hAnsi="Calibri" w:cs="Calibri"/>
                      <w:color w:val="auto"/>
                      <w:sz w:val="21"/>
                      <w:szCs w:val="21"/>
                      <w:lang w:eastAsia="zh-CN"/>
                    </w:rPr>
                    <w:t>无法忍受的极强气味</w:t>
                  </w:r>
                </w:p>
              </w:tc>
            </w:tr>
          </w:tbl>
          <w:p w14:paraId="07B9529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废气污染源主要为污水处理构筑物散发恶臭，臭气浓度为综合感官指标。本项目加盖密闭+集气收集后，进入活性炭装置进气臭气浓度取2000（无量纲）；经活性炭吸附处理后，排气筒DA001臭气浓度控制≤600（无量纲），满足《恶臭污染物排放标准》（GB14554‑1993）表2；厂界无组织臭气浓度控制≤20（无量纲）。</w:t>
            </w:r>
          </w:p>
          <w:p w14:paraId="0CBB213D">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3</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甲烷</w:t>
            </w:r>
          </w:p>
          <w:p w14:paraId="6188A9B9">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本项目污水处理站厌氧塔在处理废水过程中，厌氧微生物降解有机物会副产</w:t>
            </w:r>
            <w:r>
              <w:rPr>
                <w:rFonts w:hint="eastAsia" w:ascii="Times New Roman" w:hAnsi="Times New Roman" w:eastAsia="宋体" w:cs="Times New Roman"/>
                <w:sz w:val="24"/>
                <w:lang w:val="en-US" w:eastAsia="zh-CN"/>
              </w:rPr>
              <w:t>少量的</w:t>
            </w:r>
            <w:r>
              <w:rPr>
                <w:rFonts w:hint="eastAsia" w:ascii="Times New Roman" w:hAnsi="Times New Roman" w:eastAsia="宋体" w:cs="Times New Roman"/>
                <w:sz w:val="24"/>
                <w:lang w:eastAsia="zh-CN"/>
              </w:rPr>
              <w:t>甲烷（CH</w:t>
            </w:r>
            <w:r>
              <w:rPr>
                <w:rFonts w:hint="eastAsia" w:ascii="Times New Roman" w:hAnsi="Times New Roman" w:eastAsia="宋体" w:cs="Times New Roman"/>
                <w:sz w:val="24"/>
                <w:vertAlign w:val="subscript"/>
                <w:lang w:val="en-US" w:eastAsia="zh-CN"/>
              </w:rPr>
              <w:t>4</w:t>
            </w:r>
            <w:r>
              <w:rPr>
                <w:rFonts w:hint="eastAsia" w:ascii="Times New Roman" w:hAnsi="Times New Roman" w:eastAsia="宋体" w:cs="Times New Roman"/>
                <w:sz w:val="24"/>
                <w:lang w:eastAsia="zh-CN"/>
              </w:rPr>
              <w:t>）气体，甲烷属于易燃易爆温室气体，爆炸极限为体积浓度5%～15%，其产生量与进水有机物浓度、厌氧反应温度、水力停留时间及运行负荷密切相关，产生过程具有连续、波动特征。</w:t>
            </w:r>
          </w:p>
          <w:p w14:paraId="0356E92D">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厌氧塔处理高浓度有机废水过程中将副产沼气（主要成分为甲烷）。甲烷不属于有毒有害大气污染物，目前国家及地方尚未针对污水处理设施甲烷排放制定强制性排放浓度、速率限值；但甲烷属于易燃易爆温室气体，在密闭空间内易积聚，存在燃爆安全隐患，且本项目配套的活性炭吸附除臭装置对甲烷基本无吸附去除效果，不可作为沼气净化治理设施。</w:t>
            </w:r>
          </w:p>
          <w:p w14:paraId="0E319F6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本项目结合产气量小的实际情况，不设置沼气回收利用系统，采用“密闭收集+安全高空排放+在线监测报警+强制通风”的沼气安全处置方案：</w:t>
            </w:r>
          </w:p>
          <w:p w14:paraId="430EF854">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1.收集措施：厌氧塔整体密闭，设置沼气集气管道对厌氧塔产生的沼气进行密闭收集，最大限度减少沼气无组织逸散、积聚。</w:t>
            </w:r>
          </w:p>
          <w:p w14:paraId="7DFB9E61">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2.净化措施：本项目沼气产生量小，不配套脱硫等沼气净化设施；集气管道设置阻火器，防范回火风险，保障管道及设备安全。</w:t>
            </w:r>
          </w:p>
          <w:p w14:paraId="1F12383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3.排放方案：收集后的沼气通过专用管路引至15m高排气筒（DA001）进行高空排放，利用大气扩散稀释作用降低周边甲烷浓度。</w:t>
            </w:r>
          </w:p>
          <w:p w14:paraId="76C881C5">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4.</w:t>
            </w:r>
            <w:r>
              <w:rPr>
                <w:rFonts w:hint="eastAsia" w:cs="Times New Roman"/>
                <w:sz w:val="24"/>
                <w:lang w:val="en-US" w:eastAsia="zh-CN"/>
              </w:rPr>
              <w:t>甲烷排放控制与监控要求</w:t>
            </w:r>
            <w:r>
              <w:rPr>
                <w:rFonts w:hint="eastAsia" w:ascii="Times New Roman" w:hAnsi="Times New Roman" w:eastAsia="宋体" w:cs="Times New Roman"/>
                <w:sz w:val="24"/>
                <w:lang w:eastAsia="zh-CN"/>
              </w:rPr>
              <w:t>：在厌氧塔区域及构筑物上方设置甲烷浓度在线监测报警装置，报警阈值设定为体积浓度1%；当监测浓度达到报警阈值时，系统自动启动强制通风系统、切断区域内火源；站内严格执行明火管控，加强日常巡检与通风换气。</w:t>
            </w:r>
          </w:p>
          <w:p w14:paraId="681F6632">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cs="Times New Roman"/>
                <w:sz w:val="24"/>
                <w:lang w:val="en-US" w:eastAsia="zh-CN"/>
              </w:rPr>
            </w:pPr>
            <w:r>
              <w:rPr>
                <w:rFonts w:hint="eastAsia" w:cs="Times New Roman"/>
                <w:sz w:val="24"/>
                <w:lang w:val="en-US" w:eastAsia="zh-CN"/>
              </w:rPr>
              <w:t>5.有组织监控：DA001排气筒增加甲烷监测指标，对排气筒出口甲烷开展手工监测；厂区厌氧塔上方甲烷高点同步监测，控制厂区内部甲烷体积浓度低于 1%，杜绝积聚风险。</w:t>
            </w:r>
          </w:p>
          <w:p w14:paraId="111C1DE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本项目沼气产气量较小，不具备沼气回收利用的经济技术条件，故不做回收利用。落实上述收集、安全排放及风险防控措施后，可有效控制站内甲烷积聚，规避燃爆安全风险；甲烷经高空排放后快速扩散稀释，对区域大气环境影响较小。</w:t>
            </w:r>
          </w:p>
          <w:p w14:paraId="4B5AF0FA">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left"/>
              <w:textAlignment w:val="auto"/>
              <w:rPr>
                <w:rFonts w:hint="eastAsia" w:ascii="宋体" w:hAnsi="宋体" w:cs="宋体"/>
                <w:spacing w:val="-10"/>
                <w:sz w:val="24"/>
              </w:rPr>
            </w:pPr>
            <w:r>
              <w:rPr>
                <w:rFonts w:hint="eastAsia" w:ascii="宋体" w:hAnsi="宋体" w:cs="宋体"/>
                <w:spacing w:val="-10"/>
                <w:sz w:val="24"/>
              </w:rPr>
              <w:t>本项目废气污染源强排放口基本信息统计见下表：</w:t>
            </w:r>
          </w:p>
          <w:p w14:paraId="3575333F">
            <w:pPr>
              <w:adjustRightInd w:val="0"/>
              <w:snapToGrid w:val="0"/>
              <w:spacing w:before="120" w:beforeLines="50"/>
              <w:ind w:firstLine="442" w:firstLineChars="200"/>
              <w:jc w:val="center"/>
              <w:rPr>
                <w:rFonts w:hint="eastAsia" w:ascii="宋体" w:hAnsi="宋体" w:cs="宋体"/>
                <w:b/>
                <w:bCs/>
                <w:spacing w:val="-10"/>
                <w:sz w:val="24"/>
              </w:rPr>
            </w:pPr>
            <w:r>
              <w:rPr>
                <w:rFonts w:hint="eastAsia" w:ascii="宋体" w:hAnsi="宋体" w:cs="宋体"/>
                <w:b/>
                <w:bCs/>
                <w:spacing w:val="-10"/>
                <w:sz w:val="24"/>
              </w:rPr>
              <w:t>表</w:t>
            </w:r>
            <w:r>
              <w:rPr>
                <w:rFonts w:hint="eastAsia" w:ascii="宋体" w:hAnsi="宋体" w:cs="宋体"/>
                <w:b/>
                <w:bCs/>
                <w:spacing w:val="-10"/>
                <w:sz w:val="24"/>
                <w:lang w:val="en-US" w:eastAsia="zh-CN"/>
              </w:rPr>
              <w:t>4-5</w:t>
            </w:r>
            <w:r>
              <w:rPr>
                <w:rFonts w:hint="eastAsia" w:ascii="宋体" w:hAnsi="宋体" w:cs="宋体"/>
                <w:b/>
                <w:bCs/>
                <w:spacing w:val="-10"/>
                <w:sz w:val="24"/>
              </w:rPr>
              <w:t xml:space="preserve">   废气排放口基本信息表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6"/>
              <w:gridCol w:w="856"/>
              <w:gridCol w:w="1940"/>
              <w:gridCol w:w="976"/>
              <w:gridCol w:w="1250"/>
              <w:gridCol w:w="906"/>
              <w:gridCol w:w="1114"/>
            </w:tblGrid>
            <w:tr w14:paraId="6F8F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pct"/>
                  <w:noWrap w:val="0"/>
                  <w:vAlign w:val="center"/>
                </w:tcPr>
                <w:p w14:paraId="3AFDB0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asciiTheme="minorAscii" w:hAnsiTheme="minorAscii"/>
                      <w:bCs/>
                      <w:spacing w:val="-10"/>
                      <w:sz w:val="21"/>
                      <w:szCs w:val="21"/>
                      <w:lang w:eastAsia="zh-CN"/>
                    </w:rPr>
                  </w:pPr>
                  <w:r>
                    <w:rPr>
                      <w:rFonts w:hint="default" w:asciiTheme="minorAscii" w:hAnsiTheme="minorAscii"/>
                      <w:bCs/>
                      <w:spacing w:val="-10"/>
                      <w:sz w:val="21"/>
                      <w:szCs w:val="21"/>
                    </w:rPr>
                    <w:t>排放口</w:t>
                  </w:r>
                  <w:r>
                    <w:rPr>
                      <w:rFonts w:hint="default" w:asciiTheme="minorAscii" w:hAnsiTheme="minorAscii"/>
                      <w:bCs/>
                      <w:spacing w:val="-10"/>
                      <w:sz w:val="21"/>
                      <w:szCs w:val="21"/>
                      <w:lang w:eastAsia="zh-CN"/>
                    </w:rPr>
                    <w:t>编号</w:t>
                  </w:r>
                </w:p>
              </w:tc>
              <w:tc>
                <w:tcPr>
                  <w:tcW w:w="852" w:type="dxa"/>
                  <w:noWrap w:val="0"/>
                  <w:vAlign w:val="center"/>
                </w:tcPr>
                <w:p w14:paraId="68178A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heme="minorAscii" w:hAnsiTheme="minorAscii"/>
                      <w:bCs/>
                      <w:spacing w:val="-10"/>
                      <w:sz w:val="21"/>
                      <w:szCs w:val="21"/>
                    </w:rPr>
                  </w:pPr>
                  <w:r>
                    <w:rPr>
                      <w:rFonts w:hint="default" w:asciiTheme="minorAscii" w:hAnsiTheme="minorAscii"/>
                      <w:bCs/>
                      <w:spacing w:val="-10"/>
                      <w:sz w:val="21"/>
                      <w:szCs w:val="21"/>
                    </w:rPr>
                    <w:t>排放口名称</w:t>
                  </w:r>
                </w:p>
              </w:tc>
              <w:tc>
                <w:tcPr>
                  <w:tcW w:w="1169" w:type="pct"/>
                  <w:noWrap w:val="0"/>
                  <w:vAlign w:val="center"/>
                </w:tcPr>
                <w:p w14:paraId="4F751D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heme="minorAscii" w:hAnsiTheme="minorAscii"/>
                      <w:bCs/>
                      <w:spacing w:val="-10"/>
                      <w:sz w:val="21"/>
                      <w:szCs w:val="21"/>
                    </w:rPr>
                  </w:pPr>
                  <w:r>
                    <w:rPr>
                      <w:rFonts w:hint="default" w:asciiTheme="minorAscii" w:hAnsiTheme="minorAscii"/>
                      <w:bCs/>
                      <w:spacing w:val="-10"/>
                      <w:sz w:val="21"/>
                      <w:szCs w:val="21"/>
                    </w:rPr>
                    <w:t>地理坐标</w:t>
                  </w:r>
                </w:p>
              </w:tc>
              <w:tc>
                <w:tcPr>
                  <w:tcW w:w="588" w:type="pct"/>
                  <w:noWrap w:val="0"/>
                  <w:vAlign w:val="center"/>
                </w:tcPr>
                <w:p w14:paraId="6E33A5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heme="minorAscii" w:hAnsiTheme="minorAscii"/>
                      <w:bCs/>
                      <w:spacing w:val="-10"/>
                      <w:sz w:val="21"/>
                      <w:szCs w:val="21"/>
                    </w:rPr>
                  </w:pPr>
                  <w:r>
                    <w:rPr>
                      <w:rFonts w:hint="default" w:asciiTheme="minorAscii" w:hAnsiTheme="minorAscii"/>
                      <w:bCs/>
                      <w:spacing w:val="-10"/>
                      <w:sz w:val="21"/>
                      <w:szCs w:val="21"/>
                    </w:rPr>
                    <w:t>排气筒高度/m</w:t>
                  </w:r>
                </w:p>
              </w:tc>
              <w:tc>
                <w:tcPr>
                  <w:tcW w:w="753" w:type="pct"/>
                  <w:noWrap w:val="0"/>
                  <w:vAlign w:val="center"/>
                </w:tcPr>
                <w:p w14:paraId="49D915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heme="minorAscii" w:hAnsiTheme="minorAscii"/>
                      <w:bCs/>
                      <w:spacing w:val="-10"/>
                      <w:sz w:val="21"/>
                      <w:szCs w:val="21"/>
                    </w:rPr>
                  </w:pPr>
                  <w:r>
                    <w:rPr>
                      <w:rFonts w:hint="default" w:asciiTheme="minorAscii" w:hAnsiTheme="minorAscii"/>
                      <w:bCs/>
                      <w:spacing w:val="-10"/>
                      <w:sz w:val="21"/>
                      <w:szCs w:val="21"/>
                    </w:rPr>
                    <w:t>排气筒出口内径/m</w:t>
                  </w:r>
                </w:p>
              </w:tc>
              <w:tc>
                <w:tcPr>
                  <w:tcW w:w="546" w:type="pct"/>
                  <w:noWrap w:val="0"/>
                  <w:vAlign w:val="center"/>
                </w:tcPr>
                <w:p w14:paraId="345A7F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heme="minorAscii" w:hAnsiTheme="minorAscii"/>
                      <w:bCs/>
                      <w:spacing w:val="-10"/>
                      <w:sz w:val="21"/>
                      <w:szCs w:val="21"/>
                    </w:rPr>
                  </w:pPr>
                  <w:r>
                    <w:rPr>
                      <w:rFonts w:hint="default" w:asciiTheme="minorAscii" w:hAnsiTheme="minorAscii"/>
                      <w:bCs/>
                      <w:spacing w:val="-10"/>
                      <w:sz w:val="21"/>
                      <w:szCs w:val="21"/>
                    </w:rPr>
                    <w:t>烟气温度/℃</w:t>
                  </w:r>
                </w:p>
              </w:tc>
              <w:tc>
                <w:tcPr>
                  <w:tcW w:w="671" w:type="pct"/>
                  <w:noWrap w:val="0"/>
                  <w:vAlign w:val="center"/>
                </w:tcPr>
                <w:p w14:paraId="3EE739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heme="minorAscii" w:hAnsiTheme="minorAscii"/>
                      <w:bCs/>
                      <w:spacing w:val="-10"/>
                      <w:sz w:val="21"/>
                      <w:szCs w:val="21"/>
                    </w:rPr>
                  </w:pPr>
                  <w:r>
                    <w:rPr>
                      <w:rFonts w:hint="default" w:asciiTheme="minorAscii" w:hAnsiTheme="minorAscii"/>
                      <w:bCs/>
                      <w:spacing w:val="-10"/>
                      <w:sz w:val="21"/>
                      <w:szCs w:val="21"/>
                    </w:rPr>
                    <w:t>类型</w:t>
                  </w:r>
                </w:p>
              </w:tc>
            </w:tr>
            <w:tr w14:paraId="614CF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pct"/>
                  <w:noWrap w:val="0"/>
                  <w:vAlign w:val="center"/>
                </w:tcPr>
                <w:p w14:paraId="63D236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asciiTheme="minorAscii" w:hAnsiTheme="minorAscii"/>
                      <w:bCs/>
                      <w:spacing w:val="-10"/>
                      <w:sz w:val="21"/>
                      <w:szCs w:val="21"/>
                      <w:lang w:val="en-US" w:eastAsia="zh-CN"/>
                    </w:rPr>
                  </w:pPr>
                  <w:r>
                    <w:rPr>
                      <w:rFonts w:hint="default" w:asciiTheme="minorAscii" w:hAnsiTheme="minorAscii"/>
                      <w:bCs/>
                      <w:spacing w:val="-10"/>
                      <w:sz w:val="21"/>
                      <w:szCs w:val="21"/>
                      <w:lang w:val="en-US" w:eastAsia="zh-CN"/>
                    </w:rPr>
                    <w:t>DA001</w:t>
                  </w:r>
                </w:p>
              </w:tc>
              <w:tc>
                <w:tcPr>
                  <w:tcW w:w="852" w:type="dxa"/>
                  <w:noWrap w:val="0"/>
                  <w:vAlign w:val="center"/>
                </w:tcPr>
                <w:p w14:paraId="2DDDB5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heme="minorAscii" w:hAnsiTheme="minorAscii"/>
                      <w:bCs/>
                      <w:sz w:val="21"/>
                      <w:szCs w:val="21"/>
                    </w:rPr>
                  </w:pPr>
                  <w:r>
                    <w:rPr>
                      <w:rFonts w:hint="default" w:asciiTheme="minorAscii" w:hAnsiTheme="minorAscii"/>
                      <w:bCs/>
                      <w:spacing w:val="-10"/>
                      <w:sz w:val="21"/>
                      <w:szCs w:val="21"/>
                      <w:lang w:val="en-US" w:eastAsia="zh-CN"/>
                    </w:rPr>
                    <w:t>恶臭</w:t>
                  </w:r>
                  <w:r>
                    <w:rPr>
                      <w:rFonts w:hint="default" w:asciiTheme="minorAscii" w:hAnsiTheme="minorAscii"/>
                      <w:bCs/>
                      <w:spacing w:val="-10"/>
                      <w:sz w:val="21"/>
                      <w:szCs w:val="21"/>
                      <w:lang w:eastAsia="zh-CN"/>
                    </w:rPr>
                    <w:t>废气</w:t>
                  </w:r>
                  <w:r>
                    <w:rPr>
                      <w:rFonts w:hint="default" w:asciiTheme="minorAscii" w:hAnsiTheme="minorAscii"/>
                      <w:bCs/>
                      <w:spacing w:val="-10"/>
                      <w:sz w:val="21"/>
                      <w:szCs w:val="21"/>
                    </w:rPr>
                    <w:t>排放口</w:t>
                  </w:r>
                </w:p>
              </w:tc>
              <w:tc>
                <w:tcPr>
                  <w:tcW w:w="1169" w:type="pct"/>
                  <w:noWrap w:val="0"/>
                  <w:vAlign w:val="center"/>
                </w:tcPr>
                <w:p w14:paraId="7BA130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heme="minorAscii" w:hAnsiTheme="minorAscii"/>
                      <w:bCs/>
                      <w:spacing w:val="-10"/>
                      <w:sz w:val="21"/>
                      <w:szCs w:val="21"/>
                    </w:rPr>
                  </w:pPr>
                  <w:r>
                    <w:rPr>
                      <w:rFonts w:hint="default" w:asciiTheme="minorAscii" w:hAnsiTheme="minorAscii"/>
                      <w:bCs/>
                      <w:spacing w:val="-10"/>
                      <w:sz w:val="21"/>
                      <w:szCs w:val="21"/>
                    </w:rPr>
                    <w:t>东经86°36′42.039″，北纬42°2′23.743″</w:t>
                  </w:r>
                </w:p>
              </w:tc>
              <w:tc>
                <w:tcPr>
                  <w:tcW w:w="588" w:type="pct"/>
                  <w:noWrap w:val="0"/>
                  <w:vAlign w:val="center"/>
                </w:tcPr>
                <w:p w14:paraId="19DC8B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heme="minorAscii" w:hAnsiTheme="minorAscii"/>
                      <w:bCs/>
                      <w:spacing w:val="-10"/>
                      <w:sz w:val="21"/>
                      <w:szCs w:val="21"/>
                    </w:rPr>
                  </w:pPr>
                  <w:r>
                    <w:rPr>
                      <w:rFonts w:hint="default" w:asciiTheme="minorAscii" w:hAnsiTheme="minorAscii"/>
                      <w:bCs/>
                      <w:spacing w:val="-10"/>
                      <w:sz w:val="21"/>
                      <w:szCs w:val="21"/>
                    </w:rPr>
                    <w:t>15m</w:t>
                  </w:r>
                </w:p>
              </w:tc>
              <w:tc>
                <w:tcPr>
                  <w:tcW w:w="753" w:type="pct"/>
                  <w:noWrap w:val="0"/>
                  <w:vAlign w:val="center"/>
                </w:tcPr>
                <w:p w14:paraId="08C48F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asciiTheme="minorAscii" w:hAnsiTheme="minorAscii"/>
                      <w:bCs/>
                      <w:spacing w:val="-10"/>
                      <w:sz w:val="21"/>
                      <w:szCs w:val="21"/>
                      <w:lang w:val="en-US" w:eastAsia="zh-CN"/>
                    </w:rPr>
                  </w:pPr>
                  <w:r>
                    <w:rPr>
                      <w:rFonts w:hint="eastAsia" w:asciiTheme="minorAscii" w:hAnsiTheme="minorAscii"/>
                      <w:bCs/>
                      <w:spacing w:val="-10"/>
                      <w:sz w:val="21"/>
                      <w:szCs w:val="21"/>
                      <w:lang w:val="en-US" w:eastAsia="zh-CN"/>
                    </w:rPr>
                    <w:t>0.5</w:t>
                  </w:r>
                </w:p>
              </w:tc>
              <w:tc>
                <w:tcPr>
                  <w:tcW w:w="546" w:type="pct"/>
                  <w:noWrap w:val="0"/>
                  <w:vAlign w:val="center"/>
                </w:tcPr>
                <w:p w14:paraId="11D464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asciiTheme="minorAscii" w:hAnsiTheme="minorAscii"/>
                      <w:bCs/>
                      <w:spacing w:val="-10"/>
                      <w:sz w:val="21"/>
                      <w:szCs w:val="21"/>
                      <w:lang w:val="en-US" w:eastAsia="zh-CN"/>
                    </w:rPr>
                  </w:pPr>
                  <w:r>
                    <w:rPr>
                      <w:rFonts w:hint="eastAsia" w:asciiTheme="minorAscii" w:hAnsiTheme="minorAscii"/>
                      <w:bCs/>
                      <w:spacing w:val="-10"/>
                      <w:sz w:val="21"/>
                      <w:szCs w:val="21"/>
                      <w:lang w:val="en-US" w:eastAsia="zh-CN"/>
                    </w:rPr>
                    <w:t>25</w:t>
                  </w:r>
                </w:p>
              </w:tc>
              <w:tc>
                <w:tcPr>
                  <w:tcW w:w="671" w:type="pct"/>
                  <w:noWrap w:val="0"/>
                  <w:vAlign w:val="center"/>
                </w:tcPr>
                <w:p w14:paraId="2A4E68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heme="minorAscii" w:hAnsiTheme="minorAscii"/>
                      <w:bCs/>
                      <w:spacing w:val="-10"/>
                      <w:sz w:val="21"/>
                      <w:szCs w:val="21"/>
                    </w:rPr>
                  </w:pPr>
                  <w:r>
                    <w:rPr>
                      <w:rFonts w:hint="default" w:asciiTheme="minorAscii" w:hAnsiTheme="minorAscii"/>
                      <w:bCs/>
                      <w:spacing w:val="-10"/>
                      <w:sz w:val="21"/>
                      <w:szCs w:val="21"/>
                    </w:rPr>
                    <w:t>一般排放口</w:t>
                  </w:r>
                </w:p>
              </w:tc>
            </w:tr>
          </w:tbl>
          <w:p w14:paraId="3C336C31">
            <w:pPr>
              <w:spacing w:before="120" w:beforeLines="50" w:line="360" w:lineRule="auto"/>
              <w:ind w:firstLine="482" w:firstLineChars="200"/>
              <w:rPr>
                <w:rFonts w:hint="eastAsia" w:ascii="宋体" w:hAnsi="宋体" w:eastAsia="宋体" w:cs="宋体"/>
                <w:b/>
                <w:sz w:val="24"/>
                <w:lang w:eastAsia="zh-CN"/>
              </w:rPr>
            </w:pPr>
            <w:r>
              <w:rPr>
                <w:rFonts w:hint="eastAsia" w:ascii="宋体" w:hAnsi="宋体" w:cs="宋体"/>
                <w:b/>
                <w:sz w:val="24"/>
                <w:lang w:val="en-US" w:eastAsia="zh-CN"/>
              </w:rPr>
              <w:t>2.</w:t>
            </w:r>
            <w:r>
              <w:rPr>
                <w:rFonts w:hint="eastAsia" w:ascii="宋体" w:hAnsi="宋体" w:cs="宋体"/>
                <w:b/>
                <w:sz w:val="24"/>
              </w:rPr>
              <w:t>非正常</w:t>
            </w:r>
            <w:r>
              <w:rPr>
                <w:rFonts w:hint="eastAsia" w:ascii="宋体" w:hAnsi="宋体" w:cs="宋体"/>
                <w:b/>
                <w:sz w:val="24"/>
                <w:lang w:eastAsia="zh-CN"/>
              </w:rPr>
              <w:t>排污的源强统计与分析</w:t>
            </w:r>
          </w:p>
          <w:p w14:paraId="1BC09DC3">
            <w:pPr>
              <w:spacing w:line="360" w:lineRule="auto"/>
              <w:ind w:firstLine="480" w:firstLineChars="200"/>
              <w:rPr>
                <w:sz w:val="24"/>
              </w:rPr>
            </w:pPr>
            <w:r>
              <w:rPr>
                <w:sz w:val="24"/>
              </w:rPr>
              <w:t>本项目的非正常工况主要是污染物排放控制措施达不到应有效率，即废气处理设施失效，造成排</w:t>
            </w:r>
            <w:r>
              <w:rPr>
                <w:rFonts w:hint="eastAsia"/>
                <w:sz w:val="24"/>
                <w:lang w:eastAsia="zh-CN"/>
              </w:rPr>
              <w:t>气筒</w:t>
            </w:r>
            <w:r>
              <w:rPr>
                <w:sz w:val="24"/>
              </w:rPr>
              <w:t>废气中废气污染物未经净化直接排放，本项目非正常工况仅考虑废气处理设备失效，本环评点源非正常工况取废气处理效率为0%进行评价，</w:t>
            </w:r>
            <w:r>
              <w:rPr>
                <w:rFonts w:hint="default" w:ascii="Times New Roman" w:hAnsi="Times New Roman" w:cs="Times New Roman"/>
                <w:b w:val="0"/>
                <w:sz w:val="24"/>
                <w:lang w:val="en-US" w:eastAsia="zh-CN"/>
              </w:rPr>
              <w:t>出现频次约</w:t>
            </w:r>
            <w:r>
              <w:rPr>
                <w:rFonts w:hint="eastAsia" w:cs="Times New Roman"/>
                <w:b w:val="0"/>
                <w:sz w:val="24"/>
                <w:lang w:val="en-US" w:eastAsia="zh-CN"/>
              </w:rPr>
              <w:t>1</w:t>
            </w:r>
            <w:r>
              <w:rPr>
                <w:rFonts w:hint="default" w:ascii="Times New Roman" w:hAnsi="Times New Roman" w:cs="Times New Roman"/>
                <w:b w:val="0"/>
                <w:sz w:val="24"/>
                <w:lang w:val="en-US" w:eastAsia="zh-CN"/>
              </w:rPr>
              <w:t>次/年</w:t>
            </w:r>
            <w:r>
              <w:rPr>
                <w:rFonts w:hint="eastAsia" w:ascii="Times New Roman" w:hAnsi="Times New Roman" w:cs="Times New Roman"/>
                <w:b w:val="0"/>
                <w:sz w:val="24"/>
                <w:lang w:val="en-US" w:eastAsia="zh-CN"/>
              </w:rPr>
              <w:t>，单</w:t>
            </w:r>
            <w:r>
              <w:rPr>
                <w:rFonts w:hint="default" w:ascii="Times New Roman" w:hAnsi="Times New Roman" w:cs="Times New Roman"/>
                <w:b w:val="0"/>
                <w:sz w:val="24"/>
                <w:lang w:val="en-US" w:eastAsia="zh-CN"/>
              </w:rPr>
              <w:t>次持续时间以1h计</w:t>
            </w:r>
            <w:r>
              <w:rPr>
                <w:rFonts w:hint="eastAsia" w:ascii="Times New Roman" w:hAnsi="Times New Roman" w:cs="Times New Roman"/>
                <w:b w:val="0"/>
                <w:sz w:val="24"/>
                <w:lang w:val="en-US" w:eastAsia="zh-CN"/>
              </w:rPr>
              <w:t>，</w:t>
            </w:r>
            <w:r>
              <w:rPr>
                <w:sz w:val="24"/>
              </w:rPr>
              <w:t>非正常工况下排</w:t>
            </w:r>
            <w:r>
              <w:rPr>
                <w:rFonts w:hint="eastAsia"/>
                <w:sz w:val="24"/>
                <w:lang w:eastAsia="zh-CN"/>
              </w:rPr>
              <w:t>气筒</w:t>
            </w:r>
            <w:r>
              <w:rPr>
                <w:sz w:val="24"/>
              </w:rPr>
              <w:t>排放情况如下表所示。</w:t>
            </w:r>
          </w:p>
          <w:p w14:paraId="001A4D56">
            <w:pPr>
              <w:adjustRightInd w:val="0"/>
              <w:snapToGrid w:val="0"/>
              <w:ind w:firstLine="442" w:firstLineChars="200"/>
              <w:jc w:val="center"/>
              <w:rPr>
                <w:b/>
                <w:bCs/>
                <w:spacing w:val="-10"/>
                <w:sz w:val="24"/>
              </w:rPr>
            </w:pPr>
            <w:r>
              <w:rPr>
                <w:b/>
                <w:bCs/>
                <w:spacing w:val="-10"/>
                <w:sz w:val="24"/>
              </w:rPr>
              <w:t>表</w:t>
            </w:r>
            <w:r>
              <w:rPr>
                <w:rFonts w:hint="eastAsia"/>
                <w:b/>
                <w:bCs/>
                <w:spacing w:val="-10"/>
                <w:sz w:val="24"/>
                <w:lang w:val="en-US" w:eastAsia="zh-CN"/>
              </w:rPr>
              <w:t>4-6</w:t>
            </w:r>
            <w:r>
              <w:rPr>
                <w:b/>
                <w:bCs/>
                <w:spacing w:val="-10"/>
                <w:sz w:val="24"/>
              </w:rPr>
              <w:t xml:space="preserve">   </w:t>
            </w:r>
            <w:r>
              <w:rPr>
                <w:rFonts w:hint="default" w:ascii="Times New Roman" w:hAnsi="Times New Roman" w:cs="Times New Roman"/>
                <w:b/>
                <w:bCs/>
                <w:spacing w:val="-10"/>
                <w:sz w:val="24"/>
              </w:rPr>
              <w:t>本项目非正常</w:t>
            </w:r>
            <w:r>
              <w:rPr>
                <w:rFonts w:hint="default" w:ascii="Times New Roman" w:hAnsi="Times New Roman" w:cs="Times New Roman"/>
                <w:b/>
                <w:bCs/>
                <w:spacing w:val="-10"/>
                <w:sz w:val="24"/>
                <w:lang w:eastAsia="zh-CN"/>
              </w:rPr>
              <w:t>排污</w:t>
            </w:r>
            <w:r>
              <w:rPr>
                <w:rFonts w:hint="default" w:ascii="Times New Roman" w:hAnsi="Times New Roman" w:cs="Times New Roman"/>
                <w:b/>
                <w:bCs/>
                <w:spacing w:val="-10"/>
                <w:sz w:val="24"/>
              </w:rPr>
              <w:t>情况</w:t>
            </w:r>
            <w:r>
              <w:rPr>
                <w:rFonts w:hint="default" w:ascii="Times New Roman" w:hAnsi="Times New Roman" w:cs="Times New Roman"/>
                <w:b/>
                <w:bCs/>
                <w:spacing w:val="-10"/>
                <w:sz w:val="24"/>
                <w:lang w:eastAsia="zh-CN"/>
              </w:rPr>
              <w:t>一览表</w:t>
            </w:r>
          </w:p>
          <w:tbl>
            <w:tblPr>
              <w:tblStyle w:val="2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1065"/>
              <w:gridCol w:w="682"/>
              <w:gridCol w:w="1065"/>
              <w:gridCol w:w="1130"/>
              <w:gridCol w:w="848"/>
              <w:gridCol w:w="831"/>
              <w:gridCol w:w="665"/>
              <w:gridCol w:w="1418"/>
            </w:tblGrid>
            <w:tr w14:paraId="4328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noWrap w:val="0"/>
                  <w:vAlign w:val="center"/>
                </w:tcPr>
                <w:p w14:paraId="25E9C2B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污染源</w:t>
                  </w:r>
                </w:p>
              </w:tc>
              <w:tc>
                <w:tcPr>
                  <w:tcW w:w="642" w:type="pct"/>
                  <w:noWrap w:val="0"/>
                  <w:vAlign w:val="center"/>
                </w:tcPr>
                <w:p w14:paraId="48B73B0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Cs/>
                      <w:spacing w:val="-10"/>
                      <w:kern w:val="2"/>
                      <w:sz w:val="21"/>
                      <w:szCs w:val="21"/>
                      <w:lang w:val="en-US" w:eastAsia="zh-CN" w:bidi="ar-SA"/>
                    </w:rPr>
                  </w:pPr>
                  <w:r>
                    <w:rPr>
                      <w:rFonts w:hint="default" w:ascii="Times New Roman" w:hAnsi="Times New Roman" w:eastAsia="宋体" w:cs="Times New Roman"/>
                      <w:bCs/>
                      <w:spacing w:val="-10"/>
                      <w:sz w:val="21"/>
                      <w:szCs w:val="21"/>
                    </w:rPr>
                    <w:t>非正常排放原因</w:t>
                  </w:r>
                </w:p>
              </w:tc>
              <w:tc>
                <w:tcPr>
                  <w:tcW w:w="411" w:type="pct"/>
                  <w:noWrap w:val="0"/>
                  <w:vAlign w:val="center"/>
                </w:tcPr>
                <w:p w14:paraId="66953F7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污染物</w:t>
                  </w:r>
                </w:p>
              </w:tc>
              <w:tc>
                <w:tcPr>
                  <w:tcW w:w="642" w:type="pct"/>
                  <w:noWrap w:val="0"/>
                  <w:vAlign w:val="center"/>
                </w:tcPr>
                <w:p w14:paraId="341D9CC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lang w:eastAsia="zh-CN"/>
                    </w:rPr>
                  </w:pPr>
                  <w:r>
                    <w:rPr>
                      <w:rFonts w:hint="default" w:ascii="Times New Roman" w:hAnsi="Times New Roman" w:eastAsia="宋体" w:cs="Times New Roman"/>
                      <w:bCs/>
                      <w:spacing w:val="-10"/>
                      <w:sz w:val="21"/>
                      <w:szCs w:val="21"/>
                    </w:rPr>
                    <w:t>非正常排放浓度/</w:t>
                  </w:r>
                  <w:r>
                    <w:rPr>
                      <w:rFonts w:hint="default" w:ascii="Times New Roman" w:hAnsi="Times New Roman" w:eastAsia="宋体" w:cs="Times New Roman"/>
                      <w:bCs/>
                      <w:spacing w:val="-10"/>
                      <w:sz w:val="21"/>
                      <w:szCs w:val="21"/>
                      <w:lang w:val="en-US" w:eastAsia="zh-CN"/>
                    </w:rPr>
                    <w:t>(</w:t>
                  </w:r>
                  <w:r>
                    <w:rPr>
                      <w:rFonts w:hint="default" w:ascii="Times New Roman" w:hAnsi="Times New Roman" w:eastAsia="宋体" w:cs="Times New Roman"/>
                      <w:bCs/>
                      <w:spacing w:val="-10"/>
                      <w:sz w:val="21"/>
                      <w:szCs w:val="21"/>
                    </w:rPr>
                    <w:t>mg/m³</w:t>
                  </w:r>
                  <w:r>
                    <w:rPr>
                      <w:rFonts w:hint="default" w:ascii="Times New Roman" w:hAnsi="Times New Roman" w:eastAsia="宋体" w:cs="Times New Roman"/>
                      <w:bCs/>
                      <w:spacing w:val="-10"/>
                      <w:sz w:val="21"/>
                      <w:szCs w:val="21"/>
                      <w:lang w:val="en-US" w:eastAsia="zh-CN"/>
                    </w:rPr>
                    <w:t>)</w:t>
                  </w:r>
                </w:p>
              </w:tc>
              <w:tc>
                <w:tcPr>
                  <w:tcW w:w="681" w:type="pct"/>
                  <w:noWrap w:val="0"/>
                  <w:vAlign w:val="center"/>
                </w:tcPr>
                <w:p w14:paraId="2F191242">
                  <w:pPr>
                    <w:pStyle w:val="16"/>
                    <w:keepNext w:val="0"/>
                    <w:keepLines w:val="0"/>
                    <w:pageBreakBefore w:val="0"/>
                    <w:suppressLineNumbers w:val="0"/>
                    <w:kinsoku/>
                    <w:wordWrap/>
                    <w:overflowPunct/>
                    <w:topLinePunct w:val="0"/>
                    <w:autoSpaceDE/>
                    <w:autoSpaceDN/>
                    <w:bidi w:val="0"/>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非正常排放速率</w:t>
                  </w:r>
                  <w:r>
                    <w:rPr>
                      <w:rFonts w:hint="eastAsia" w:cs="Times New Roman"/>
                      <w:sz w:val="21"/>
                      <w:szCs w:val="21"/>
                      <w:lang w:val="en-US" w:eastAsia="zh-CN"/>
                    </w:rPr>
                    <w:t>（</w:t>
                  </w:r>
                  <w:r>
                    <w:rPr>
                      <w:rFonts w:hint="default" w:ascii="Times New Roman" w:hAnsi="Times New Roman" w:eastAsia="宋体" w:cs="Times New Roman"/>
                      <w:sz w:val="21"/>
                      <w:szCs w:val="21"/>
                      <w:lang w:val="en-US" w:eastAsia="zh-CN"/>
                    </w:rPr>
                    <w:t>kg/h</w:t>
                  </w:r>
                  <w:r>
                    <w:rPr>
                      <w:rFonts w:hint="eastAsia" w:cs="Times New Roman"/>
                      <w:sz w:val="21"/>
                      <w:szCs w:val="21"/>
                      <w:lang w:val="en-US" w:eastAsia="zh-CN"/>
                    </w:rPr>
                    <w:t>）</w:t>
                  </w:r>
                </w:p>
              </w:tc>
              <w:tc>
                <w:tcPr>
                  <w:tcW w:w="511" w:type="pct"/>
                  <w:noWrap w:val="0"/>
                  <w:vAlign w:val="center"/>
                </w:tcPr>
                <w:p w14:paraId="51EE8D6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单次持续时间</w:t>
                  </w:r>
                </w:p>
                <w:p w14:paraId="2399CCD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/h</w:t>
                  </w:r>
                </w:p>
              </w:tc>
              <w:tc>
                <w:tcPr>
                  <w:tcW w:w="501" w:type="pct"/>
                  <w:noWrap w:val="0"/>
                  <w:vAlign w:val="center"/>
                </w:tcPr>
                <w:p w14:paraId="24BFC7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年发生频次</w:t>
                  </w:r>
                </w:p>
                <w:p w14:paraId="2BA358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lang w:eastAsia="zh-CN"/>
                    </w:rPr>
                  </w:pPr>
                  <w:r>
                    <w:rPr>
                      <w:rFonts w:hint="default" w:ascii="Times New Roman" w:hAnsi="Times New Roman" w:eastAsia="宋体" w:cs="Times New Roman"/>
                      <w:bCs/>
                      <w:spacing w:val="-10"/>
                      <w:sz w:val="21"/>
                      <w:szCs w:val="21"/>
                      <w:lang w:eastAsia="zh-CN"/>
                    </w:rPr>
                    <w:t>次</w:t>
                  </w:r>
                  <w:r>
                    <w:rPr>
                      <w:rFonts w:hint="default" w:ascii="Times New Roman" w:hAnsi="Times New Roman" w:eastAsia="宋体" w:cs="Times New Roman"/>
                      <w:bCs/>
                      <w:spacing w:val="-10"/>
                      <w:sz w:val="21"/>
                      <w:szCs w:val="21"/>
                    </w:rPr>
                    <w:t>/</w:t>
                  </w:r>
                  <w:r>
                    <w:rPr>
                      <w:rFonts w:hint="default" w:ascii="Times New Roman" w:hAnsi="Times New Roman" w:eastAsia="宋体" w:cs="Times New Roman"/>
                      <w:bCs/>
                      <w:spacing w:val="-10"/>
                      <w:sz w:val="21"/>
                      <w:szCs w:val="21"/>
                      <w:lang w:eastAsia="zh-CN"/>
                    </w:rPr>
                    <w:t>年</w:t>
                  </w:r>
                </w:p>
              </w:tc>
              <w:tc>
                <w:tcPr>
                  <w:tcW w:w="400" w:type="pct"/>
                  <w:noWrap w:val="0"/>
                  <w:vAlign w:val="center"/>
                </w:tcPr>
                <w:p w14:paraId="41BB650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排放量</w:t>
                  </w:r>
                </w:p>
                <w:p w14:paraId="08AF3B8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lang w:eastAsia="zh-CN"/>
                    </w:rPr>
                  </w:pPr>
                  <w:r>
                    <w:rPr>
                      <w:rFonts w:hint="default" w:ascii="Times New Roman" w:hAnsi="Times New Roman" w:cs="Times New Roman"/>
                      <w:bCs/>
                      <w:spacing w:val="-10"/>
                      <w:sz w:val="21"/>
                      <w:szCs w:val="21"/>
                      <w:lang w:val="en-US" w:eastAsia="zh-CN"/>
                    </w:rPr>
                    <w:t>(</w:t>
                  </w:r>
                  <w:r>
                    <w:rPr>
                      <w:rFonts w:hint="default" w:ascii="Times New Roman" w:hAnsi="Times New Roman" w:eastAsia="宋体" w:cs="Times New Roman"/>
                      <w:bCs/>
                      <w:spacing w:val="-10"/>
                      <w:sz w:val="21"/>
                      <w:szCs w:val="21"/>
                    </w:rPr>
                    <w:t>kg</w:t>
                  </w:r>
                  <w:r>
                    <w:rPr>
                      <w:rFonts w:hint="default" w:ascii="Times New Roman" w:hAnsi="Times New Roman" w:cs="Times New Roman"/>
                      <w:bCs/>
                      <w:spacing w:val="-10"/>
                      <w:sz w:val="21"/>
                      <w:szCs w:val="21"/>
                      <w:lang w:val="en-US" w:eastAsia="zh-CN"/>
                    </w:rPr>
                    <w:t>)</w:t>
                  </w:r>
                </w:p>
              </w:tc>
              <w:tc>
                <w:tcPr>
                  <w:tcW w:w="854" w:type="pct"/>
                  <w:noWrap w:val="0"/>
                  <w:vAlign w:val="center"/>
                </w:tcPr>
                <w:p w14:paraId="3A10770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应对措施</w:t>
                  </w:r>
                </w:p>
              </w:tc>
            </w:tr>
            <w:tr w14:paraId="63D6C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353" w:type="pct"/>
                  <w:vMerge w:val="restart"/>
                  <w:noWrap w:val="0"/>
                  <w:vAlign w:val="center"/>
                </w:tcPr>
                <w:p w14:paraId="4DABF7F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lang w:val="en-US" w:eastAsia="zh-CN"/>
                    </w:rPr>
                  </w:pPr>
                  <w:r>
                    <w:rPr>
                      <w:rFonts w:hint="default" w:ascii="Times New Roman" w:hAnsi="Times New Roman" w:eastAsia="宋体" w:cs="Times New Roman"/>
                      <w:bCs/>
                      <w:spacing w:val="-10"/>
                      <w:sz w:val="21"/>
                      <w:szCs w:val="21"/>
                      <w:lang w:val="en-US" w:eastAsia="zh-CN"/>
                    </w:rPr>
                    <w:t>DA001</w:t>
                  </w:r>
                </w:p>
              </w:tc>
              <w:tc>
                <w:tcPr>
                  <w:tcW w:w="642" w:type="pct"/>
                  <w:vMerge w:val="restart"/>
                  <w:noWrap w:val="0"/>
                  <w:vAlign w:val="center"/>
                </w:tcPr>
                <w:p w14:paraId="621AC07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Cs/>
                      <w:spacing w:val="-10"/>
                      <w:kern w:val="2"/>
                      <w:sz w:val="21"/>
                      <w:szCs w:val="21"/>
                      <w:lang w:val="en-US" w:eastAsia="zh-CN" w:bidi="ar-SA"/>
                    </w:rPr>
                  </w:pPr>
                  <w:r>
                    <w:rPr>
                      <w:rFonts w:hint="eastAsia" w:ascii="Times New Roman" w:hAnsi="Times New Roman" w:eastAsia="宋体" w:cs="Times New Roman"/>
                      <w:bCs/>
                      <w:spacing w:val="-10"/>
                      <w:sz w:val="21"/>
                      <w:szCs w:val="21"/>
                      <w:lang w:eastAsia="zh-CN"/>
                    </w:rPr>
                    <w:t>环保设施失效</w:t>
                  </w:r>
                  <w:r>
                    <w:rPr>
                      <w:rFonts w:hint="default" w:ascii="Times New Roman" w:hAnsi="Times New Roman" w:eastAsia="宋体" w:cs="Times New Roman"/>
                      <w:bCs/>
                      <w:spacing w:val="-10"/>
                      <w:sz w:val="21"/>
                      <w:szCs w:val="21"/>
                      <w:lang w:eastAsia="zh-CN"/>
                    </w:rPr>
                    <w:t>，</w:t>
                  </w:r>
                  <w:r>
                    <w:rPr>
                      <w:rFonts w:hint="eastAsia" w:ascii="Times New Roman" w:hAnsi="Times New Roman" w:eastAsia="宋体" w:cs="Times New Roman"/>
                      <w:bCs/>
                      <w:spacing w:val="-10"/>
                      <w:sz w:val="21"/>
                      <w:szCs w:val="21"/>
                      <w:lang w:eastAsia="zh-CN"/>
                    </w:rPr>
                    <w:t>除臭效率为</w:t>
                  </w:r>
                  <w:r>
                    <w:rPr>
                      <w:rFonts w:hint="default" w:ascii="Times New Roman" w:hAnsi="Times New Roman" w:eastAsia="宋体" w:cs="Times New Roman"/>
                      <w:bCs/>
                      <w:spacing w:val="-10"/>
                      <w:sz w:val="21"/>
                      <w:szCs w:val="21"/>
                      <w:lang w:val="en-US" w:eastAsia="zh-CN"/>
                    </w:rPr>
                    <w:t>0</w:t>
                  </w:r>
                  <w:r>
                    <w:rPr>
                      <w:rFonts w:hint="default" w:ascii="Times New Roman" w:hAnsi="Times New Roman" w:eastAsia="宋体" w:cs="Times New Roman"/>
                      <w:bCs/>
                      <w:spacing w:val="-10"/>
                      <w:sz w:val="21"/>
                      <w:szCs w:val="21"/>
                      <w:lang w:eastAsia="zh-CN"/>
                    </w:rPr>
                    <w:t>%</w:t>
                  </w:r>
                </w:p>
              </w:tc>
              <w:tc>
                <w:tcPr>
                  <w:tcW w:w="411" w:type="pct"/>
                  <w:noWrap w:val="0"/>
                  <w:vAlign w:val="center"/>
                </w:tcPr>
                <w:p w14:paraId="267932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kern w:val="2"/>
                      <w:sz w:val="21"/>
                      <w:szCs w:val="21"/>
                      <w:lang w:val="en-US" w:eastAsia="zh-CN" w:bidi="ar-SA"/>
                    </w:rPr>
                  </w:pPr>
                  <w:r>
                    <w:rPr>
                      <w:bCs/>
                      <w:spacing w:val="-10"/>
                      <w:szCs w:val="21"/>
                    </w:rPr>
                    <w:t>硫化氢</w:t>
                  </w:r>
                </w:p>
              </w:tc>
              <w:tc>
                <w:tcPr>
                  <w:tcW w:w="642" w:type="pct"/>
                  <w:noWrap w:val="0"/>
                  <w:vAlign w:val="center"/>
                </w:tcPr>
                <w:p w14:paraId="48B8A5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kern w:val="2"/>
                      <w:sz w:val="21"/>
                      <w:szCs w:val="21"/>
                      <w:lang w:val="en-US" w:eastAsia="zh-CN" w:bidi="ar-SA"/>
                    </w:rPr>
                  </w:pPr>
                  <w:r>
                    <w:rPr>
                      <w:rFonts w:hint="eastAsia"/>
                      <w:bCs/>
                      <w:spacing w:val="-10"/>
                      <w:szCs w:val="21"/>
                      <w:lang w:val="en-US" w:eastAsia="zh-CN"/>
                    </w:rPr>
                    <w:t>5.1</w:t>
                  </w:r>
                </w:p>
              </w:tc>
              <w:tc>
                <w:tcPr>
                  <w:tcW w:w="1130" w:type="dxa"/>
                  <w:noWrap w:val="0"/>
                  <w:vAlign w:val="center"/>
                </w:tcPr>
                <w:p w14:paraId="790220A8">
                  <w:pPr>
                    <w:pStyle w:val="56"/>
                    <w:ind w:firstLine="0" w:firstLineChars="0"/>
                    <w:rPr>
                      <w:rFonts w:hint="default" w:ascii="Times New Roman" w:hAnsi="Times New Roman" w:eastAsia="宋体" w:cs="Times New Roman"/>
                      <w:bCs/>
                      <w:spacing w:val="-10"/>
                      <w:sz w:val="21"/>
                      <w:szCs w:val="21"/>
                      <w:lang w:val="en-US" w:eastAsia="zh-CN"/>
                    </w:rPr>
                  </w:pPr>
                  <w:r>
                    <w:rPr>
                      <w:rFonts w:hint="eastAsia" w:ascii="Calibri" w:hAnsi="Calibri" w:cs="Calibri"/>
                      <w:color w:val="auto"/>
                      <w:sz w:val="21"/>
                      <w:szCs w:val="21"/>
                      <w:lang w:val="en-US" w:eastAsia="zh-CN"/>
                    </w:rPr>
                    <w:t>0.051</w:t>
                  </w:r>
                </w:p>
              </w:tc>
              <w:tc>
                <w:tcPr>
                  <w:tcW w:w="511" w:type="pct"/>
                  <w:vMerge w:val="restart"/>
                  <w:noWrap w:val="0"/>
                  <w:vAlign w:val="center"/>
                </w:tcPr>
                <w:p w14:paraId="2E3190F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lang w:val="en-US" w:eastAsia="zh-CN"/>
                    </w:rPr>
                  </w:pPr>
                  <w:r>
                    <w:rPr>
                      <w:rFonts w:hint="default" w:ascii="Times New Roman" w:hAnsi="Times New Roman" w:eastAsia="宋体" w:cs="Times New Roman"/>
                      <w:bCs/>
                      <w:spacing w:val="-10"/>
                      <w:sz w:val="21"/>
                      <w:szCs w:val="21"/>
                      <w:lang w:val="en-US" w:eastAsia="zh-CN"/>
                    </w:rPr>
                    <w:t>1</w:t>
                  </w:r>
                </w:p>
              </w:tc>
              <w:tc>
                <w:tcPr>
                  <w:tcW w:w="501" w:type="pct"/>
                  <w:vMerge w:val="restart"/>
                  <w:noWrap w:val="0"/>
                  <w:vAlign w:val="center"/>
                </w:tcPr>
                <w:p w14:paraId="6CC0CA0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lang w:val="en-US" w:eastAsia="zh-CN"/>
                    </w:rPr>
                  </w:pPr>
                  <w:r>
                    <w:rPr>
                      <w:rFonts w:hint="eastAsia" w:cs="Times New Roman"/>
                      <w:bCs/>
                      <w:spacing w:val="-10"/>
                      <w:sz w:val="21"/>
                      <w:szCs w:val="21"/>
                      <w:lang w:val="en-US" w:eastAsia="zh-CN"/>
                    </w:rPr>
                    <w:t>1</w:t>
                  </w:r>
                </w:p>
              </w:tc>
              <w:tc>
                <w:tcPr>
                  <w:tcW w:w="664" w:type="dxa"/>
                  <w:noWrap w:val="0"/>
                  <w:vAlign w:val="center"/>
                </w:tcPr>
                <w:p w14:paraId="197B8D84">
                  <w:pPr>
                    <w:pStyle w:val="56"/>
                    <w:ind w:firstLine="0" w:firstLineChars="0"/>
                    <w:rPr>
                      <w:rFonts w:hint="default" w:ascii="Times New Roman" w:hAnsi="Times New Roman" w:eastAsia="宋体" w:cs="Times New Roman"/>
                      <w:bCs/>
                      <w:spacing w:val="-10"/>
                      <w:sz w:val="21"/>
                      <w:szCs w:val="21"/>
                      <w:lang w:val="en-US" w:eastAsia="zh-CN"/>
                    </w:rPr>
                  </w:pPr>
                  <w:r>
                    <w:rPr>
                      <w:rFonts w:hint="eastAsia" w:ascii="Calibri" w:hAnsi="Calibri" w:cs="Calibri"/>
                      <w:color w:val="auto"/>
                      <w:sz w:val="21"/>
                      <w:szCs w:val="21"/>
                      <w:lang w:val="en-US" w:eastAsia="zh-CN"/>
                    </w:rPr>
                    <w:t>0.051</w:t>
                  </w:r>
                </w:p>
              </w:tc>
              <w:tc>
                <w:tcPr>
                  <w:tcW w:w="854" w:type="pct"/>
                  <w:vMerge w:val="restart"/>
                  <w:noWrap w:val="0"/>
                  <w:vAlign w:val="center"/>
                </w:tcPr>
                <w:p w14:paraId="6DBE8F6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rPr>
                  </w:pPr>
                  <w:r>
                    <w:rPr>
                      <w:rFonts w:hint="default" w:ascii="Times New Roman" w:hAnsi="Times New Roman" w:cs="Times New Roman"/>
                      <w:bCs/>
                      <w:spacing w:val="-10"/>
                      <w:sz w:val="21"/>
                      <w:szCs w:val="21"/>
                      <w:lang w:eastAsia="zh-CN"/>
                    </w:rPr>
                    <w:t>第一时间维修、停止</w:t>
                  </w:r>
                  <w:r>
                    <w:rPr>
                      <w:rFonts w:hint="eastAsia" w:cs="Times New Roman"/>
                      <w:bCs/>
                      <w:spacing w:val="-10"/>
                      <w:sz w:val="21"/>
                      <w:szCs w:val="21"/>
                      <w:lang w:val="en-US" w:eastAsia="zh-CN"/>
                    </w:rPr>
                    <w:t>运行</w:t>
                  </w:r>
                  <w:r>
                    <w:rPr>
                      <w:rFonts w:hint="default" w:ascii="Times New Roman" w:hAnsi="Times New Roman" w:eastAsia="宋体" w:cs="Times New Roman"/>
                      <w:bCs/>
                      <w:spacing w:val="-10"/>
                      <w:sz w:val="21"/>
                      <w:szCs w:val="21"/>
                    </w:rPr>
                    <w:t>，待设备正常后恢复生产</w:t>
                  </w:r>
                </w:p>
              </w:tc>
            </w:tr>
            <w:tr w14:paraId="1B0B6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noWrap w:val="0"/>
                  <w:vAlign w:val="center"/>
                </w:tcPr>
                <w:p w14:paraId="431A58A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lang w:val="en-US" w:eastAsia="zh-CN"/>
                    </w:rPr>
                  </w:pPr>
                </w:p>
              </w:tc>
              <w:tc>
                <w:tcPr>
                  <w:tcW w:w="642" w:type="pct"/>
                  <w:vMerge w:val="continue"/>
                  <w:noWrap w:val="0"/>
                  <w:vAlign w:val="center"/>
                </w:tcPr>
                <w:p w14:paraId="2678702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bCs/>
                      <w:spacing w:val="-10"/>
                      <w:sz w:val="21"/>
                      <w:szCs w:val="21"/>
                      <w:lang w:eastAsia="zh-CN"/>
                    </w:rPr>
                  </w:pPr>
                </w:p>
              </w:tc>
              <w:tc>
                <w:tcPr>
                  <w:tcW w:w="411" w:type="pct"/>
                  <w:noWrap w:val="0"/>
                  <w:vAlign w:val="center"/>
                </w:tcPr>
                <w:p w14:paraId="2FE2FC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sz w:val="21"/>
                      <w:szCs w:val="21"/>
                      <w:vertAlign w:val="baseline"/>
                    </w:rPr>
                  </w:pPr>
                  <w:r>
                    <w:rPr>
                      <w:bCs/>
                      <w:spacing w:val="-10"/>
                      <w:szCs w:val="21"/>
                    </w:rPr>
                    <w:t>氨</w:t>
                  </w:r>
                </w:p>
              </w:tc>
              <w:tc>
                <w:tcPr>
                  <w:tcW w:w="642" w:type="pct"/>
                  <w:noWrap w:val="0"/>
                  <w:vAlign w:val="center"/>
                </w:tcPr>
                <w:p w14:paraId="506378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spacing w:val="-10"/>
                      <w:sz w:val="21"/>
                      <w:szCs w:val="21"/>
                      <w:lang w:val="en-US" w:eastAsia="zh-CN"/>
                    </w:rPr>
                  </w:pPr>
                  <w:r>
                    <w:rPr>
                      <w:rFonts w:hint="eastAsia" w:cs="Times New Roman"/>
                      <w:bCs/>
                      <w:spacing w:val="-10"/>
                      <w:sz w:val="21"/>
                      <w:szCs w:val="21"/>
                      <w:lang w:val="en-US" w:eastAsia="zh-CN"/>
                    </w:rPr>
                    <w:t>4.2</w:t>
                  </w:r>
                </w:p>
              </w:tc>
              <w:tc>
                <w:tcPr>
                  <w:tcW w:w="1130" w:type="dxa"/>
                  <w:noWrap w:val="0"/>
                  <w:vAlign w:val="center"/>
                </w:tcPr>
                <w:p w14:paraId="5028F0E1">
                  <w:pPr>
                    <w:pStyle w:val="56"/>
                    <w:ind w:firstLine="0" w:firstLineChars="0"/>
                    <w:rPr>
                      <w:rFonts w:hint="default" w:ascii="Times New Roman" w:hAnsi="Times New Roman" w:cs="Times New Roman"/>
                      <w:bCs/>
                      <w:spacing w:val="-10"/>
                      <w:sz w:val="21"/>
                      <w:szCs w:val="21"/>
                      <w:lang w:val="en-US" w:eastAsia="zh-CN"/>
                    </w:rPr>
                  </w:pPr>
                  <w:r>
                    <w:rPr>
                      <w:rFonts w:hint="eastAsia" w:ascii="Calibri" w:hAnsi="Calibri" w:cs="Calibri"/>
                      <w:color w:val="auto"/>
                      <w:sz w:val="21"/>
                      <w:szCs w:val="21"/>
                      <w:lang w:val="en-US" w:eastAsia="zh-CN"/>
                    </w:rPr>
                    <w:t>0.042</w:t>
                  </w:r>
                </w:p>
              </w:tc>
              <w:tc>
                <w:tcPr>
                  <w:tcW w:w="511" w:type="pct"/>
                  <w:vMerge w:val="continue"/>
                  <w:noWrap w:val="0"/>
                  <w:vAlign w:val="center"/>
                </w:tcPr>
                <w:p w14:paraId="47E8230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lang w:val="en-US" w:eastAsia="zh-CN"/>
                    </w:rPr>
                  </w:pPr>
                </w:p>
              </w:tc>
              <w:tc>
                <w:tcPr>
                  <w:tcW w:w="501" w:type="pct"/>
                  <w:vMerge w:val="continue"/>
                  <w:noWrap w:val="0"/>
                  <w:vAlign w:val="center"/>
                </w:tcPr>
                <w:p w14:paraId="739E5DE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Cs/>
                      <w:spacing w:val="-10"/>
                      <w:sz w:val="21"/>
                      <w:szCs w:val="21"/>
                      <w:lang w:val="en-US" w:eastAsia="zh-CN"/>
                    </w:rPr>
                  </w:pPr>
                </w:p>
              </w:tc>
              <w:tc>
                <w:tcPr>
                  <w:tcW w:w="664" w:type="dxa"/>
                  <w:noWrap w:val="0"/>
                  <w:vAlign w:val="center"/>
                </w:tcPr>
                <w:p w14:paraId="54F1E909">
                  <w:pPr>
                    <w:pStyle w:val="56"/>
                    <w:ind w:firstLine="0" w:firstLineChars="0"/>
                    <w:rPr>
                      <w:rFonts w:hint="default" w:ascii="Times New Roman" w:hAnsi="Times New Roman" w:cs="Times New Roman"/>
                      <w:bCs/>
                      <w:spacing w:val="-10"/>
                      <w:sz w:val="21"/>
                      <w:szCs w:val="21"/>
                      <w:lang w:val="en-US" w:eastAsia="zh-CN"/>
                    </w:rPr>
                  </w:pPr>
                  <w:r>
                    <w:rPr>
                      <w:rFonts w:hint="eastAsia" w:ascii="Calibri" w:hAnsi="Calibri" w:cs="Calibri"/>
                      <w:color w:val="auto"/>
                      <w:sz w:val="21"/>
                      <w:szCs w:val="21"/>
                      <w:lang w:val="en-US" w:eastAsia="zh-CN"/>
                    </w:rPr>
                    <w:t>0.042</w:t>
                  </w:r>
                </w:p>
              </w:tc>
              <w:tc>
                <w:tcPr>
                  <w:tcW w:w="854" w:type="pct"/>
                  <w:vMerge w:val="continue"/>
                  <w:noWrap w:val="0"/>
                  <w:vAlign w:val="center"/>
                </w:tcPr>
                <w:p w14:paraId="1995FB1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cs="Times New Roman"/>
                      <w:bCs/>
                      <w:spacing w:val="-10"/>
                      <w:sz w:val="21"/>
                      <w:szCs w:val="21"/>
                      <w:lang w:eastAsia="zh-CN"/>
                    </w:rPr>
                  </w:pPr>
                </w:p>
              </w:tc>
            </w:tr>
          </w:tbl>
          <w:p w14:paraId="4C11E6F0">
            <w:pPr>
              <w:spacing w:line="360" w:lineRule="auto"/>
              <w:ind w:firstLine="480" w:firstLineChars="200"/>
              <w:rPr>
                <w:sz w:val="24"/>
              </w:rPr>
            </w:pPr>
            <w:r>
              <w:rPr>
                <w:sz w:val="24"/>
              </w:rPr>
              <w:t>为防止</w:t>
            </w:r>
            <w:r>
              <w:rPr>
                <w:rFonts w:hint="eastAsia"/>
                <w:sz w:val="24"/>
                <w:lang w:eastAsia="zh-CN"/>
              </w:rPr>
              <w:t>废气</w:t>
            </w:r>
            <w:r>
              <w:rPr>
                <w:sz w:val="24"/>
              </w:rPr>
              <w:t>非正常工况排放，企业必须加强除臭设施的管理，定期检修，确保正常运行，在废气处理设施停止运行或出现故障时，</w:t>
            </w:r>
          </w:p>
          <w:p w14:paraId="5F20F130">
            <w:pPr>
              <w:spacing w:line="360" w:lineRule="auto"/>
              <w:ind w:firstLine="480" w:firstLineChars="200"/>
              <w:rPr>
                <w:rFonts w:hint="eastAsia"/>
                <w:sz w:val="24"/>
              </w:rPr>
            </w:pPr>
            <w:r>
              <w:rPr>
                <w:sz w:val="24"/>
              </w:rPr>
              <w:t>产生废气的各工序也必须相应停止生产。为杜绝废气非正常排放，应采取以下措施确保废气达标排放</w:t>
            </w:r>
            <w:r>
              <w:rPr>
                <w:rFonts w:hint="eastAsia"/>
                <w:sz w:val="24"/>
              </w:rPr>
              <w:t>；</w:t>
            </w:r>
          </w:p>
          <w:p w14:paraId="2F248E61">
            <w:pPr>
              <w:spacing w:line="360" w:lineRule="auto"/>
              <w:ind w:firstLine="480" w:firstLineChars="200"/>
              <w:rPr>
                <w:rFonts w:hint="eastAsia"/>
                <w:sz w:val="24"/>
              </w:rPr>
            </w:pPr>
            <w:r>
              <w:rPr>
                <w:sz w:val="24"/>
              </w:rPr>
              <w:t>①安排专人负责环保设备的日常维护和管理，</w:t>
            </w:r>
            <w:r>
              <w:rPr>
                <w:rFonts w:hint="eastAsia"/>
                <w:sz w:val="24"/>
                <w:lang w:eastAsia="zh-CN"/>
              </w:rPr>
              <w:t>每隔</w:t>
            </w:r>
            <w:r>
              <w:rPr>
                <w:sz w:val="24"/>
              </w:rPr>
              <w:t>固定时间检查、汇报情况，及时发现废气处理设备的隐患，确保废气处理系统正常运行</w:t>
            </w:r>
            <w:r>
              <w:rPr>
                <w:rFonts w:hint="eastAsia"/>
                <w:sz w:val="24"/>
              </w:rPr>
              <w:t>；</w:t>
            </w:r>
          </w:p>
          <w:p w14:paraId="4452E258">
            <w:pPr>
              <w:spacing w:line="360" w:lineRule="auto"/>
              <w:ind w:firstLine="480" w:firstLineChars="200"/>
              <w:rPr>
                <w:rFonts w:hint="eastAsia"/>
                <w:sz w:val="24"/>
              </w:rPr>
            </w:pPr>
            <w:r>
              <w:rPr>
                <w:sz w:val="24"/>
              </w:rPr>
              <w:t>②建立健全的环保管理机构</w:t>
            </w:r>
            <w:r>
              <w:rPr>
                <w:rFonts w:hint="eastAsia"/>
                <w:sz w:val="24"/>
                <w:lang w:eastAsia="zh-CN"/>
              </w:rPr>
              <w:t>，</w:t>
            </w:r>
            <w:r>
              <w:rPr>
                <w:sz w:val="24"/>
              </w:rPr>
              <w:t>对环保管理人员和技术人员进行岗位培训，委托具有专业资质的环境检测单位对项目排放的各类污染物进行定期检测</w:t>
            </w:r>
            <w:r>
              <w:rPr>
                <w:rFonts w:hint="eastAsia"/>
                <w:sz w:val="24"/>
              </w:rPr>
              <w:t>；</w:t>
            </w:r>
          </w:p>
          <w:p w14:paraId="42EB7FD6">
            <w:pPr>
              <w:spacing w:line="360" w:lineRule="auto"/>
              <w:ind w:firstLine="480" w:firstLineChars="200"/>
              <w:rPr>
                <w:rFonts w:hint="eastAsia"/>
                <w:sz w:val="24"/>
              </w:rPr>
            </w:pPr>
            <w:r>
              <w:rPr>
                <w:rFonts w:hint="eastAsia"/>
                <w:sz w:val="24"/>
              </w:rPr>
              <w:t>③应定期维护、检修</w:t>
            </w:r>
            <w:r>
              <w:rPr>
                <w:rFonts w:hint="eastAsia"/>
                <w:sz w:val="24"/>
                <w:lang w:eastAsia="zh-CN"/>
              </w:rPr>
              <w:t>除臭</w:t>
            </w:r>
            <w:r>
              <w:rPr>
                <w:rFonts w:hint="eastAsia"/>
                <w:sz w:val="24"/>
              </w:rPr>
              <w:t>设施，以保持废气处理设施的净化能力和净化容量。</w:t>
            </w:r>
          </w:p>
          <w:p w14:paraId="3E52F5DD">
            <w:pPr>
              <w:spacing w:line="360" w:lineRule="auto"/>
              <w:ind w:firstLine="482" w:firstLineChars="200"/>
              <w:rPr>
                <w:rFonts w:ascii="宋体" w:hAnsi="宋体" w:cs="宋体"/>
                <w:b/>
                <w:bCs/>
                <w:sz w:val="24"/>
              </w:rPr>
            </w:pPr>
            <w:r>
              <w:rPr>
                <w:rFonts w:hint="eastAsia" w:ascii="宋体" w:hAnsi="宋体" w:cs="宋体"/>
                <w:b/>
                <w:bCs/>
                <w:sz w:val="24"/>
                <w:lang w:val="en-US" w:eastAsia="zh-CN"/>
              </w:rPr>
              <w:t>3.</w:t>
            </w:r>
            <w:r>
              <w:rPr>
                <w:rFonts w:hint="default" w:ascii="Times New Roman" w:hAnsi="Times New Roman" w:cs="Times New Roman"/>
                <w:b/>
                <w:bCs/>
                <w:sz w:val="24"/>
                <w:lang w:val="en-US" w:eastAsia="zh-CN"/>
              </w:rPr>
              <w:t>废气污染源源强核算</w:t>
            </w:r>
          </w:p>
          <w:p w14:paraId="36120DD8">
            <w:pPr>
              <w:spacing w:line="360" w:lineRule="auto"/>
              <w:ind w:firstLine="480" w:firstLineChars="200"/>
              <w:rPr>
                <w:rFonts w:hint="eastAsia"/>
                <w:bCs/>
                <w:sz w:val="24"/>
              </w:rPr>
            </w:pPr>
            <w:r>
              <w:rPr>
                <w:rFonts w:hint="eastAsia"/>
                <w:bCs/>
                <w:sz w:val="24"/>
              </w:rPr>
              <w:t>污水处理工程主要的废气污染源项为污水处理构筑物排放的恶臭污染物，主要成分为H</w:t>
            </w:r>
            <w:r>
              <w:rPr>
                <w:rFonts w:hint="eastAsia"/>
                <w:bCs/>
                <w:sz w:val="24"/>
                <w:vertAlign w:val="subscript"/>
              </w:rPr>
              <w:t>2</w:t>
            </w:r>
            <w:r>
              <w:rPr>
                <w:rFonts w:hint="eastAsia"/>
                <w:bCs/>
                <w:sz w:val="24"/>
              </w:rPr>
              <w:t>S、NH</w:t>
            </w:r>
            <w:r>
              <w:rPr>
                <w:rFonts w:hint="eastAsia"/>
                <w:bCs/>
                <w:sz w:val="24"/>
                <w:vertAlign w:val="subscript"/>
              </w:rPr>
              <w:t>3</w:t>
            </w:r>
            <w:r>
              <w:rPr>
                <w:rFonts w:hint="eastAsia"/>
                <w:bCs/>
                <w:sz w:val="24"/>
              </w:rPr>
              <w:t>。</w:t>
            </w:r>
          </w:p>
          <w:p w14:paraId="5100A0FD">
            <w:pPr>
              <w:spacing w:before="120" w:beforeLines="50"/>
              <w:ind w:firstLine="482" w:firstLineChars="200"/>
              <w:jc w:val="center"/>
              <w:rPr>
                <w:rFonts w:hint="eastAsia"/>
                <w:b/>
                <w:bCs/>
                <w:sz w:val="24"/>
              </w:rPr>
            </w:pPr>
            <w:r>
              <w:rPr>
                <w:rFonts w:hint="eastAsia"/>
                <w:b/>
                <w:bCs/>
                <w:sz w:val="24"/>
              </w:rPr>
              <w:t>表</w:t>
            </w:r>
            <w:r>
              <w:rPr>
                <w:rFonts w:hint="eastAsia"/>
                <w:b/>
                <w:bCs/>
                <w:sz w:val="24"/>
                <w:lang w:val="en-US" w:eastAsia="zh-CN"/>
              </w:rPr>
              <w:t>4-7</w:t>
            </w:r>
            <w:r>
              <w:rPr>
                <w:rFonts w:hint="eastAsia"/>
                <w:b/>
                <w:bCs/>
                <w:sz w:val="24"/>
              </w:rPr>
              <w:t xml:space="preserve">    废气污染源源强核算结果一览表</w:t>
            </w:r>
          </w:p>
          <w:tbl>
            <w:tblPr>
              <w:tblStyle w:val="23"/>
              <w:tblpPr w:leftFromText="180" w:rightFromText="180" w:vertAnchor="text" w:tblpXSpec="left"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
              <w:gridCol w:w="361"/>
              <w:gridCol w:w="361"/>
              <w:gridCol w:w="361"/>
              <w:gridCol w:w="462"/>
              <w:gridCol w:w="578"/>
              <w:gridCol w:w="853"/>
              <w:gridCol w:w="563"/>
              <w:gridCol w:w="485"/>
              <w:gridCol w:w="485"/>
              <w:gridCol w:w="364"/>
              <w:gridCol w:w="661"/>
              <w:gridCol w:w="678"/>
              <w:gridCol w:w="711"/>
              <w:gridCol w:w="578"/>
              <w:gridCol w:w="436"/>
            </w:tblGrid>
            <w:tr w14:paraId="6E02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7" w:type="pct"/>
                  <w:vMerge w:val="restart"/>
                  <w:noWrap w:val="0"/>
                  <w:vAlign w:val="center"/>
                </w:tcPr>
                <w:p w14:paraId="414387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eastAsia="zh-CN"/>
                    </w:rPr>
                  </w:pPr>
                  <w:r>
                    <w:rPr>
                      <w:rFonts w:hint="default" w:ascii="Times New Roman" w:hAnsi="Times New Roman" w:cs="Times New Roman"/>
                      <w:b w:val="0"/>
                      <w:bCs w:val="0"/>
                      <w:color w:val="auto"/>
                      <w:sz w:val="21"/>
                      <w:szCs w:val="21"/>
                      <w:vertAlign w:val="baseline"/>
                      <w:lang w:eastAsia="zh-CN"/>
                    </w:rPr>
                    <w:t>序号</w:t>
                  </w:r>
                </w:p>
              </w:tc>
              <w:tc>
                <w:tcPr>
                  <w:tcW w:w="217" w:type="pct"/>
                  <w:vMerge w:val="restart"/>
                  <w:noWrap w:val="0"/>
                  <w:vAlign w:val="center"/>
                </w:tcPr>
                <w:p w14:paraId="32F549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eastAsia="zh-CN"/>
                    </w:rPr>
                  </w:pPr>
                  <w:r>
                    <w:rPr>
                      <w:rFonts w:hint="default" w:ascii="Times New Roman" w:hAnsi="Times New Roman" w:cs="Times New Roman"/>
                      <w:b w:val="0"/>
                      <w:bCs w:val="0"/>
                      <w:color w:val="auto"/>
                      <w:sz w:val="21"/>
                      <w:szCs w:val="21"/>
                      <w:vertAlign w:val="baseline"/>
                      <w:lang w:eastAsia="zh-CN"/>
                    </w:rPr>
                    <w:t>产排污环节</w:t>
                  </w:r>
                </w:p>
              </w:tc>
              <w:tc>
                <w:tcPr>
                  <w:tcW w:w="217" w:type="pct"/>
                  <w:vMerge w:val="restart"/>
                  <w:noWrap w:val="0"/>
                  <w:vAlign w:val="center"/>
                </w:tcPr>
                <w:p w14:paraId="03EC2B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eastAsia="zh-CN"/>
                    </w:rPr>
                  </w:pPr>
                  <w:r>
                    <w:rPr>
                      <w:rFonts w:hint="default" w:ascii="Times New Roman" w:hAnsi="Times New Roman" w:cs="Times New Roman"/>
                      <w:b w:val="0"/>
                      <w:bCs w:val="0"/>
                      <w:color w:val="auto"/>
                      <w:sz w:val="21"/>
                      <w:szCs w:val="21"/>
                      <w:vertAlign w:val="baseline"/>
                      <w:lang w:eastAsia="zh-CN"/>
                    </w:rPr>
                    <w:t>污染物种类</w:t>
                  </w:r>
                </w:p>
              </w:tc>
              <w:tc>
                <w:tcPr>
                  <w:tcW w:w="217" w:type="pct"/>
                  <w:vMerge w:val="restart"/>
                  <w:noWrap w:val="0"/>
                  <w:vAlign w:val="center"/>
                </w:tcPr>
                <w:p w14:paraId="223D27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eastAsia="zh-CN"/>
                    </w:rPr>
                  </w:pPr>
                  <w:r>
                    <w:rPr>
                      <w:rFonts w:hint="default" w:ascii="Times New Roman" w:hAnsi="Times New Roman" w:cs="Times New Roman"/>
                      <w:b w:val="0"/>
                      <w:bCs w:val="0"/>
                      <w:color w:val="auto"/>
                      <w:sz w:val="21"/>
                      <w:szCs w:val="21"/>
                      <w:vertAlign w:val="baseline"/>
                      <w:lang w:eastAsia="zh-CN"/>
                    </w:rPr>
                    <w:t>排放形式</w:t>
                  </w:r>
                </w:p>
              </w:tc>
              <w:tc>
                <w:tcPr>
                  <w:tcW w:w="278" w:type="pct"/>
                  <w:vMerge w:val="restart"/>
                  <w:noWrap w:val="0"/>
                  <w:vAlign w:val="center"/>
                </w:tcPr>
                <w:p w14:paraId="455751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cs="Times New Roman"/>
                      <w:b w:val="0"/>
                      <w:bCs w:val="0"/>
                      <w:color w:val="auto"/>
                      <w:sz w:val="21"/>
                      <w:szCs w:val="21"/>
                      <w:vertAlign w:val="baseline"/>
                      <w:lang w:eastAsia="zh-CN"/>
                    </w:rPr>
                    <w:t>污染物产生量</w:t>
                  </w:r>
                  <w:r>
                    <w:rPr>
                      <w:rFonts w:hint="eastAsia" w:ascii="Times New Roman" w:hAnsi="Times New Roman" w:cs="Times New Roman"/>
                      <w:b w:val="0"/>
                      <w:bCs w:val="0"/>
                      <w:color w:val="auto"/>
                      <w:sz w:val="21"/>
                      <w:szCs w:val="21"/>
                      <w:vertAlign w:val="baseline"/>
                      <w:lang w:eastAsia="zh-CN"/>
                    </w:rPr>
                    <w:t>（</w:t>
                  </w:r>
                  <w:r>
                    <w:rPr>
                      <w:rFonts w:hint="default" w:ascii="Times New Roman" w:hAnsi="Times New Roman" w:cs="Times New Roman"/>
                      <w:b w:val="0"/>
                      <w:bCs w:val="0"/>
                      <w:color w:val="auto"/>
                      <w:sz w:val="21"/>
                      <w:szCs w:val="21"/>
                      <w:vertAlign w:val="baseline"/>
                      <w:lang w:val="en-US" w:eastAsia="zh-CN"/>
                    </w:rPr>
                    <w:t>t/a</w:t>
                  </w:r>
                  <w:r>
                    <w:rPr>
                      <w:rFonts w:hint="eastAsia" w:ascii="Times New Roman" w:hAnsi="Times New Roman" w:cs="Times New Roman"/>
                      <w:b w:val="0"/>
                      <w:bCs w:val="0"/>
                      <w:color w:val="auto"/>
                      <w:sz w:val="21"/>
                      <w:szCs w:val="21"/>
                      <w:vertAlign w:val="baseline"/>
                      <w:lang w:val="en-US" w:eastAsia="zh-CN"/>
                    </w:rPr>
                    <w:t>）</w:t>
                  </w:r>
                </w:p>
              </w:tc>
              <w:tc>
                <w:tcPr>
                  <w:tcW w:w="348" w:type="pct"/>
                  <w:vMerge w:val="restart"/>
                  <w:noWrap w:val="0"/>
                  <w:vAlign w:val="center"/>
                </w:tcPr>
                <w:p w14:paraId="6E3AC3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eastAsia="zh-CN"/>
                    </w:rPr>
                    <w:t>污染物产生速率</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kg/h</w:t>
                  </w:r>
                  <w:r>
                    <w:rPr>
                      <w:rFonts w:hint="eastAsia" w:ascii="Times New Roman" w:hAnsi="Times New Roman" w:cs="Times New Roman"/>
                      <w:color w:val="auto"/>
                      <w:sz w:val="21"/>
                      <w:szCs w:val="21"/>
                      <w:lang w:val="en-US" w:eastAsia="zh-CN"/>
                    </w:rPr>
                    <w:t>）</w:t>
                  </w:r>
                </w:p>
              </w:tc>
              <w:tc>
                <w:tcPr>
                  <w:tcW w:w="513" w:type="pct"/>
                  <w:vMerge w:val="restart"/>
                  <w:noWrap w:val="0"/>
                  <w:vAlign w:val="center"/>
                </w:tcPr>
                <w:p w14:paraId="36549B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污染物产生浓度</w:t>
                  </w:r>
                </w:p>
                <w:p w14:paraId="387F621A">
                  <w:pPr>
                    <w:pStyle w:val="1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right="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b w:val="0"/>
                      <w:bCs w:val="0"/>
                      <w:color w:val="auto"/>
                      <w:sz w:val="21"/>
                      <w:szCs w:val="21"/>
                      <w:vertAlign w:val="baseline"/>
                      <w:lang w:val="en-US" w:eastAsia="zh-CN"/>
                    </w:rPr>
                    <w:t>(mg/m</w:t>
                  </w:r>
                  <w:r>
                    <w:rPr>
                      <w:rFonts w:hint="default" w:ascii="Times New Roman" w:hAnsi="Times New Roman" w:cs="Times New Roman"/>
                      <w:b w:val="0"/>
                      <w:bCs w:val="0"/>
                      <w:color w:val="auto"/>
                      <w:sz w:val="21"/>
                      <w:szCs w:val="21"/>
                      <w:vertAlign w:val="superscript"/>
                      <w:lang w:val="en-US" w:eastAsia="zh-CN"/>
                    </w:rPr>
                    <w:t>3</w:t>
                  </w:r>
                  <w:r>
                    <w:rPr>
                      <w:rFonts w:hint="default" w:ascii="Times New Roman" w:hAnsi="Times New Roman" w:cs="Times New Roman"/>
                      <w:b w:val="0"/>
                      <w:bCs w:val="0"/>
                      <w:color w:val="auto"/>
                      <w:sz w:val="21"/>
                      <w:szCs w:val="21"/>
                      <w:vertAlign w:val="baseline"/>
                      <w:lang w:val="en-US" w:eastAsia="zh-CN"/>
                    </w:rPr>
                    <w:t>)</w:t>
                  </w:r>
                </w:p>
              </w:tc>
              <w:tc>
                <w:tcPr>
                  <w:tcW w:w="1143" w:type="pct"/>
                  <w:gridSpan w:val="4"/>
                  <w:noWrap w:val="0"/>
                  <w:vAlign w:val="center"/>
                </w:tcPr>
                <w:p w14:paraId="553807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r>
                    <w:rPr>
                      <w:rFonts w:hint="default" w:ascii="Times New Roman" w:hAnsi="Times New Roman" w:cs="Times New Roman"/>
                      <w:b w:val="0"/>
                      <w:bCs w:val="0"/>
                      <w:color w:val="auto"/>
                      <w:sz w:val="21"/>
                      <w:szCs w:val="21"/>
                      <w:vertAlign w:val="baseline"/>
                    </w:rPr>
                    <w:t>污染治理设施</w:t>
                  </w:r>
                </w:p>
              </w:tc>
              <w:tc>
                <w:tcPr>
                  <w:tcW w:w="398" w:type="pct"/>
                  <w:vMerge w:val="restart"/>
                  <w:noWrap w:val="0"/>
                  <w:vAlign w:val="center"/>
                </w:tcPr>
                <w:p w14:paraId="28ACB5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r>
                    <w:rPr>
                      <w:rFonts w:hint="default" w:ascii="Times New Roman" w:hAnsi="Times New Roman" w:cs="Times New Roman"/>
                      <w:b w:val="0"/>
                      <w:bCs w:val="0"/>
                      <w:color w:val="auto"/>
                      <w:sz w:val="21"/>
                      <w:szCs w:val="21"/>
                      <w:vertAlign w:val="baseline"/>
                    </w:rPr>
                    <w:t>污染物排放量（t/a）</w:t>
                  </w:r>
                </w:p>
              </w:tc>
              <w:tc>
                <w:tcPr>
                  <w:tcW w:w="408" w:type="pct"/>
                  <w:vMerge w:val="restart"/>
                  <w:noWrap w:val="0"/>
                  <w:vAlign w:val="center"/>
                </w:tcPr>
                <w:p w14:paraId="3774A9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cs="Times New Roman"/>
                      <w:b w:val="0"/>
                      <w:bCs w:val="0"/>
                      <w:color w:val="auto"/>
                      <w:sz w:val="21"/>
                      <w:szCs w:val="21"/>
                      <w:vertAlign w:val="baseline"/>
                    </w:rPr>
                    <w:t>污染物排放速率（kg/h</w:t>
                  </w:r>
                  <w:r>
                    <w:rPr>
                      <w:rFonts w:hint="eastAsia" w:ascii="Times New Roman" w:hAnsi="Times New Roman" w:cs="Times New Roman"/>
                      <w:b w:val="0"/>
                      <w:bCs w:val="0"/>
                      <w:color w:val="auto"/>
                      <w:sz w:val="21"/>
                      <w:szCs w:val="21"/>
                      <w:vertAlign w:val="baseline"/>
                      <w:lang w:eastAsia="zh-CN"/>
                    </w:rPr>
                    <w:t>）</w:t>
                  </w:r>
                </w:p>
              </w:tc>
              <w:tc>
                <w:tcPr>
                  <w:tcW w:w="428" w:type="pct"/>
                  <w:vMerge w:val="restart"/>
                  <w:noWrap w:val="0"/>
                  <w:vAlign w:val="center"/>
                </w:tcPr>
                <w:p w14:paraId="5688E4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cs="Times New Roman"/>
                      <w:b w:val="0"/>
                      <w:bCs w:val="0"/>
                      <w:color w:val="auto"/>
                      <w:sz w:val="21"/>
                      <w:szCs w:val="21"/>
                      <w:vertAlign w:val="baseline"/>
                      <w:lang w:val="en-US" w:eastAsia="zh-CN"/>
                    </w:rPr>
                    <w:t>污染物排放浓度</w:t>
                  </w:r>
                </w:p>
                <w:p w14:paraId="240CBF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r>
                    <w:rPr>
                      <w:rFonts w:hint="default" w:ascii="Times New Roman" w:hAnsi="Times New Roman" w:cs="Times New Roman"/>
                      <w:b w:val="0"/>
                      <w:bCs w:val="0"/>
                      <w:color w:val="auto"/>
                      <w:sz w:val="21"/>
                      <w:szCs w:val="21"/>
                      <w:vertAlign w:val="baseline"/>
                      <w:lang w:val="en-US" w:eastAsia="zh-CN"/>
                    </w:rPr>
                    <w:t>(mg/m</w:t>
                  </w:r>
                  <w:r>
                    <w:rPr>
                      <w:rFonts w:hint="default" w:ascii="Times New Roman" w:hAnsi="Times New Roman" w:cs="Times New Roman"/>
                      <w:b w:val="0"/>
                      <w:bCs w:val="0"/>
                      <w:color w:val="auto"/>
                      <w:sz w:val="21"/>
                      <w:szCs w:val="21"/>
                      <w:vertAlign w:val="superscript"/>
                      <w:lang w:val="en-US" w:eastAsia="zh-CN"/>
                    </w:rPr>
                    <w:t>3</w:t>
                  </w:r>
                  <w:r>
                    <w:rPr>
                      <w:rFonts w:hint="default" w:ascii="Times New Roman" w:hAnsi="Times New Roman" w:cs="Times New Roman"/>
                      <w:b w:val="0"/>
                      <w:bCs w:val="0"/>
                      <w:color w:val="auto"/>
                      <w:sz w:val="21"/>
                      <w:szCs w:val="21"/>
                      <w:vertAlign w:val="baseline"/>
                      <w:lang w:val="en-US" w:eastAsia="zh-CN"/>
                    </w:rPr>
                    <w:t>)</w:t>
                  </w:r>
                </w:p>
              </w:tc>
              <w:tc>
                <w:tcPr>
                  <w:tcW w:w="348" w:type="pct"/>
                  <w:vMerge w:val="restart"/>
                  <w:noWrap w:val="0"/>
                  <w:vAlign w:val="center"/>
                </w:tcPr>
                <w:p w14:paraId="732086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r>
                    <w:rPr>
                      <w:rFonts w:hint="default" w:ascii="Times New Roman" w:hAnsi="Times New Roman" w:cs="Times New Roman"/>
                      <w:b w:val="0"/>
                      <w:bCs w:val="0"/>
                      <w:color w:val="auto"/>
                      <w:sz w:val="21"/>
                      <w:szCs w:val="21"/>
                      <w:vertAlign w:val="baseline"/>
                    </w:rPr>
                    <w:t>排放口名称</w:t>
                  </w:r>
                </w:p>
              </w:tc>
              <w:tc>
                <w:tcPr>
                  <w:tcW w:w="262" w:type="pct"/>
                  <w:vMerge w:val="restart"/>
                  <w:noWrap w:val="0"/>
                  <w:vAlign w:val="center"/>
                </w:tcPr>
                <w:p w14:paraId="6AEC6D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r>
                    <w:rPr>
                      <w:rFonts w:hint="default" w:ascii="Times New Roman" w:hAnsi="Times New Roman" w:cs="Times New Roman"/>
                      <w:b w:val="0"/>
                      <w:bCs w:val="0"/>
                      <w:color w:val="auto"/>
                      <w:sz w:val="21"/>
                      <w:szCs w:val="21"/>
                      <w:vertAlign w:val="baseline"/>
                    </w:rPr>
                    <w:t>排放口编号</w:t>
                  </w:r>
                </w:p>
              </w:tc>
            </w:tr>
            <w:tr w14:paraId="41BF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7" w:type="pct"/>
                  <w:vMerge w:val="continue"/>
                  <w:noWrap w:val="0"/>
                  <w:vAlign w:val="center"/>
                </w:tcPr>
                <w:p w14:paraId="4DD63A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eastAsia="zh-CN"/>
                    </w:rPr>
                  </w:pPr>
                </w:p>
              </w:tc>
              <w:tc>
                <w:tcPr>
                  <w:tcW w:w="217" w:type="pct"/>
                  <w:vMerge w:val="continue"/>
                  <w:noWrap w:val="0"/>
                  <w:vAlign w:val="center"/>
                </w:tcPr>
                <w:p w14:paraId="712BF1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eastAsia="zh-CN"/>
                    </w:rPr>
                  </w:pPr>
                </w:p>
              </w:tc>
              <w:tc>
                <w:tcPr>
                  <w:tcW w:w="217" w:type="pct"/>
                  <w:vMerge w:val="continue"/>
                  <w:noWrap w:val="0"/>
                  <w:vAlign w:val="center"/>
                </w:tcPr>
                <w:p w14:paraId="2B2982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eastAsia="zh-CN"/>
                    </w:rPr>
                  </w:pPr>
                </w:p>
              </w:tc>
              <w:tc>
                <w:tcPr>
                  <w:tcW w:w="217" w:type="pct"/>
                  <w:vMerge w:val="continue"/>
                  <w:noWrap w:val="0"/>
                  <w:vAlign w:val="center"/>
                </w:tcPr>
                <w:p w14:paraId="10C3E4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eastAsia="zh-CN"/>
                    </w:rPr>
                  </w:pPr>
                </w:p>
              </w:tc>
              <w:tc>
                <w:tcPr>
                  <w:tcW w:w="278" w:type="pct"/>
                  <w:vMerge w:val="continue"/>
                  <w:noWrap w:val="0"/>
                  <w:vAlign w:val="center"/>
                </w:tcPr>
                <w:p w14:paraId="50AF80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eastAsia="zh-CN"/>
                    </w:rPr>
                  </w:pPr>
                </w:p>
              </w:tc>
              <w:tc>
                <w:tcPr>
                  <w:tcW w:w="348" w:type="pct"/>
                  <w:vMerge w:val="continue"/>
                  <w:noWrap w:val="0"/>
                  <w:vAlign w:val="center"/>
                </w:tcPr>
                <w:p w14:paraId="47E16201">
                  <w:pPr>
                    <w:pStyle w:val="1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right="0" w:firstLine="0" w:firstLineChars="0"/>
                    <w:jc w:val="center"/>
                    <w:rPr>
                      <w:rFonts w:hint="default" w:ascii="Times New Roman" w:hAnsi="Times New Roman" w:cs="Times New Roman"/>
                      <w:color w:val="auto"/>
                      <w:sz w:val="21"/>
                      <w:szCs w:val="21"/>
                      <w:lang w:val="en-US" w:eastAsia="zh-CN"/>
                    </w:rPr>
                  </w:pPr>
                </w:p>
              </w:tc>
              <w:tc>
                <w:tcPr>
                  <w:tcW w:w="513" w:type="pct"/>
                  <w:vMerge w:val="continue"/>
                  <w:noWrap w:val="0"/>
                  <w:vAlign w:val="center"/>
                </w:tcPr>
                <w:p w14:paraId="014FF1C8">
                  <w:pPr>
                    <w:pStyle w:val="1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right="0" w:firstLine="0" w:firstLineChars="0"/>
                    <w:jc w:val="center"/>
                    <w:rPr>
                      <w:rFonts w:hint="default" w:ascii="Times New Roman" w:hAnsi="Times New Roman" w:cs="Times New Roman"/>
                      <w:b w:val="0"/>
                      <w:bCs w:val="0"/>
                      <w:color w:val="auto"/>
                      <w:sz w:val="21"/>
                      <w:szCs w:val="21"/>
                      <w:vertAlign w:val="baseline"/>
                      <w:lang w:val="en-US" w:eastAsia="zh-CN"/>
                    </w:rPr>
                  </w:pPr>
                </w:p>
              </w:tc>
              <w:tc>
                <w:tcPr>
                  <w:tcW w:w="339" w:type="pct"/>
                  <w:noWrap w:val="0"/>
                  <w:vAlign w:val="center"/>
                </w:tcPr>
                <w:p w14:paraId="4FA98B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cs="Times New Roman"/>
                      <w:b w:val="0"/>
                      <w:bCs w:val="0"/>
                      <w:color w:val="auto"/>
                      <w:sz w:val="21"/>
                      <w:szCs w:val="21"/>
                      <w:vertAlign w:val="baseline"/>
                    </w:rPr>
                    <w:t>名称及工艺</w:t>
                  </w:r>
                </w:p>
              </w:tc>
              <w:tc>
                <w:tcPr>
                  <w:tcW w:w="292" w:type="pct"/>
                  <w:noWrap w:val="0"/>
                  <w:vAlign w:val="center"/>
                </w:tcPr>
                <w:p w14:paraId="198C30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cs="Times New Roman"/>
                      <w:b w:val="0"/>
                      <w:bCs w:val="0"/>
                      <w:color w:val="auto"/>
                      <w:sz w:val="21"/>
                      <w:szCs w:val="21"/>
                      <w:vertAlign w:val="baseline"/>
                    </w:rPr>
                    <w:t>收集效率%</w:t>
                  </w:r>
                </w:p>
              </w:tc>
              <w:tc>
                <w:tcPr>
                  <w:tcW w:w="292" w:type="pct"/>
                  <w:noWrap w:val="0"/>
                  <w:vAlign w:val="center"/>
                </w:tcPr>
                <w:p w14:paraId="664525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cs="Times New Roman"/>
                      <w:b w:val="0"/>
                      <w:bCs w:val="0"/>
                      <w:color w:val="auto"/>
                      <w:sz w:val="21"/>
                      <w:szCs w:val="21"/>
                      <w:vertAlign w:val="baseline"/>
                    </w:rPr>
                    <w:t>去除效率%</w:t>
                  </w:r>
                </w:p>
              </w:tc>
              <w:tc>
                <w:tcPr>
                  <w:tcW w:w="219" w:type="pct"/>
                  <w:noWrap w:val="0"/>
                  <w:vAlign w:val="center"/>
                </w:tcPr>
                <w:p w14:paraId="3FEA43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cs="Times New Roman"/>
                      <w:b w:val="0"/>
                      <w:bCs w:val="0"/>
                      <w:color w:val="auto"/>
                      <w:sz w:val="21"/>
                      <w:szCs w:val="21"/>
                      <w:vertAlign w:val="baseline"/>
                    </w:rPr>
                    <w:t>是否为可行技术</w:t>
                  </w:r>
                </w:p>
              </w:tc>
              <w:tc>
                <w:tcPr>
                  <w:tcW w:w="398" w:type="pct"/>
                  <w:vMerge w:val="continue"/>
                  <w:noWrap w:val="0"/>
                  <w:vAlign w:val="center"/>
                </w:tcPr>
                <w:p w14:paraId="72D0A1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c>
                <w:tcPr>
                  <w:tcW w:w="408" w:type="pct"/>
                  <w:vMerge w:val="continue"/>
                  <w:noWrap w:val="0"/>
                  <w:vAlign w:val="center"/>
                </w:tcPr>
                <w:p w14:paraId="0B3546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c>
                <w:tcPr>
                  <w:tcW w:w="428" w:type="pct"/>
                  <w:vMerge w:val="continue"/>
                  <w:noWrap w:val="0"/>
                  <w:vAlign w:val="center"/>
                </w:tcPr>
                <w:p w14:paraId="1E53D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c>
                <w:tcPr>
                  <w:tcW w:w="348" w:type="pct"/>
                  <w:vMerge w:val="continue"/>
                  <w:noWrap w:val="0"/>
                  <w:vAlign w:val="center"/>
                </w:tcPr>
                <w:p w14:paraId="5592B3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c>
                <w:tcPr>
                  <w:tcW w:w="262" w:type="pct"/>
                  <w:vMerge w:val="continue"/>
                  <w:noWrap w:val="0"/>
                  <w:vAlign w:val="center"/>
                </w:tcPr>
                <w:p w14:paraId="5A4536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r>
            <w:tr w14:paraId="6E0D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trPr>
              <w:tc>
                <w:tcPr>
                  <w:tcW w:w="217" w:type="pct"/>
                  <w:vMerge w:val="restart"/>
                  <w:noWrap w:val="0"/>
                  <w:vAlign w:val="center"/>
                </w:tcPr>
                <w:p w14:paraId="50412C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1</w:t>
                  </w:r>
                </w:p>
              </w:tc>
              <w:tc>
                <w:tcPr>
                  <w:tcW w:w="217" w:type="pct"/>
                  <w:vMerge w:val="restart"/>
                  <w:noWrap w:val="0"/>
                  <w:vAlign w:val="center"/>
                </w:tcPr>
                <w:p w14:paraId="61E5B0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污水处理站</w:t>
                  </w:r>
                </w:p>
              </w:tc>
              <w:tc>
                <w:tcPr>
                  <w:tcW w:w="217" w:type="pct"/>
                  <w:noWrap w:val="0"/>
                  <w:vAlign w:val="center"/>
                </w:tcPr>
                <w:p w14:paraId="1F0CD1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val="0"/>
                      <w:bCs w:val="0"/>
                      <w:color w:val="auto"/>
                      <w:sz w:val="21"/>
                      <w:szCs w:val="21"/>
                      <w:vertAlign w:val="baseline"/>
                      <w:lang w:eastAsia="zh-CN"/>
                    </w:rPr>
                  </w:pPr>
                  <w:r>
                    <w:rPr>
                      <w:rFonts w:hint="eastAsia" w:ascii="Times New Roman" w:hAnsi="Times New Roman" w:cs="Times New Roman"/>
                      <w:b w:val="0"/>
                      <w:bCs w:val="0"/>
                      <w:color w:val="auto"/>
                      <w:sz w:val="21"/>
                      <w:szCs w:val="21"/>
                      <w:vertAlign w:val="baseline"/>
                      <w:lang w:eastAsia="zh-CN"/>
                    </w:rPr>
                    <w:t>硫化氢</w:t>
                  </w:r>
                </w:p>
              </w:tc>
              <w:tc>
                <w:tcPr>
                  <w:tcW w:w="217" w:type="pct"/>
                  <w:vMerge w:val="restart"/>
                  <w:noWrap w:val="0"/>
                  <w:vAlign w:val="center"/>
                </w:tcPr>
                <w:p w14:paraId="203E94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r>
                    <w:rPr>
                      <w:rFonts w:hint="default" w:ascii="Times New Roman" w:hAnsi="Times New Roman" w:cs="Times New Roman"/>
                      <w:b w:val="0"/>
                      <w:bCs w:val="0"/>
                      <w:color w:val="auto"/>
                      <w:sz w:val="21"/>
                      <w:szCs w:val="21"/>
                      <w:vertAlign w:val="baseline"/>
                    </w:rPr>
                    <w:t>有组织</w:t>
                  </w:r>
                </w:p>
              </w:tc>
              <w:tc>
                <w:tcPr>
                  <w:tcW w:w="278" w:type="pct"/>
                  <w:noWrap w:val="0"/>
                  <w:vAlign w:val="center"/>
                </w:tcPr>
                <w:p w14:paraId="4BD84B5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0.447</w:t>
                  </w:r>
                </w:p>
              </w:tc>
              <w:tc>
                <w:tcPr>
                  <w:tcW w:w="348" w:type="pct"/>
                  <w:noWrap w:val="0"/>
                  <w:vAlign w:val="center"/>
                </w:tcPr>
                <w:p w14:paraId="17F3CDB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0</w:t>
                  </w:r>
                  <w:r>
                    <w:rPr>
                      <w:rFonts w:hint="eastAsia" w:cs="Times New Roman"/>
                      <w:b w:val="0"/>
                      <w:bCs w:val="0"/>
                      <w:color w:val="auto"/>
                      <w:sz w:val="21"/>
                      <w:szCs w:val="21"/>
                      <w:vertAlign w:val="baseline"/>
                      <w:lang w:val="en-US" w:eastAsia="zh-CN"/>
                    </w:rPr>
                    <w:t>.051</w:t>
                  </w:r>
                </w:p>
              </w:tc>
              <w:tc>
                <w:tcPr>
                  <w:tcW w:w="513" w:type="pct"/>
                  <w:noWrap w:val="0"/>
                  <w:vAlign w:val="center"/>
                </w:tcPr>
                <w:p w14:paraId="4144F0C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5</w:t>
                  </w:r>
                  <w:r>
                    <w:rPr>
                      <w:rFonts w:hint="eastAsia" w:cs="Times New Roman"/>
                      <w:b w:val="0"/>
                      <w:bCs w:val="0"/>
                      <w:color w:val="auto"/>
                      <w:sz w:val="21"/>
                      <w:szCs w:val="21"/>
                      <w:vertAlign w:val="baseline"/>
                      <w:lang w:val="en-US" w:eastAsia="zh-CN"/>
                    </w:rPr>
                    <w:t>.</w:t>
                  </w:r>
                  <w:r>
                    <w:rPr>
                      <w:rFonts w:hint="eastAsia" w:ascii="Times New Roman" w:hAnsi="Times New Roman" w:cs="Times New Roman"/>
                      <w:b w:val="0"/>
                      <w:bCs w:val="0"/>
                      <w:color w:val="auto"/>
                      <w:sz w:val="21"/>
                      <w:szCs w:val="21"/>
                      <w:vertAlign w:val="baseline"/>
                      <w:lang w:val="en-US" w:eastAsia="zh-CN"/>
                    </w:rPr>
                    <w:t>1</w:t>
                  </w:r>
                </w:p>
              </w:tc>
              <w:tc>
                <w:tcPr>
                  <w:tcW w:w="339" w:type="pct"/>
                  <w:vMerge w:val="restart"/>
                  <w:noWrap w:val="0"/>
                  <w:vAlign w:val="center"/>
                </w:tcPr>
                <w:p w14:paraId="7E81BA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val="0"/>
                      <w:bCs w:val="0"/>
                      <w:color w:val="auto"/>
                      <w:sz w:val="21"/>
                      <w:szCs w:val="21"/>
                      <w:vertAlign w:val="baseline"/>
                      <w:lang w:eastAsia="zh-CN"/>
                    </w:rPr>
                  </w:pPr>
                  <w:r>
                    <w:rPr>
                      <w:rFonts w:hint="eastAsia"/>
                      <w:bCs/>
                      <w:color w:val="auto"/>
                      <w:sz w:val="21"/>
                      <w:szCs w:val="21"/>
                    </w:rPr>
                    <w:t>活性炭吸附装置+</w:t>
                  </w:r>
                  <w:r>
                    <w:rPr>
                      <w:rFonts w:hint="eastAsia"/>
                      <w:bCs/>
                      <w:color w:val="auto"/>
                      <w:sz w:val="21"/>
                      <w:szCs w:val="21"/>
                      <w:lang w:val="en-US" w:eastAsia="zh-CN"/>
                    </w:rPr>
                    <w:t>15m排气筒</w:t>
                  </w:r>
                </w:p>
              </w:tc>
              <w:tc>
                <w:tcPr>
                  <w:tcW w:w="292" w:type="pct"/>
                  <w:vMerge w:val="restart"/>
                  <w:noWrap w:val="0"/>
                  <w:vAlign w:val="center"/>
                </w:tcPr>
                <w:p w14:paraId="72A633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bCs/>
                      <w:color w:val="auto"/>
                      <w:sz w:val="21"/>
                      <w:szCs w:val="21"/>
                    </w:rPr>
                    <w:t>收集效率85%</w:t>
                  </w:r>
                </w:p>
              </w:tc>
              <w:tc>
                <w:tcPr>
                  <w:tcW w:w="292" w:type="pct"/>
                  <w:vMerge w:val="restart"/>
                  <w:noWrap w:val="0"/>
                  <w:vAlign w:val="center"/>
                </w:tcPr>
                <w:p w14:paraId="6D6431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bCs/>
                      <w:color w:val="auto"/>
                      <w:sz w:val="21"/>
                      <w:szCs w:val="21"/>
                    </w:rPr>
                    <w:t>处理效率90%</w:t>
                  </w:r>
                </w:p>
              </w:tc>
              <w:tc>
                <w:tcPr>
                  <w:tcW w:w="219" w:type="pct"/>
                  <w:vMerge w:val="restart"/>
                  <w:noWrap w:val="0"/>
                  <w:vAlign w:val="center"/>
                </w:tcPr>
                <w:p w14:paraId="49179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cs="Times New Roman"/>
                      <w:b w:val="0"/>
                      <w:bCs w:val="0"/>
                      <w:color w:val="auto"/>
                      <w:sz w:val="21"/>
                      <w:szCs w:val="21"/>
                      <w:vertAlign w:val="baseline"/>
                      <w:lang w:val="en-US" w:eastAsia="zh-CN"/>
                    </w:rPr>
                    <w:t>是</w:t>
                  </w:r>
                </w:p>
              </w:tc>
              <w:tc>
                <w:tcPr>
                  <w:tcW w:w="398" w:type="pct"/>
                  <w:noWrap w:val="0"/>
                  <w:vAlign w:val="center"/>
                </w:tcPr>
                <w:p w14:paraId="69114C3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0.045</w:t>
                  </w:r>
                </w:p>
              </w:tc>
              <w:tc>
                <w:tcPr>
                  <w:tcW w:w="408" w:type="pct"/>
                  <w:noWrap w:val="0"/>
                  <w:vAlign w:val="center"/>
                </w:tcPr>
                <w:p w14:paraId="7F67172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0.0</w:t>
                  </w:r>
                  <w:r>
                    <w:rPr>
                      <w:rFonts w:hint="eastAsia" w:cs="Times New Roman"/>
                      <w:b w:val="0"/>
                      <w:bCs w:val="0"/>
                      <w:color w:val="auto"/>
                      <w:sz w:val="21"/>
                      <w:szCs w:val="21"/>
                      <w:vertAlign w:val="baseline"/>
                      <w:lang w:val="en-US" w:eastAsia="zh-CN"/>
                    </w:rPr>
                    <w:t>05</w:t>
                  </w:r>
                </w:p>
              </w:tc>
              <w:tc>
                <w:tcPr>
                  <w:tcW w:w="428" w:type="pct"/>
                  <w:noWrap w:val="0"/>
                  <w:vAlign w:val="center"/>
                </w:tcPr>
                <w:p w14:paraId="41D316A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0.510</w:t>
                  </w:r>
                </w:p>
              </w:tc>
              <w:tc>
                <w:tcPr>
                  <w:tcW w:w="348" w:type="pct"/>
                  <w:vMerge w:val="restart"/>
                  <w:noWrap w:val="0"/>
                  <w:vAlign w:val="center"/>
                </w:tcPr>
                <w:p w14:paraId="52AB7F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r>
                    <w:rPr>
                      <w:rFonts w:hint="eastAsia" w:ascii="Times New Roman" w:hAnsi="Times New Roman" w:cs="Times New Roman"/>
                      <w:b w:val="0"/>
                      <w:bCs w:val="0"/>
                      <w:color w:val="auto"/>
                      <w:sz w:val="21"/>
                      <w:szCs w:val="21"/>
                      <w:vertAlign w:val="baseline"/>
                      <w:lang w:eastAsia="zh-CN"/>
                    </w:rPr>
                    <w:t>恶臭废气</w:t>
                  </w:r>
                  <w:r>
                    <w:rPr>
                      <w:rFonts w:hint="default" w:ascii="Times New Roman" w:hAnsi="Times New Roman" w:cs="Times New Roman"/>
                      <w:b w:val="0"/>
                      <w:bCs w:val="0"/>
                      <w:color w:val="auto"/>
                      <w:sz w:val="21"/>
                      <w:szCs w:val="21"/>
                      <w:vertAlign w:val="baseline"/>
                    </w:rPr>
                    <w:t>排放口</w:t>
                  </w:r>
                </w:p>
              </w:tc>
              <w:tc>
                <w:tcPr>
                  <w:tcW w:w="262" w:type="pct"/>
                  <w:vMerge w:val="restart"/>
                  <w:noWrap w:val="0"/>
                  <w:vAlign w:val="center"/>
                </w:tcPr>
                <w:p w14:paraId="48C509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DA001</w:t>
                  </w:r>
                </w:p>
              </w:tc>
            </w:tr>
            <w:tr w14:paraId="70E7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217" w:type="pct"/>
                  <w:vMerge w:val="continue"/>
                  <w:noWrap w:val="0"/>
                  <w:vAlign w:val="center"/>
                </w:tcPr>
                <w:p w14:paraId="1A11E1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c>
                <w:tcPr>
                  <w:tcW w:w="217" w:type="pct"/>
                  <w:vMerge w:val="continue"/>
                  <w:noWrap w:val="0"/>
                  <w:vAlign w:val="center"/>
                </w:tcPr>
                <w:p w14:paraId="4E55EF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c>
                <w:tcPr>
                  <w:tcW w:w="217" w:type="pct"/>
                  <w:noWrap w:val="0"/>
                  <w:vAlign w:val="center"/>
                </w:tcPr>
                <w:p w14:paraId="25D586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val="0"/>
                      <w:bCs w:val="0"/>
                      <w:color w:val="auto"/>
                      <w:sz w:val="21"/>
                      <w:szCs w:val="21"/>
                      <w:vertAlign w:val="baseline"/>
                      <w:lang w:eastAsia="zh-CN"/>
                    </w:rPr>
                  </w:pPr>
                  <w:r>
                    <w:rPr>
                      <w:rFonts w:hint="eastAsia" w:ascii="Times New Roman" w:hAnsi="Times New Roman" w:cs="Times New Roman"/>
                      <w:b w:val="0"/>
                      <w:bCs w:val="0"/>
                      <w:color w:val="auto"/>
                      <w:sz w:val="21"/>
                      <w:szCs w:val="21"/>
                      <w:vertAlign w:val="baseline"/>
                      <w:lang w:eastAsia="zh-CN"/>
                    </w:rPr>
                    <w:t>氨</w:t>
                  </w:r>
                </w:p>
              </w:tc>
              <w:tc>
                <w:tcPr>
                  <w:tcW w:w="217" w:type="pct"/>
                  <w:vMerge w:val="continue"/>
                  <w:noWrap w:val="0"/>
                  <w:vAlign w:val="center"/>
                </w:tcPr>
                <w:p w14:paraId="39325E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c>
                <w:tcPr>
                  <w:tcW w:w="278" w:type="pct"/>
                  <w:noWrap w:val="0"/>
                  <w:vAlign w:val="center"/>
                </w:tcPr>
                <w:p w14:paraId="67DC4DF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0.372</w:t>
                  </w:r>
                </w:p>
              </w:tc>
              <w:tc>
                <w:tcPr>
                  <w:tcW w:w="348" w:type="pct"/>
                  <w:noWrap w:val="0"/>
                  <w:vAlign w:val="center"/>
                </w:tcPr>
                <w:p w14:paraId="4A1231B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0.042</w:t>
                  </w:r>
                </w:p>
              </w:tc>
              <w:tc>
                <w:tcPr>
                  <w:tcW w:w="513" w:type="pct"/>
                  <w:noWrap w:val="0"/>
                  <w:vAlign w:val="center"/>
                </w:tcPr>
                <w:p w14:paraId="02670B3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4.2</w:t>
                  </w:r>
                </w:p>
              </w:tc>
              <w:tc>
                <w:tcPr>
                  <w:tcW w:w="339" w:type="pct"/>
                  <w:vMerge w:val="continue"/>
                  <w:noWrap w:val="0"/>
                  <w:vAlign w:val="center"/>
                </w:tcPr>
                <w:p w14:paraId="6B4342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c>
                <w:tcPr>
                  <w:tcW w:w="292" w:type="pct"/>
                  <w:vMerge w:val="continue"/>
                  <w:noWrap w:val="0"/>
                  <w:vAlign w:val="center"/>
                </w:tcPr>
                <w:p w14:paraId="29BBD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292" w:type="pct"/>
                  <w:vMerge w:val="continue"/>
                  <w:noWrap w:val="0"/>
                  <w:vAlign w:val="center"/>
                </w:tcPr>
                <w:p w14:paraId="3C67E980">
                  <w:pPr>
                    <w:pStyle w:val="54"/>
                    <w:keepNext w:val="0"/>
                    <w:keepLines w:val="0"/>
                    <w:pageBreakBefore w:val="0"/>
                    <w:widowControl w:val="0"/>
                    <w:suppressLineNumbers w:val="0"/>
                    <w:tabs>
                      <w:tab w:val="left" w:pos="2850"/>
                      <w:tab w:val="left" w:pos="3918"/>
                    </w:tabs>
                    <w:kinsoku/>
                    <w:wordWrap/>
                    <w:overflowPunct/>
                    <w:topLinePunct w:val="0"/>
                    <w:autoSpaceDE/>
                    <w:autoSpaceDN/>
                    <w:bidi w:val="0"/>
                    <w:adjustRightInd/>
                    <w:snapToGrid/>
                    <w:spacing w:before="0" w:beforeLines="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sz w:val="21"/>
                      <w:szCs w:val="21"/>
                      <w:vertAlign w:val="baseline"/>
                    </w:rPr>
                  </w:pPr>
                </w:p>
              </w:tc>
              <w:tc>
                <w:tcPr>
                  <w:tcW w:w="219" w:type="pct"/>
                  <w:vMerge w:val="continue"/>
                  <w:noWrap w:val="0"/>
                  <w:vAlign w:val="center"/>
                </w:tcPr>
                <w:p w14:paraId="61A101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c>
                <w:tcPr>
                  <w:tcW w:w="398" w:type="pct"/>
                  <w:noWrap w:val="0"/>
                  <w:vAlign w:val="center"/>
                </w:tcPr>
                <w:p w14:paraId="56EDB52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0.037</w:t>
                  </w:r>
                </w:p>
              </w:tc>
              <w:tc>
                <w:tcPr>
                  <w:tcW w:w="408" w:type="pct"/>
                  <w:noWrap w:val="0"/>
                  <w:vAlign w:val="center"/>
                </w:tcPr>
                <w:p w14:paraId="232AE94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0.004</w:t>
                  </w:r>
                </w:p>
              </w:tc>
              <w:tc>
                <w:tcPr>
                  <w:tcW w:w="428" w:type="pct"/>
                  <w:noWrap w:val="0"/>
                  <w:vAlign w:val="center"/>
                </w:tcPr>
                <w:p w14:paraId="4CF1522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0.4</w:t>
                  </w:r>
                  <w:r>
                    <w:rPr>
                      <w:rFonts w:hint="eastAsia" w:cs="Times New Roman"/>
                      <w:b w:val="0"/>
                      <w:bCs w:val="0"/>
                      <w:color w:val="auto"/>
                      <w:sz w:val="21"/>
                      <w:szCs w:val="21"/>
                      <w:vertAlign w:val="baseline"/>
                      <w:lang w:val="en-US" w:eastAsia="zh-CN"/>
                    </w:rPr>
                    <w:t>30</w:t>
                  </w:r>
                </w:p>
              </w:tc>
              <w:tc>
                <w:tcPr>
                  <w:tcW w:w="348" w:type="pct"/>
                  <w:vMerge w:val="continue"/>
                  <w:noWrap w:val="0"/>
                  <w:vAlign w:val="center"/>
                </w:tcPr>
                <w:p w14:paraId="30E02F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c>
                <w:tcPr>
                  <w:tcW w:w="262" w:type="pct"/>
                  <w:vMerge w:val="continue"/>
                  <w:noWrap w:val="0"/>
                  <w:vAlign w:val="center"/>
                </w:tcPr>
                <w:p w14:paraId="542B4E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r>
            <w:tr w14:paraId="4645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217" w:type="pct"/>
                  <w:vMerge w:val="continue"/>
                  <w:noWrap w:val="0"/>
                  <w:vAlign w:val="center"/>
                </w:tcPr>
                <w:p w14:paraId="7E774C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217" w:type="pct"/>
                  <w:vMerge w:val="continue"/>
                  <w:noWrap w:val="0"/>
                  <w:vAlign w:val="center"/>
                </w:tcPr>
                <w:p w14:paraId="001AD8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c>
                <w:tcPr>
                  <w:tcW w:w="217" w:type="pct"/>
                  <w:noWrap w:val="0"/>
                  <w:vAlign w:val="center"/>
                </w:tcPr>
                <w:p w14:paraId="7C446B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eastAsia="zh-CN"/>
                    </w:rPr>
                  </w:pPr>
                  <w:r>
                    <w:rPr>
                      <w:rFonts w:hint="eastAsia" w:ascii="Times New Roman" w:hAnsi="Times New Roman" w:cs="Times New Roman"/>
                      <w:b w:val="0"/>
                      <w:bCs w:val="0"/>
                      <w:color w:val="auto"/>
                      <w:sz w:val="21"/>
                      <w:szCs w:val="21"/>
                      <w:vertAlign w:val="baseline"/>
                      <w:lang w:eastAsia="zh-CN"/>
                    </w:rPr>
                    <w:t>硫化氢</w:t>
                  </w:r>
                </w:p>
              </w:tc>
              <w:tc>
                <w:tcPr>
                  <w:tcW w:w="217" w:type="pct"/>
                  <w:vMerge w:val="restart"/>
                  <w:noWrap w:val="0"/>
                  <w:vAlign w:val="center"/>
                </w:tcPr>
                <w:p w14:paraId="7073C7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eastAsia="zh-CN"/>
                    </w:rPr>
                  </w:pPr>
                  <w:r>
                    <w:rPr>
                      <w:rFonts w:hint="default" w:ascii="Times New Roman" w:hAnsi="Times New Roman" w:cs="Times New Roman"/>
                      <w:b w:val="0"/>
                      <w:bCs w:val="0"/>
                      <w:color w:val="auto"/>
                      <w:sz w:val="21"/>
                      <w:szCs w:val="21"/>
                      <w:vertAlign w:val="baseline"/>
                      <w:lang w:eastAsia="zh-CN"/>
                    </w:rPr>
                    <w:t>无组织</w:t>
                  </w:r>
                </w:p>
              </w:tc>
              <w:tc>
                <w:tcPr>
                  <w:tcW w:w="278" w:type="pct"/>
                  <w:noWrap w:val="0"/>
                  <w:vAlign w:val="center"/>
                </w:tcPr>
                <w:p w14:paraId="749257A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0.079</w:t>
                  </w:r>
                </w:p>
              </w:tc>
              <w:tc>
                <w:tcPr>
                  <w:tcW w:w="348" w:type="pct"/>
                  <w:noWrap w:val="0"/>
                  <w:vAlign w:val="center"/>
                </w:tcPr>
                <w:p w14:paraId="0848922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0.009</w:t>
                  </w:r>
                </w:p>
              </w:tc>
              <w:tc>
                <w:tcPr>
                  <w:tcW w:w="513" w:type="pct"/>
                  <w:noWrap w:val="0"/>
                  <w:vAlign w:val="center"/>
                </w:tcPr>
                <w:p w14:paraId="2388AF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b w:val="0"/>
                      <w:bCs w:val="0"/>
                      <w:color w:val="auto"/>
                      <w:sz w:val="21"/>
                      <w:szCs w:val="21"/>
                      <w:vertAlign w:val="baseline"/>
                    </w:rPr>
                  </w:pPr>
                  <w:r>
                    <w:rPr>
                      <w:rFonts w:hint="eastAsia" w:ascii="Times New Roman" w:hAnsi="Times New Roman" w:eastAsia="宋体" w:cs="Times New Roman"/>
                      <w:i w:val="0"/>
                      <w:iCs w:val="0"/>
                      <w:color w:val="auto"/>
                      <w:kern w:val="0"/>
                      <w:sz w:val="21"/>
                      <w:szCs w:val="21"/>
                      <w:u w:val="none"/>
                      <w:lang w:val="en-US" w:eastAsia="zh-CN" w:bidi="ar"/>
                    </w:rPr>
                    <w:t>/</w:t>
                  </w:r>
                </w:p>
              </w:tc>
              <w:tc>
                <w:tcPr>
                  <w:tcW w:w="339" w:type="pct"/>
                  <w:vMerge w:val="restart"/>
                  <w:noWrap w:val="0"/>
                  <w:vAlign w:val="center"/>
                </w:tcPr>
                <w:p w14:paraId="1267ED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r>
                    <w:rPr>
                      <w:rFonts w:hint="default" w:ascii="Times New Roman" w:hAnsi="Times New Roman" w:cs="Times New Roman"/>
                      <w:b w:val="0"/>
                      <w:bCs w:val="0"/>
                      <w:color w:val="auto"/>
                      <w:sz w:val="21"/>
                      <w:szCs w:val="21"/>
                      <w:vertAlign w:val="baseline"/>
                    </w:rPr>
                    <w:t>加盖密闭</w:t>
                  </w:r>
                </w:p>
              </w:tc>
              <w:tc>
                <w:tcPr>
                  <w:tcW w:w="292" w:type="pct"/>
                  <w:noWrap w:val="0"/>
                  <w:vAlign w:val="center"/>
                </w:tcPr>
                <w:p w14:paraId="3F1951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w:t>
                  </w:r>
                </w:p>
              </w:tc>
              <w:tc>
                <w:tcPr>
                  <w:tcW w:w="292" w:type="pct"/>
                  <w:noWrap w:val="0"/>
                  <w:vAlign w:val="center"/>
                </w:tcPr>
                <w:p w14:paraId="6671D5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w:t>
                  </w:r>
                </w:p>
              </w:tc>
              <w:tc>
                <w:tcPr>
                  <w:tcW w:w="219" w:type="pct"/>
                  <w:noWrap w:val="0"/>
                  <w:vAlign w:val="center"/>
                </w:tcPr>
                <w:p w14:paraId="7AF4FE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r>
                    <w:rPr>
                      <w:rFonts w:hint="eastAsia" w:ascii="Times New Roman" w:hAnsi="Times New Roman" w:cs="Times New Roman"/>
                      <w:b w:val="0"/>
                      <w:bCs w:val="0"/>
                      <w:color w:val="auto"/>
                      <w:sz w:val="21"/>
                      <w:szCs w:val="21"/>
                      <w:vertAlign w:val="baseline"/>
                      <w:lang w:val="en-US" w:eastAsia="zh-CN"/>
                    </w:rPr>
                    <w:t>/</w:t>
                  </w:r>
                </w:p>
              </w:tc>
              <w:tc>
                <w:tcPr>
                  <w:tcW w:w="398" w:type="pct"/>
                  <w:noWrap w:val="0"/>
                  <w:vAlign w:val="center"/>
                </w:tcPr>
                <w:p w14:paraId="2D2050B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val="0"/>
                      <w:bCs w:val="0"/>
                      <w:color w:val="auto"/>
                      <w:sz w:val="21"/>
                      <w:szCs w:val="21"/>
                      <w:vertAlign w:val="baseline"/>
                    </w:rPr>
                  </w:pPr>
                  <w:r>
                    <w:rPr>
                      <w:rFonts w:hint="eastAsia" w:cs="Times New Roman"/>
                      <w:b w:val="0"/>
                      <w:bCs w:val="0"/>
                      <w:color w:val="auto"/>
                      <w:sz w:val="21"/>
                      <w:szCs w:val="21"/>
                      <w:vertAlign w:val="baseline"/>
                      <w:lang w:val="en-US" w:eastAsia="zh-CN"/>
                    </w:rPr>
                    <w:t>0.079</w:t>
                  </w:r>
                </w:p>
              </w:tc>
              <w:tc>
                <w:tcPr>
                  <w:tcW w:w="408" w:type="pct"/>
                  <w:noWrap w:val="0"/>
                  <w:vAlign w:val="center"/>
                </w:tcPr>
                <w:p w14:paraId="2F4EB9A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val="0"/>
                      <w:bCs w:val="0"/>
                      <w:color w:val="auto"/>
                      <w:sz w:val="21"/>
                      <w:szCs w:val="21"/>
                      <w:vertAlign w:val="baseline"/>
                    </w:rPr>
                  </w:pPr>
                  <w:r>
                    <w:rPr>
                      <w:rFonts w:hint="eastAsia" w:ascii="Times New Roman" w:hAnsi="Times New Roman" w:cs="Times New Roman"/>
                      <w:b w:val="0"/>
                      <w:bCs w:val="0"/>
                      <w:color w:val="auto"/>
                      <w:sz w:val="21"/>
                      <w:szCs w:val="21"/>
                      <w:vertAlign w:val="baseline"/>
                      <w:lang w:val="en-US" w:eastAsia="zh-CN"/>
                    </w:rPr>
                    <w:t>0.009</w:t>
                  </w:r>
                </w:p>
              </w:tc>
              <w:tc>
                <w:tcPr>
                  <w:tcW w:w="428" w:type="pct"/>
                  <w:noWrap w:val="0"/>
                  <w:vAlign w:val="center"/>
                </w:tcPr>
                <w:p w14:paraId="2A39E7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b w:val="0"/>
                      <w:bCs w:val="0"/>
                      <w:color w:val="auto"/>
                      <w:sz w:val="21"/>
                      <w:szCs w:val="21"/>
                      <w:vertAlign w:val="baseline"/>
                    </w:rPr>
                  </w:pPr>
                  <w:r>
                    <w:rPr>
                      <w:rFonts w:hint="eastAsia" w:ascii="Times New Roman" w:hAnsi="Times New Roman" w:eastAsia="宋体" w:cs="Times New Roman"/>
                      <w:i w:val="0"/>
                      <w:iCs w:val="0"/>
                      <w:color w:val="auto"/>
                      <w:kern w:val="0"/>
                      <w:sz w:val="21"/>
                      <w:szCs w:val="21"/>
                      <w:u w:val="none"/>
                      <w:lang w:val="en-US" w:eastAsia="zh-CN" w:bidi="ar"/>
                    </w:rPr>
                    <w:t>/</w:t>
                  </w:r>
                </w:p>
              </w:tc>
              <w:tc>
                <w:tcPr>
                  <w:tcW w:w="348" w:type="pct"/>
                  <w:noWrap w:val="0"/>
                  <w:vAlign w:val="center"/>
                </w:tcPr>
                <w:p w14:paraId="4F0C40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w:t>
                  </w:r>
                </w:p>
              </w:tc>
              <w:tc>
                <w:tcPr>
                  <w:tcW w:w="262" w:type="pct"/>
                  <w:noWrap w:val="0"/>
                  <w:vAlign w:val="center"/>
                </w:tcPr>
                <w:p w14:paraId="659BC7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cs="Times New Roman"/>
                      <w:b w:val="0"/>
                      <w:bCs w:val="0"/>
                      <w:color w:val="auto"/>
                      <w:sz w:val="21"/>
                      <w:szCs w:val="21"/>
                      <w:vertAlign w:val="baseline"/>
                      <w:lang w:val="en-US" w:eastAsia="zh-CN"/>
                    </w:rPr>
                  </w:pPr>
                </w:p>
              </w:tc>
            </w:tr>
            <w:tr w14:paraId="44D6B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trPr>
              <w:tc>
                <w:tcPr>
                  <w:tcW w:w="217" w:type="pct"/>
                  <w:vMerge w:val="continue"/>
                  <w:noWrap w:val="0"/>
                  <w:vAlign w:val="center"/>
                </w:tcPr>
                <w:p w14:paraId="02E9BE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c>
                <w:tcPr>
                  <w:tcW w:w="217" w:type="pct"/>
                  <w:vMerge w:val="continue"/>
                  <w:noWrap w:val="0"/>
                  <w:vAlign w:val="center"/>
                </w:tcPr>
                <w:p w14:paraId="07995D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c>
                <w:tcPr>
                  <w:tcW w:w="217" w:type="pct"/>
                  <w:noWrap w:val="0"/>
                  <w:vAlign w:val="center"/>
                </w:tcPr>
                <w:p w14:paraId="54507C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val="0"/>
                      <w:bCs w:val="0"/>
                      <w:color w:val="auto"/>
                      <w:sz w:val="21"/>
                      <w:szCs w:val="21"/>
                      <w:vertAlign w:val="baseline"/>
                      <w:lang w:eastAsia="zh-CN"/>
                    </w:rPr>
                  </w:pPr>
                  <w:r>
                    <w:rPr>
                      <w:rFonts w:hint="eastAsia" w:ascii="Times New Roman" w:hAnsi="Times New Roman" w:cs="Times New Roman"/>
                      <w:b w:val="0"/>
                      <w:bCs w:val="0"/>
                      <w:color w:val="auto"/>
                      <w:sz w:val="21"/>
                      <w:szCs w:val="21"/>
                      <w:vertAlign w:val="baseline"/>
                      <w:lang w:eastAsia="zh-CN"/>
                    </w:rPr>
                    <w:t>氨</w:t>
                  </w:r>
                </w:p>
              </w:tc>
              <w:tc>
                <w:tcPr>
                  <w:tcW w:w="217" w:type="pct"/>
                  <w:vMerge w:val="continue"/>
                  <w:noWrap w:val="0"/>
                  <w:vAlign w:val="center"/>
                </w:tcPr>
                <w:p w14:paraId="700CB1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eastAsia="zh-CN"/>
                    </w:rPr>
                  </w:pPr>
                </w:p>
              </w:tc>
              <w:tc>
                <w:tcPr>
                  <w:tcW w:w="278" w:type="pct"/>
                  <w:noWrap w:val="0"/>
                  <w:vAlign w:val="center"/>
                </w:tcPr>
                <w:p w14:paraId="32A304C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0.066</w:t>
                  </w:r>
                </w:p>
              </w:tc>
              <w:tc>
                <w:tcPr>
                  <w:tcW w:w="348" w:type="pct"/>
                  <w:noWrap w:val="0"/>
                  <w:vAlign w:val="center"/>
                </w:tcPr>
                <w:p w14:paraId="78CEA67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0.008</w:t>
                  </w:r>
                </w:p>
              </w:tc>
              <w:tc>
                <w:tcPr>
                  <w:tcW w:w="513" w:type="pct"/>
                  <w:noWrap w:val="0"/>
                  <w:vAlign w:val="center"/>
                </w:tcPr>
                <w:p w14:paraId="455929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b w:val="0"/>
                      <w:bCs w:val="0"/>
                      <w:color w:val="auto"/>
                      <w:sz w:val="21"/>
                      <w:szCs w:val="21"/>
                      <w:vertAlign w:val="baseline"/>
                    </w:rPr>
                  </w:pPr>
                  <w:r>
                    <w:rPr>
                      <w:rFonts w:hint="default" w:ascii="Times New Roman" w:hAnsi="Times New Roman" w:eastAsia="宋体" w:cs="Times New Roman"/>
                      <w:i w:val="0"/>
                      <w:iCs w:val="0"/>
                      <w:color w:val="auto"/>
                      <w:kern w:val="0"/>
                      <w:sz w:val="21"/>
                      <w:szCs w:val="21"/>
                      <w:u w:val="none"/>
                      <w:lang w:val="en-US" w:eastAsia="zh-CN" w:bidi="ar"/>
                    </w:rPr>
                    <w:t>/</w:t>
                  </w:r>
                </w:p>
              </w:tc>
              <w:tc>
                <w:tcPr>
                  <w:tcW w:w="339" w:type="pct"/>
                  <w:vMerge w:val="continue"/>
                  <w:noWrap w:val="0"/>
                  <w:vAlign w:val="center"/>
                </w:tcPr>
                <w:p w14:paraId="55D408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p>
              </w:tc>
              <w:tc>
                <w:tcPr>
                  <w:tcW w:w="292" w:type="pct"/>
                  <w:noWrap w:val="0"/>
                  <w:vAlign w:val="center"/>
                </w:tcPr>
                <w:p w14:paraId="323BD0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w:t>
                  </w:r>
                </w:p>
              </w:tc>
              <w:tc>
                <w:tcPr>
                  <w:tcW w:w="292" w:type="pct"/>
                  <w:noWrap w:val="0"/>
                  <w:vAlign w:val="center"/>
                </w:tcPr>
                <w:p w14:paraId="3542D7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w:t>
                  </w:r>
                </w:p>
              </w:tc>
              <w:tc>
                <w:tcPr>
                  <w:tcW w:w="219" w:type="pct"/>
                  <w:noWrap w:val="0"/>
                  <w:vAlign w:val="center"/>
                </w:tcPr>
                <w:p w14:paraId="6E6588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r>
                    <w:rPr>
                      <w:rFonts w:hint="eastAsia" w:ascii="Times New Roman" w:hAnsi="Times New Roman" w:cs="Times New Roman"/>
                      <w:b w:val="0"/>
                      <w:bCs w:val="0"/>
                      <w:color w:val="auto"/>
                      <w:sz w:val="21"/>
                      <w:szCs w:val="21"/>
                      <w:vertAlign w:val="baseline"/>
                      <w:lang w:val="en-US" w:eastAsia="zh-CN"/>
                    </w:rPr>
                    <w:t>/</w:t>
                  </w:r>
                </w:p>
              </w:tc>
              <w:tc>
                <w:tcPr>
                  <w:tcW w:w="398" w:type="pct"/>
                  <w:noWrap w:val="0"/>
                  <w:vAlign w:val="center"/>
                </w:tcPr>
                <w:p w14:paraId="64FBE9B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val="0"/>
                      <w:bCs w:val="0"/>
                      <w:color w:val="auto"/>
                      <w:sz w:val="21"/>
                      <w:szCs w:val="21"/>
                      <w:vertAlign w:val="baseline"/>
                      <w:lang w:val="en-US"/>
                    </w:rPr>
                  </w:pPr>
                  <w:r>
                    <w:rPr>
                      <w:rFonts w:hint="eastAsia" w:cs="Times New Roman"/>
                      <w:b w:val="0"/>
                      <w:bCs w:val="0"/>
                      <w:color w:val="auto"/>
                      <w:sz w:val="21"/>
                      <w:szCs w:val="21"/>
                      <w:vertAlign w:val="baseline"/>
                      <w:lang w:val="en-US" w:eastAsia="zh-CN"/>
                    </w:rPr>
                    <w:t>0.066</w:t>
                  </w:r>
                </w:p>
              </w:tc>
              <w:tc>
                <w:tcPr>
                  <w:tcW w:w="408" w:type="pct"/>
                  <w:noWrap w:val="0"/>
                  <w:vAlign w:val="center"/>
                </w:tcPr>
                <w:p w14:paraId="245F2A5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val="0"/>
                      <w:bCs w:val="0"/>
                      <w:color w:val="auto"/>
                      <w:sz w:val="21"/>
                      <w:szCs w:val="21"/>
                      <w:vertAlign w:val="baseline"/>
                    </w:rPr>
                  </w:pPr>
                  <w:r>
                    <w:rPr>
                      <w:rFonts w:hint="eastAsia" w:ascii="Times New Roman" w:hAnsi="Times New Roman" w:cs="Times New Roman"/>
                      <w:b w:val="0"/>
                      <w:bCs w:val="0"/>
                      <w:color w:val="auto"/>
                      <w:sz w:val="21"/>
                      <w:szCs w:val="21"/>
                      <w:vertAlign w:val="baseline"/>
                      <w:lang w:val="en-US" w:eastAsia="zh-CN"/>
                    </w:rPr>
                    <w:t>0.008</w:t>
                  </w:r>
                </w:p>
              </w:tc>
              <w:tc>
                <w:tcPr>
                  <w:tcW w:w="428" w:type="pct"/>
                  <w:noWrap w:val="0"/>
                  <w:vAlign w:val="center"/>
                </w:tcPr>
                <w:p w14:paraId="082B24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348" w:type="pct"/>
                  <w:noWrap w:val="0"/>
                  <w:vAlign w:val="center"/>
                </w:tcPr>
                <w:p w14:paraId="67D60E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cs="Times New Roman"/>
                      <w:b w:val="0"/>
                      <w:bCs w:val="0"/>
                      <w:color w:val="auto"/>
                      <w:sz w:val="21"/>
                      <w:szCs w:val="21"/>
                      <w:vertAlign w:val="baseline"/>
                      <w:lang w:val="en-US" w:eastAsia="zh-CN"/>
                    </w:rPr>
                    <w:t>/</w:t>
                  </w:r>
                </w:p>
              </w:tc>
              <w:tc>
                <w:tcPr>
                  <w:tcW w:w="262" w:type="pct"/>
                  <w:noWrap w:val="0"/>
                  <w:vAlign w:val="center"/>
                </w:tcPr>
                <w:p w14:paraId="7BA110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val="en-US" w:eastAsia="zh-CN"/>
                    </w:rPr>
                  </w:pPr>
                </w:p>
              </w:tc>
            </w:tr>
            <w:tr w14:paraId="12F2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trPr>
              <w:tc>
                <w:tcPr>
                  <w:tcW w:w="217" w:type="pct"/>
                  <w:noWrap w:val="0"/>
                  <w:vAlign w:val="center"/>
                </w:tcPr>
                <w:p w14:paraId="5F894A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2</w:t>
                  </w:r>
                </w:p>
              </w:tc>
              <w:tc>
                <w:tcPr>
                  <w:tcW w:w="217" w:type="pct"/>
                  <w:noWrap w:val="0"/>
                  <w:vAlign w:val="center"/>
                </w:tcPr>
                <w:p w14:paraId="23D9A9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厌氧塔沼气</w:t>
                  </w:r>
                </w:p>
              </w:tc>
              <w:tc>
                <w:tcPr>
                  <w:tcW w:w="217" w:type="pct"/>
                  <w:noWrap w:val="0"/>
                  <w:vAlign w:val="center"/>
                </w:tcPr>
                <w:p w14:paraId="2F1F37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甲烷</w:t>
                  </w:r>
                </w:p>
              </w:tc>
              <w:tc>
                <w:tcPr>
                  <w:tcW w:w="217" w:type="pct"/>
                  <w:noWrap w:val="0"/>
                  <w:vAlign w:val="center"/>
                </w:tcPr>
                <w:p w14:paraId="35A43F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有组织</w:t>
                  </w:r>
                </w:p>
              </w:tc>
              <w:tc>
                <w:tcPr>
                  <w:tcW w:w="278" w:type="pct"/>
                  <w:noWrap w:val="0"/>
                  <w:vAlign w:val="center"/>
                </w:tcPr>
                <w:p w14:paraId="040E6CB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w:t>
                  </w:r>
                </w:p>
              </w:tc>
              <w:tc>
                <w:tcPr>
                  <w:tcW w:w="348" w:type="pct"/>
                  <w:noWrap w:val="0"/>
                  <w:vAlign w:val="center"/>
                </w:tcPr>
                <w:p w14:paraId="183BF7D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w:t>
                  </w:r>
                </w:p>
              </w:tc>
              <w:tc>
                <w:tcPr>
                  <w:tcW w:w="513" w:type="pct"/>
                  <w:noWrap w:val="0"/>
                  <w:vAlign w:val="center"/>
                </w:tcPr>
                <w:p w14:paraId="623616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339" w:type="pct"/>
                  <w:noWrap w:val="0"/>
                  <w:vAlign w:val="center"/>
                </w:tcPr>
                <w:p w14:paraId="0E26C9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rPr>
                  </w:pPr>
                  <w:r>
                    <w:rPr>
                      <w:rFonts w:hint="default" w:ascii="Times New Roman" w:hAnsi="Times New Roman" w:cs="Times New Roman"/>
                      <w:b w:val="0"/>
                      <w:bCs w:val="0"/>
                      <w:color w:val="auto"/>
                      <w:sz w:val="21"/>
                      <w:szCs w:val="21"/>
                      <w:vertAlign w:val="baseline"/>
                    </w:rPr>
                    <w:t>密闭收集+阻火器+接入DA001高空排放</w:t>
                  </w:r>
                </w:p>
              </w:tc>
              <w:tc>
                <w:tcPr>
                  <w:tcW w:w="292" w:type="pct"/>
                  <w:noWrap w:val="0"/>
                  <w:vAlign w:val="center"/>
                </w:tcPr>
                <w:p w14:paraId="3A760D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w:t>
                  </w:r>
                </w:p>
              </w:tc>
              <w:tc>
                <w:tcPr>
                  <w:tcW w:w="292" w:type="pct"/>
                  <w:noWrap w:val="0"/>
                  <w:vAlign w:val="center"/>
                </w:tcPr>
                <w:p w14:paraId="648B33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w:t>
                  </w:r>
                </w:p>
              </w:tc>
              <w:tc>
                <w:tcPr>
                  <w:tcW w:w="219" w:type="pct"/>
                  <w:noWrap w:val="0"/>
                  <w:vAlign w:val="center"/>
                </w:tcPr>
                <w:p w14:paraId="74E3E8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w:t>
                  </w:r>
                </w:p>
              </w:tc>
              <w:tc>
                <w:tcPr>
                  <w:tcW w:w="398" w:type="pct"/>
                  <w:noWrap w:val="0"/>
                  <w:vAlign w:val="center"/>
                </w:tcPr>
                <w:p w14:paraId="173EA99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w:t>
                  </w:r>
                </w:p>
              </w:tc>
              <w:tc>
                <w:tcPr>
                  <w:tcW w:w="408" w:type="pct"/>
                  <w:noWrap w:val="0"/>
                  <w:vAlign w:val="center"/>
                </w:tcPr>
                <w:p w14:paraId="7C6C6F5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w:t>
                  </w:r>
                </w:p>
              </w:tc>
              <w:tc>
                <w:tcPr>
                  <w:tcW w:w="428" w:type="pct"/>
                  <w:noWrap w:val="0"/>
                  <w:vAlign w:val="center"/>
                </w:tcPr>
                <w:p w14:paraId="6B23F5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348" w:type="pct"/>
                  <w:noWrap w:val="0"/>
                  <w:vAlign w:val="center"/>
                </w:tcPr>
                <w:p w14:paraId="4EE057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eastAsia="zh-CN"/>
                    </w:rPr>
                    <w:t>恶臭废气</w:t>
                  </w:r>
                  <w:r>
                    <w:rPr>
                      <w:rFonts w:hint="default" w:ascii="Times New Roman" w:hAnsi="Times New Roman" w:cs="Times New Roman"/>
                      <w:b w:val="0"/>
                      <w:bCs w:val="0"/>
                      <w:color w:val="auto"/>
                      <w:sz w:val="21"/>
                      <w:szCs w:val="21"/>
                      <w:vertAlign w:val="baseline"/>
                    </w:rPr>
                    <w:t>排放口</w:t>
                  </w:r>
                </w:p>
              </w:tc>
              <w:tc>
                <w:tcPr>
                  <w:tcW w:w="262" w:type="pct"/>
                  <w:noWrap w:val="0"/>
                  <w:vAlign w:val="center"/>
                </w:tcPr>
                <w:p w14:paraId="442CE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DA001</w:t>
                  </w:r>
                </w:p>
              </w:tc>
            </w:tr>
          </w:tbl>
          <w:p w14:paraId="6FDC887A">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eastAsia"/>
                <w:b/>
                <w:bCs/>
                <w:sz w:val="24"/>
              </w:rPr>
            </w:pPr>
            <w:r>
              <w:rPr>
                <w:rFonts w:hint="eastAsia" w:ascii="宋体" w:hAnsi="宋体" w:cs="宋体"/>
                <w:b/>
                <w:bCs/>
                <w:sz w:val="24"/>
                <w:lang w:val="en-US" w:eastAsia="zh-CN"/>
              </w:rPr>
              <w:t>4.</w:t>
            </w:r>
            <w:r>
              <w:rPr>
                <w:rFonts w:hint="eastAsia" w:ascii="宋体" w:hAnsi="宋体" w:cs="宋体"/>
                <w:b/>
                <w:bCs/>
                <w:sz w:val="24"/>
              </w:rPr>
              <w:t>废气污染防治措施可行性分析</w:t>
            </w:r>
          </w:p>
          <w:p w14:paraId="20F4D0D0">
            <w:pPr>
              <w:spacing w:line="360" w:lineRule="auto"/>
              <w:ind w:firstLine="480" w:firstLineChars="200"/>
              <w:rPr>
                <w:rFonts w:hint="eastAsia"/>
                <w:sz w:val="24"/>
              </w:rPr>
            </w:pPr>
            <w:r>
              <w:rPr>
                <w:rFonts w:hint="eastAsia"/>
                <w:sz w:val="24"/>
              </w:rPr>
              <w:t>参照《排污许可证申请与核发技术规范 水处理（试行）》（HJ978-2018）6.3.1废气可行技术，本项目</w:t>
            </w:r>
            <w:r>
              <w:rPr>
                <w:rFonts w:hint="eastAsia"/>
                <w:sz w:val="24"/>
                <w:lang w:eastAsia="zh-CN"/>
              </w:rPr>
              <w:t>活性炭吸附</w:t>
            </w:r>
            <w:r>
              <w:rPr>
                <w:rFonts w:hint="eastAsia"/>
                <w:sz w:val="24"/>
              </w:rPr>
              <w:t>为可行技术。</w:t>
            </w:r>
          </w:p>
          <w:p w14:paraId="0718E22B">
            <w:pPr>
              <w:spacing w:line="360" w:lineRule="auto"/>
              <w:ind w:firstLine="480" w:firstLineChars="200"/>
              <w:rPr>
                <w:rFonts w:hint="default" w:cs="宋体" w:asciiTheme="minorAscii" w:hAnsiTheme="minorAscii"/>
                <w:sz w:val="24"/>
                <w:lang w:eastAsia="zh-CN"/>
              </w:rPr>
            </w:pPr>
            <w:r>
              <w:rPr>
                <w:rFonts w:hint="default" w:cs="宋体" w:asciiTheme="minorAscii" w:hAnsiTheme="minorAscii"/>
                <w:sz w:val="24"/>
                <w:lang w:eastAsia="zh-CN"/>
              </w:rPr>
              <w:t>活性炭装置严格按照设计参数实施：装填量1200 kg，每90 d更换，废活性炭按危废管理处置。处理后DA001排气筒硫化氢、氨、臭气浓度满足《恶臭污染物排放标准》（GB14554</w:t>
            </w:r>
            <w:r>
              <w:rPr>
                <w:rFonts w:hint="default" w:cs="宋体" w:asciiTheme="minorAscii" w:hAnsiTheme="minorAscii"/>
                <w:sz w:val="24"/>
                <w:lang w:val="en-US" w:eastAsia="zh-CN"/>
              </w:rPr>
              <w:t>-</w:t>
            </w:r>
            <w:r>
              <w:rPr>
                <w:rFonts w:hint="default" w:cs="宋体" w:asciiTheme="minorAscii" w:hAnsiTheme="minorAscii"/>
                <w:sz w:val="24"/>
                <w:lang w:eastAsia="zh-CN"/>
              </w:rPr>
              <w:t>1993）表2；厂界无组织硫化氢、氨、臭气浓度满足《城镇污水处理厂污染物排放标准》GB18918-2002）厂界（防护带边缘）废气排放最高允许浓度二级标准。</w:t>
            </w:r>
          </w:p>
          <w:p w14:paraId="535A97D4">
            <w:pPr>
              <w:spacing w:line="360" w:lineRule="auto"/>
              <w:ind w:firstLine="480" w:firstLineChars="200"/>
              <w:rPr>
                <w:rFonts w:hint="default" w:eastAsia="宋体" w:asciiTheme="minorAscii" w:hAnsiTheme="minorAscii"/>
                <w:sz w:val="24"/>
                <w:lang w:eastAsia="zh-CN"/>
              </w:rPr>
            </w:pPr>
            <w:r>
              <w:rPr>
                <w:rFonts w:hint="default" w:cs="宋体" w:asciiTheme="minorAscii" w:hAnsiTheme="minorAscii"/>
                <w:sz w:val="24"/>
                <w:lang w:eastAsia="zh-CN"/>
              </w:rPr>
              <w:t>厌氧沼气甲烷不经过活性炭处理，通过专用管路接入DA001高空排放，配套阻火器、甲烷在线报警、强制防爆通风，可有效防范燃爆风险。综上，废气治理措施技术可行。</w:t>
            </w:r>
          </w:p>
          <w:p w14:paraId="17B990F7">
            <w:pPr>
              <w:spacing w:line="360" w:lineRule="auto"/>
              <w:ind w:firstLine="482" w:firstLineChars="200"/>
              <w:rPr>
                <w:rFonts w:hint="eastAsia" w:ascii="宋体" w:hAnsi="宋体" w:cs="宋体"/>
                <w:b/>
                <w:bCs/>
                <w:sz w:val="24"/>
              </w:rPr>
            </w:pPr>
            <w:r>
              <w:rPr>
                <w:rFonts w:hint="eastAsia" w:ascii="宋体" w:hAnsi="宋体" w:cs="宋体"/>
                <w:b/>
                <w:bCs/>
                <w:sz w:val="24"/>
                <w:lang w:eastAsia="zh-CN"/>
              </w:rPr>
              <w:t>5.</w:t>
            </w:r>
            <w:r>
              <w:rPr>
                <w:rFonts w:hint="eastAsia" w:ascii="宋体" w:hAnsi="宋体" w:cs="宋体"/>
                <w:b/>
                <w:bCs/>
                <w:sz w:val="24"/>
              </w:rPr>
              <w:t>大气环境影响分析</w:t>
            </w:r>
          </w:p>
          <w:p w14:paraId="1164C570">
            <w:pPr>
              <w:pStyle w:val="12"/>
              <w:spacing w:line="360" w:lineRule="auto"/>
              <w:ind w:firstLine="480" w:firstLineChars="200"/>
              <w:rPr>
                <w:rFonts w:hint="eastAsia"/>
                <w:snapToGrid w:val="0"/>
                <w:sz w:val="24"/>
              </w:rPr>
            </w:pPr>
            <w:r>
              <w:rPr>
                <w:sz w:val="24"/>
              </w:rPr>
              <w:t>本项目废气</w:t>
            </w:r>
            <w:r>
              <w:rPr>
                <w:rFonts w:hint="eastAsia"/>
                <w:sz w:val="24"/>
              </w:rPr>
              <w:t>为恶臭（H</w:t>
            </w:r>
            <w:r>
              <w:rPr>
                <w:rFonts w:hint="eastAsia"/>
                <w:sz w:val="24"/>
                <w:vertAlign w:val="subscript"/>
              </w:rPr>
              <w:t>2</w:t>
            </w:r>
            <w:r>
              <w:rPr>
                <w:rFonts w:hint="eastAsia"/>
                <w:sz w:val="24"/>
              </w:rPr>
              <w:t>S、NH</w:t>
            </w:r>
            <w:r>
              <w:rPr>
                <w:rFonts w:hint="eastAsia"/>
                <w:sz w:val="24"/>
                <w:vertAlign w:val="subscript"/>
              </w:rPr>
              <w:t>3</w:t>
            </w:r>
            <w:r>
              <w:rPr>
                <w:rFonts w:ascii="宋体" w:hAnsi="宋体" w:eastAsia="宋体" w:cs="宋体"/>
                <w:sz w:val="24"/>
                <w:szCs w:val="24"/>
              </w:rPr>
              <w:t>、臭气浓度</w:t>
            </w:r>
            <w:r>
              <w:rPr>
                <w:rFonts w:hint="eastAsia"/>
                <w:sz w:val="24"/>
              </w:rPr>
              <w:t>）及厌氧塔甲烷</w:t>
            </w:r>
            <w:r>
              <w:rPr>
                <w:sz w:val="24"/>
              </w:rPr>
              <w:t>。</w:t>
            </w:r>
            <w:r>
              <w:rPr>
                <w:rFonts w:hint="eastAsia"/>
                <w:sz w:val="24"/>
              </w:rPr>
              <w:t>本项目对全厂污水处理构筑物、污泥脱水间内恶臭气体源经收集后经</w:t>
            </w:r>
            <w:r>
              <w:rPr>
                <w:rFonts w:hint="eastAsia"/>
                <w:sz w:val="24"/>
                <w:lang w:val="en-US" w:eastAsia="zh-CN"/>
              </w:rPr>
              <w:t>活性炭吸附装置处理</w:t>
            </w:r>
            <w:r>
              <w:rPr>
                <w:rFonts w:hint="eastAsia"/>
                <w:sz w:val="24"/>
              </w:rPr>
              <w:t>后通过15m排气筒排放</w:t>
            </w:r>
            <w:r>
              <w:rPr>
                <w:sz w:val="24"/>
              </w:rPr>
              <w:t>，</w:t>
            </w:r>
            <w:r>
              <w:rPr>
                <w:rFonts w:hint="eastAsia"/>
                <w:sz w:val="24"/>
              </w:rPr>
              <w:t>有组织排放的氨、硫化氢</w:t>
            </w:r>
            <w:r>
              <w:rPr>
                <w:rFonts w:hint="eastAsia"/>
                <w:sz w:val="24"/>
                <w:lang w:eastAsia="zh-CN"/>
              </w:rPr>
              <w:t>、</w:t>
            </w:r>
            <w:r>
              <w:rPr>
                <w:rFonts w:ascii="宋体" w:hAnsi="宋体" w:eastAsia="宋体" w:cs="宋体"/>
                <w:sz w:val="24"/>
                <w:szCs w:val="24"/>
              </w:rPr>
              <w:t>臭气浓度</w:t>
            </w:r>
            <w:r>
              <w:rPr>
                <w:rFonts w:hint="eastAsia"/>
                <w:sz w:val="24"/>
              </w:rPr>
              <w:t>可以</w:t>
            </w:r>
            <w:r>
              <w:rPr>
                <w:sz w:val="24"/>
              </w:rPr>
              <w:t>满足</w:t>
            </w:r>
            <w:r>
              <w:rPr>
                <w:rFonts w:hint="eastAsia"/>
                <w:sz w:val="24"/>
              </w:rPr>
              <w:t>《恶臭污染物排放标准》（GB14554-1993）中表2标准</w:t>
            </w:r>
            <w:r>
              <w:rPr>
                <w:sz w:val="24"/>
              </w:rPr>
              <w:t>。</w:t>
            </w:r>
            <w:r>
              <w:rPr>
                <w:rFonts w:hint="eastAsia"/>
                <w:sz w:val="24"/>
              </w:rPr>
              <w:t>并通过对全厂污水处理构筑物内恶臭气体源通过加盖密闭、集中收集处理等措施进行控制，从而减轻恶臭影响，无组织排放的氨、硫化氢可以满足《城镇污水处理厂污染物排放标准》GB18918-2002）厂界（防护带边缘）废气排放最高允许浓度二级标准</w:t>
            </w:r>
            <w:r>
              <w:rPr>
                <w:rFonts w:hint="eastAsia"/>
                <w:snapToGrid w:val="0"/>
                <w:sz w:val="24"/>
              </w:rPr>
              <w:t>。厌氧塔产生甲烷经密闭收集后接入DA001高空稀释排放，配套安全报警、强制通风等风险防控措施，厂区内部甲烷浓度可控制在安全阈值以内，不会造成甲烷聚集爆炸风险。</w:t>
            </w:r>
          </w:p>
          <w:p w14:paraId="45AA20AE">
            <w:pPr>
              <w:pStyle w:val="12"/>
              <w:spacing w:line="360" w:lineRule="auto"/>
              <w:ind w:firstLine="480" w:firstLineChars="200"/>
              <w:rPr>
                <w:rFonts w:hint="eastAsia" w:eastAsia="宋体"/>
                <w:snapToGrid w:val="0"/>
                <w:sz w:val="24"/>
                <w:lang w:eastAsia="zh-CN"/>
              </w:rPr>
            </w:pPr>
            <w:r>
              <w:rPr>
                <w:rFonts w:hint="eastAsia"/>
                <w:snapToGrid w:val="0"/>
                <w:sz w:val="24"/>
              </w:rPr>
              <w:t>综上，项目废气对区域大气环境影响较小，环境影响可接受</w:t>
            </w:r>
            <w:r>
              <w:rPr>
                <w:rFonts w:hint="eastAsia"/>
                <w:snapToGrid w:val="0"/>
                <w:sz w:val="24"/>
                <w:lang w:eastAsia="zh-CN"/>
              </w:rPr>
              <w:t>。</w:t>
            </w:r>
          </w:p>
          <w:p w14:paraId="0A411677">
            <w:pPr>
              <w:adjustRightInd w:val="0"/>
              <w:snapToGrid w:val="0"/>
              <w:spacing w:line="360" w:lineRule="auto"/>
              <w:ind w:firstLine="442" w:firstLineChars="200"/>
              <w:rPr>
                <w:rFonts w:hint="eastAsia" w:ascii="宋体" w:hAnsi="宋体" w:cs="宋体"/>
                <w:b/>
                <w:bCs/>
                <w:spacing w:val="-10"/>
                <w:sz w:val="24"/>
              </w:rPr>
            </w:pPr>
            <w:r>
              <w:rPr>
                <w:rFonts w:hint="eastAsia" w:ascii="宋体" w:hAnsi="宋体" w:cs="宋体"/>
                <w:b/>
                <w:bCs/>
                <w:spacing w:val="-10"/>
                <w:sz w:val="24"/>
                <w:lang w:val="en-US" w:eastAsia="zh-CN"/>
              </w:rPr>
              <w:t>6.</w:t>
            </w:r>
            <w:r>
              <w:rPr>
                <w:rFonts w:hint="eastAsia" w:ascii="宋体" w:hAnsi="宋体" w:cs="宋体"/>
                <w:b/>
                <w:bCs/>
                <w:spacing w:val="-10"/>
                <w:sz w:val="24"/>
              </w:rPr>
              <w:t>监测要求</w:t>
            </w:r>
          </w:p>
          <w:p w14:paraId="08836D0F">
            <w:pPr>
              <w:spacing w:line="360" w:lineRule="auto"/>
              <w:ind w:firstLine="480" w:firstLineChars="200"/>
              <w:rPr>
                <w:sz w:val="24"/>
              </w:rPr>
            </w:pPr>
            <w:r>
              <w:rPr>
                <w:rFonts w:hint="eastAsia"/>
                <w:sz w:val="24"/>
              </w:rPr>
              <w:t>参照《排污单位自行监测技术指南 总则》（HJ819-2017）以及《排污许可证申请与核发技术规范 水处理（试行）》（HJ978-2018）的相关要求，本项目大气污染物监测计划见下表。</w:t>
            </w:r>
          </w:p>
          <w:p w14:paraId="31EAC1C9">
            <w:pPr>
              <w:spacing w:line="480" w:lineRule="exact"/>
              <w:jc w:val="center"/>
              <w:rPr>
                <w:b/>
                <w:bCs/>
                <w:sz w:val="24"/>
              </w:rPr>
            </w:pPr>
            <w:r>
              <w:rPr>
                <w:b/>
                <w:bCs/>
                <w:sz w:val="24"/>
              </w:rPr>
              <w:t>表</w:t>
            </w:r>
            <w:r>
              <w:rPr>
                <w:rFonts w:hint="eastAsia"/>
                <w:b/>
                <w:bCs/>
                <w:sz w:val="24"/>
                <w:lang w:val="en-US" w:eastAsia="zh-CN"/>
              </w:rPr>
              <w:t>4-8</w:t>
            </w:r>
            <w:r>
              <w:rPr>
                <w:rFonts w:hint="eastAsia"/>
                <w:b/>
                <w:bCs/>
                <w:sz w:val="24"/>
              </w:rPr>
              <w:t xml:space="preserve">  </w:t>
            </w:r>
            <w:r>
              <w:rPr>
                <w:b/>
                <w:bCs/>
                <w:sz w:val="24"/>
              </w:rPr>
              <w:t xml:space="preserve"> </w:t>
            </w:r>
            <w:r>
              <w:rPr>
                <w:rFonts w:hint="eastAsia"/>
                <w:b/>
                <w:bCs/>
                <w:sz w:val="24"/>
              </w:rPr>
              <w:t>大气</w:t>
            </w:r>
            <w:r>
              <w:rPr>
                <w:b/>
                <w:bCs/>
                <w:sz w:val="24"/>
              </w:rPr>
              <w:t>环境监测计划</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601"/>
              <w:gridCol w:w="1463"/>
              <w:gridCol w:w="1162"/>
              <w:gridCol w:w="2543"/>
            </w:tblGrid>
            <w:tr w14:paraId="7BD7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9" w:type="pct"/>
                  <w:noWrap w:val="0"/>
                  <w:vAlign w:val="center"/>
                </w:tcPr>
                <w:p w14:paraId="49F37292">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szCs w:val="21"/>
                      <w:lang w:eastAsia="zh-CN"/>
                    </w:rPr>
                  </w:pPr>
                  <w:r>
                    <w:rPr>
                      <w:rFonts w:hint="eastAsia"/>
                      <w:szCs w:val="21"/>
                      <w:lang w:eastAsia="zh-CN"/>
                    </w:rPr>
                    <w:t>监测点位</w:t>
                  </w:r>
                </w:p>
              </w:tc>
              <w:tc>
                <w:tcPr>
                  <w:tcW w:w="965" w:type="pct"/>
                  <w:noWrap w:val="0"/>
                  <w:vAlign w:val="center"/>
                </w:tcPr>
                <w:p w14:paraId="6BEEB23B">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szCs w:val="21"/>
                      <w:lang w:eastAsia="zh-CN"/>
                    </w:rPr>
                  </w:pPr>
                  <w:r>
                    <w:rPr>
                      <w:rFonts w:hint="eastAsia"/>
                      <w:szCs w:val="21"/>
                    </w:rPr>
                    <w:t>监测</w:t>
                  </w:r>
                  <w:r>
                    <w:rPr>
                      <w:rFonts w:hint="eastAsia"/>
                      <w:szCs w:val="21"/>
                      <w:lang w:eastAsia="zh-CN"/>
                    </w:rPr>
                    <w:t>指标</w:t>
                  </w:r>
                </w:p>
              </w:tc>
              <w:tc>
                <w:tcPr>
                  <w:tcW w:w="881" w:type="pct"/>
                  <w:noWrap w:val="0"/>
                  <w:vAlign w:val="center"/>
                </w:tcPr>
                <w:p w14:paraId="41260E58">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szCs w:val="21"/>
                      <w:lang w:eastAsia="zh-CN"/>
                    </w:rPr>
                  </w:pPr>
                  <w:r>
                    <w:rPr>
                      <w:rFonts w:hint="eastAsia"/>
                      <w:szCs w:val="21"/>
                      <w:lang w:eastAsia="zh-CN"/>
                    </w:rPr>
                    <w:t>监测方式</w:t>
                  </w:r>
                </w:p>
              </w:tc>
              <w:tc>
                <w:tcPr>
                  <w:tcW w:w="700" w:type="pct"/>
                  <w:noWrap w:val="0"/>
                  <w:vAlign w:val="center"/>
                </w:tcPr>
                <w:p w14:paraId="2404B67F">
                  <w:pPr>
                    <w:keepNext w:val="0"/>
                    <w:keepLines w:val="0"/>
                    <w:pageBreakBefore w:val="0"/>
                    <w:widowControl w:val="0"/>
                    <w:kinsoku/>
                    <w:wordWrap/>
                    <w:overflowPunct/>
                    <w:topLinePunct w:val="0"/>
                    <w:autoSpaceDE/>
                    <w:autoSpaceDN/>
                    <w:bidi w:val="0"/>
                    <w:adjustRightInd/>
                    <w:snapToGrid/>
                    <w:jc w:val="center"/>
                    <w:textAlignment w:val="auto"/>
                    <w:rPr>
                      <w:szCs w:val="21"/>
                    </w:rPr>
                  </w:pPr>
                  <w:r>
                    <w:rPr>
                      <w:szCs w:val="21"/>
                    </w:rPr>
                    <w:t>监测频次</w:t>
                  </w:r>
                </w:p>
              </w:tc>
              <w:tc>
                <w:tcPr>
                  <w:tcW w:w="1532" w:type="pct"/>
                  <w:noWrap w:val="0"/>
                  <w:vAlign w:val="center"/>
                </w:tcPr>
                <w:p w14:paraId="4648C58C">
                  <w:pPr>
                    <w:keepNext w:val="0"/>
                    <w:keepLines w:val="0"/>
                    <w:pageBreakBefore w:val="0"/>
                    <w:widowControl w:val="0"/>
                    <w:kinsoku/>
                    <w:wordWrap/>
                    <w:overflowPunct/>
                    <w:topLinePunct w:val="0"/>
                    <w:autoSpaceDE/>
                    <w:autoSpaceDN/>
                    <w:bidi w:val="0"/>
                    <w:adjustRightInd/>
                    <w:snapToGrid/>
                    <w:jc w:val="center"/>
                    <w:textAlignment w:val="auto"/>
                    <w:rPr>
                      <w:szCs w:val="21"/>
                    </w:rPr>
                  </w:pPr>
                  <w:r>
                    <w:rPr>
                      <w:szCs w:val="21"/>
                    </w:rPr>
                    <w:t>执行标准</w:t>
                  </w:r>
                </w:p>
              </w:tc>
            </w:tr>
            <w:tr w14:paraId="0C8F1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19" w:type="pct"/>
                  <w:vMerge w:val="restart"/>
                  <w:noWrap w:val="0"/>
                  <w:vAlign w:val="center"/>
                </w:tcPr>
                <w:p w14:paraId="2DCC208D">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szCs w:val="21"/>
                      <w:lang w:val="en-US" w:eastAsia="zh-CN"/>
                    </w:rPr>
                  </w:pPr>
                  <w:r>
                    <w:rPr>
                      <w:rFonts w:hint="eastAsia"/>
                      <w:szCs w:val="21"/>
                      <w:lang w:val="en-US" w:eastAsia="zh-CN"/>
                    </w:rPr>
                    <w:t>DA001</w:t>
                  </w:r>
                </w:p>
              </w:tc>
              <w:tc>
                <w:tcPr>
                  <w:tcW w:w="965" w:type="pct"/>
                  <w:vMerge w:val="restart"/>
                  <w:noWrap w:val="0"/>
                  <w:vAlign w:val="center"/>
                </w:tcPr>
                <w:p w14:paraId="2A7A90C9">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szCs w:val="21"/>
                      <w:lang w:val="en-US" w:eastAsia="zh-CN"/>
                    </w:rPr>
                  </w:pPr>
                  <w:r>
                    <w:rPr>
                      <w:rFonts w:hint="eastAsia"/>
                      <w:szCs w:val="21"/>
                      <w:lang w:eastAsia="zh-CN"/>
                    </w:rPr>
                    <w:t>硫化氢、氨、</w:t>
                  </w:r>
                  <w:r>
                    <w:rPr>
                      <w:rFonts w:hint="eastAsia"/>
                      <w:szCs w:val="21"/>
                      <w:lang w:val="en-US" w:eastAsia="zh-CN"/>
                    </w:rPr>
                    <w:t>臭气浓度、甲烷</w:t>
                  </w:r>
                </w:p>
              </w:tc>
              <w:tc>
                <w:tcPr>
                  <w:tcW w:w="881" w:type="pct"/>
                  <w:vMerge w:val="restart"/>
                  <w:noWrap w:val="0"/>
                  <w:vAlign w:val="center"/>
                </w:tcPr>
                <w:p w14:paraId="0FC20B83">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szCs w:val="21"/>
                      <w:lang w:eastAsia="zh-CN"/>
                    </w:rPr>
                  </w:pPr>
                  <w:r>
                    <w:rPr>
                      <w:rFonts w:hint="eastAsia"/>
                      <w:szCs w:val="21"/>
                      <w:lang w:eastAsia="zh-CN"/>
                    </w:rPr>
                    <w:t>手工监测</w:t>
                  </w:r>
                </w:p>
              </w:tc>
              <w:tc>
                <w:tcPr>
                  <w:tcW w:w="700" w:type="pct"/>
                  <w:vMerge w:val="restart"/>
                  <w:noWrap w:val="0"/>
                  <w:vAlign w:val="center"/>
                </w:tcPr>
                <w:p w14:paraId="0FFEB22D">
                  <w:pPr>
                    <w:keepNext w:val="0"/>
                    <w:keepLines w:val="0"/>
                    <w:pageBreakBefore w:val="0"/>
                    <w:widowControl w:val="0"/>
                    <w:kinsoku/>
                    <w:wordWrap/>
                    <w:overflowPunct/>
                    <w:topLinePunct w:val="0"/>
                    <w:autoSpaceDE/>
                    <w:autoSpaceDN/>
                    <w:bidi w:val="0"/>
                    <w:adjustRightInd/>
                    <w:snapToGrid/>
                    <w:jc w:val="center"/>
                    <w:textAlignment w:val="auto"/>
                    <w:rPr>
                      <w:rFonts w:hint="eastAsia"/>
                      <w:szCs w:val="21"/>
                    </w:rPr>
                  </w:pPr>
                  <w:r>
                    <w:rPr>
                      <w:szCs w:val="21"/>
                    </w:rPr>
                    <w:t>1次/</w:t>
                  </w:r>
                  <w:r>
                    <w:rPr>
                      <w:rFonts w:hint="eastAsia"/>
                      <w:szCs w:val="21"/>
                    </w:rPr>
                    <w:t>半年</w:t>
                  </w:r>
                </w:p>
              </w:tc>
              <w:tc>
                <w:tcPr>
                  <w:tcW w:w="1532" w:type="pct"/>
                  <w:vMerge w:val="restart"/>
                  <w:noWrap w:val="0"/>
                  <w:vAlign w:val="center"/>
                </w:tcPr>
                <w:p w14:paraId="705EEA7A">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szCs w:val="21"/>
                      <w:lang w:val="en-US" w:eastAsia="zh-CN"/>
                    </w:rPr>
                  </w:pPr>
                  <w:r>
                    <w:rPr>
                      <w:rFonts w:hint="eastAsia"/>
                      <w:szCs w:val="21"/>
                    </w:rPr>
                    <w:t>《恶臭污染物排放标准》（GB14554-1993）</w:t>
                  </w:r>
                  <w:r>
                    <w:rPr>
                      <w:rFonts w:hint="eastAsia"/>
                      <w:szCs w:val="21"/>
                      <w:lang w:val="en-US" w:eastAsia="zh-CN"/>
                    </w:rPr>
                    <w:t>中</w:t>
                  </w:r>
                  <w:r>
                    <w:rPr>
                      <w:rFonts w:hint="eastAsia"/>
                      <w:szCs w:val="21"/>
                    </w:rPr>
                    <w:t>表2</w:t>
                  </w:r>
                  <w:r>
                    <w:rPr>
                      <w:rFonts w:hint="eastAsia"/>
                      <w:szCs w:val="21"/>
                      <w:lang w:val="en-US" w:eastAsia="zh-CN"/>
                    </w:rPr>
                    <w:t>限值；甲烷为安全风险监控指标，无排放标准限值</w:t>
                  </w:r>
                </w:p>
              </w:tc>
            </w:tr>
            <w:tr w14:paraId="297B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19" w:type="pct"/>
                  <w:vMerge w:val="continue"/>
                  <w:noWrap w:val="0"/>
                  <w:vAlign w:val="center"/>
                </w:tcPr>
                <w:p w14:paraId="7976462F">
                  <w:pPr>
                    <w:keepNext w:val="0"/>
                    <w:keepLines w:val="0"/>
                    <w:pageBreakBefore w:val="0"/>
                    <w:widowControl w:val="0"/>
                    <w:kinsoku/>
                    <w:wordWrap/>
                    <w:overflowPunct/>
                    <w:topLinePunct w:val="0"/>
                    <w:autoSpaceDE/>
                    <w:autoSpaceDN/>
                    <w:bidi w:val="0"/>
                    <w:adjustRightInd/>
                    <w:snapToGrid/>
                    <w:jc w:val="center"/>
                    <w:textAlignment w:val="auto"/>
                    <w:rPr>
                      <w:szCs w:val="21"/>
                    </w:rPr>
                  </w:pPr>
                </w:p>
              </w:tc>
              <w:tc>
                <w:tcPr>
                  <w:tcW w:w="965" w:type="pct"/>
                  <w:vMerge w:val="continue"/>
                  <w:noWrap w:val="0"/>
                  <w:vAlign w:val="center"/>
                </w:tcPr>
                <w:p w14:paraId="401655FE">
                  <w:pPr>
                    <w:keepNext w:val="0"/>
                    <w:keepLines w:val="0"/>
                    <w:pageBreakBefore w:val="0"/>
                    <w:widowControl w:val="0"/>
                    <w:kinsoku/>
                    <w:wordWrap/>
                    <w:overflowPunct/>
                    <w:topLinePunct w:val="0"/>
                    <w:autoSpaceDE/>
                    <w:autoSpaceDN/>
                    <w:bidi w:val="0"/>
                    <w:adjustRightInd/>
                    <w:snapToGrid/>
                    <w:jc w:val="center"/>
                    <w:textAlignment w:val="auto"/>
                    <w:rPr>
                      <w:szCs w:val="21"/>
                    </w:rPr>
                  </w:pPr>
                </w:p>
              </w:tc>
              <w:tc>
                <w:tcPr>
                  <w:tcW w:w="881" w:type="pct"/>
                  <w:vMerge w:val="continue"/>
                  <w:noWrap w:val="0"/>
                  <w:vAlign w:val="center"/>
                </w:tcPr>
                <w:p w14:paraId="0888E91E">
                  <w:pPr>
                    <w:keepNext w:val="0"/>
                    <w:keepLines w:val="0"/>
                    <w:pageBreakBefore w:val="0"/>
                    <w:widowControl w:val="0"/>
                    <w:kinsoku/>
                    <w:wordWrap/>
                    <w:overflowPunct/>
                    <w:topLinePunct w:val="0"/>
                    <w:autoSpaceDE/>
                    <w:autoSpaceDN/>
                    <w:bidi w:val="0"/>
                    <w:adjustRightInd/>
                    <w:snapToGrid/>
                    <w:jc w:val="center"/>
                    <w:textAlignment w:val="auto"/>
                    <w:rPr>
                      <w:szCs w:val="21"/>
                    </w:rPr>
                  </w:pPr>
                </w:p>
              </w:tc>
              <w:tc>
                <w:tcPr>
                  <w:tcW w:w="700" w:type="pct"/>
                  <w:vMerge w:val="continue"/>
                  <w:noWrap w:val="0"/>
                  <w:vAlign w:val="center"/>
                </w:tcPr>
                <w:p w14:paraId="4BF73F5C">
                  <w:pPr>
                    <w:keepNext w:val="0"/>
                    <w:keepLines w:val="0"/>
                    <w:pageBreakBefore w:val="0"/>
                    <w:widowControl w:val="0"/>
                    <w:kinsoku/>
                    <w:wordWrap/>
                    <w:overflowPunct/>
                    <w:topLinePunct w:val="0"/>
                    <w:autoSpaceDE/>
                    <w:autoSpaceDN/>
                    <w:bidi w:val="0"/>
                    <w:adjustRightInd/>
                    <w:snapToGrid/>
                    <w:jc w:val="center"/>
                    <w:textAlignment w:val="auto"/>
                    <w:rPr>
                      <w:szCs w:val="21"/>
                    </w:rPr>
                  </w:pPr>
                </w:p>
              </w:tc>
              <w:tc>
                <w:tcPr>
                  <w:tcW w:w="1532" w:type="pct"/>
                  <w:vMerge w:val="continue"/>
                  <w:noWrap w:val="0"/>
                  <w:vAlign w:val="center"/>
                </w:tcPr>
                <w:p w14:paraId="26135585">
                  <w:pPr>
                    <w:keepNext w:val="0"/>
                    <w:keepLines w:val="0"/>
                    <w:pageBreakBefore w:val="0"/>
                    <w:widowControl w:val="0"/>
                    <w:kinsoku/>
                    <w:wordWrap/>
                    <w:overflowPunct/>
                    <w:topLinePunct w:val="0"/>
                    <w:autoSpaceDE/>
                    <w:autoSpaceDN/>
                    <w:bidi w:val="0"/>
                    <w:adjustRightInd/>
                    <w:snapToGrid/>
                    <w:jc w:val="center"/>
                    <w:textAlignment w:val="auto"/>
                    <w:rPr>
                      <w:szCs w:val="21"/>
                    </w:rPr>
                  </w:pPr>
                </w:p>
              </w:tc>
            </w:tr>
            <w:tr w14:paraId="742BA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19" w:type="pct"/>
                  <w:vMerge w:val="restart"/>
                  <w:noWrap w:val="0"/>
                  <w:vAlign w:val="center"/>
                </w:tcPr>
                <w:p w14:paraId="3168BBDB">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szCs w:val="21"/>
                      <w:lang w:eastAsia="zh-CN"/>
                    </w:rPr>
                  </w:pPr>
                  <w:r>
                    <w:rPr>
                      <w:rFonts w:hint="eastAsia"/>
                      <w:szCs w:val="21"/>
                      <w:lang w:eastAsia="zh-CN"/>
                    </w:rPr>
                    <w:t>厂界</w:t>
                  </w:r>
                </w:p>
              </w:tc>
              <w:tc>
                <w:tcPr>
                  <w:tcW w:w="965" w:type="pct"/>
                  <w:noWrap w:val="0"/>
                  <w:vAlign w:val="center"/>
                </w:tcPr>
                <w:p w14:paraId="65405914">
                  <w:pPr>
                    <w:keepNext w:val="0"/>
                    <w:keepLines w:val="0"/>
                    <w:pageBreakBefore w:val="0"/>
                    <w:widowControl w:val="0"/>
                    <w:kinsoku/>
                    <w:wordWrap/>
                    <w:overflowPunct/>
                    <w:topLinePunct w:val="0"/>
                    <w:autoSpaceDE/>
                    <w:autoSpaceDN/>
                    <w:bidi w:val="0"/>
                    <w:adjustRightInd/>
                    <w:snapToGrid/>
                    <w:jc w:val="center"/>
                    <w:textAlignment w:val="auto"/>
                    <w:rPr>
                      <w:rFonts w:hint="default"/>
                      <w:szCs w:val="21"/>
                      <w:lang w:val="en-US"/>
                    </w:rPr>
                  </w:pPr>
                  <w:r>
                    <w:rPr>
                      <w:rFonts w:hint="eastAsia"/>
                      <w:szCs w:val="21"/>
                      <w:lang w:eastAsia="zh-CN"/>
                    </w:rPr>
                    <w:t>硫化氢、氨</w:t>
                  </w:r>
                  <w:r>
                    <w:rPr>
                      <w:rFonts w:hint="eastAsia"/>
                      <w:szCs w:val="21"/>
                      <w:lang w:val="en-US" w:eastAsia="zh-CN"/>
                    </w:rPr>
                    <w:t>、臭气浓度</w:t>
                  </w:r>
                </w:p>
              </w:tc>
              <w:tc>
                <w:tcPr>
                  <w:tcW w:w="881" w:type="pct"/>
                  <w:vMerge w:val="restart"/>
                  <w:noWrap w:val="0"/>
                  <w:vAlign w:val="center"/>
                </w:tcPr>
                <w:p w14:paraId="3EB17326">
                  <w:pPr>
                    <w:keepNext w:val="0"/>
                    <w:keepLines w:val="0"/>
                    <w:pageBreakBefore w:val="0"/>
                    <w:widowControl w:val="0"/>
                    <w:kinsoku/>
                    <w:wordWrap/>
                    <w:overflowPunct/>
                    <w:topLinePunct w:val="0"/>
                    <w:autoSpaceDE/>
                    <w:autoSpaceDN/>
                    <w:bidi w:val="0"/>
                    <w:adjustRightInd/>
                    <w:snapToGrid/>
                    <w:jc w:val="center"/>
                    <w:textAlignment w:val="auto"/>
                    <w:rPr>
                      <w:rFonts w:hint="eastAsia"/>
                      <w:szCs w:val="21"/>
                    </w:rPr>
                  </w:pPr>
                  <w:r>
                    <w:rPr>
                      <w:rFonts w:hint="eastAsia"/>
                      <w:szCs w:val="21"/>
                      <w:lang w:eastAsia="zh-CN"/>
                    </w:rPr>
                    <w:t>手工监测</w:t>
                  </w:r>
                </w:p>
              </w:tc>
              <w:tc>
                <w:tcPr>
                  <w:tcW w:w="700" w:type="pct"/>
                  <w:noWrap w:val="0"/>
                  <w:vAlign w:val="center"/>
                </w:tcPr>
                <w:p w14:paraId="4B75873F">
                  <w:pPr>
                    <w:keepNext w:val="0"/>
                    <w:keepLines w:val="0"/>
                    <w:pageBreakBefore w:val="0"/>
                    <w:widowControl w:val="0"/>
                    <w:kinsoku/>
                    <w:wordWrap/>
                    <w:overflowPunct/>
                    <w:topLinePunct w:val="0"/>
                    <w:autoSpaceDE/>
                    <w:autoSpaceDN/>
                    <w:bidi w:val="0"/>
                    <w:adjustRightInd/>
                    <w:snapToGrid/>
                    <w:jc w:val="center"/>
                    <w:textAlignment w:val="auto"/>
                    <w:rPr>
                      <w:szCs w:val="21"/>
                    </w:rPr>
                  </w:pPr>
                  <w:r>
                    <w:rPr>
                      <w:szCs w:val="21"/>
                    </w:rPr>
                    <w:t>1次/</w:t>
                  </w:r>
                  <w:r>
                    <w:rPr>
                      <w:rFonts w:hint="eastAsia"/>
                      <w:szCs w:val="21"/>
                    </w:rPr>
                    <w:t>半年</w:t>
                  </w:r>
                </w:p>
              </w:tc>
              <w:tc>
                <w:tcPr>
                  <w:tcW w:w="1532" w:type="pct"/>
                  <w:vMerge w:val="restart"/>
                  <w:noWrap w:val="0"/>
                  <w:vAlign w:val="center"/>
                </w:tcPr>
                <w:p w14:paraId="68F04327">
                  <w:pPr>
                    <w:keepNext w:val="0"/>
                    <w:keepLines w:val="0"/>
                    <w:pageBreakBefore w:val="0"/>
                    <w:widowControl w:val="0"/>
                    <w:kinsoku/>
                    <w:wordWrap/>
                    <w:overflowPunct/>
                    <w:topLinePunct w:val="0"/>
                    <w:autoSpaceDE/>
                    <w:autoSpaceDN/>
                    <w:bidi w:val="0"/>
                    <w:adjustRightInd/>
                    <w:snapToGrid/>
                    <w:jc w:val="center"/>
                    <w:textAlignment w:val="auto"/>
                    <w:rPr>
                      <w:szCs w:val="21"/>
                    </w:rPr>
                  </w:pPr>
                  <w:r>
                    <w:rPr>
                      <w:rFonts w:hint="eastAsia"/>
                      <w:szCs w:val="21"/>
                    </w:rPr>
                    <w:t>《城镇污水处理厂污染物排放标准》GB18918-2002）厂界（防护带边缘）废气排放最高允许浓度二级标准</w:t>
                  </w:r>
                </w:p>
              </w:tc>
            </w:tr>
            <w:tr w14:paraId="2D45F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19" w:type="pct"/>
                  <w:vMerge w:val="continue"/>
                  <w:noWrap w:val="0"/>
                  <w:vAlign w:val="center"/>
                </w:tcPr>
                <w:p w14:paraId="65BF1101">
                  <w:pPr>
                    <w:keepNext w:val="0"/>
                    <w:keepLines w:val="0"/>
                    <w:pageBreakBefore w:val="0"/>
                    <w:widowControl w:val="0"/>
                    <w:kinsoku/>
                    <w:wordWrap/>
                    <w:overflowPunct/>
                    <w:topLinePunct w:val="0"/>
                    <w:autoSpaceDE/>
                    <w:autoSpaceDN/>
                    <w:bidi w:val="0"/>
                    <w:adjustRightInd/>
                    <w:snapToGrid/>
                    <w:jc w:val="center"/>
                    <w:textAlignment w:val="auto"/>
                    <w:rPr>
                      <w:rFonts w:hint="eastAsia"/>
                      <w:szCs w:val="21"/>
                    </w:rPr>
                  </w:pPr>
                </w:p>
              </w:tc>
              <w:tc>
                <w:tcPr>
                  <w:tcW w:w="965" w:type="pct"/>
                  <w:noWrap w:val="0"/>
                  <w:vAlign w:val="center"/>
                </w:tcPr>
                <w:p w14:paraId="6453FFF1">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szCs w:val="21"/>
                      <w:lang w:val="en-US" w:eastAsia="zh-CN"/>
                    </w:rPr>
                  </w:pPr>
                  <w:r>
                    <w:rPr>
                      <w:rFonts w:hint="eastAsia"/>
                      <w:szCs w:val="21"/>
                      <w:lang w:val="en-US" w:eastAsia="zh-CN"/>
                    </w:rPr>
                    <w:t>甲烷</w:t>
                  </w:r>
                </w:p>
              </w:tc>
              <w:tc>
                <w:tcPr>
                  <w:tcW w:w="881" w:type="pct"/>
                  <w:vMerge w:val="continue"/>
                  <w:noWrap w:val="0"/>
                  <w:vAlign w:val="center"/>
                </w:tcPr>
                <w:p w14:paraId="0757F924">
                  <w:pPr>
                    <w:keepNext w:val="0"/>
                    <w:keepLines w:val="0"/>
                    <w:pageBreakBefore w:val="0"/>
                    <w:widowControl w:val="0"/>
                    <w:kinsoku/>
                    <w:wordWrap/>
                    <w:overflowPunct/>
                    <w:topLinePunct w:val="0"/>
                    <w:autoSpaceDE/>
                    <w:autoSpaceDN/>
                    <w:bidi w:val="0"/>
                    <w:adjustRightInd/>
                    <w:snapToGrid/>
                    <w:jc w:val="center"/>
                    <w:textAlignment w:val="auto"/>
                    <w:rPr>
                      <w:rFonts w:hint="eastAsia"/>
                      <w:szCs w:val="21"/>
                    </w:rPr>
                  </w:pPr>
                </w:p>
              </w:tc>
              <w:tc>
                <w:tcPr>
                  <w:tcW w:w="700" w:type="pct"/>
                  <w:noWrap w:val="0"/>
                  <w:vAlign w:val="center"/>
                </w:tcPr>
                <w:p w14:paraId="70DAB1BB">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szCs w:val="21"/>
                      <w:lang w:val="en-US" w:eastAsia="zh-CN"/>
                    </w:rPr>
                  </w:pPr>
                  <w:r>
                    <w:rPr>
                      <w:rFonts w:hint="eastAsia"/>
                      <w:szCs w:val="21"/>
                      <w:lang w:val="en-US" w:eastAsia="zh-CN"/>
                    </w:rPr>
                    <w:t>1次/年</w:t>
                  </w:r>
                </w:p>
              </w:tc>
              <w:tc>
                <w:tcPr>
                  <w:tcW w:w="1532" w:type="pct"/>
                  <w:vMerge w:val="continue"/>
                  <w:noWrap w:val="0"/>
                  <w:vAlign w:val="center"/>
                </w:tcPr>
                <w:p w14:paraId="35F40F60">
                  <w:pPr>
                    <w:keepNext w:val="0"/>
                    <w:keepLines w:val="0"/>
                    <w:pageBreakBefore w:val="0"/>
                    <w:widowControl w:val="0"/>
                    <w:kinsoku/>
                    <w:wordWrap/>
                    <w:overflowPunct/>
                    <w:topLinePunct w:val="0"/>
                    <w:autoSpaceDE/>
                    <w:autoSpaceDN/>
                    <w:bidi w:val="0"/>
                    <w:adjustRightInd/>
                    <w:snapToGrid/>
                    <w:jc w:val="center"/>
                    <w:textAlignment w:val="auto"/>
                    <w:rPr>
                      <w:szCs w:val="21"/>
                    </w:rPr>
                  </w:pPr>
                </w:p>
              </w:tc>
            </w:tr>
          </w:tbl>
          <w:p w14:paraId="6ECA3B70">
            <w:pPr>
              <w:spacing w:before="120" w:beforeLines="50" w:line="360" w:lineRule="auto"/>
              <w:rPr>
                <w:rFonts w:hint="eastAsia" w:ascii="宋体" w:hAnsi="宋体" w:cs="宋体"/>
                <w:b/>
                <w:sz w:val="24"/>
              </w:rPr>
            </w:pPr>
            <w:r>
              <w:rPr>
                <w:rFonts w:hint="eastAsia" w:ascii="宋体" w:hAnsi="宋体" w:cs="宋体"/>
                <w:b/>
                <w:sz w:val="24"/>
              </w:rPr>
              <w:t>（二）运营期水环境影响和保护措施</w:t>
            </w:r>
          </w:p>
          <w:p w14:paraId="5025296E">
            <w:pPr>
              <w:spacing w:line="360" w:lineRule="auto"/>
              <w:ind w:firstLine="482" w:firstLineChars="200"/>
              <w:rPr>
                <w:rFonts w:hint="eastAsia" w:ascii="宋体" w:hAnsi="宋体" w:cs="宋体"/>
                <w:b/>
                <w:bCs/>
                <w:sz w:val="24"/>
              </w:rPr>
            </w:pPr>
            <w:r>
              <w:rPr>
                <w:rFonts w:hint="eastAsia" w:ascii="宋体" w:hAnsi="宋体" w:cs="宋体"/>
                <w:b/>
                <w:bCs/>
                <w:sz w:val="24"/>
                <w:lang w:eastAsia="zh-CN"/>
              </w:rPr>
              <w:t>1.</w:t>
            </w:r>
            <w:r>
              <w:rPr>
                <w:rFonts w:hint="eastAsia" w:ascii="宋体" w:hAnsi="宋体" w:cs="宋体"/>
                <w:b/>
                <w:bCs/>
                <w:sz w:val="24"/>
              </w:rPr>
              <w:t>废水污染工序及源强分析</w:t>
            </w:r>
          </w:p>
          <w:p w14:paraId="7912283C">
            <w:pPr>
              <w:adjustRightInd w:val="0"/>
              <w:snapToGrid w:val="0"/>
              <w:spacing w:line="360" w:lineRule="auto"/>
              <w:ind w:firstLine="470" w:firstLineChars="196"/>
              <w:rPr>
                <w:rFonts w:hint="default" w:asciiTheme="minorAscii" w:hAnsiTheme="minorAscii"/>
                <w:bCs/>
                <w:color w:val="auto"/>
                <w:sz w:val="24"/>
                <w:szCs w:val="24"/>
              </w:rPr>
            </w:pPr>
            <w:r>
              <w:rPr>
                <w:rFonts w:hint="default" w:eastAsia="宋体" w:cs="宋体" w:asciiTheme="minorAscii" w:hAnsiTheme="minorAscii"/>
                <w:color w:val="auto"/>
                <w:sz w:val="24"/>
                <w:szCs w:val="24"/>
                <w:highlight w:val="none"/>
                <w:lang w:eastAsia="zh-CN"/>
              </w:rPr>
              <w:t>项目劳动定员</w:t>
            </w:r>
            <w:r>
              <w:rPr>
                <w:rFonts w:hint="default" w:eastAsia="宋体" w:cs="宋体" w:asciiTheme="minorAscii" w:hAnsiTheme="minorAscii"/>
                <w:color w:val="auto"/>
                <w:sz w:val="24"/>
                <w:szCs w:val="24"/>
                <w:highlight w:val="none"/>
                <w:lang w:val="en-US" w:eastAsia="zh-CN"/>
              </w:rPr>
              <w:t>3</w:t>
            </w:r>
            <w:r>
              <w:rPr>
                <w:rFonts w:hint="default" w:eastAsia="宋体" w:cs="宋体" w:asciiTheme="minorAscii" w:hAnsiTheme="minorAscii"/>
                <w:color w:val="auto"/>
                <w:sz w:val="24"/>
                <w:szCs w:val="24"/>
                <w:highlight w:val="none"/>
                <w:lang w:eastAsia="zh-CN"/>
              </w:rPr>
              <w:t>人，全年工作365天，用水量按每人每天</w:t>
            </w:r>
            <w:r>
              <w:rPr>
                <w:rFonts w:hint="default" w:cs="宋体" w:asciiTheme="minorAscii" w:hAnsiTheme="minorAscii"/>
                <w:color w:val="auto"/>
                <w:sz w:val="24"/>
                <w:szCs w:val="24"/>
                <w:highlight w:val="none"/>
                <w:lang w:val="en-US" w:eastAsia="zh-CN"/>
              </w:rPr>
              <w:t>30</w:t>
            </w:r>
            <w:r>
              <w:rPr>
                <w:rFonts w:hint="default" w:eastAsia="宋体" w:cs="宋体" w:asciiTheme="minorAscii" w:hAnsiTheme="minorAscii"/>
                <w:color w:val="auto"/>
                <w:sz w:val="24"/>
                <w:szCs w:val="24"/>
                <w:highlight w:val="none"/>
                <w:lang w:eastAsia="zh-CN"/>
              </w:rPr>
              <w:t>L计，用水量为</w:t>
            </w:r>
            <w:r>
              <w:rPr>
                <w:rFonts w:hint="default" w:eastAsia="宋体" w:cs="宋体" w:asciiTheme="minorAscii" w:hAnsiTheme="minorAscii"/>
                <w:color w:val="auto"/>
                <w:sz w:val="24"/>
                <w:szCs w:val="24"/>
                <w:highlight w:val="none"/>
                <w:lang w:val="en-US" w:eastAsia="zh-CN"/>
              </w:rPr>
              <w:t>0.0</w:t>
            </w:r>
            <w:r>
              <w:rPr>
                <w:rFonts w:hint="default" w:cs="宋体" w:asciiTheme="minorAscii" w:hAnsiTheme="minorAscii"/>
                <w:color w:val="auto"/>
                <w:sz w:val="24"/>
                <w:szCs w:val="24"/>
                <w:highlight w:val="none"/>
                <w:lang w:val="en-US" w:eastAsia="zh-CN"/>
              </w:rPr>
              <w:t>9</w:t>
            </w:r>
            <w:r>
              <w:rPr>
                <w:rFonts w:hint="default" w:eastAsia="宋体" w:cs="宋体" w:asciiTheme="minorAscii" w:hAnsiTheme="minorAscii"/>
                <w:color w:val="auto"/>
                <w:sz w:val="24"/>
                <w:szCs w:val="24"/>
                <w:highlight w:val="none"/>
                <w:lang w:eastAsia="zh-CN"/>
              </w:rPr>
              <w:t>m</w:t>
            </w:r>
            <w:r>
              <w:rPr>
                <w:rFonts w:hint="default" w:eastAsia="宋体" w:cs="宋体" w:asciiTheme="minorAscii" w:hAnsiTheme="minorAscii"/>
                <w:color w:val="auto"/>
                <w:sz w:val="24"/>
                <w:szCs w:val="24"/>
                <w:highlight w:val="none"/>
                <w:vertAlign w:val="superscript"/>
                <w:lang w:eastAsia="zh-CN"/>
              </w:rPr>
              <w:t>3</w:t>
            </w:r>
            <w:r>
              <w:rPr>
                <w:rFonts w:hint="default" w:eastAsia="宋体" w:cs="宋体" w:asciiTheme="minorAscii" w:hAnsiTheme="minorAscii"/>
                <w:color w:val="auto"/>
                <w:sz w:val="24"/>
                <w:szCs w:val="24"/>
                <w:highlight w:val="none"/>
                <w:lang w:eastAsia="zh-CN"/>
              </w:rPr>
              <w:t>/d，年用水量为</w:t>
            </w:r>
            <w:r>
              <w:rPr>
                <w:rFonts w:hint="default" w:cs="宋体" w:asciiTheme="minorAscii" w:hAnsiTheme="minorAscii"/>
                <w:color w:val="auto"/>
                <w:sz w:val="24"/>
                <w:szCs w:val="24"/>
                <w:highlight w:val="none"/>
                <w:lang w:val="en-US" w:eastAsia="zh-CN"/>
              </w:rPr>
              <w:t>32.85</w:t>
            </w:r>
            <w:r>
              <w:rPr>
                <w:rFonts w:hint="default" w:eastAsia="宋体" w:cs="宋体" w:asciiTheme="minorAscii" w:hAnsiTheme="minorAscii"/>
                <w:color w:val="auto"/>
                <w:sz w:val="24"/>
                <w:szCs w:val="24"/>
                <w:highlight w:val="none"/>
                <w:lang w:eastAsia="zh-CN"/>
              </w:rPr>
              <w:t>m</w:t>
            </w:r>
            <w:r>
              <w:rPr>
                <w:rFonts w:hint="default" w:eastAsia="宋体" w:cs="宋体" w:asciiTheme="minorAscii" w:hAnsiTheme="minorAscii"/>
                <w:color w:val="auto"/>
                <w:sz w:val="24"/>
                <w:szCs w:val="24"/>
                <w:highlight w:val="none"/>
                <w:vertAlign w:val="superscript"/>
                <w:lang w:eastAsia="zh-CN"/>
              </w:rPr>
              <w:t>3</w:t>
            </w:r>
            <w:r>
              <w:rPr>
                <w:rFonts w:hint="default" w:eastAsia="宋体" w:cs="宋体" w:asciiTheme="minorAscii" w:hAnsiTheme="minorAscii"/>
                <w:color w:val="auto"/>
                <w:sz w:val="24"/>
                <w:szCs w:val="24"/>
                <w:highlight w:val="none"/>
                <w:lang w:eastAsia="zh-CN"/>
              </w:rPr>
              <w:t>。</w:t>
            </w:r>
            <w:r>
              <w:rPr>
                <w:rFonts w:hint="default" w:eastAsia="宋体" w:cs="宋体" w:asciiTheme="minorAscii" w:hAnsiTheme="minorAscii"/>
                <w:color w:val="auto"/>
                <w:sz w:val="24"/>
                <w:szCs w:val="24"/>
                <w:highlight w:val="none"/>
                <w:lang w:val="zh-CN" w:eastAsia="zh-CN"/>
              </w:rPr>
              <w:t>废水产生量按用水量的80%计，则职工生活污水产生量为</w:t>
            </w:r>
            <w:r>
              <w:rPr>
                <w:rFonts w:hint="default" w:eastAsia="宋体" w:cs="宋体" w:asciiTheme="minorAscii" w:hAnsiTheme="minorAscii"/>
                <w:color w:val="auto"/>
                <w:sz w:val="24"/>
                <w:szCs w:val="24"/>
                <w:highlight w:val="none"/>
                <w:lang w:val="en-US" w:eastAsia="zh-CN"/>
              </w:rPr>
              <w:t>0.072</w:t>
            </w:r>
            <w:r>
              <w:rPr>
                <w:rFonts w:hint="default" w:eastAsia="宋体" w:cs="宋体" w:asciiTheme="minorAscii" w:hAnsiTheme="minorAscii"/>
                <w:color w:val="auto"/>
                <w:sz w:val="24"/>
                <w:szCs w:val="24"/>
                <w:highlight w:val="none"/>
                <w:lang w:val="zh-CN" w:eastAsia="zh-CN"/>
              </w:rPr>
              <w:t>m</w:t>
            </w:r>
            <w:r>
              <w:rPr>
                <w:rFonts w:hint="default" w:eastAsia="宋体" w:cs="宋体" w:asciiTheme="minorAscii" w:hAnsiTheme="minorAscii"/>
                <w:color w:val="auto"/>
                <w:sz w:val="24"/>
                <w:szCs w:val="24"/>
                <w:highlight w:val="none"/>
                <w:vertAlign w:val="superscript"/>
                <w:lang w:val="zh-CN" w:eastAsia="zh-CN"/>
              </w:rPr>
              <w:t>3</w:t>
            </w:r>
            <w:r>
              <w:rPr>
                <w:rFonts w:hint="default" w:eastAsia="宋体" w:cs="宋体" w:asciiTheme="minorAscii" w:hAnsiTheme="minorAscii"/>
                <w:color w:val="auto"/>
                <w:sz w:val="24"/>
                <w:szCs w:val="24"/>
                <w:highlight w:val="none"/>
                <w:lang w:val="zh-CN" w:eastAsia="zh-CN"/>
              </w:rPr>
              <w:t>/d，即</w:t>
            </w:r>
            <w:r>
              <w:rPr>
                <w:rFonts w:hint="default" w:eastAsia="宋体" w:cs="宋体" w:asciiTheme="minorAscii" w:hAnsiTheme="minorAscii"/>
                <w:color w:val="auto"/>
                <w:sz w:val="24"/>
                <w:szCs w:val="24"/>
                <w:highlight w:val="none"/>
                <w:lang w:val="en-US" w:eastAsia="zh-CN"/>
              </w:rPr>
              <w:t>26.28</w:t>
            </w:r>
            <w:r>
              <w:rPr>
                <w:rFonts w:hint="default" w:eastAsia="宋体" w:cs="宋体" w:asciiTheme="minorAscii" w:hAnsiTheme="minorAscii"/>
                <w:color w:val="auto"/>
                <w:sz w:val="24"/>
                <w:szCs w:val="24"/>
                <w:highlight w:val="none"/>
                <w:lang w:val="zh-CN" w:eastAsia="zh-CN"/>
              </w:rPr>
              <w:t>m</w:t>
            </w:r>
            <w:r>
              <w:rPr>
                <w:rFonts w:hint="default" w:eastAsia="宋体" w:cs="宋体" w:asciiTheme="minorAscii" w:hAnsiTheme="minorAscii"/>
                <w:color w:val="auto"/>
                <w:sz w:val="24"/>
                <w:szCs w:val="24"/>
                <w:highlight w:val="none"/>
                <w:vertAlign w:val="superscript"/>
                <w:lang w:val="zh-CN" w:eastAsia="zh-CN"/>
              </w:rPr>
              <w:t>3</w:t>
            </w:r>
            <w:r>
              <w:rPr>
                <w:rFonts w:hint="default" w:eastAsia="宋体" w:cs="宋体" w:asciiTheme="minorAscii" w:hAnsiTheme="minorAscii"/>
                <w:color w:val="auto"/>
                <w:sz w:val="24"/>
                <w:szCs w:val="24"/>
                <w:highlight w:val="none"/>
                <w:lang w:val="zh-CN" w:eastAsia="zh-CN"/>
              </w:rPr>
              <w:t>/a</w:t>
            </w:r>
            <w:r>
              <w:rPr>
                <w:rFonts w:hint="default" w:asciiTheme="minorAscii" w:hAnsiTheme="minorAscii"/>
                <w:bCs/>
                <w:color w:val="auto"/>
                <w:sz w:val="24"/>
                <w:szCs w:val="24"/>
              </w:rPr>
              <w:t>。</w:t>
            </w:r>
          </w:p>
          <w:p w14:paraId="4412D0F4">
            <w:pPr>
              <w:spacing w:line="360" w:lineRule="auto"/>
              <w:ind w:right="119" w:firstLine="480" w:firstLineChars="200"/>
              <w:rPr>
                <w:rFonts w:hint="default" w:asciiTheme="minorAscii" w:hAnsiTheme="minorAscii"/>
                <w:sz w:val="24"/>
                <w:szCs w:val="24"/>
              </w:rPr>
            </w:pPr>
            <w:r>
              <w:rPr>
                <w:rFonts w:hint="default" w:asciiTheme="minorAscii" w:hAnsiTheme="minorAscii"/>
                <w:color w:val="auto"/>
                <w:sz w:val="24"/>
                <w:szCs w:val="24"/>
              </w:rPr>
              <w:t>冲洗废水主要污染因子为</w:t>
            </w:r>
            <w:r>
              <w:rPr>
                <w:rFonts w:hint="default" w:asciiTheme="minorAscii" w:hAnsiTheme="minorAscii"/>
                <w:color w:val="auto"/>
                <w:sz w:val="24"/>
                <w:szCs w:val="24"/>
                <w:lang w:eastAsia="zh-CN"/>
              </w:rPr>
              <w:t>CODcr</w:t>
            </w:r>
            <w:r>
              <w:rPr>
                <w:rFonts w:hint="default" w:asciiTheme="minorAscii" w:hAnsiTheme="minorAscii"/>
                <w:color w:val="auto"/>
                <w:sz w:val="24"/>
                <w:szCs w:val="24"/>
              </w:rPr>
              <w:t>、SS等。冲洗用水约</w:t>
            </w:r>
            <w:r>
              <w:rPr>
                <w:rFonts w:hint="default" w:asciiTheme="minorAscii" w:hAnsiTheme="minorAscii"/>
                <w:color w:val="auto"/>
                <w:sz w:val="24"/>
                <w:szCs w:val="24"/>
                <w:lang w:val="en-US" w:eastAsia="zh-CN"/>
              </w:rPr>
              <w:t>5</w:t>
            </w:r>
            <w:r>
              <w:rPr>
                <w:rFonts w:hint="default" w:asciiTheme="minorAscii" w:hAnsiTheme="minorAscii"/>
                <w:color w:val="auto"/>
                <w:sz w:val="24"/>
                <w:szCs w:val="24"/>
              </w:rPr>
              <w:t>m</w:t>
            </w:r>
            <w:r>
              <w:rPr>
                <w:rFonts w:hint="default" w:asciiTheme="minorAscii" w:hAnsiTheme="minorAscii"/>
                <w:color w:val="auto"/>
                <w:sz w:val="24"/>
                <w:szCs w:val="24"/>
                <w:vertAlign w:val="superscript"/>
              </w:rPr>
              <w:t>3</w:t>
            </w:r>
            <w:r>
              <w:rPr>
                <w:rFonts w:hint="default" w:asciiTheme="minorAscii" w:hAnsiTheme="minorAscii"/>
                <w:color w:val="auto"/>
                <w:sz w:val="24"/>
                <w:szCs w:val="24"/>
              </w:rPr>
              <w:t>/d、</w:t>
            </w:r>
            <w:r>
              <w:rPr>
                <w:rFonts w:hint="default" w:asciiTheme="minorAscii" w:hAnsiTheme="minorAscii"/>
                <w:color w:val="auto"/>
                <w:sz w:val="24"/>
                <w:szCs w:val="24"/>
                <w:lang w:val="en-US" w:eastAsia="zh-CN"/>
              </w:rPr>
              <w:t>1825</w:t>
            </w:r>
            <w:r>
              <w:rPr>
                <w:rFonts w:hint="default" w:asciiTheme="minorAscii" w:hAnsiTheme="minorAscii"/>
                <w:color w:val="auto"/>
                <w:sz w:val="24"/>
                <w:szCs w:val="24"/>
              </w:rPr>
              <w:t>m</w:t>
            </w:r>
            <w:r>
              <w:rPr>
                <w:rFonts w:hint="default" w:asciiTheme="minorAscii" w:hAnsiTheme="minorAscii"/>
                <w:color w:val="auto"/>
                <w:sz w:val="24"/>
                <w:szCs w:val="24"/>
                <w:vertAlign w:val="superscript"/>
              </w:rPr>
              <w:t>3</w:t>
            </w:r>
            <w:r>
              <w:rPr>
                <w:rFonts w:hint="default" w:asciiTheme="minorAscii" w:hAnsiTheme="minorAscii"/>
                <w:color w:val="auto"/>
                <w:sz w:val="24"/>
                <w:szCs w:val="24"/>
              </w:rPr>
              <w:t>/a，产生的冲洗废水产生量按冲洗用水用量80%计算，则设备冲洗废水量约为</w:t>
            </w:r>
            <w:r>
              <w:rPr>
                <w:rFonts w:hint="default" w:asciiTheme="minorAscii" w:hAnsiTheme="minorAscii"/>
                <w:color w:val="auto"/>
                <w:sz w:val="24"/>
                <w:szCs w:val="24"/>
                <w:lang w:val="en-US" w:eastAsia="zh-CN"/>
              </w:rPr>
              <w:t>4</w:t>
            </w:r>
            <w:r>
              <w:rPr>
                <w:rFonts w:hint="default" w:asciiTheme="minorAscii" w:hAnsiTheme="minorAscii"/>
                <w:color w:val="auto"/>
                <w:sz w:val="24"/>
                <w:szCs w:val="24"/>
              </w:rPr>
              <w:t>m</w:t>
            </w:r>
            <w:r>
              <w:rPr>
                <w:rFonts w:hint="default" w:asciiTheme="minorAscii" w:hAnsiTheme="minorAscii"/>
                <w:color w:val="auto"/>
                <w:sz w:val="24"/>
                <w:szCs w:val="24"/>
                <w:vertAlign w:val="superscript"/>
              </w:rPr>
              <w:t>3</w:t>
            </w:r>
            <w:r>
              <w:rPr>
                <w:rFonts w:hint="default" w:asciiTheme="minorAscii" w:hAnsiTheme="minorAscii"/>
                <w:color w:val="auto"/>
                <w:sz w:val="24"/>
                <w:szCs w:val="24"/>
              </w:rPr>
              <w:t>/d，</w:t>
            </w:r>
            <w:r>
              <w:rPr>
                <w:rFonts w:hint="default" w:asciiTheme="minorAscii" w:hAnsiTheme="minorAscii"/>
                <w:color w:val="auto"/>
                <w:sz w:val="24"/>
                <w:szCs w:val="24"/>
                <w:lang w:val="en-US" w:eastAsia="zh-CN"/>
              </w:rPr>
              <w:t>1460</w:t>
            </w:r>
            <w:r>
              <w:rPr>
                <w:rFonts w:hint="default" w:asciiTheme="minorAscii" w:hAnsiTheme="minorAscii"/>
                <w:color w:val="auto"/>
                <w:sz w:val="24"/>
                <w:szCs w:val="24"/>
              </w:rPr>
              <w:t>m</w:t>
            </w:r>
            <w:r>
              <w:rPr>
                <w:rFonts w:hint="default" w:asciiTheme="minorAscii" w:hAnsiTheme="minorAscii"/>
                <w:color w:val="auto"/>
                <w:sz w:val="24"/>
                <w:szCs w:val="24"/>
                <w:vertAlign w:val="superscript"/>
              </w:rPr>
              <w:t>3</w:t>
            </w:r>
            <w:r>
              <w:rPr>
                <w:rFonts w:hint="default" w:asciiTheme="minorAscii" w:hAnsiTheme="minorAscii"/>
                <w:color w:val="auto"/>
                <w:sz w:val="24"/>
                <w:szCs w:val="24"/>
              </w:rPr>
              <w:t>/a。</w:t>
            </w:r>
          </w:p>
          <w:p w14:paraId="052DA336">
            <w:pPr>
              <w:spacing w:line="360" w:lineRule="auto"/>
              <w:ind w:right="119" w:firstLine="480" w:firstLineChars="200"/>
              <w:rPr>
                <w:rFonts w:hint="default" w:asciiTheme="minorAscii" w:hAnsiTheme="minorAscii"/>
                <w:color w:val="auto"/>
                <w:sz w:val="24"/>
              </w:rPr>
            </w:pPr>
            <w:r>
              <w:rPr>
                <w:rFonts w:hint="default" w:cs="宋体" w:asciiTheme="minorAscii" w:hAnsiTheme="minorAscii"/>
                <w:color w:val="auto"/>
                <w:sz w:val="24"/>
                <w:szCs w:val="24"/>
                <w:highlight w:val="none"/>
                <w:lang w:val="en-US" w:eastAsia="zh-CN"/>
              </w:rPr>
              <w:t>活性炭过滤罐需定期反冲洗，用水量约2m³/d，年用水量为730m³，活性炭过滤罐废水</w:t>
            </w:r>
            <w:r>
              <w:rPr>
                <w:rFonts w:hint="default" w:eastAsia="宋体" w:cs="宋体" w:asciiTheme="minorAscii" w:hAnsiTheme="minorAscii"/>
                <w:color w:val="auto"/>
                <w:sz w:val="24"/>
                <w:szCs w:val="24"/>
                <w:highlight w:val="none"/>
                <w:lang w:val="zh-CN" w:eastAsia="zh-CN"/>
              </w:rPr>
              <w:t>按用水量的80%</w:t>
            </w:r>
            <w:r>
              <w:rPr>
                <w:rFonts w:hint="default" w:cs="宋体" w:asciiTheme="minorAscii" w:hAnsiTheme="minorAscii"/>
                <w:color w:val="auto"/>
                <w:sz w:val="24"/>
                <w:szCs w:val="24"/>
                <w:highlight w:val="none"/>
                <w:lang w:val="zh-CN" w:eastAsia="zh-CN"/>
              </w:rPr>
              <w:t>计算</w:t>
            </w:r>
            <w:r>
              <w:rPr>
                <w:rFonts w:hint="default" w:cs="宋体" w:asciiTheme="minorAscii" w:hAnsiTheme="minorAscii"/>
                <w:color w:val="auto"/>
                <w:sz w:val="24"/>
                <w:szCs w:val="24"/>
                <w:highlight w:val="none"/>
                <w:lang w:val="en-US" w:eastAsia="zh-CN"/>
              </w:rPr>
              <w:t>，则废水量约1.6m³/d，年废水量为584m³</w:t>
            </w:r>
            <w:r>
              <w:rPr>
                <w:rFonts w:hint="default" w:cs="宋体" w:asciiTheme="minorAscii" w:hAnsiTheme="minorAscii"/>
                <w:color w:val="auto"/>
                <w:sz w:val="24"/>
                <w:szCs w:val="24"/>
                <w:highlight w:val="none"/>
                <w:lang w:val="zh-CN" w:eastAsia="zh-CN"/>
              </w:rPr>
              <w:t>。</w:t>
            </w:r>
          </w:p>
          <w:p w14:paraId="1C377443">
            <w:pPr>
              <w:spacing w:line="360" w:lineRule="auto"/>
              <w:ind w:right="119" w:firstLine="480" w:firstLineChars="200"/>
              <w:rPr>
                <w:rFonts w:hint="default" w:asciiTheme="minorAscii" w:hAnsiTheme="minorAscii"/>
                <w:sz w:val="24"/>
              </w:rPr>
            </w:pPr>
            <w:r>
              <w:rPr>
                <w:rFonts w:hint="default" w:asciiTheme="minorAscii" w:hAnsiTheme="minorAscii"/>
                <w:sz w:val="24"/>
              </w:rPr>
              <w:t>上述生活污水、设备冲洗废水</w:t>
            </w:r>
            <w:r>
              <w:rPr>
                <w:rFonts w:hint="default" w:asciiTheme="minorAscii" w:hAnsiTheme="minorAscii"/>
                <w:sz w:val="24"/>
                <w:lang w:eastAsia="zh-CN"/>
              </w:rPr>
              <w:t>、</w:t>
            </w:r>
            <w:r>
              <w:rPr>
                <w:rFonts w:hint="default" w:cs="宋体" w:asciiTheme="minorAscii" w:hAnsiTheme="minorAscii"/>
                <w:color w:val="auto"/>
                <w:sz w:val="24"/>
                <w:szCs w:val="24"/>
                <w:highlight w:val="none"/>
                <w:lang w:val="en-US" w:eastAsia="zh-CN"/>
              </w:rPr>
              <w:t>活性炭过滤罐反冲洗废水</w:t>
            </w:r>
            <w:r>
              <w:rPr>
                <w:rFonts w:hint="default" w:asciiTheme="minorAscii" w:hAnsiTheme="minorAscii"/>
                <w:sz w:val="24"/>
              </w:rPr>
              <w:t>一并进入项目的污水处理系统处理，处理后回用于本项目设备冲洗</w:t>
            </w:r>
            <w:r>
              <w:rPr>
                <w:rFonts w:hint="default" w:asciiTheme="minorAscii" w:hAnsiTheme="minorAscii"/>
                <w:sz w:val="24"/>
                <w:lang w:val="en-US" w:eastAsia="zh-CN"/>
              </w:rPr>
              <w:t>、</w:t>
            </w:r>
            <w:r>
              <w:rPr>
                <w:rFonts w:hint="default" w:cs="宋体" w:asciiTheme="minorAscii" w:hAnsiTheme="minorAscii"/>
                <w:color w:val="auto"/>
                <w:sz w:val="24"/>
                <w:szCs w:val="24"/>
                <w:highlight w:val="none"/>
                <w:lang w:val="en-US" w:eastAsia="zh-CN"/>
              </w:rPr>
              <w:t>活性炭过滤罐反冲洗。</w:t>
            </w:r>
            <w:r>
              <w:rPr>
                <w:rFonts w:hint="default" w:asciiTheme="minorAscii" w:hAnsiTheme="minorAscii"/>
                <w:sz w:val="24"/>
              </w:rPr>
              <w:t>故本评价不将生活污水、设备冲洗废水</w:t>
            </w:r>
            <w:r>
              <w:rPr>
                <w:rFonts w:hint="default" w:asciiTheme="minorAscii" w:hAnsiTheme="minorAscii"/>
                <w:sz w:val="24"/>
                <w:lang w:eastAsia="zh-CN"/>
              </w:rPr>
              <w:t>、</w:t>
            </w:r>
            <w:r>
              <w:rPr>
                <w:rFonts w:hint="default" w:cs="宋体" w:asciiTheme="minorAscii" w:hAnsiTheme="minorAscii"/>
                <w:color w:val="auto"/>
                <w:sz w:val="24"/>
                <w:szCs w:val="24"/>
                <w:highlight w:val="none"/>
                <w:lang w:val="en-US" w:eastAsia="zh-CN"/>
              </w:rPr>
              <w:t>活性炭过滤罐反冲洗废水</w:t>
            </w:r>
            <w:r>
              <w:rPr>
                <w:rFonts w:hint="default" w:asciiTheme="minorAscii" w:hAnsiTheme="minorAscii"/>
                <w:sz w:val="24"/>
              </w:rPr>
              <w:t>考虑进废水量中。</w:t>
            </w:r>
          </w:p>
          <w:p w14:paraId="592E5DF1">
            <w:pPr>
              <w:spacing w:line="360" w:lineRule="auto"/>
              <w:ind w:right="119" w:firstLine="480" w:firstLineChars="200"/>
              <w:rPr>
                <w:rFonts w:hint="default" w:eastAsia="宋体" w:cs="Times New Roman" w:asciiTheme="minorAscii" w:hAnsiTheme="minorAscii"/>
                <w:color w:val="auto"/>
                <w:sz w:val="24"/>
                <w:lang w:val="en-US" w:eastAsia="zh-CN"/>
              </w:rPr>
            </w:pPr>
            <w:r>
              <w:rPr>
                <w:rFonts w:hint="default" w:eastAsia="宋体" w:cs="Times New Roman" w:asciiTheme="minorAscii" w:hAnsiTheme="minorAscii"/>
                <w:sz w:val="24"/>
                <w:lang w:val="en-US" w:eastAsia="zh-CN"/>
              </w:rPr>
              <w:t>项目接收</w:t>
            </w:r>
            <w:r>
              <w:rPr>
                <w:rFonts w:hint="default" w:cs="Times New Roman" w:asciiTheme="minorAscii" w:hAnsiTheme="minorAscii"/>
                <w:sz w:val="24"/>
                <w:lang w:val="en-US" w:eastAsia="zh-CN"/>
              </w:rPr>
              <w:t>物流园</w:t>
            </w:r>
            <w:r>
              <w:rPr>
                <w:rFonts w:hint="default" w:eastAsia="宋体" w:cs="Times New Roman" w:asciiTheme="minorAscii" w:hAnsiTheme="minorAscii"/>
                <w:sz w:val="24"/>
                <w:lang w:val="en-US" w:eastAsia="zh-CN"/>
              </w:rPr>
              <w:t>的工业污水，将收集到的工业污水通过排水管网进入污水处理系统进行处理，经过处理后，尾水达到GB18918-2002中一级A排放标准，同时满足《城市污水再生利用 景观环境用水水质》（GB/T 18921-2019）中湿地环境用水相关要求</w:t>
            </w:r>
            <w:r>
              <w:rPr>
                <w:rFonts w:hint="default" w:eastAsia="宋体" w:cs="Times New Roman" w:asciiTheme="minorAscii" w:hAnsiTheme="minorAscii"/>
                <w:color w:val="auto"/>
                <w:sz w:val="24"/>
                <w:lang w:val="en-US" w:eastAsia="zh-CN"/>
              </w:rPr>
              <w:t>，</w:t>
            </w:r>
            <w:r>
              <w:rPr>
                <w:rFonts w:hint="default" w:cs="Times New Roman" w:asciiTheme="minorAscii" w:hAnsiTheme="minorAscii"/>
                <w:color w:val="auto"/>
                <w:sz w:val="24"/>
                <w:lang w:val="en-US" w:eastAsia="zh-CN"/>
              </w:rPr>
              <w:t>尾水全部</w:t>
            </w:r>
            <w:r>
              <w:rPr>
                <w:rFonts w:hint="default" w:eastAsia="宋体" w:cs="Times New Roman" w:asciiTheme="minorAscii" w:hAnsiTheme="minorAscii"/>
                <w:color w:val="auto"/>
                <w:sz w:val="24"/>
                <w:lang w:val="en-US" w:eastAsia="zh-CN"/>
              </w:rPr>
              <w:t>通过排碱渠排入</w:t>
            </w:r>
            <w:r>
              <w:rPr>
                <w:rFonts w:hint="default" w:cs="Times New Roman" w:asciiTheme="minorAscii" w:hAnsiTheme="minorAscii"/>
                <w:color w:val="auto"/>
                <w:sz w:val="24"/>
                <w:lang w:val="en-US" w:eastAsia="zh-CN"/>
              </w:rPr>
              <w:t>下游</w:t>
            </w:r>
            <w:r>
              <w:rPr>
                <w:rFonts w:hint="default" w:eastAsia="宋体" w:cs="Times New Roman" w:asciiTheme="minorAscii" w:hAnsiTheme="minorAscii"/>
                <w:color w:val="auto"/>
                <w:sz w:val="24"/>
                <w:lang w:val="en-US" w:eastAsia="zh-CN"/>
              </w:rPr>
              <w:t>苇区</w:t>
            </w:r>
            <w:r>
              <w:rPr>
                <w:rFonts w:hint="eastAsia" w:cs="Times New Roman" w:asciiTheme="minorAscii" w:hAnsiTheme="minorAscii"/>
                <w:color w:val="auto"/>
                <w:sz w:val="24"/>
                <w:lang w:val="en-US" w:eastAsia="zh-CN"/>
              </w:rPr>
              <w:t>育苇</w:t>
            </w:r>
            <w:r>
              <w:rPr>
                <w:rFonts w:hint="default" w:eastAsia="宋体" w:cs="Times New Roman" w:asciiTheme="minorAscii" w:hAnsiTheme="minorAscii"/>
                <w:color w:val="auto"/>
                <w:sz w:val="24"/>
                <w:lang w:val="en-US" w:eastAsia="zh-CN"/>
              </w:rPr>
              <w:t>。</w:t>
            </w:r>
          </w:p>
          <w:p w14:paraId="1A0CC6D1">
            <w:pPr>
              <w:spacing w:line="360" w:lineRule="auto"/>
              <w:ind w:right="119" w:firstLine="480" w:firstLineChars="200"/>
              <w:rPr>
                <w:sz w:val="24"/>
              </w:rPr>
            </w:pPr>
            <w:r>
              <w:rPr>
                <w:rFonts w:hint="eastAsia"/>
                <w:sz w:val="24"/>
              </w:rPr>
              <w:t>水污染物浓度及排放量情况见下表。</w:t>
            </w:r>
          </w:p>
          <w:p w14:paraId="4053CFB2">
            <w:pPr>
              <w:pStyle w:val="39"/>
              <w:jc w:val="center"/>
              <w:rPr>
                <w:rFonts w:ascii="Times New Roman" w:cs="Times New Roman"/>
                <w:b/>
                <w:bCs/>
              </w:rPr>
            </w:pPr>
            <w:r>
              <w:rPr>
                <w:rFonts w:ascii="Times New Roman" w:cs="Times New Roman"/>
                <w:b/>
                <w:bCs/>
              </w:rPr>
              <w:t>表</w:t>
            </w:r>
            <w:r>
              <w:rPr>
                <w:rFonts w:hint="eastAsia" w:ascii="Times New Roman" w:cs="Times New Roman"/>
                <w:b/>
                <w:bCs/>
                <w:lang w:val="en-US" w:eastAsia="zh-CN"/>
              </w:rPr>
              <w:t>4-9</w:t>
            </w:r>
            <w:r>
              <w:rPr>
                <w:rFonts w:ascii="Times New Roman" w:cs="Times New Roman"/>
                <w:b/>
                <w:bCs/>
              </w:rPr>
              <w:t xml:space="preserve">   </w:t>
            </w:r>
            <w:r>
              <w:rPr>
                <w:rFonts w:hint="eastAsia" w:ascii="Times New Roman" w:cs="Times New Roman"/>
                <w:b/>
                <w:bCs/>
              </w:rPr>
              <w:t>水</w:t>
            </w:r>
            <w:r>
              <w:rPr>
                <w:rFonts w:ascii="Times New Roman" w:cs="Times New Roman"/>
                <w:b/>
                <w:bCs/>
              </w:rPr>
              <w:t>污染物排放浓度及排放量一览表</w:t>
            </w:r>
          </w:p>
          <w:tbl>
            <w:tblPr>
              <w:tblStyle w:val="22"/>
              <w:tblW w:w="4994" w:type="pct"/>
              <w:tblInd w:w="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47"/>
              <w:gridCol w:w="513"/>
              <w:gridCol w:w="761"/>
              <w:gridCol w:w="1109"/>
              <w:gridCol w:w="728"/>
              <w:gridCol w:w="910"/>
              <w:gridCol w:w="514"/>
              <w:gridCol w:w="975"/>
              <w:gridCol w:w="1114"/>
              <w:gridCol w:w="912"/>
            </w:tblGrid>
            <w:tr w14:paraId="7D188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8" w:hRule="atLeast"/>
              </w:trPr>
              <w:tc>
                <w:tcPr>
                  <w:tcW w:w="451" w:type="pct"/>
                  <w:vMerge w:val="restart"/>
                  <w:noWrap w:val="0"/>
                  <w:vAlign w:val="center"/>
                </w:tcPr>
                <w:p w14:paraId="578B2383">
                  <w:pPr>
                    <w:jc w:val="center"/>
                    <w:rPr>
                      <w:szCs w:val="21"/>
                    </w:rPr>
                  </w:pPr>
                  <w:r>
                    <w:rPr>
                      <w:szCs w:val="21"/>
                    </w:rPr>
                    <w:t>污染物</w:t>
                  </w:r>
                </w:p>
              </w:tc>
              <w:tc>
                <w:tcPr>
                  <w:tcW w:w="1438" w:type="pct"/>
                  <w:gridSpan w:val="3"/>
                  <w:noWrap w:val="0"/>
                  <w:vAlign w:val="center"/>
                </w:tcPr>
                <w:p w14:paraId="5111B22E">
                  <w:pPr>
                    <w:jc w:val="center"/>
                    <w:rPr>
                      <w:szCs w:val="21"/>
                    </w:rPr>
                  </w:pPr>
                  <w:r>
                    <w:rPr>
                      <w:szCs w:val="21"/>
                    </w:rPr>
                    <w:t>产生情况</w:t>
                  </w:r>
                </w:p>
              </w:tc>
              <w:tc>
                <w:tcPr>
                  <w:tcW w:w="988" w:type="pct"/>
                  <w:gridSpan w:val="2"/>
                  <w:noWrap w:val="0"/>
                  <w:vAlign w:val="center"/>
                </w:tcPr>
                <w:p w14:paraId="14FA5BEA">
                  <w:pPr>
                    <w:jc w:val="center"/>
                    <w:rPr>
                      <w:rFonts w:hint="eastAsia"/>
                      <w:szCs w:val="21"/>
                    </w:rPr>
                  </w:pPr>
                  <w:r>
                    <w:rPr>
                      <w:rFonts w:hint="eastAsia"/>
                      <w:szCs w:val="21"/>
                    </w:rPr>
                    <w:t>治理措施</w:t>
                  </w:r>
                </w:p>
              </w:tc>
              <w:tc>
                <w:tcPr>
                  <w:tcW w:w="1570" w:type="pct"/>
                  <w:gridSpan w:val="3"/>
                  <w:noWrap w:val="0"/>
                  <w:vAlign w:val="center"/>
                </w:tcPr>
                <w:p w14:paraId="4F66AEC0">
                  <w:pPr>
                    <w:jc w:val="center"/>
                    <w:rPr>
                      <w:szCs w:val="21"/>
                    </w:rPr>
                  </w:pPr>
                  <w:r>
                    <w:rPr>
                      <w:szCs w:val="21"/>
                    </w:rPr>
                    <w:t>排放情况</w:t>
                  </w:r>
                </w:p>
              </w:tc>
              <w:tc>
                <w:tcPr>
                  <w:tcW w:w="550" w:type="pct"/>
                  <w:vMerge w:val="restart"/>
                  <w:noWrap w:val="0"/>
                  <w:vAlign w:val="center"/>
                </w:tcPr>
                <w:p w14:paraId="2767F943">
                  <w:pPr>
                    <w:jc w:val="center"/>
                    <w:rPr>
                      <w:szCs w:val="21"/>
                    </w:rPr>
                  </w:pPr>
                  <w:r>
                    <w:rPr>
                      <w:szCs w:val="21"/>
                    </w:rPr>
                    <w:t>排放标准</w:t>
                  </w:r>
                </w:p>
              </w:tc>
            </w:tr>
            <w:tr w14:paraId="3593C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451" w:type="pct"/>
                  <w:vMerge w:val="continue"/>
                  <w:noWrap w:val="0"/>
                  <w:vAlign w:val="center"/>
                </w:tcPr>
                <w:p w14:paraId="3423FEBB">
                  <w:pPr>
                    <w:jc w:val="center"/>
                    <w:rPr>
                      <w:szCs w:val="21"/>
                    </w:rPr>
                  </w:pPr>
                </w:p>
              </w:tc>
              <w:tc>
                <w:tcPr>
                  <w:tcW w:w="310" w:type="pct"/>
                  <w:vMerge w:val="restart"/>
                  <w:noWrap w:val="0"/>
                  <w:vAlign w:val="center"/>
                </w:tcPr>
                <w:p w14:paraId="152C8BD8">
                  <w:pPr>
                    <w:jc w:val="center"/>
                    <w:rPr>
                      <w:rFonts w:hint="eastAsia"/>
                      <w:szCs w:val="21"/>
                    </w:rPr>
                  </w:pPr>
                  <w:r>
                    <w:rPr>
                      <w:rFonts w:hint="eastAsia"/>
                      <w:szCs w:val="21"/>
                    </w:rPr>
                    <w:t>核算方法</w:t>
                  </w:r>
                </w:p>
              </w:tc>
              <w:tc>
                <w:tcPr>
                  <w:tcW w:w="1128" w:type="pct"/>
                  <w:gridSpan w:val="2"/>
                  <w:noWrap w:val="0"/>
                  <w:vAlign w:val="center"/>
                </w:tcPr>
                <w:p w14:paraId="4B1FBF9A">
                  <w:pPr>
                    <w:jc w:val="center"/>
                    <w:rPr>
                      <w:szCs w:val="21"/>
                    </w:rPr>
                  </w:pPr>
                  <w:r>
                    <w:rPr>
                      <w:szCs w:val="21"/>
                    </w:rPr>
                    <w:t>污水</w:t>
                  </w:r>
                  <w:r>
                    <w:rPr>
                      <w:rFonts w:hint="eastAsia"/>
                      <w:szCs w:val="21"/>
                      <w:lang w:val="en-US" w:eastAsia="zh-CN"/>
                    </w:rPr>
                    <w:t>10</w:t>
                  </w:r>
                  <w:r>
                    <w:rPr>
                      <w:rFonts w:hint="eastAsia"/>
                      <w:szCs w:val="21"/>
                    </w:rPr>
                    <w:t>00m</w:t>
                  </w:r>
                  <w:r>
                    <w:rPr>
                      <w:rFonts w:hint="eastAsia"/>
                      <w:szCs w:val="21"/>
                      <w:vertAlign w:val="superscript"/>
                    </w:rPr>
                    <w:t>3</w:t>
                  </w:r>
                  <w:r>
                    <w:rPr>
                      <w:rFonts w:hint="eastAsia"/>
                      <w:szCs w:val="21"/>
                    </w:rPr>
                    <w:t>/d</w:t>
                  </w:r>
                </w:p>
              </w:tc>
              <w:tc>
                <w:tcPr>
                  <w:tcW w:w="439" w:type="pct"/>
                  <w:vMerge w:val="restart"/>
                  <w:noWrap w:val="0"/>
                  <w:vAlign w:val="center"/>
                </w:tcPr>
                <w:p w14:paraId="0A9C7C61">
                  <w:pPr>
                    <w:jc w:val="center"/>
                    <w:rPr>
                      <w:rFonts w:hint="eastAsia"/>
                      <w:szCs w:val="21"/>
                    </w:rPr>
                  </w:pPr>
                  <w:r>
                    <w:rPr>
                      <w:rFonts w:hint="eastAsia"/>
                      <w:szCs w:val="21"/>
                    </w:rPr>
                    <w:t>工艺</w:t>
                  </w:r>
                </w:p>
              </w:tc>
              <w:tc>
                <w:tcPr>
                  <w:tcW w:w="548" w:type="pct"/>
                  <w:vMerge w:val="restart"/>
                  <w:noWrap w:val="0"/>
                  <w:vAlign w:val="center"/>
                </w:tcPr>
                <w:p w14:paraId="6318070E">
                  <w:pPr>
                    <w:jc w:val="center"/>
                    <w:rPr>
                      <w:rFonts w:hint="eastAsia"/>
                      <w:szCs w:val="21"/>
                    </w:rPr>
                  </w:pPr>
                  <w:r>
                    <w:rPr>
                      <w:rFonts w:hint="eastAsia"/>
                      <w:szCs w:val="21"/>
                    </w:rPr>
                    <w:t>效率（%）</w:t>
                  </w:r>
                </w:p>
              </w:tc>
              <w:tc>
                <w:tcPr>
                  <w:tcW w:w="1570" w:type="pct"/>
                  <w:gridSpan w:val="3"/>
                  <w:noWrap w:val="0"/>
                  <w:vAlign w:val="center"/>
                </w:tcPr>
                <w:p w14:paraId="6298F606">
                  <w:pPr>
                    <w:jc w:val="center"/>
                    <w:rPr>
                      <w:szCs w:val="21"/>
                    </w:rPr>
                  </w:pPr>
                  <w:r>
                    <w:rPr>
                      <w:szCs w:val="21"/>
                    </w:rPr>
                    <w:t>污水</w:t>
                  </w:r>
                  <w:r>
                    <w:rPr>
                      <w:rFonts w:hint="eastAsia"/>
                      <w:szCs w:val="21"/>
                      <w:lang w:val="en-US" w:eastAsia="zh-CN"/>
                    </w:rPr>
                    <w:t>10</w:t>
                  </w:r>
                  <w:r>
                    <w:rPr>
                      <w:rFonts w:hint="eastAsia"/>
                      <w:szCs w:val="21"/>
                    </w:rPr>
                    <w:t>00m</w:t>
                  </w:r>
                  <w:r>
                    <w:rPr>
                      <w:rFonts w:hint="eastAsia"/>
                      <w:szCs w:val="21"/>
                      <w:vertAlign w:val="superscript"/>
                    </w:rPr>
                    <w:t>3</w:t>
                  </w:r>
                  <w:r>
                    <w:rPr>
                      <w:rFonts w:hint="eastAsia"/>
                      <w:szCs w:val="21"/>
                    </w:rPr>
                    <w:t>/d</w:t>
                  </w:r>
                </w:p>
              </w:tc>
              <w:tc>
                <w:tcPr>
                  <w:tcW w:w="550" w:type="pct"/>
                  <w:vMerge w:val="continue"/>
                  <w:noWrap w:val="0"/>
                  <w:vAlign w:val="center"/>
                </w:tcPr>
                <w:p w14:paraId="10CE4D37">
                  <w:pPr>
                    <w:jc w:val="center"/>
                    <w:rPr>
                      <w:szCs w:val="21"/>
                    </w:rPr>
                  </w:pPr>
                </w:p>
              </w:tc>
            </w:tr>
            <w:tr w14:paraId="2E72A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4" w:hRule="atLeast"/>
              </w:trPr>
              <w:tc>
                <w:tcPr>
                  <w:tcW w:w="451" w:type="pct"/>
                  <w:vMerge w:val="continue"/>
                  <w:noWrap w:val="0"/>
                  <w:vAlign w:val="center"/>
                </w:tcPr>
                <w:p w14:paraId="43AE9086">
                  <w:pPr>
                    <w:jc w:val="center"/>
                    <w:rPr>
                      <w:szCs w:val="21"/>
                    </w:rPr>
                  </w:pPr>
                </w:p>
              </w:tc>
              <w:tc>
                <w:tcPr>
                  <w:tcW w:w="310" w:type="pct"/>
                  <w:vMerge w:val="continue"/>
                  <w:noWrap w:val="0"/>
                  <w:vAlign w:val="center"/>
                </w:tcPr>
                <w:p w14:paraId="5EAFFD73">
                  <w:pPr>
                    <w:jc w:val="center"/>
                    <w:rPr>
                      <w:rFonts w:hint="eastAsia"/>
                      <w:szCs w:val="21"/>
                    </w:rPr>
                  </w:pPr>
                </w:p>
              </w:tc>
              <w:tc>
                <w:tcPr>
                  <w:tcW w:w="459" w:type="pct"/>
                  <w:noWrap w:val="0"/>
                  <w:vAlign w:val="center"/>
                </w:tcPr>
                <w:p w14:paraId="7FD5AA2D">
                  <w:pPr>
                    <w:jc w:val="center"/>
                    <w:rPr>
                      <w:szCs w:val="21"/>
                    </w:rPr>
                  </w:pPr>
                  <w:r>
                    <w:rPr>
                      <w:rFonts w:hint="eastAsia"/>
                      <w:szCs w:val="21"/>
                    </w:rPr>
                    <w:t>产生</w:t>
                  </w:r>
                  <w:r>
                    <w:rPr>
                      <w:szCs w:val="21"/>
                    </w:rPr>
                    <w:t>浓度mg/L</w:t>
                  </w:r>
                </w:p>
              </w:tc>
              <w:tc>
                <w:tcPr>
                  <w:tcW w:w="669" w:type="pct"/>
                  <w:noWrap w:val="0"/>
                  <w:vAlign w:val="center"/>
                </w:tcPr>
                <w:p w14:paraId="2DD148C3">
                  <w:pPr>
                    <w:jc w:val="center"/>
                    <w:rPr>
                      <w:szCs w:val="21"/>
                    </w:rPr>
                  </w:pPr>
                  <w:r>
                    <w:rPr>
                      <w:rFonts w:hint="eastAsia"/>
                      <w:szCs w:val="21"/>
                    </w:rPr>
                    <w:t>产生</w:t>
                  </w:r>
                  <w:r>
                    <w:rPr>
                      <w:szCs w:val="21"/>
                    </w:rPr>
                    <w:t>量t/a</w:t>
                  </w:r>
                </w:p>
              </w:tc>
              <w:tc>
                <w:tcPr>
                  <w:tcW w:w="439" w:type="pct"/>
                  <w:vMerge w:val="continue"/>
                  <w:noWrap w:val="0"/>
                  <w:vAlign w:val="center"/>
                </w:tcPr>
                <w:p w14:paraId="1A05A153">
                  <w:pPr>
                    <w:jc w:val="center"/>
                    <w:rPr>
                      <w:szCs w:val="21"/>
                    </w:rPr>
                  </w:pPr>
                </w:p>
              </w:tc>
              <w:tc>
                <w:tcPr>
                  <w:tcW w:w="548" w:type="pct"/>
                  <w:vMerge w:val="continue"/>
                  <w:noWrap w:val="0"/>
                  <w:vAlign w:val="center"/>
                </w:tcPr>
                <w:p w14:paraId="6758330A">
                  <w:pPr>
                    <w:jc w:val="center"/>
                    <w:rPr>
                      <w:szCs w:val="21"/>
                    </w:rPr>
                  </w:pPr>
                </w:p>
              </w:tc>
              <w:tc>
                <w:tcPr>
                  <w:tcW w:w="310" w:type="pct"/>
                  <w:noWrap w:val="0"/>
                  <w:vAlign w:val="center"/>
                </w:tcPr>
                <w:p w14:paraId="5B9B34D4">
                  <w:pPr>
                    <w:jc w:val="center"/>
                    <w:rPr>
                      <w:rFonts w:hint="eastAsia"/>
                      <w:szCs w:val="21"/>
                    </w:rPr>
                  </w:pPr>
                  <w:r>
                    <w:rPr>
                      <w:rFonts w:hint="eastAsia"/>
                      <w:szCs w:val="21"/>
                    </w:rPr>
                    <w:t>核算方法</w:t>
                  </w:r>
                </w:p>
              </w:tc>
              <w:tc>
                <w:tcPr>
                  <w:tcW w:w="588" w:type="pct"/>
                  <w:noWrap w:val="0"/>
                  <w:vAlign w:val="center"/>
                </w:tcPr>
                <w:p w14:paraId="10A6D9B5">
                  <w:pPr>
                    <w:jc w:val="center"/>
                    <w:rPr>
                      <w:szCs w:val="21"/>
                    </w:rPr>
                  </w:pPr>
                  <w:r>
                    <w:rPr>
                      <w:rFonts w:hint="eastAsia"/>
                      <w:szCs w:val="21"/>
                    </w:rPr>
                    <w:t>排放</w:t>
                  </w:r>
                  <w:r>
                    <w:rPr>
                      <w:szCs w:val="21"/>
                    </w:rPr>
                    <w:t>浓度mg/L</w:t>
                  </w:r>
                </w:p>
              </w:tc>
              <w:tc>
                <w:tcPr>
                  <w:tcW w:w="672" w:type="pct"/>
                  <w:noWrap w:val="0"/>
                  <w:vAlign w:val="center"/>
                </w:tcPr>
                <w:p w14:paraId="61B36E47">
                  <w:pPr>
                    <w:jc w:val="center"/>
                    <w:rPr>
                      <w:szCs w:val="21"/>
                    </w:rPr>
                  </w:pPr>
                  <w:r>
                    <w:rPr>
                      <w:rFonts w:hint="eastAsia"/>
                      <w:szCs w:val="21"/>
                    </w:rPr>
                    <w:t>排放</w:t>
                  </w:r>
                  <w:r>
                    <w:rPr>
                      <w:szCs w:val="21"/>
                    </w:rPr>
                    <w:t>量t/a</w:t>
                  </w:r>
                </w:p>
              </w:tc>
              <w:tc>
                <w:tcPr>
                  <w:tcW w:w="550" w:type="pct"/>
                  <w:vMerge w:val="continue"/>
                  <w:noWrap w:val="0"/>
                  <w:vAlign w:val="center"/>
                </w:tcPr>
                <w:p w14:paraId="2B04B0E1">
                  <w:pPr>
                    <w:jc w:val="center"/>
                    <w:rPr>
                      <w:szCs w:val="21"/>
                    </w:rPr>
                  </w:pPr>
                </w:p>
              </w:tc>
            </w:tr>
            <w:tr w14:paraId="207B9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4" w:hRule="atLeast"/>
              </w:trPr>
              <w:tc>
                <w:tcPr>
                  <w:tcW w:w="451" w:type="pct"/>
                  <w:noWrap w:val="0"/>
                  <w:vAlign w:val="center"/>
                </w:tcPr>
                <w:p w14:paraId="2DD19540">
                  <w:pPr>
                    <w:jc w:val="center"/>
                    <w:rPr>
                      <w:rFonts w:hint="eastAsia" w:eastAsia="宋体"/>
                      <w:szCs w:val="21"/>
                      <w:lang w:eastAsia="zh-CN"/>
                    </w:rPr>
                  </w:pPr>
                  <w:r>
                    <w:rPr>
                      <w:rFonts w:hint="eastAsia"/>
                      <w:szCs w:val="21"/>
                      <w:lang w:eastAsia="zh-CN"/>
                    </w:rPr>
                    <w:t>CODcr</w:t>
                  </w:r>
                </w:p>
              </w:tc>
              <w:tc>
                <w:tcPr>
                  <w:tcW w:w="310" w:type="pct"/>
                  <w:vMerge w:val="restart"/>
                  <w:noWrap w:val="0"/>
                  <w:vAlign w:val="center"/>
                </w:tcPr>
                <w:p w14:paraId="597D38BD">
                  <w:pPr>
                    <w:jc w:val="center"/>
                    <w:rPr>
                      <w:rFonts w:hint="default"/>
                      <w:szCs w:val="21"/>
                      <w:lang w:val="en-US"/>
                    </w:rPr>
                  </w:pPr>
                  <w:r>
                    <w:rPr>
                      <w:rFonts w:hint="eastAsia"/>
                      <w:szCs w:val="21"/>
                      <w:lang w:val="en-US" w:eastAsia="zh-CN"/>
                    </w:rPr>
                    <w:t>产污系数法</w:t>
                  </w:r>
                </w:p>
              </w:tc>
              <w:tc>
                <w:tcPr>
                  <w:tcW w:w="459" w:type="pct"/>
                  <w:noWrap w:val="0"/>
                  <w:vAlign w:val="center"/>
                </w:tcPr>
                <w:p w14:paraId="540F0558">
                  <w:pPr>
                    <w:jc w:val="center"/>
                    <w:rPr>
                      <w:rFonts w:hint="default" w:eastAsia="宋体"/>
                      <w:szCs w:val="21"/>
                      <w:lang w:val="en-US" w:eastAsia="zh-CN"/>
                    </w:rPr>
                  </w:pPr>
                  <w:r>
                    <w:rPr>
                      <w:rFonts w:hint="eastAsia"/>
                      <w:szCs w:val="21"/>
                      <w:lang w:val="en-US" w:eastAsia="zh-CN"/>
                    </w:rPr>
                    <w:t>8000</w:t>
                  </w:r>
                </w:p>
              </w:tc>
              <w:tc>
                <w:tcPr>
                  <w:tcW w:w="669" w:type="pct"/>
                  <w:noWrap w:val="0"/>
                  <w:vAlign w:val="center"/>
                </w:tcPr>
                <w:p w14:paraId="3803617F">
                  <w:pPr>
                    <w:jc w:val="center"/>
                    <w:rPr>
                      <w:szCs w:val="21"/>
                    </w:rPr>
                  </w:pPr>
                  <w:r>
                    <w:rPr>
                      <w:rFonts w:hint="eastAsia"/>
                    </w:rPr>
                    <w:t>2920</w:t>
                  </w:r>
                </w:p>
              </w:tc>
              <w:tc>
                <w:tcPr>
                  <w:tcW w:w="439" w:type="pct"/>
                  <w:vMerge w:val="restart"/>
                  <w:noWrap w:val="0"/>
                  <w:vAlign w:val="center"/>
                </w:tcPr>
                <w:p w14:paraId="5E7C366E">
                  <w:pPr>
                    <w:jc w:val="center"/>
                    <w:rPr>
                      <w:rFonts w:hint="eastAsia"/>
                      <w:szCs w:val="21"/>
                    </w:rPr>
                  </w:pPr>
                  <w:r>
                    <w:rPr>
                      <w:rFonts w:hint="eastAsia"/>
                      <w:szCs w:val="21"/>
                    </w:rPr>
                    <w:t>格栅+调节+隔油沉淀+气浮+厌氧+A/O生物处理+混凝沉淀+活性炭过滤+消毒</w:t>
                  </w:r>
                </w:p>
              </w:tc>
              <w:tc>
                <w:tcPr>
                  <w:tcW w:w="548" w:type="pct"/>
                  <w:noWrap w:val="0"/>
                  <w:vAlign w:val="center"/>
                </w:tcPr>
                <w:p w14:paraId="6F91EF5F">
                  <w:pPr>
                    <w:jc w:val="center"/>
                    <w:rPr>
                      <w:rFonts w:hint="default" w:eastAsia="宋体"/>
                      <w:szCs w:val="21"/>
                      <w:lang w:val="en-US" w:eastAsia="zh-CN"/>
                    </w:rPr>
                  </w:pPr>
                  <w:r>
                    <w:rPr>
                      <w:rFonts w:hint="eastAsia"/>
                      <w:szCs w:val="21"/>
                      <w:lang w:val="en-US" w:eastAsia="zh-CN"/>
                    </w:rPr>
                    <w:t>99.4</w:t>
                  </w:r>
                </w:p>
              </w:tc>
              <w:tc>
                <w:tcPr>
                  <w:tcW w:w="310" w:type="pct"/>
                  <w:vMerge w:val="restart"/>
                  <w:noWrap w:val="0"/>
                  <w:vAlign w:val="center"/>
                </w:tcPr>
                <w:p w14:paraId="196D1AA6">
                  <w:pPr>
                    <w:jc w:val="center"/>
                    <w:rPr>
                      <w:rFonts w:hint="default"/>
                      <w:szCs w:val="21"/>
                      <w:lang w:val="en-US"/>
                    </w:rPr>
                  </w:pPr>
                  <w:r>
                    <w:rPr>
                      <w:rFonts w:hint="eastAsia"/>
                      <w:szCs w:val="21"/>
                      <w:lang w:val="en-US" w:eastAsia="zh-CN"/>
                    </w:rPr>
                    <w:t>物料核算</w:t>
                  </w:r>
                </w:p>
              </w:tc>
              <w:tc>
                <w:tcPr>
                  <w:tcW w:w="588" w:type="pct"/>
                  <w:noWrap w:val="0"/>
                  <w:vAlign w:val="center"/>
                </w:tcPr>
                <w:p w14:paraId="5DCB5835">
                  <w:pPr>
                    <w:jc w:val="center"/>
                    <w:rPr>
                      <w:szCs w:val="21"/>
                    </w:rPr>
                  </w:pPr>
                  <w:r>
                    <w:rPr>
                      <w:rFonts w:hint="eastAsia"/>
                      <w:szCs w:val="21"/>
                    </w:rPr>
                    <w:t>50</w:t>
                  </w:r>
                </w:p>
              </w:tc>
              <w:tc>
                <w:tcPr>
                  <w:tcW w:w="672" w:type="pct"/>
                  <w:noWrap w:val="0"/>
                  <w:vAlign w:val="center"/>
                </w:tcPr>
                <w:p w14:paraId="7C5F1766">
                  <w:pPr>
                    <w:jc w:val="center"/>
                    <w:rPr>
                      <w:szCs w:val="21"/>
                    </w:rPr>
                  </w:pPr>
                  <w:r>
                    <w:rPr>
                      <w:rFonts w:hint="eastAsia"/>
                    </w:rPr>
                    <w:t>18.25</w:t>
                  </w:r>
                </w:p>
              </w:tc>
              <w:tc>
                <w:tcPr>
                  <w:tcW w:w="550" w:type="pct"/>
                  <w:noWrap w:val="0"/>
                  <w:vAlign w:val="center"/>
                </w:tcPr>
                <w:p w14:paraId="62F7B61B">
                  <w:pPr>
                    <w:jc w:val="center"/>
                    <w:rPr>
                      <w:szCs w:val="21"/>
                    </w:rPr>
                  </w:pPr>
                  <w:r>
                    <w:rPr>
                      <w:rFonts w:hint="eastAsia"/>
                      <w:szCs w:val="21"/>
                    </w:rPr>
                    <w:t>50</w:t>
                  </w:r>
                  <w:r>
                    <w:rPr>
                      <w:szCs w:val="21"/>
                    </w:rPr>
                    <w:t>mg/L</w:t>
                  </w:r>
                </w:p>
              </w:tc>
            </w:tr>
            <w:tr w14:paraId="6CC2F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9" w:hRule="atLeast"/>
              </w:trPr>
              <w:tc>
                <w:tcPr>
                  <w:tcW w:w="451" w:type="pct"/>
                  <w:noWrap w:val="0"/>
                  <w:vAlign w:val="center"/>
                </w:tcPr>
                <w:p w14:paraId="0A9AAE42">
                  <w:pPr>
                    <w:jc w:val="center"/>
                    <w:rPr>
                      <w:szCs w:val="21"/>
                    </w:rPr>
                  </w:pPr>
                  <w:r>
                    <w:rPr>
                      <w:szCs w:val="21"/>
                    </w:rPr>
                    <w:t>BOD</w:t>
                  </w:r>
                </w:p>
              </w:tc>
              <w:tc>
                <w:tcPr>
                  <w:tcW w:w="310" w:type="pct"/>
                  <w:vMerge w:val="continue"/>
                  <w:noWrap w:val="0"/>
                  <w:vAlign w:val="center"/>
                </w:tcPr>
                <w:p w14:paraId="277EEC2A">
                  <w:pPr>
                    <w:jc w:val="center"/>
                    <w:rPr>
                      <w:szCs w:val="21"/>
                    </w:rPr>
                  </w:pPr>
                </w:p>
              </w:tc>
              <w:tc>
                <w:tcPr>
                  <w:tcW w:w="459" w:type="pct"/>
                  <w:noWrap w:val="0"/>
                  <w:vAlign w:val="center"/>
                </w:tcPr>
                <w:p w14:paraId="118F646C">
                  <w:pPr>
                    <w:jc w:val="center"/>
                    <w:rPr>
                      <w:rFonts w:hint="default" w:eastAsia="宋体"/>
                      <w:bCs/>
                      <w:szCs w:val="21"/>
                      <w:lang w:val="en-US" w:eastAsia="zh-CN"/>
                    </w:rPr>
                  </w:pPr>
                  <w:r>
                    <w:rPr>
                      <w:rFonts w:hint="eastAsia"/>
                      <w:szCs w:val="21"/>
                      <w:lang w:val="en-US" w:eastAsia="zh-CN"/>
                    </w:rPr>
                    <w:t>5000</w:t>
                  </w:r>
                </w:p>
              </w:tc>
              <w:tc>
                <w:tcPr>
                  <w:tcW w:w="669" w:type="pct"/>
                  <w:noWrap w:val="0"/>
                  <w:vAlign w:val="center"/>
                </w:tcPr>
                <w:p w14:paraId="34D207B5">
                  <w:pPr>
                    <w:jc w:val="center"/>
                    <w:rPr>
                      <w:szCs w:val="21"/>
                    </w:rPr>
                  </w:pPr>
                  <w:r>
                    <w:rPr>
                      <w:rFonts w:hint="eastAsia"/>
                    </w:rPr>
                    <w:t>1825</w:t>
                  </w:r>
                </w:p>
              </w:tc>
              <w:tc>
                <w:tcPr>
                  <w:tcW w:w="439" w:type="pct"/>
                  <w:vMerge w:val="continue"/>
                  <w:noWrap w:val="0"/>
                  <w:vAlign w:val="center"/>
                </w:tcPr>
                <w:p w14:paraId="7E315CDD">
                  <w:pPr>
                    <w:jc w:val="center"/>
                    <w:rPr>
                      <w:szCs w:val="21"/>
                    </w:rPr>
                  </w:pPr>
                </w:p>
              </w:tc>
              <w:tc>
                <w:tcPr>
                  <w:tcW w:w="548" w:type="pct"/>
                  <w:noWrap w:val="0"/>
                  <w:vAlign w:val="center"/>
                </w:tcPr>
                <w:p w14:paraId="20A7970C">
                  <w:pPr>
                    <w:jc w:val="center"/>
                    <w:rPr>
                      <w:rFonts w:hint="default" w:eastAsia="宋体"/>
                      <w:szCs w:val="21"/>
                      <w:lang w:val="en-US" w:eastAsia="zh-CN"/>
                    </w:rPr>
                  </w:pPr>
                  <w:r>
                    <w:rPr>
                      <w:rFonts w:hint="eastAsia"/>
                      <w:szCs w:val="21"/>
                      <w:lang w:val="en-US" w:eastAsia="zh-CN"/>
                    </w:rPr>
                    <w:t>99.8</w:t>
                  </w:r>
                </w:p>
              </w:tc>
              <w:tc>
                <w:tcPr>
                  <w:tcW w:w="310" w:type="pct"/>
                  <w:vMerge w:val="continue"/>
                  <w:noWrap w:val="0"/>
                  <w:vAlign w:val="center"/>
                </w:tcPr>
                <w:p w14:paraId="2541CF0C">
                  <w:pPr>
                    <w:jc w:val="center"/>
                    <w:rPr>
                      <w:szCs w:val="21"/>
                    </w:rPr>
                  </w:pPr>
                </w:p>
              </w:tc>
              <w:tc>
                <w:tcPr>
                  <w:tcW w:w="588" w:type="pct"/>
                  <w:noWrap w:val="0"/>
                  <w:vAlign w:val="center"/>
                </w:tcPr>
                <w:p w14:paraId="7AB039DB">
                  <w:pPr>
                    <w:jc w:val="center"/>
                    <w:rPr>
                      <w:szCs w:val="21"/>
                    </w:rPr>
                  </w:pPr>
                  <w:r>
                    <w:rPr>
                      <w:rFonts w:hint="eastAsia"/>
                      <w:szCs w:val="21"/>
                    </w:rPr>
                    <w:t>10</w:t>
                  </w:r>
                </w:p>
              </w:tc>
              <w:tc>
                <w:tcPr>
                  <w:tcW w:w="672" w:type="pct"/>
                  <w:noWrap w:val="0"/>
                  <w:vAlign w:val="center"/>
                </w:tcPr>
                <w:p w14:paraId="3F164163">
                  <w:pPr>
                    <w:jc w:val="center"/>
                    <w:rPr>
                      <w:szCs w:val="21"/>
                    </w:rPr>
                  </w:pPr>
                  <w:r>
                    <w:rPr>
                      <w:rFonts w:hint="eastAsia"/>
                    </w:rPr>
                    <w:t>3.65</w:t>
                  </w:r>
                </w:p>
              </w:tc>
              <w:tc>
                <w:tcPr>
                  <w:tcW w:w="550" w:type="pct"/>
                  <w:noWrap w:val="0"/>
                  <w:vAlign w:val="center"/>
                </w:tcPr>
                <w:p w14:paraId="29879C0C">
                  <w:pPr>
                    <w:jc w:val="center"/>
                    <w:rPr>
                      <w:szCs w:val="21"/>
                    </w:rPr>
                  </w:pPr>
                  <w:r>
                    <w:rPr>
                      <w:rFonts w:hint="eastAsia"/>
                      <w:szCs w:val="21"/>
                    </w:rPr>
                    <w:t>10</w:t>
                  </w:r>
                  <w:r>
                    <w:rPr>
                      <w:szCs w:val="21"/>
                    </w:rPr>
                    <w:t>mg/L</w:t>
                  </w:r>
                </w:p>
              </w:tc>
            </w:tr>
            <w:tr w14:paraId="7BBE3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6" w:hRule="atLeast"/>
              </w:trPr>
              <w:tc>
                <w:tcPr>
                  <w:tcW w:w="451" w:type="pct"/>
                  <w:noWrap w:val="0"/>
                  <w:vAlign w:val="center"/>
                </w:tcPr>
                <w:p w14:paraId="254EF9E9">
                  <w:pPr>
                    <w:jc w:val="center"/>
                    <w:rPr>
                      <w:bCs/>
                      <w:szCs w:val="21"/>
                    </w:rPr>
                  </w:pPr>
                  <w:r>
                    <w:rPr>
                      <w:szCs w:val="21"/>
                    </w:rPr>
                    <w:t>SS</w:t>
                  </w:r>
                </w:p>
              </w:tc>
              <w:tc>
                <w:tcPr>
                  <w:tcW w:w="310" w:type="pct"/>
                  <w:vMerge w:val="continue"/>
                  <w:noWrap w:val="0"/>
                  <w:vAlign w:val="center"/>
                </w:tcPr>
                <w:p w14:paraId="12B4849F">
                  <w:pPr>
                    <w:jc w:val="center"/>
                    <w:rPr>
                      <w:szCs w:val="21"/>
                    </w:rPr>
                  </w:pPr>
                </w:p>
              </w:tc>
              <w:tc>
                <w:tcPr>
                  <w:tcW w:w="459" w:type="pct"/>
                  <w:noWrap w:val="0"/>
                  <w:vAlign w:val="center"/>
                </w:tcPr>
                <w:p w14:paraId="72A88FCB">
                  <w:pPr>
                    <w:jc w:val="center"/>
                    <w:rPr>
                      <w:rFonts w:hint="eastAsia" w:eastAsia="宋体"/>
                      <w:bCs/>
                      <w:szCs w:val="21"/>
                      <w:lang w:val="en-US" w:eastAsia="zh-CN"/>
                    </w:rPr>
                  </w:pPr>
                  <w:r>
                    <w:rPr>
                      <w:szCs w:val="21"/>
                    </w:rPr>
                    <w:t>2</w:t>
                  </w:r>
                  <w:r>
                    <w:rPr>
                      <w:rFonts w:hint="eastAsia"/>
                      <w:szCs w:val="21"/>
                    </w:rPr>
                    <w:t>5</w:t>
                  </w:r>
                  <w:r>
                    <w:rPr>
                      <w:szCs w:val="21"/>
                    </w:rPr>
                    <w:t>0</w:t>
                  </w:r>
                  <w:r>
                    <w:rPr>
                      <w:rFonts w:hint="eastAsia"/>
                      <w:szCs w:val="21"/>
                      <w:lang w:val="en-US" w:eastAsia="zh-CN"/>
                    </w:rPr>
                    <w:t>0</w:t>
                  </w:r>
                </w:p>
              </w:tc>
              <w:tc>
                <w:tcPr>
                  <w:tcW w:w="669" w:type="pct"/>
                  <w:noWrap w:val="0"/>
                  <w:vAlign w:val="center"/>
                </w:tcPr>
                <w:p w14:paraId="48BAF5E3">
                  <w:pPr>
                    <w:jc w:val="center"/>
                    <w:rPr>
                      <w:szCs w:val="21"/>
                    </w:rPr>
                  </w:pPr>
                  <w:r>
                    <w:rPr>
                      <w:rFonts w:hint="eastAsia"/>
                    </w:rPr>
                    <w:t>912.5</w:t>
                  </w:r>
                </w:p>
              </w:tc>
              <w:tc>
                <w:tcPr>
                  <w:tcW w:w="439" w:type="pct"/>
                  <w:vMerge w:val="continue"/>
                  <w:noWrap w:val="0"/>
                  <w:vAlign w:val="center"/>
                </w:tcPr>
                <w:p w14:paraId="208CB404">
                  <w:pPr>
                    <w:jc w:val="center"/>
                    <w:rPr>
                      <w:szCs w:val="21"/>
                    </w:rPr>
                  </w:pPr>
                </w:p>
              </w:tc>
              <w:tc>
                <w:tcPr>
                  <w:tcW w:w="548" w:type="pct"/>
                  <w:noWrap w:val="0"/>
                  <w:vAlign w:val="center"/>
                </w:tcPr>
                <w:p w14:paraId="67BB0149">
                  <w:pPr>
                    <w:jc w:val="center"/>
                    <w:rPr>
                      <w:rFonts w:hint="default" w:eastAsia="宋体"/>
                      <w:szCs w:val="21"/>
                      <w:lang w:val="en-US" w:eastAsia="zh-CN"/>
                    </w:rPr>
                  </w:pPr>
                  <w:r>
                    <w:rPr>
                      <w:rFonts w:hint="eastAsia"/>
                      <w:szCs w:val="21"/>
                      <w:lang w:val="en-US" w:eastAsia="zh-CN"/>
                    </w:rPr>
                    <w:t>99.6</w:t>
                  </w:r>
                </w:p>
              </w:tc>
              <w:tc>
                <w:tcPr>
                  <w:tcW w:w="310" w:type="pct"/>
                  <w:vMerge w:val="continue"/>
                  <w:noWrap w:val="0"/>
                  <w:vAlign w:val="center"/>
                </w:tcPr>
                <w:p w14:paraId="4D09CAC4">
                  <w:pPr>
                    <w:jc w:val="center"/>
                    <w:rPr>
                      <w:szCs w:val="21"/>
                    </w:rPr>
                  </w:pPr>
                </w:p>
              </w:tc>
              <w:tc>
                <w:tcPr>
                  <w:tcW w:w="588" w:type="pct"/>
                  <w:noWrap w:val="0"/>
                  <w:vAlign w:val="center"/>
                </w:tcPr>
                <w:p w14:paraId="3341C5EB">
                  <w:pPr>
                    <w:jc w:val="center"/>
                    <w:rPr>
                      <w:szCs w:val="21"/>
                    </w:rPr>
                  </w:pPr>
                  <w:r>
                    <w:rPr>
                      <w:rFonts w:hint="eastAsia"/>
                      <w:szCs w:val="21"/>
                    </w:rPr>
                    <w:t>10</w:t>
                  </w:r>
                </w:p>
              </w:tc>
              <w:tc>
                <w:tcPr>
                  <w:tcW w:w="672" w:type="pct"/>
                  <w:noWrap w:val="0"/>
                  <w:vAlign w:val="center"/>
                </w:tcPr>
                <w:p w14:paraId="33AB9CC7">
                  <w:pPr>
                    <w:jc w:val="center"/>
                    <w:rPr>
                      <w:szCs w:val="21"/>
                    </w:rPr>
                  </w:pPr>
                  <w:r>
                    <w:rPr>
                      <w:rFonts w:hint="eastAsia"/>
                    </w:rPr>
                    <w:t>3.65</w:t>
                  </w:r>
                </w:p>
              </w:tc>
              <w:tc>
                <w:tcPr>
                  <w:tcW w:w="550" w:type="pct"/>
                  <w:noWrap w:val="0"/>
                  <w:vAlign w:val="center"/>
                </w:tcPr>
                <w:p w14:paraId="3099D437">
                  <w:pPr>
                    <w:jc w:val="center"/>
                    <w:rPr>
                      <w:szCs w:val="21"/>
                    </w:rPr>
                  </w:pPr>
                  <w:r>
                    <w:rPr>
                      <w:rFonts w:hint="eastAsia"/>
                      <w:szCs w:val="21"/>
                    </w:rPr>
                    <w:t>10</w:t>
                  </w:r>
                  <w:r>
                    <w:rPr>
                      <w:szCs w:val="21"/>
                    </w:rPr>
                    <w:t>mg/L</w:t>
                  </w:r>
                </w:p>
              </w:tc>
            </w:tr>
            <w:tr w14:paraId="349C7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7" w:hRule="atLeast"/>
              </w:trPr>
              <w:tc>
                <w:tcPr>
                  <w:tcW w:w="451" w:type="pct"/>
                  <w:noWrap w:val="0"/>
                  <w:vAlign w:val="center"/>
                </w:tcPr>
                <w:p w14:paraId="61634A68">
                  <w:pPr>
                    <w:jc w:val="center"/>
                    <w:rPr>
                      <w:rFonts w:hint="eastAsia"/>
                      <w:bCs/>
                      <w:szCs w:val="21"/>
                    </w:rPr>
                  </w:pPr>
                  <w:r>
                    <w:rPr>
                      <w:rFonts w:hint="eastAsia"/>
                      <w:szCs w:val="21"/>
                    </w:rPr>
                    <w:t>氨氮</w:t>
                  </w:r>
                </w:p>
              </w:tc>
              <w:tc>
                <w:tcPr>
                  <w:tcW w:w="310" w:type="pct"/>
                  <w:vMerge w:val="continue"/>
                  <w:noWrap w:val="0"/>
                  <w:vAlign w:val="center"/>
                </w:tcPr>
                <w:p w14:paraId="3C91287D">
                  <w:pPr>
                    <w:jc w:val="center"/>
                    <w:rPr>
                      <w:szCs w:val="21"/>
                    </w:rPr>
                  </w:pPr>
                </w:p>
              </w:tc>
              <w:tc>
                <w:tcPr>
                  <w:tcW w:w="459" w:type="pct"/>
                  <w:noWrap w:val="0"/>
                  <w:vAlign w:val="center"/>
                </w:tcPr>
                <w:p w14:paraId="514281F5">
                  <w:pPr>
                    <w:jc w:val="center"/>
                    <w:rPr>
                      <w:rFonts w:hint="default" w:eastAsia="宋体"/>
                      <w:bCs/>
                      <w:szCs w:val="21"/>
                      <w:lang w:val="en-US" w:eastAsia="zh-CN"/>
                    </w:rPr>
                  </w:pPr>
                  <w:r>
                    <w:rPr>
                      <w:rFonts w:hint="eastAsia"/>
                      <w:szCs w:val="21"/>
                      <w:lang w:val="en-US" w:eastAsia="zh-CN"/>
                    </w:rPr>
                    <w:t>45</w:t>
                  </w:r>
                </w:p>
              </w:tc>
              <w:tc>
                <w:tcPr>
                  <w:tcW w:w="669" w:type="pct"/>
                  <w:noWrap w:val="0"/>
                  <w:vAlign w:val="center"/>
                </w:tcPr>
                <w:p w14:paraId="52787893">
                  <w:pPr>
                    <w:jc w:val="center"/>
                    <w:rPr>
                      <w:szCs w:val="21"/>
                    </w:rPr>
                  </w:pPr>
                  <w:r>
                    <w:rPr>
                      <w:rFonts w:hint="eastAsia"/>
                    </w:rPr>
                    <w:t>16.425</w:t>
                  </w:r>
                </w:p>
              </w:tc>
              <w:tc>
                <w:tcPr>
                  <w:tcW w:w="439" w:type="pct"/>
                  <w:vMerge w:val="continue"/>
                  <w:noWrap w:val="0"/>
                  <w:vAlign w:val="center"/>
                </w:tcPr>
                <w:p w14:paraId="1DAFD283">
                  <w:pPr>
                    <w:jc w:val="center"/>
                    <w:rPr>
                      <w:szCs w:val="21"/>
                    </w:rPr>
                  </w:pPr>
                </w:p>
              </w:tc>
              <w:tc>
                <w:tcPr>
                  <w:tcW w:w="548" w:type="pct"/>
                  <w:noWrap w:val="0"/>
                  <w:vAlign w:val="center"/>
                </w:tcPr>
                <w:p w14:paraId="56773CFF">
                  <w:pPr>
                    <w:jc w:val="center"/>
                    <w:rPr>
                      <w:rFonts w:hint="default" w:eastAsia="宋体"/>
                      <w:szCs w:val="21"/>
                      <w:lang w:val="en-US" w:eastAsia="zh-CN"/>
                    </w:rPr>
                  </w:pPr>
                  <w:r>
                    <w:rPr>
                      <w:rFonts w:hint="eastAsia"/>
                      <w:szCs w:val="21"/>
                      <w:lang w:val="en-US" w:eastAsia="zh-CN"/>
                    </w:rPr>
                    <w:t>88.9</w:t>
                  </w:r>
                </w:p>
              </w:tc>
              <w:tc>
                <w:tcPr>
                  <w:tcW w:w="310" w:type="pct"/>
                  <w:vMerge w:val="continue"/>
                  <w:noWrap w:val="0"/>
                  <w:vAlign w:val="center"/>
                </w:tcPr>
                <w:p w14:paraId="35FDC833">
                  <w:pPr>
                    <w:jc w:val="center"/>
                    <w:rPr>
                      <w:szCs w:val="21"/>
                    </w:rPr>
                  </w:pPr>
                </w:p>
              </w:tc>
              <w:tc>
                <w:tcPr>
                  <w:tcW w:w="588" w:type="pct"/>
                  <w:noWrap w:val="0"/>
                  <w:vAlign w:val="center"/>
                </w:tcPr>
                <w:p w14:paraId="4E03ABBF">
                  <w:pPr>
                    <w:jc w:val="center"/>
                    <w:rPr>
                      <w:rFonts w:hint="eastAsia" w:eastAsia="宋体"/>
                      <w:szCs w:val="21"/>
                      <w:lang w:eastAsia="zh-CN"/>
                    </w:rPr>
                  </w:pPr>
                  <w:r>
                    <w:rPr>
                      <w:rFonts w:hint="eastAsia"/>
                      <w:szCs w:val="21"/>
                      <w:lang w:val="en-US" w:eastAsia="zh-CN"/>
                    </w:rPr>
                    <w:t>5</w:t>
                  </w:r>
                </w:p>
              </w:tc>
              <w:tc>
                <w:tcPr>
                  <w:tcW w:w="672" w:type="pct"/>
                  <w:noWrap w:val="0"/>
                  <w:vAlign w:val="center"/>
                </w:tcPr>
                <w:p w14:paraId="53811A11">
                  <w:pPr>
                    <w:jc w:val="center"/>
                    <w:rPr>
                      <w:szCs w:val="21"/>
                    </w:rPr>
                  </w:pPr>
                  <w:r>
                    <w:rPr>
                      <w:rFonts w:hint="eastAsia"/>
                    </w:rPr>
                    <w:t>1.825</w:t>
                  </w:r>
                </w:p>
              </w:tc>
              <w:tc>
                <w:tcPr>
                  <w:tcW w:w="550" w:type="pct"/>
                  <w:noWrap w:val="0"/>
                  <w:vAlign w:val="center"/>
                </w:tcPr>
                <w:p w14:paraId="40FA2303">
                  <w:pPr>
                    <w:jc w:val="center"/>
                    <w:rPr>
                      <w:szCs w:val="21"/>
                    </w:rPr>
                  </w:pPr>
                  <w:r>
                    <w:rPr>
                      <w:rFonts w:hint="eastAsia"/>
                      <w:szCs w:val="21"/>
                    </w:rPr>
                    <w:t>5</w:t>
                  </w:r>
                  <w:r>
                    <w:rPr>
                      <w:szCs w:val="21"/>
                    </w:rPr>
                    <w:t>mg/L</w:t>
                  </w:r>
                </w:p>
              </w:tc>
            </w:tr>
            <w:tr w14:paraId="29D12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0" w:hRule="atLeast"/>
              </w:trPr>
              <w:tc>
                <w:tcPr>
                  <w:tcW w:w="451" w:type="pct"/>
                  <w:noWrap w:val="0"/>
                  <w:vAlign w:val="center"/>
                </w:tcPr>
                <w:p w14:paraId="6E22EBE0">
                  <w:pPr>
                    <w:jc w:val="center"/>
                    <w:rPr>
                      <w:rFonts w:hint="eastAsia"/>
                      <w:szCs w:val="21"/>
                    </w:rPr>
                  </w:pPr>
                  <w:r>
                    <w:rPr>
                      <w:rFonts w:hint="eastAsia"/>
                      <w:bCs/>
                      <w:szCs w:val="21"/>
                    </w:rPr>
                    <w:t>总氮</w:t>
                  </w:r>
                </w:p>
              </w:tc>
              <w:tc>
                <w:tcPr>
                  <w:tcW w:w="310" w:type="pct"/>
                  <w:vMerge w:val="continue"/>
                  <w:noWrap w:val="0"/>
                  <w:vAlign w:val="center"/>
                </w:tcPr>
                <w:p w14:paraId="4AEFB8A7">
                  <w:pPr>
                    <w:jc w:val="center"/>
                    <w:rPr>
                      <w:szCs w:val="21"/>
                    </w:rPr>
                  </w:pPr>
                </w:p>
              </w:tc>
              <w:tc>
                <w:tcPr>
                  <w:tcW w:w="459" w:type="pct"/>
                  <w:noWrap w:val="0"/>
                  <w:vAlign w:val="center"/>
                </w:tcPr>
                <w:p w14:paraId="6D1A43E4">
                  <w:pPr>
                    <w:jc w:val="center"/>
                    <w:rPr>
                      <w:rFonts w:hint="default" w:eastAsia="宋体"/>
                      <w:szCs w:val="21"/>
                      <w:lang w:val="en-US" w:eastAsia="zh-CN"/>
                    </w:rPr>
                  </w:pPr>
                  <w:r>
                    <w:rPr>
                      <w:rFonts w:hint="eastAsia"/>
                      <w:szCs w:val="21"/>
                      <w:lang w:val="en-US" w:eastAsia="zh-CN"/>
                    </w:rPr>
                    <w:t>70</w:t>
                  </w:r>
                </w:p>
              </w:tc>
              <w:tc>
                <w:tcPr>
                  <w:tcW w:w="669" w:type="pct"/>
                  <w:noWrap w:val="0"/>
                  <w:vAlign w:val="center"/>
                </w:tcPr>
                <w:p w14:paraId="5E3BEC41">
                  <w:pPr>
                    <w:jc w:val="center"/>
                    <w:rPr>
                      <w:szCs w:val="21"/>
                    </w:rPr>
                  </w:pPr>
                  <w:r>
                    <w:rPr>
                      <w:rFonts w:hint="eastAsia"/>
                    </w:rPr>
                    <w:t>25.55</w:t>
                  </w:r>
                </w:p>
              </w:tc>
              <w:tc>
                <w:tcPr>
                  <w:tcW w:w="439" w:type="pct"/>
                  <w:vMerge w:val="continue"/>
                  <w:noWrap w:val="0"/>
                  <w:vAlign w:val="center"/>
                </w:tcPr>
                <w:p w14:paraId="1E98DA18">
                  <w:pPr>
                    <w:jc w:val="center"/>
                    <w:rPr>
                      <w:szCs w:val="21"/>
                    </w:rPr>
                  </w:pPr>
                </w:p>
              </w:tc>
              <w:tc>
                <w:tcPr>
                  <w:tcW w:w="548" w:type="pct"/>
                  <w:noWrap w:val="0"/>
                  <w:vAlign w:val="center"/>
                </w:tcPr>
                <w:p w14:paraId="7E842C51">
                  <w:pPr>
                    <w:jc w:val="center"/>
                    <w:rPr>
                      <w:rFonts w:hint="default" w:eastAsia="宋体"/>
                      <w:szCs w:val="21"/>
                      <w:lang w:val="en-US" w:eastAsia="zh-CN"/>
                    </w:rPr>
                  </w:pPr>
                  <w:r>
                    <w:rPr>
                      <w:rFonts w:hint="eastAsia"/>
                      <w:szCs w:val="21"/>
                      <w:lang w:val="en-US" w:eastAsia="zh-CN"/>
                    </w:rPr>
                    <w:t>78.6</w:t>
                  </w:r>
                </w:p>
              </w:tc>
              <w:tc>
                <w:tcPr>
                  <w:tcW w:w="310" w:type="pct"/>
                  <w:vMerge w:val="continue"/>
                  <w:noWrap w:val="0"/>
                  <w:vAlign w:val="center"/>
                </w:tcPr>
                <w:p w14:paraId="478632E4">
                  <w:pPr>
                    <w:jc w:val="center"/>
                    <w:rPr>
                      <w:szCs w:val="21"/>
                    </w:rPr>
                  </w:pPr>
                </w:p>
              </w:tc>
              <w:tc>
                <w:tcPr>
                  <w:tcW w:w="588" w:type="pct"/>
                  <w:noWrap w:val="0"/>
                  <w:vAlign w:val="center"/>
                </w:tcPr>
                <w:p w14:paraId="6FDF4244">
                  <w:pPr>
                    <w:jc w:val="center"/>
                    <w:rPr>
                      <w:szCs w:val="21"/>
                    </w:rPr>
                  </w:pPr>
                  <w:r>
                    <w:rPr>
                      <w:rFonts w:hint="eastAsia"/>
                      <w:szCs w:val="21"/>
                      <w:lang w:val="en-US" w:eastAsia="zh-CN"/>
                    </w:rPr>
                    <w:t>1</w:t>
                  </w:r>
                  <w:r>
                    <w:rPr>
                      <w:rFonts w:hint="eastAsia"/>
                      <w:szCs w:val="21"/>
                    </w:rPr>
                    <w:t>5</w:t>
                  </w:r>
                </w:p>
              </w:tc>
              <w:tc>
                <w:tcPr>
                  <w:tcW w:w="672" w:type="pct"/>
                  <w:noWrap w:val="0"/>
                  <w:vAlign w:val="center"/>
                </w:tcPr>
                <w:p w14:paraId="2FCF7BC6">
                  <w:pPr>
                    <w:jc w:val="center"/>
                    <w:rPr>
                      <w:szCs w:val="21"/>
                    </w:rPr>
                  </w:pPr>
                  <w:r>
                    <w:rPr>
                      <w:rFonts w:hint="eastAsia"/>
                    </w:rPr>
                    <w:t>5.475</w:t>
                  </w:r>
                </w:p>
              </w:tc>
              <w:tc>
                <w:tcPr>
                  <w:tcW w:w="550" w:type="pct"/>
                  <w:noWrap w:val="0"/>
                  <w:vAlign w:val="center"/>
                </w:tcPr>
                <w:p w14:paraId="4EBAA395">
                  <w:pPr>
                    <w:jc w:val="center"/>
                    <w:rPr>
                      <w:szCs w:val="21"/>
                    </w:rPr>
                  </w:pPr>
                  <w:r>
                    <w:rPr>
                      <w:rFonts w:hint="eastAsia"/>
                      <w:szCs w:val="21"/>
                      <w:lang w:val="en-US" w:eastAsia="zh-CN"/>
                    </w:rPr>
                    <w:t>1</w:t>
                  </w:r>
                  <w:r>
                    <w:rPr>
                      <w:rFonts w:hint="eastAsia"/>
                      <w:szCs w:val="21"/>
                    </w:rPr>
                    <w:t>5</w:t>
                  </w:r>
                  <w:r>
                    <w:rPr>
                      <w:szCs w:val="21"/>
                    </w:rPr>
                    <w:t>mg/L</w:t>
                  </w:r>
                </w:p>
              </w:tc>
            </w:tr>
            <w:tr w14:paraId="50C4A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0" w:hRule="atLeast"/>
              </w:trPr>
              <w:tc>
                <w:tcPr>
                  <w:tcW w:w="451" w:type="pct"/>
                  <w:noWrap w:val="0"/>
                  <w:vAlign w:val="center"/>
                </w:tcPr>
                <w:p w14:paraId="5880A4A0">
                  <w:pPr>
                    <w:jc w:val="center"/>
                    <w:rPr>
                      <w:rFonts w:hint="eastAsia"/>
                      <w:szCs w:val="21"/>
                    </w:rPr>
                  </w:pPr>
                  <w:r>
                    <w:rPr>
                      <w:rFonts w:hint="eastAsia"/>
                      <w:szCs w:val="21"/>
                    </w:rPr>
                    <w:t>总磷</w:t>
                  </w:r>
                </w:p>
              </w:tc>
              <w:tc>
                <w:tcPr>
                  <w:tcW w:w="310" w:type="pct"/>
                  <w:vMerge w:val="continue"/>
                  <w:noWrap w:val="0"/>
                  <w:vAlign w:val="center"/>
                </w:tcPr>
                <w:p w14:paraId="1D43DEC0">
                  <w:pPr>
                    <w:jc w:val="center"/>
                    <w:rPr>
                      <w:szCs w:val="21"/>
                    </w:rPr>
                  </w:pPr>
                </w:p>
              </w:tc>
              <w:tc>
                <w:tcPr>
                  <w:tcW w:w="459" w:type="pct"/>
                  <w:noWrap w:val="0"/>
                  <w:vAlign w:val="center"/>
                </w:tcPr>
                <w:p w14:paraId="3AF86238">
                  <w:pPr>
                    <w:jc w:val="center"/>
                    <w:rPr>
                      <w:rFonts w:hint="default" w:eastAsia="宋体"/>
                      <w:szCs w:val="21"/>
                      <w:lang w:val="en-US" w:eastAsia="zh-CN"/>
                    </w:rPr>
                  </w:pPr>
                  <w:r>
                    <w:rPr>
                      <w:rFonts w:hint="eastAsia"/>
                      <w:szCs w:val="21"/>
                      <w:lang w:val="en-US" w:eastAsia="zh-CN"/>
                    </w:rPr>
                    <w:t>15</w:t>
                  </w:r>
                </w:p>
              </w:tc>
              <w:tc>
                <w:tcPr>
                  <w:tcW w:w="669" w:type="pct"/>
                  <w:noWrap w:val="0"/>
                  <w:vAlign w:val="center"/>
                </w:tcPr>
                <w:p w14:paraId="13745ACB">
                  <w:pPr>
                    <w:jc w:val="center"/>
                    <w:rPr>
                      <w:szCs w:val="21"/>
                    </w:rPr>
                  </w:pPr>
                  <w:r>
                    <w:rPr>
                      <w:rFonts w:hint="eastAsia"/>
                    </w:rPr>
                    <w:t>5.475</w:t>
                  </w:r>
                </w:p>
              </w:tc>
              <w:tc>
                <w:tcPr>
                  <w:tcW w:w="439" w:type="pct"/>
                  <w:vMerge w:val="continue"/>
                  <w:noWrap w:val="0"/>
                  <w:vAlign w:val="center"/>
                </w:tcPr>
                <w:p w14:paraId="0270410C">
                  <w:pPr>
                    <w:jc w:val="center"/>
                    <w:rPr>
                      <w:szCs w:val="21"/>
                    </w:rPr>
                  </w:pPr>
                </w:p>
              </w:tc>
              <w:tc>
                <w:tcPr>
                  <w:tcW w:w="548" w:type="pct"/>
                  <w:noWrap w:val="0"/>
                  <w:vAlign w:val="center"/>
                </w:tcPr>
                <w:p w14:paraId="40C91C61">
                  <w:pPr>
                    <w:jc w:val="center"/>
                    <w:rPr>
                      <w:rFonts w:hint="default" w:eastAsia="宋体"/>
                      <w:szCs w:val="21"/>
                      <w:lang w:val="en-US" w:eastAsia="zh-CN"/>
                    </w:rPr>
                  </w:pPr>
                  <w:r>
                    <w:rPr>
                      <w:rFonts w:hint="eastAsia"/>
                      <w:szCs w:val="21"/>
                      <w:lang w:val="en-US" w:eastAsia="zh-CN"/>
                    </w:rPr>
                    <w:t>96.7</w:t>
                  </w:r>
                </w:p>
              </w:tc>
              <w:tc>
                <w:tcPr>
                  <w:tcW w:w="310" w:type="pct"/>
                  <w:vMerge w:val="continue"/>
                  <w:noWrap w:val="0"/>
                  <w:vAlign w:val="center"/>
                </w:tcPr>
                <w:p w14:paraId="58A96730">
                  <w:pPr>
                    <w:jc w:val="center"/>
                    <w:rPr>
                      <w:szCs w:val="21"/>
                    </w:rPr>
                  </w:pPr>
                </w:p>
              </w:tc>
              <w:tc>
                <w:tcPr>
                  <w:tcW w:w="588" w:type="pct"/>
                  <w:noWrap w:val="0"/>
                  <w:vAlign w:val="center"/>
                </w:tcPr>
                <w:p w14:paraId="60AA20F3">
                  <w:pPr>
                    <w:jc w:val="center"/>
                    <w:rPr>
                      <w:szCs w:val="21"/>
                    </w:rPr>
                  </w:pPr>
                  <w:r>
                    <w:rPr>
                      <w:rFonts w:hint="eastAsia"/>
                      <w:szCs w:val="21"/>
                    </w:rPr>
                    <w:t>0.5</w:t>
                  </w:r>
                </w:p>
              </w:tc>
              <w:tc>
                <w:tcPr>
                  <w:tcW w:w="672" w:type="pct"/>
                  <w:noWrap w:val="0"/>
                  <w:vAlign w:val="center"/>
                </w:tcPr>
                <w:p w14:paraId="2BB0EA0F">
                  <w:pPr>
                    <w:jc w:val="center"/>
                    <w:rPr>
                      <w:szCs w:val="21"/>
                    </w:rPr>
                  </w:pPr>
                  <w:r>
                    <w:rPr>
                      <w:rFonts w:hint="eastAsia"/>
                    </w:rPr>
                    <w:t>0.1825</w:t>
                  </w:r>
                </w:p>
              </w:tc>
              <w:tc>
                <w:tcPr>
                  <w:tcW w:w="550" w:type="pct"/>
                  <w:noWrap w:val="0"/>
                  <w:vAlign w:val="center"/>
                </w:tcPr>
                <w:p w14:paraId="50840872">
                  <w:pPr>
                    <w:jc w:val="center"/>
                    <w:rPr>
                      <w:szCs w:val="21"/>
                    </w:rPr>
                  </w:pPr>
                  <w:r>
                    <w:rPr>
                      <w:rFonts w:hint="eastAsia"/>
                      <w:szCs w:val="21"/>
                    </w:rPr>
                    <w:t>0.5</w:t>
                  </w:r>
                  <w:r>
                    <w:rPr>
                      <w:szCs w:val="21"/>
                    </w:rPr>
                    <w:t>mg/L</w:t>
                  </w:r>
                </w:p>
              </w:tc>
            </w:tr>
            <w:tr w14:paraId="30D27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0" w:hRule="atLeast"/>
              </w:trPr>
              <w:tc>
                <w:tcPr>
                  <w:tcW w:w="451" w:type="pct"/>
                  <w:noWrap w:val="0"/>
                  <w:vAlign w:val="center"/>
                </w:tcPr>
                <w:p w14:paraId="1D62022E">
                  <w:pPr>
                    <w:jc w:val="center"/>
                    <w:rPr>
                      <w:rFonts w:hint="eastAsia" w:eastAsia="宋体"/>
                      <w:szCs w:val="21"/>
                      <w:lang w:val="en-US" w:eastAsia="zh-CN"/>
                    </w:rPr>
                  </w:pPr>
                  <w:r>
                    <w:rPr>
                      <w:rFonts w:hint="eastAsia"/>
                      <w:szCs w:val="21"/>
                      <w:lang w:val="en-US" w:eastAsia="zh-CN"/>
                    </w:rPr>
                    <w:t>动植物油</w:t>
                  </w:r>
                </w:p>
              </w:tc>
              <w:tc>
                <w:tcPr>
                  <w:tcW w:w="310" w:type="pct"/>
                  <w:vMerge w:val="continue"/>
                  <w:noWrap w:val="0"/>
                  <w:vAlign w:val="center"/>
                </w:tcPr>
                <w:p w14:paraId="4720C5C0">
                  <w:pPr>
                    <w:jc w:val="center"/>
                    <w:rPr>
                      <w:szCs w:val="21"/>
                    </w:rPr>
                  </w:pPr>
                </w:p>
              </w:tc>
              <w:tc>
                <w:tcPr>
                  <w:tcW w:w="459" w:type="pct"/>
                  <w:noWrap w:val="0"/>
                  <w:vAlign w:val="center"/>
                </w:tcPr>
                <w:p w14:paraId="423DFDB6">
                  <w:pPr>
                    <w:jc w:val="center"/>
                    <w:rPr>
                      <w:rFonts w:hint="default" w:eastAsia="宋体"/>
                      <w:szCs w:val="21"/>
                      <w:lang w:val="en-US" w:eastAsia="zh-CN"/>
                    </w:rPr>
                  </w:pPr>
                  <w:r>
                    <w:rPr>
                      <w:rFonts w:hint="eastAsia"/>
                      <w:szCs w:val="21"/>
                      <w:lang w:val="en-US" w:eastAsia="zh-CN"/>
                    </w:rPr>
                    <w:t>100</w:t>
                  </w:r>
                </w:p>
              </w:tc>
              <w:tc>
                <w:tcPr>
                  <w:tcW w:w="669" w:type="pct"/>
                  <w:noWrap w:val="0"/>
                  <w:vAlign w:val="center"/>
                </w:tcPr>
                <w:p w14:paraId="61127645">
                  <w:pPr>
                    <w:jc w:val="center"/>
                    <w:rPr>
                      <w:rFonts w:hint="eastAsia"/>
                      <w:szCs w:val="21"/>
                    </w:rPr>
                  </w:pPr>
                  <w:r>
                    <w:rPr>
                      <w:rFonts w:hint="eastAsia"/>
                    </w:rPr>
                    <w:t>36.5</w:t>
                  </w:r>
                </w:p>
              </w:tc>
              <w:tc>
                <w:tcPr>
                  <w:tcW w:w="439" w:type="pct"/>
                  <w:vMerge w:val="continue"/>
                  <w:noWrap w:val="0"/>
                  <w:vAlign w:val="center"/>
                </w:tcPr>
                <w:p w14:paraId="1637C876">
                  <w:pPr>
                    <w:jc w:val="center"/>
                    <w:rPr>
                      <w:szCs w:val="21"/>
                    </w:rPr>
                  </w:pPr>
                </w:p>
              </w:tc>
              <w:tc>
                <w:tcPr>
                  <w:tcW w:w="548" w:type="pct"/>
                  <w:noWrap w:val="0"/>
                  <w:vAlign w:val="center"/>
                </w:tcPr>
                <w:p w14:paraId="57B057F5">
                  <w:pPr>
                    <w:jc w:val="center"/>
                    <w:rPr>
                      <w:rFonts w:hint="default" w:eastAsia="宋体"/>
                      <w:szCs w:val="21"/>
                      <w:lang w:val="en-US" w:eastAsia="zh-CN"/>
                    </w:rPr>
                  </w:pPr>
                  <w:r>
                    <w:rPr>
                      <w:rFonts w:hint="eastAsia"/>
                      <w:szCs w:val="21"/>
                      <w:lang w:val="en-US" w:eastAsia="zh-CN"/>
                    </w:rPr>
                    <w:t>99</w:t>
                  </w:r>
                </w:p>
              </w:tc>
              <w:tc>
                <w:tcPr>
                  <w:tcW w:w="310" w:type="pct"/>
                  <w:vMerge w:val="continue"/>
                  <w:noWrap w:val="0"/>
                  <w:vAlign w:val="center"/>
                </w:tcPr>
                <w:p w14:paraId="51DF93C9">
                  <w:pPr>
                    <w:jc w:val="center"/>
                    <w:rPr>
                      <w:szCs w:val="21"/>
                    </w:rPr>
                  </w:pPr>
                </w:p>
              </w:tc>
              <w:tc>
                <w:tcPr>
                  <w:tcW w:w="588" w:type="pct"/>
                  <w:noWrap w:val="0"/>
                  <w:vAlign w:val="center"/>
                </w:tcPr>
                <w:p w14:paraId="4AAE8123">
                  <w:pPr>
                    <w:jc w:val="center"/>
                    <w:rPr>
                      <w:rFonts w:hint="eastAsia" w:eastAsia="宋体"/>
                      <w:szCs w:val="21"/>
                      <w:lang w:val="en-US" w:eastAsia="zh-CN"/>
                    </w:rPr>
                  </w:pPr>
                  <w:r>
                    <w:rPr>
                      <w:rFonts w:hint="eastAsia"/>
                      <w:szCs w:val="21"/>
                      <w:lang w:val="en-US" w:eastAsia="zh-CN"/>
                    </w:rPr>
                    <w:t>1</w:t>
                  </w:r>
                </w:p>
              </w:tc>
              <w:tc>
                <w:tcPr>
                  <w:tcW w:w="672" w:type="pct"/>
                  <w:noWrap w:val="0"/>
                  <w:vAlign w:val="center"/>
                </w:tcPr>
                <w:p w14:paraId="50DD138C">
                  <w:pPr>
                    <w:jc w:val="center"/>
                    <w:rPr>
                      <w:rFonts w:hint="eastAsia"/>
                      <w:szCs w:val="21"/>
                    </w:rPr>
                  </w:pPr>
                  <w:r>
                    <w:rPr>
                      <w:rFonts w:hint="eastAsia"/>
                    </w:rPr>
                    <w:t>0.365</w:t>
                  </w:r>
                </w:p>
              </w:tc>
              <w:tc>
                <w:tcPr>
                  <w:tcW w:w="550" w:type="pct"/>
                  <w:noWrap w:val="0"/>
                  <w:vAlign w:val="center"/>
                </w:tcPr>
                <w:p w14:paraId="07AAFEC6">
                  <w:pPr>
                    <w:jc w:val="center"/>
                    <w:rPr>
                      <w:rFonts w:hint="eastAsia" w:eastAsia="宋体"/>
                      <w:szCs w:val="21"/>
                      <w:lang w:val="en-US" w:eastAsia="zh-CN"/>
                    </w:rPr>
                  </w:pPr>
                  <w:r>
                    <w:rPr>
                      <w:rFonts w:hint="eastAsia"/>
                      <w:szCs w:val="21"/>
                      <w:lang w:val="en-US" w:eastAsia="zh-CN"/>
                    </w:rPr>
                    <w:t>1</w:t>
                  </w:r>
                  <w:r>
                    <w:rPr>
                      <w:szCs w:val="21"/>
                    </w:rPr>
                    <w:t>mg/L</w:t>
                  </w:r>
                </w:p>
              </w:tc>
            </w:tr>
          </w:tbl>
          <w:p w14:paraId="0F91B3FC">
            <w:pPr>
              <w:spacing w:line="360" w:lineRule="auto"/>
              <w:ind w:right="119" w:firstLine="482" w:firstLineChars="200"/>
              <w:rPr>
                <w:rFonts w:hint="eastAsia" w:ascii="Times New Roman" w:hAnsi="Times New Roman" w:eastAsia="宋体" w:cs="Times New Roman"/>
                <w:b/>
                <w:bCs/>
                <w:sz w:val="24"/>
                <w:lang w:val="en-US" w:eastAsia="zh-CN"/>
              </w:rPr>
            </w:pPr>
            <w:r>
              <w:rPr>
                <w:rFonts w:hint="eastAsia" w:ascii="Times New Roman" w:hAnsi="Times New Roman" w:eastAsia="宋体" w:cs="Times New Roman"/>
                <w:b/>
                <w:bCs/>
                <w:sz w:val="24"/>
                <w:lang w:val="en-US" w:eastAsia="zh-CN"/>
              </w:rPr>
              <w:t>2.出水回用可行性</w:t>
            </w:r>
          </w:p>
          <w:p w14:paraId="216EE888">
            <w:pPr>
              <w:spacing w:line="360" w:lineRule="auto"/>
              <w:ind w:right="119"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本项目污水处理站设计处理规模1000m³/d，处理工艺为格栅+调节池+隔油沉淀池+气浮+厌氧塔+A/O生化池+混凝沉淀池+活性炭过滤+消毒，主要接纳园区辣椒食品加工企业产生的工业废水。</w:t>
            </w:r>
          </w:p>
          <w:p w14:paraId="5EE4DBB7">
            <w:pPr>
              <w:spacing w:line="360" w:lineRule="auto"/>
              <w:ind w:right="119"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参照初步设计报告（博发改项目发〔2026〕25号），本项目设计进水水质：</w:t>
            </w:r>
            <w:r>
              <w:rPr>
                <w:rFonts w:hint="eastAsia" w:cs="Times New Roman"/>
                <w:sz w:val="24"/>
                <w:lang w:val="en-US" w:eastAsia="zh-CN"/>
              </w:rPr>
              <w:t>CODcr</w:t>
            </w:r>
            <w:r>
              <w:rPr>
                <w:rFonts w:hint="eastAsia" w:ascii="Times New Roman" w:hAnsi="Times New Roman" w:eastAsia="宋体" w:cs="Times New Roman"/>
                <w:sz w:val="24"/>
                <w:lang w:val="en-US" w:eastAsia="zh-CN"/>
              </w:rPr>
              <w:t>≤8000mg/L、BOD₅≤5000mg/L、SS≤2500mg/L、NH₃‑N≤45mg/L、TN≤70mg/L、TP≤15mg/L、动植物油≤100mg/L；出水需同时满足《城镇污水处理厂污染物排放标准》（GB18918‑2002）一级A标准及《城市污水再生利用 景观环境用水水质》（GB/T 18921-2019）中湿地环境用水相关要求。</w:t>
            </w:r>
          </w:p>
          <w:p w14:paraId="1050DAD7">
            <w:pPr>
              <w:spacing w:line="360" w:lineRule="auto"/>
              <w:ind w:right="119"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结合国内同类高浓度辣椒食品加工废水工程实践，确定各处理单元污染物单级去除效率，采用逐级串联方式开展出水反算校核。格栅</w:t>
            </w:r>
            <w:r>
              <w:rPr>
                <w:rFonts w:hint="eastAsia" w:cs="Times New Roman"/>
                <w:sz w:val="24"/>
                <w:lang w:val="en-US" w:eastAsia="zh-CN"/>
              </w:rPr>
              <w:t>-</w:t>
            </w:r>
            <w:r>
              <w:rPr>
                <w:rFonts w:hint="eastAsia" w:ascii="Times New Roman" w:hAnsi="Times New Roman" w:eastAsia="宋体" w:cs="Times New Roman"/>
                <w:sz w:val="24"/>
                <w:lang w:val="en-US" w:eastAsia="zh-CN"/>
              </w:rPr>
              <w:t>调节池主要完成大颗粒杂质拦截与水质水量均质调节；隔油沉淀、气浮单元重点去除浮油、乳化油及悬浮胶体污染物；厌氧塔承担高浓度有机污染物降解任务，大幅削减</w:t>
            </w:r>
            <w:r>
              <w:rPr>
                <w:rFonts w:hint="eastAsia" w:cs="Times New Roman"/>
                <w:sz w:val="24"/>
                <w:lang w:val="en-US" w:eastAsia="zh-CN"/>
              </w:rPr>
              <w:t>CODcr</w:t>
            </w:r>
            <w:r>
              <w:rPr>
                <w:rFonts w:hint="eastAsia" w:ascii="Times New Roman" w:hAnsi="Times New Roman" w:eastAsia="宋体" w:cs="Times New Roman"/>
                <w:sz w:val="24"/>
                <w:lang w:val="en-US" w:eastAsia="zh-CN"/>
              </w:rPr>
              <w:t>、BOD</w:t>
            </w:r>
            <w:r>
              <w:rPr>
                <w:rFonts w:hint="eastAsia" w:cs="Times New Roman"/>
                <w:sz w:val="24"/>
                <w:vertAlign w:val="subscript"/>
                <w:lang w:val="en-US" w:eastAsia="zh-CN"/>
              </w:rPr>
              <w:t>5</w:t>
            </w:r>
            <w:r>
              <w:rPr>
                <w:rFonts w:hint="eastAsia" w:ascii="Times New Roman" w:hAnsi="Times New Roman" w:eastAsia="宋体" w:cs="Times New Roman"/>
                <w:sz w:val="24"/>
                <w:lang w:val="en-US" w:eastAsia="zh-CN"/>
              </w:rPr>
              <w:t>，改善废水可生化性，降低后续生化系统负荷；A/O生化池为本项目核心处理单元，实现有机物降解、硝化</w:t>
            </w:r>
            <w:r>
              <w:rPr>
                <w:rFonts w:hint="eastAsia" w:cs="Times New Roman"/>
                <w:sz w:val="24"/>
                <w:lang w:val="en-US" w:eastAsia="zh-CN"/>
              </w:rPr>
              <w:t>-</w:t>
            </w:r>
            <w:r>
              <w:rPr>
                <w:rFonts w:hint="eastAsia" w:ascii="Times New Roman" w:hAnsi="Times New Roman" w:eastAsia="宋体" w:cs="Times New Roman"/>
                <w:sz w:val="24"/>
                <w:lang w:val="en-US" w:eastAsia="zh-CN"/>
              </w:rPr>
              <w:t>反硝化脱氮及生物除磷；混凝沉淀池通过投加PAC、PAM药剂，强化悬浮物去除与化学除磷；活性炭过滤罐作为关键深度处理单元，选用高吸附性能活性炭，吸附生化尾水中难降解有机物、色度；消毒单元杀灭水中病原微生物，满足回用指标要求</w:t>
            </w:r>
            <w:r>
              <w:rPr>
                <w:rFonts w:hint="eastAsia" w:cs="Times New Roman"/>
                <w:sz w:val="24"/>
                <w:lang w:val="en-US" w:eastAsia="zh-CN"/>
              </w:rPr>
              <w:t>。</w:t>
            </w:r>
          </w:p>
          <w:p w14:paraId="422B111B">
            <w:pPr>
              <w:ind w:firstLine="482" w:firstLineChars="200"/>
              <w:jc w:val="center"/>
              <w:rPr>
                <w:rFonts w:hint="eastAsia" w:ascii="宋体" w:hAnsi="宋体" w:cs="宋体"/>
                <w:b/>
                <w:bCs/>
                <w:sz w:val="24"/>
              </w:rPr>
            </w:pPr>
            <w:r>
              <w:rPr>
                <w:rFonts w:hint="eastAsia" w:ascii="宋体" w:hAnsi="宋体" w:cs="宋体"/>
                <w:b/>
                <w:bCs/>
                <w:sz w:val="24"/>
              </w:rPr>
              <w:t>表</w:t>
            </w:r>
            <w:r>
              <w:rPr>
                <w:rFonts w:hint="eastAsia" w:ascii="宋体" w:hAnsi="宋体" w:cs="宋体"/>
                <w:b/>
                <w:bCs/>
                <w:sz w:val="24"/>
                <w:lang w:val="en-US" w:eastAsia="zh-CN"/>
              </w:rPr>
              <w:t xml:space="preserve">4-10 </w:t>
            </w:r>
            <w:r>
              <w:rPr>
                <w:rFonts w:hint="eastAsia" w:ascii="宋体" w:hAnsi="宋体" w:cs="宋体"/>
                <w:b/>
                <w:bCs/>
                <w:sz w:val="24"/>
              </w:rPr>
              <w:t xml:space="preserve">  </w:t>
            </w:r>
            <w:r>
              <w:rPr>
                <w:rFonts w:hint="eastAsia" w:ascii="宋体" w:hAnsi="宋体" w:cs="宋体"/>
                <w:b/>
                <w:bCs/>
                <w:sz w:val="24"/>
                <w:lang w:val="en-US" w:eastAsia="zh-CN"/>
              </w:rPr>
              <w:t>项目各处理单元水质效果</w:t>
            </w:r>
            <w:r>
              <w:rPr>
                <w:rFonts w:hint="eastAsia" w:ascii="宋体" w:hAnsi="宋体" w:cs="宋体"/>
                <w:b/>
                <w:bCs/>
                <w:sz w:val="24"/>
              </w:rPr>
              <w:t>一览表</w:t>
            </w:r>
          </w:p>
          <w:tbl>
            <w:tblPr>
              <w:tblStyle w:val="22"/>
              <w:tblW w:w="4998" w:type="pct"/>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Layout w:type="fixed"/>
              <w:tblCellMar>
                <w:top w:w="15" w:type="dxa"/>
                <w:left w:w="15" w:type="dxa"/>
                <w:bottom w:w="15" w:type="dxa"/>
                <w:right w:w="15" w:type="dxa"/>
              </w:tblCellMar>
            </w:tblPr>
            <w:tblGrid>
              <w:gridCol w:w="835"/>
              <w:gridCol w:w="851"/>
              <w:gridCol w:w="853"/>
              <w:gridCol w:w="853"/>
              <w:gridCol w:w="853"/>
              <w:gridCol w:w="853"/>
              <w:gridCol w:w="853"/>
              <w:gridCol w:w="853"/>
              <w:gridCol w:w="1486"/>
            </w:tblGrid>
            <w:tr w14:paraId="6065249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blHeader/>
              </w:trPr>
              <w:tc>
                <w:tcPr>
                  <w:tcW w:w="504" w:type="pct"/>
                  <w:tcBorders>
                    <w:tl2br w:val="nil"/>
                    <w:tr2bl w:val="nil"/>
                  </w:tcBorders>
                  <w:shd w:val="clear" w:color="auto" w:fill="auto"/>
                  <w:tcMar>
                    <w:top w:w="120" w:type="dxa"/>
                    <w:left w:w="120" w:type="dxa"/>
                    <w:bottom w:w="120" w:type="dxa"/>
                    <w:right w:w="120" w:type="dxa"/>
                  </w:tcMar>
                  <w:vAlign w:val="center"/>
                </w:tcPr>
                <w:p w14:paraId="5D8F7E6F">
                  <w:pPr>
                    <w:keepNext w:val="0"/>
                    <w:keepLines w:val="0"/>
                    <w:widowControl/>
                    <w:suppressLineNumbers w:val="0"/>
                    <w:jc w:val="center"/>
                    <w:rPr>
                      <w:rFonts w:hint="default" w:asciiTheme="minorAscii" w:hAnsiTheme="minorAscii" w:eastAsiaTheme="minorEastAsia" w:cstheme="minorEastAsia"/>
                      <w:b/>
                      <w:bCs/>
                      <w:sz w:val="21"/>
                      <w:szCs w:val="21"/>
                    </w:rPr>
                  </w:pPr>
                  <w:r>
                    <w:rPr>
                      <w:rFonts w:hint="default" w:asciiTheme="minorAscii" w:hAnsiTheme="minorAscii" w:eastAsiaTheme="minorEastAsia" w:cstheme="minorEastAsia"/>
                      <w:b/>
                      <w:bCs/>
                      <w:kern w:val="0"/>
                      <w:sz w:val="21"/>
                      <w:szCs w:val="21"/>
                      <w:lang w:val="en-US" w:eastAsia="zh-CN" w:bidi="ar"/>
                    </w:rPr>
                    <w:t>处理单元</w:t>
                  </w:r>
                </w:p>
              </w:tc>
              <w:tc>
                <w:tcPr>
                  <w:tcW w:w="513" w:type="pct"/>
                  <w:tcBorders>
                    <w:tl2br w:val="nil"/>
                    <w:tr2bl w:val="nil"/>
                  </w:tcBorders>
                  <w:shd w:val="clear" w:color="auto" w:fill="auto"/>
                  <w:tcMar>
                    <w:top w:w="120" w:type="dxa"/>
                    <w:left w:w="120" w:type="dxa"/>
                    <w:bottom w:w="120" w:type="dxa"/>
                    <w:right w:w="120" w:type="dxa"/>
                  </w:tcMar>
                  <w:vAlign w:val="center"/>
                </w:tcPr>
                <w:p w14:paraId="7A2CCD01">
                  <w:pPr>
                    <w:keepNext w:val="0"/>
                    <w:keepLines w:val="0"/>
                    <w:widowControl/>
                    <w:suppressLineNumbers w:val="0"/>
                    <w:jc w:val="center"/>
                    <w:rPr>
                      <w:rFonts w:hint="default" w:asciiTheme="minorAscii" w:hAnsiTheme="minorAscii" w:eastAsiaTheme="minorEastAsia" w:cstheme="minorEastAsia"/>
                      <w:b/>
                      <w:bCs/>
                      <w:sz w:val="21"/>
                      <w:szCs w:val="21"/>
                    </w:rPr>
                  </w:pPr>
                  <w:r>
                    <w:rPr>
                      <w:rFonts w:hint="eastAsia" w:asciiTheme="minorAscii" w:hAnsiTheme="minorAscii" w:eastAsiaTheme="minorEastAsia" w:cstheme="minorEastAsia"/>
                      <w:b/>
                      <w:bCs/>
                      <w:kern w:val="0"/>
                      <w:sz w:val="21"/>
                      <w:szCs w:val="21"/>
                      <w:lang w:val="en-US" w:eastAsia="zh-CN" w:bidi="ar"/>
                    </w:rPr>
                    <w:t>CODcr</w:t>
                  </w:r>
                </w:p>
              </w:tc>
              <w:tc>
                <w:tcPr>
                  <w:tcW w:w="514" w:type="pct"/>
                  <w:tcBorders>
                    <w:tl2br w:val="nil"/>
                    <w:tr2bl w:val="nil"/>
                  </w:tcBorders>
                  <w:shd w:val="clear" w:color="auto" w:fill="auto"/>
                  <w:tcMar>
                    <w:top w:w="120" w:type="dxa"/>
                    <w:left w:w="120" w:type="dxa"/>
                    <w:bottom w:w="120" w:type="dxa"/>
                    <w:right w:w="120" w:type="dxa"/>
                  </w:tcMar>
                  <w:vAlign w:val="center"/>
                </w:tcPr>
                <w:p w14:paraId="2A08005C">
                  <w:pPr>
                    <w:keepNext w:val="0"/>
                    <w:keepLines w:val="0"/>
                    <w:widowControl/>
                    <w:suppressLineNumbers w:val="0"/>
                    <w:jc w:val="center"/>
                    <w:rPr>
                      <w:rFonts w:hint="default" w:asciiTheme="minorAscii" w:hAnsiTheme="minorAscii" w:eastAsiaTheme="minorEastAsia" w:cstheme="minorEastAsia"/>
                      <w:b/>
                      <w:bCs/>
                      <w:sz w:val="21"/>
                      <w:szCs w:val="21"/>
                    </w:rPr>
                  </w:pPr>
                  <w:r>
                    <w:rPr>
                      <w:rFonts w:hint="default" w:asciiTheme="minorAscii" w:hAnsiTheme="minorAscii" w:eastAsiaTheme="minorEastAsia" w:cstheme="minorEastAsia"/>
                      <w:b/>
                      <w:bCs/>
                      <w:kern w:val="0"/>
                      <w:sz w:val="21"/>
                      <w:szCs w:val="21"/>
                      <w:lang w:val="en-US" w:eastAsia="zh-CN" w:bidi="ar"/>
                    </w:rPr>
                    <w:t>BOD₅</w:t>
                  </w:r>
                </w:p>
              </w:tc>
              <w:tc>
                <w:tcPr>
                  <w:tcW w:w="514" w:type="pct"/>
                  <w:tcBorders>
                    <w:tl2br w:val="nil"/>
                    <w:tr2bl w:val="nil"/>
                  </w:tcBorders>
                  <w:shd w:val="clear" w:color="auto" w:fill="auto"/>
                  <w:tcMar>
                    <w:top w:w="120" w:type="dxa"/>
                    <w:left w:w="120" w:type="dxa"/>
                    <w:bottom w:w="120" w:type="dxa"/>
                    <w:right w:w="120" w:type="dxa"/>
                  </w:tcMar>
                  <w:vAlign w:val="center"/>
                </w:tcPr>
                <w:p w14:paraId="38FDCB35">
                  <w:pPr>
                    <w:keepNext w:val="0"/>
                    <w:keepLines w:val="0"/>
                    <w:widowControl/>
                    <w:suppressLineNumbers w:val="0"/>
                    <w:jc w:val="center"/>
                    <w:rPr>
                      <w:rFonts w:hint="default" w:asciiTheme="minorAscii" w:hAnsiTheme="minorAscii" w:eastAsiaTheme="minorEastAsia" w:cstheme="minorEastAsia"/>
                      <w:b/>
                      <w:bCs/>
                      <w:sz w:val="21"/>
                      <w:szCs w:val="21"/>
                    </w:rPr>
                  </w:pPr>
                  <w:r>
                    <w:rPr>
                      <w:rFonts w:hint="default" w:asciiTheme="minorAscii" w:hAnsiTheme="minorAscii" w:eastAsiaTheme="minorEastAsia" w:cstheme="minorEastAsia"/>
                      <w:b/>
                      <w:bCs/>
                      <w:kern w:val="0"/>
                      <w:sz w:val="21"/>
                      <w:szCs w:val="21"/>
                      <w:lang w:val="en-US" w:eastAsia="zh-CN" w:bidi="ar"/>
                    </w:rPr>
                    <w:t>SS</w:t>
                  </w:r>
                </w:p>
              </w:tc>
              <w:tc>
                <w:tcPr>
                  <w:tcW w:w="514" w:type="pct"/>
                  <w:tcBorders>
                    <w:tl2br w:val="nil"/>
                    <w:tr2bl w:val="nil"/>
                  </w:tcBorders>
                  <w:shd w:val="clear" w:color="auto" w:fill="auto"/>
                  <w:tcMar>
                    <w:top w:w="120" w:type="dxa"/>
                    <w:left w:w="120" w:type="dxa"/>
                    <w:bottom w:w="120" w:type="dxa"/>
                    <w:right w:w="120" w:type="dxa"/>
                  </w:tcMar>
                  <w:vAlign w:val="center"/>
                </w:tcPr>
                <w:p w14:paraId="40DCAB05">
                  <w:pPr>
                    <w:keepNext w:val="0"/>
                    <w:keepLines w:val="0"/>
                    <w:widowControl/>
                    <w:suppressLineNumbers w:val="0"/>
                    <w:jc w:val="center"/>
                    <w:rPr>
                      <w:rFonts w:hint="default" w:asciiTheme="minorAscii" w:hAnsiTheme="minorAscii" w:eastAsiaTheme="minorEastAsia" w:cstheme="minorEastAsia"/>
                      <w:b/>
                      <w:bCs/>
                      <w:sz w:val="21"/>
                      <w:szCs w:val="21"/>
                    </w:rPr>
                  </w:pPr>
                  <w:r>
                    <w:rPr>
                      <w:rFonts w:hint="default" w:asciiTheme="minorAscii" w:hAnsiTheme="minorAscii" w:eastAsiaTheme="minorEastAsia" w:cstheme="minorEastAsia"/>
                      <w:b/>
                      <w:bCs/>
                      <w:kern w:val="0"/>
                      <w:sz w:val="21"/>
                      <w:szCs w:val="21"/>
                      <w:lang w:val="en-US" w:eastAsia="zh-CN" w:bidi="ar"/>
                    </w:rPr>
                    <w:t>NH₃</w:t>
                  </w:r>
                  <w:r>
                    <w:rPr>
                      <w:rFonts w:hint="default" w:asciiTheme="minorAscii" w:hAnsiTheme="minorAscii" w:eastAsiaTheme="minorEastAsia" w:cstheme="minorEastAsia"/>
                      <w:b/>
                      <w:bCs/>
                      <w:kern w:val="0"/>
                      <w:sz w:val="21"/>
                      <w:szCs w:val="21"/>
                      <w:lang w:val="en-US" w:eastAsia="zh-CN" w:bidi="ar"/>
                    </w:rPr>
                    <w:noBreakHyphen/>
                  </w:r>
                  <w:r>
                    <w:rPr>
                      <w:rFonts w:hint="default" w:asciiTheme="minorAscii" w:hAnsiTheme="minorAscii" w:eastAsiaTheme="minorEastAsia" w:cstheme="minorEastAsia"/>
                      <w:b/>
                      <w:bCs/>
                      <w:kern w:val="0"/>
                      <w:sz w:val="21"/>
                      <w:szCs w:val="21"/>
                      <w:lang w:val="en-US" w:eastAsia="zh-CN" w:bidi="ar"/>
                    </w:rPr>
                    <w:t>N</w:t>
                  </w:r>
                </w:p>
              </w:tc>
              <w:tc>
                <w:tcPr>
                  <w:tcW w:w="514" w:type="pct"/>
                  <w:tcBorders>
                    <w:tl2br w:val="nil"/>
                    <w:tr2bl w:val="nil"/>
                  </w:tcBorders>
                  <w:shd w:val="clear" w:color="auto" w:fill="auto"/>
                  <w:tcMar>
                    <w:top w:w="120" w:type="dxa"/>
                    <w:left w:w="120" w:type="dxa"/>
                    <w:bottom w:w="120" w:type="dxa"/>
                    <w:right w:w="120" w:type="dxa"/>
                  </w:tcMar>
                  <w:vAlign w:val="center"/>
                </w:tcPr>
                <w:p w14:paraId="0BE3E7E2">
                  <w:pPr>
                    <w:keepNext w:val="0"/>
                    <w:keepLines w:val="0"/>
                    <w:widowControl/>
                    <w:suppressLineNumbers w:val="0"/>
                    <w:jc w:val="center"/>
                    <w:rPr>
                      <w:rFonts w:hint="default" w:asciiTheme="minorAscii" w:hAnsiTheme="minorAscii" w:eastAsiaTheme="minorEastAsia" w:cstheme="minorEastAsia"/>
                      <w:b/>
                      <w:bCs/>
                      <w:sz w:val="21"/>
                      <w:szCs w:val="21"/>
                    </w:rPr>
                  </w:pPr>
                  <w:r>
                    <w:rPr>
                      <w:rFonts w:hint="default" w:asciiTheme="minorAscii" w:hAnsiTheme="minorAscii" w:eastAsiaTheme="minorEastAsia" w:cstheme="minorEastAsia"/>
                      <w:b/>
                      <w:bCs/>
                      <w:kern w:val="0"/>
                      <w:sz w:val="21"/>
                      <w:szCs w:val="21"/>
                      <w:lang w:val="en-US" w:eastAsia="zh-CN" w:bidi="ar"/>
                    </w:rPr>
                    <w:t>TN</w:t>
                  </w:r>
                </w:p>
              </w:tc>
              <w:tc>
                <w:tcPr>
                  <w:tcW w:w="514" w:type="pct"/>
                  <w:tcBorders>
                    <w:tl2br w:val="nil"/>
                    <w:tr2bl w:val="nil"/>
                  </w:tcBorders>
                  <w:shd w:val="clear" w:color="auto" w:fill="auto"/>
                  <w:tcMar>
                    <w:top w:w="120" w:type="dxa"/>
                    <w:left w:w="120" w:type="dxa"/>
                    <w:bottom w:w="120" w:type="dxa"/>
                    <w:right w:w="120" w:type="dxa"/>
                  </w:tcMar>
                  <w:vAlign w:val="center"/>
                </w:tcPr>
                <w:p w14:paraId="435E3BBB">
                  <w:pPr>
                    <w:keepNext w:val="0"/>
                    <w:keepLines w:val="0"/>
                    <w:widowControl/>
                    <w:suppressLineNumbers w:val="0"/>
                    <w:jc w:val="center"/>
                    <w:rPr>
                      <w:rFonts w:hint="default" w:asciiTheme="minorAscii" w:hAnsiTheme="minorAscii" w:eastAsiaTheme="minorEastAsia" w:cstheme="minorEastAsia"/>
                      <w:b/>
                      <w:bCs/>
                      <w:sz w:val="21"/>
                      <w:szCs w:val="21"/>
                    </w:rPr>
                  </w:pPr>
                  <w:r>
                    <w:rPr>
                      <w:rFonts w:hint="default" w:asciiTheme="minorAscii" w:hAnsiTheme="minorAscii" w:eastAsiaTheme="minorEastAsia" w:cstheme="minorEastAsia"/>
                      <w:b/>
                      <w:bCs/>
                      <w:kern w:val="0"/>
                      <w:sz w:val="21"/>
                      <w:szCs w:val="21"/>
                      <w:lang w:val="en-US" w:eastAsia="zh-CN" w:bidi="ar"/>
                    </w:rPr>
                    <w:t>TP</w:t>
                  </w:r>
                </w:p>
              </w:tc>
              <w:tc>
                <w:tcPr>
                  <w:tcW w:w="514" w:type="pct"/>
                  <w:tcBorders>
                    <w:tl2br w:val="nil"/>
                    <w:tr2bl w:val="nil"/>
                  </w:tcBorders>
                  <w:shd w:val="clear" w:color="auto" w:fill="auto"/>
                  <w:tcMar>
                    <w:top w:w="120" w:type="dxa"/>
                    <w:left w:w="120" w:type="dxa"/>
                    <w:bottom w:w="120" w:type="dxa"/>
                    <w:right w:w="120" w:type="dxa"/>
                  </w:tcMar>
                  <w:vAlign w:val="center"/>
                </w:tcPr>
                <w:p w14:paraId="08DC9973">
                  <w:pPr>
                    <w:keepNext w:val="0"/>
                    <w:keepLines w:val="0"/>
                    <w:widowControl/>
                    <w:suppressLineNumbers w:val="0"/>
                    <w:jc w:val="center"/>
                    <w:rPr>
                      <w:rFonts w:hint="default" w:asciiTheme="minorAscii" w:hAnsiTheme="minorAscii" w:eastAsiaTheme="minorEastAsia" w:cstheme="minorEastAsia"/>
                      <w:b/>
                      <w:bCs/>
                      <w:sz w:val="21"/>
                      <w:szCs w:val="21"/>
                    </w:rPr>
                  </w:pPr>
                  <w:r>
                    <w:rPr>
                      <w:rFonts w:hint="default" w:asciiTheme="minorAscii" w:hAnsiTheme="minorAscii" w:eastAsiaTheme="minorEastAsia" w:cstheme="minorEastAsia"/>
                      <w:b/>
                      <w:bCs/>
                      <w:kern w:val="0"/>
                      <w:sz w:val="21"/>
                      <w:szCs w:val="21"/>
                      <w:lang w:val="en-US" w:eastAsia="zh-CN" w:bidi="ar"/>
                    </w:rPr>
                    <w:t>动植物油</w:t>
                  </w:r>
                </w:p>
              </w:tc>
              <w:tc>
                <w:tcPr>
                  <w:tcW w:w="896" w:type="pct"/>
                  <w:tcBorders>
                    <w:tl2br w:val="nil"/>
                    <w:tr2bl w:val="nil"/>
                  </w:tcBorders>
                  <w:shd w:val="clear" w:color="auto" w:fill="auto"/>
                  <w:tcMar>
                    <w:top w:w="120" w:type="dxa"/>
                    <w:left w:w="120" w:type="dxa"/>
                    <w:bottom w:w="120" w:type="dxa"/>
                    <w:right w:w="120" w:type="dxa"/>
                  </w:tcMar>
                  <w:vAlign w:val="center"/>
                </w:tcPr>
                <w:p w14:paraId="1A6AB41E">
                  <w:pPr>
                    <w:keepNext w:val="0"/>
                    <w:keepLines w:val="0"/>
                    <w:widowControl/>
                    <w:suppressLineNumbers w:val="0"/>
                    <w:jc w:val="center"/>
                    <w:rPr>
                      <w:rFonts w:hint="default" w:asciiTheme="minorAscii" w:hAnsiTheme="minorAscii" w:eastAsiaTheme="minorEastAsia" w:cstheme="minorEastAsia"/>
                      <w:b/>
                      <w:bCs/>
                      <w:sz w:val="21"/>
                      <w:szCs w:val="21"/>
                    </w:rPr>
                  </w:pPr>
                  <w:r>
                    <w:rPr>
                      <w:rFonts w:hint="default" w:asciiTheme="minorAscii" w:hAnsiTheme="minorAscii" w:eastAsiaTheme="minorEastAsia" w:cstheme="minorEastAsia"/>
                      <w:b/>
                      <w:bCs/>
                      <w:kern w:val="0"/>
                      <w:sz w:val="21"/>
                      <w:szCs w:val="21"/>
                      <w:lang w:val="en-US" w:eastAsia="zh-CN" w:bidi="ar"/>
                    </w:rPr>
                    <w:t>单元功能说明</w:t>
                  </w:r>
                </w:p>
              </w:tc>
            </w:tr>
            <w:tr w14:paraId="129FBDD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504" w:type="pct"/>
                  <w:tcBorders>
                    <w:tl2br w:val="nil"/>
                    <w:tr2bl w:val="nil"/>
                  </w:tcBorders>
                  <w:shd w:val="clear" w:color="auto" w:fill="auto"/>
                  <w:tcMar>
                    <w:top w:w="120" w:type="dxa"/>
                    <w:left w:w="120" w:type="dxa"/>
                    <w:bottom w:w="120" w:type="dxa"/>
                    <w:right w:w="120" w:type="dxa"/>
                  </w:tcMar>
                  <w:vAlign w:val="center"/>
                </w:tcPr>
                <w:p w14:paraId="6EB65B4B">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格栅+调节池</w:t>
                  </w:r>
                </w:p>
              </w:tc>
              <w:tc>
                <w:tcPr>
                  <w:tcW w:w="851" w:type="dxa"/>
                  <w:tcBorders>
                    <w:tl2br w:val="nil"/>
                    <w:tr2bl w:val="nil"/>
                  </w:tcBorders>
                  <w:shd w:val="clear" w:color="auto" w:fill="auto"/>
                  <w:tcMar>
                    <w:top w:w="120" w:type="dxa"/>
                    <w:left w:w="120" w:type="dxa"/>
                    <w:bottom w:w="120" w:type="dxa"/>
                    <w:right w:w="120" w:type="dxa"/>
                  </w:tcMar>
                  <w:vAlign w:val="center"/>
                </w:tcPr>
                <w:p w14:paraId="06F53BDE">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5%</w:t>
                  </w:r>
                </w:p>
              </w:tc>
              <w:tc>
                <w:tcPr>
                  <w:tcW w:w="853" w:type="dxa"/>
                  <w:tcBorders>
                    <w:tl2br w:val="nil"/>
                    <w:tr2bl w:val="nil"/>
                  </w:tcBorders>
                  <w:shd w:val="clear" w:color="auto" w:fill="auto"/>
                  <w:tcMar>
                    <w:top w:w="120" w:type="dxa"/>
                    <w:left w:w="120" w:type="dxa"/>
                    <w:bottom w:w="120" w:type="dxa"/>
                    <w:right w:w="120" w:type="dxa"/>
                  </w:tcMar>
                  <w:vAlign w:val="center"/>
                </w:tcPr>
                <w:p w14:paraId="4E24E25C">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5%</w:t>
                  </w:r>
                </w:p>
              </w:tc>
              <w:tc>
                <w:tcPr>
                  <w:tcW w:w="853" w:type="dxa"/>
                  <w:tcBorders>
                    <w:tl2br w:val="nil"/>
                    <w:tr2bl w:val="nil"/>
                  </w:tcBorders>
                  <w:shd w:val="clear" w:color="auto" w:fill="auto"/>
                  <w:tcMar>
                    <w:top w:w="120" w:type="dxa"/>
                    <w:left w:w="120" w:type="dxa"/>
                    <w:bottom w:w="120" w:type="dxa"/>
                    <w:right w:w="120" w:type="dxa"/>
                  </w:tcMar>
                  <w:vAlign w:val="center"/>
                </w:tcPr>
                <w:p w14:paraId="51832213">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15%</w:t>
                  </w:r>
                </w:p>
              </w:tc>
              <w:tc>
                <w:tcPr>
                  <w:tcW w:w="853" w:type="dxa"/>
                  <w:tcBorders>
                    <w:tl2br w:val="nil"/>
                    <w:tr2bl w:val="nil"/>
                  </w:tcBorders>
                  <w:shd w:val="clear" w:color="auto" w:fill="auto"/>
                  <w:tcMar>
                    <w:top w:w="120" w:type="dxa"/>
                    <w:left w:w="120" w:type="dxa"/>
                    <w:bottom w:w="120" w:type="dxa"/>
                    <w:right w:w="120" w:type="dxa"/>
                  </w:tcMar>
                  <w:vAlign w:val="center"/>
                </w:tcPr>
                <w:p w14:paraId="3267F54B">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0%</w:t>
                  </w:r>
                </w:p>
              </w:tc>
              <w:tc>
                <w:tcPr>
                  <w:tcW w:w="853" w:type="dxa"/>
                  <w:tcBorders>
                    <w:tl2br w:val="nil"/>
                    <w:tr2bl w:val="nil"/>
                  </w:tcBorders>
                  <w:shd w:val="clear" w:color="auto" w:fill="auto"/>
                  <w:tcMar>
                    <w:top w:w="120" w:type="dxa"/>
                    <w:left w:w="120" w:type="dxa"/>
                    <w:bottom w:w="120" w:type="dxa"/>
                    <w:right w:w="120" w:type="dxa"/>
                  </w:tcMar>
                  <w:vAlign w:val="center"/>
                </w:tcPr>
                <w:p w14:paraId="7DB0D12A">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0%</w:t>
                  </w:r>
                </w:p>
              </w:tc>
              <w:tc>
                <w:tcPr>
                  <w:tcW w:w="853" w:type="dxa"/>
                  <w:tcBorders>
                    <w:tl2br w:val="nil"/>
                    <w:tr2bl w:val="nil"/>
                  </w:tcBorders>
                  <w:shd w:val="clear" w:color="auto" w:fill="auto"/>
                  <w:tcMar>
                    <w:top w:w="120" w:type="dxa"/>
                    <w:left w:w="120" w:type="dxa"/>
                    <w:bottom w:w="120" w:type="dxa"/>
                    <w:right w:w="120" w:type="dxa"/>
                  </w:tcMar>
                  <w:vAlign w:val="center"/>
                </w:tcPr>
                <w:p w14:paraId="7B36FF1F">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0%</w:t>
                  </w:r>
                </w:p>
              </w:tc>
              <w:tc>
                <w:tcPr>
                  <w:tcW w:w="853" w:type="dxa"/>
                  <w:tcBorders>
                    <w:tl2br w:val="nil"/>
                    <w:tr2bl w:val="nil"/>
                  </w:tcBorders>
                  <w:shd w:val="clear" w:color="auto" w:fill="auto"/>
                  <w:tcMar>
                    <w:top w:w="120" w:type="dxa"/>
                    <w:left w:w="120" w:type="dxa"/>
                    <w:bottom w:w="120" w:type="dxa"/>
                    <w:right w:w="120" w:type="dxa"/>
                  </w:tcMar>
                  <w:vAlign w:val="center"/>
                </w:tcPr>
                <w:p w14:paraId="2D274D78">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10%</w:t>
                  </w:r>
                </w:p>
              </w:tc>
              <w:tc>
                <w:tcPr>
                  <w:tcW w:w="896" w:type="pct"/>
                  <w:tcBorders>
                    <w:tl2br w:val="nil"/>
                    <w:tr2bl w:val="nil"/>
                  </w:tcBorders>
                  <w:shd w:val="clear" w:color="auto" w:fill="auto"/>
                  <w:tcMar>
                    <w:top w:w="120" w:type="dxa"/>
                    <w:left w:w="120" w:type="dxa"/>
                    <w:bottom w:w="120" w:type="dxa"/>
                    <w:right w:w="120" w:type="dxa"/>
                  </w:tcMar>
                  <w:vAlign w:val="center"/>
                </w:tcPr>
                <w:p w14:paraId="6FFFEE4D">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拦截大颗粒杂质，均质均量、pH调节，无脱氮除磷效果</w:t>
                  </w:r>
                </w:p>
              </w:tc>
            </w:tr>
            <w:tr w14:paraId="37A663E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504" w:type="pct"/>
                  <w:tcBorders>
                    <w:tl2br w:val="nil"/>
                    <w:tr2bl w:val="nil"/>
                  </w:tcBorders>
                  <w:shd w:val="clear" w:color="auto" w:fill="auto"/>
                  <w:tcMar>
                    <w:top w:w="120" w:type="dxa"/>
                    <w:left w:w="120" w:type="dxa"/>
                    <w:bottom w:w="120" w:type="dxa"/>
                    <w:right w:w="120" w:type="dxa"/>
                  </w:tcMar>
                  <w:vAlign w:val="center"/>
                </w:tcPr>
                <w:p w14:paraId="6716EA7A">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隔油沉淀池</w:t>
                  </w:r>
                </w:p>
              </w:tc>
              <w:tc>
                <w:tcPr>
                  <w:tcW w:w="851" w:type="dxa"/>
                  <w:tcBorders>
                    <w:tl2br w:val="nil"/>
                    <w:tr2bl w:val="nil"/>
                  </w:tcBorders>
                  <w:shd w:val="clear" w:color="auto" w:fill="auto"/>
                  <w:tcMar>
                    <w:top w:w="120" w:type="dxa"/>
                    <w:left w:w="120" w:type="dxa"/>
                    <w:bottom w:w="120" w:type="dxa"/>
                    <w:right w:w="120" w:type="dxa"/>
                  </w:tcMar>
                  <w:vAlign w:val="center"/>
                </w:tcPr>
                <w:p w14:paraId="12F15F53">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15%</w:t>
                  </w:r>
                </w:p>
              </w:tc>
              <w:tc>
                <w:tcPr>
                  <w:tcW w:w="853" w:type="dxa"/>
                  <w:tcBorders>
                    <w:tl2br w:val="nil"/>
                    <w:tr2bl w:val="nil"/>
                  </w:tcBorders>
                  <w:shd w:val="clear" w:color="auto" w:fill="auto"/>
                  <w:tcMar>
                    <w:top w:w="120" w:type="dxa"/>
                    <w:left w:w="120" w:type="dxa"/>
                    <w:bottom w:w="120" w:type="dxa"/>
                    <w:right w:w="120" w:type="dxa"/>
                  </w:tcMar>
                  <w:vAlign w:val="center"/>
                </w:tcPr>
                <w:p w14:paraId="42B12D32">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10%</w:t>
                  </w:r>
                </w:p>
              </w:tc>
              <w:tc>
                <w:tcPr>
                  <w:tcW w:w="853" w:type="dxa"/>
                  <w:tcBorders>
                    <w:tl2br w:val="nil"/>
                    <w:tr2bl w:val="nil"/>
                  </w:tcBorders>
                  <w:shd w:val="clear" w:color="auto" w:fill="auto"/>
                  <w:tcMar>
                    <w:top w:w="120" w:type="dxa"/>
                    <w:left w:w="120" w:type="dxa"/>
                    <w:bottom w:w="120" w:type="dxa"/>
                    <w:right w:w="120" w:type="dxa"/>
                  </w:tcMar>
                  <w:vAlign w:val="center"/>
                </w:tcPr>
                <w:p w14:paraId="7332BA8D">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25%</w:t>
                  </w:r>
                </w:p>
              </w:tc>
              <w:tc>
                <w:tcPr>
                  <w:tcW w:w="853" w:type="dxa"/>
                  <w:tcBorders>
                    <w:tl2br w:val="nil"/>
                    <w:tr2bl w:val="nil"/>
                  </w:tcBorders>
                  <w:shd w:val="clear" w:color="auto" w:fill="auto"/>
                  <w:tcMar>
                    <w:top w:w="120" w:type="dxa"/>
                    <w:left w:w="120" w:type="dxa"/>
                    <w:bottom w:w="120" w:type="dxa"/>
                    <w:right w:w="120" w:type="dxa"/>
                  </w:tcMar>
                  <w:vAlign w:val="center"/>
                </w:tcPr>
                <w:p w14:paraId="1264D983">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0%</w:t>
                  </w:r>
                </w:p>
              </w:tc>
              <w:tc>
                <w:tcPr>
                  <w:tcW w:w="853" w:type="dxa"/>
                  <w:tcBorders>
                    <w:tl2br w:val="nil"/>
                    <w:tr2bl w:val="nil"/>
                  </w:tcBorders>
                  <w:shd w:val="clear" w:color="auto" w:fill="auto"/>
                  <w:tcMar>
                    <w:top w:w="120" w:type="dxa"/>
                    <w:left w:w="120" w:type="dxa"/>
                    <w:bottom w:w="120" w:type="dxa"/>
                    <w:right w:w="120" w:type="dxa"/>
                  </w:tcMar>
                  <w:vAlign w:val="center"/>
                </w:tcPr>
                <w:p w14:paraId="3D6504A5">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0%</w:t>
                  </w:r>
                </w:p>
              </w:tc>
              <w:tc>
                <w:tcPr>
                  <w:tcW w:w="853" w:type="dxa"/>
                  <w:tcBorders>
                    <w:tl2br w:val="nil"/>
                    <w:tr2bl w:val="nil"/>
                  </w:tcBorders>
                  <w:shd w:val="clear" w:color="auto" w:fill="auto"/>
                  <w:tcMar>
                    <w:top w:w="120" w:type="dxa"/>
                    <w:left w:w="120" w:type="dxa"/>
                    <w:bottom w:w="120" w:type="dxa"/>
                    <w:right w:w="120" w:type="dxa"/>
                  </w:tcMar>
                  <w:vAlign w:val="center"/>
                </w:tcPr>
                <w:p w14:paraId="6A97B863">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5%</w:t>
                  </w:r>
                </w:p>
              </w:tc>
              <w:tc>
                <w:tcPr>
                  <w:tcW w:w="853" w:type="dxa"/>
                  <w:tcBorders>
                    <w:tl2br w:val="nil"/>
                    <w:tr2bl w:val="nil"/>
                  </w:tcBorders>
                  <w:shd w:val="clear" w:color="auto" w:fill="auto"/>
                  <w:tcMar>
                    <w:top w:w="120" w:type="dxa"/>
                    <w:left w:w="120" w:type="dxa"/>
                    <w:bottom w:w="120" w:type="dxa"/>
                    <w:right w:w="120" w:type="dxa"/>
                  </w:tcMar>
                  <w:vAlign w:val="center"/>
                </w:tcPr>
                <w:p w14:paraId="15C63C9C">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75%</w:t>
                  </w:r>
                </w:p>
              </w:tc>
              <w:tc>
                <w:tcPr>
                  <w:tcW w:w="896" w:type="pct"/>
                  <w:tcBorders>
                    <w:tl2br w:val="nil"/>
                    <w:tr2bl w:val="nil"/>
                  </w:tcBorders>
                  <w:shd w:val="clear" w:color="auto" w:fill="auto"/>
                  <w:tcMar>
                    <w:top w:w="120" w:type="dxa"/>
                    <w:left w:w="120" w:type="dxa"/>
                    <w:bottom w:w="120" w:type="dxa"/>
                    <w:right w:w="120" w:type="dxa"/>
                  </w:tcMar>
                  <w:vAlign w:val="center"/>
                </w:tcPr>
                <w:p w14:paraId="684A2B89">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去除浮油、大颗粒悬浮物</w:t>
                  </w:r>
                </w:p>
              </w:tc>
            </w:tr>
            <w:tr w14:paraId="33E5C80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504" w:type="pct"/>
                  <w:tcBorders>
                    <w:tl2br w:val="nil"/>
                    <w:tr2bl w:val="nil"/>
                  </w:tcBorders>
                  <w:shd w:val="clear" w:color="auto" w:fill="auto"/>
                  <w:tcMar>
                    <w:top w:w="120" w:type="dxa"/>
                    <w:left w:w="120" w:type="dxa"/>
                    <w:bottom w:w="120" w:type="dxa"/>
                    <w:right w:w="120" w:type="dxa"/>
                  </w:tcMar>
                  <w:vAlign w:val="center"/>
                </w:tcPr>
                <w:p w14:paraId="65A9C297">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气浮</w:t>
                  </w:r>
                </w:p>
              </w:tc>
              <w:tc>
                <w:tcPr>
                  <w:tcW w:w="851" w:type="dxa"/>
                  <w:tcBorders>
                    <w:tl2br w:val="nil"/>
                    <w:tr2bl w:val="nil"/>
                  </w:tcBorders>
                  <w:shd w:val="clear" w:color="auto" w:fill="auto"/>
                  <w:tcMar>
                    <w:top w:w="120" w:type="dxa"/>
                    <w:left w:w="120" w:type="dxa"/>
                    <w:bottom w:w="120" w:type="dxa"/>
                    <w:right w:w="120" w:type="dxa"/>
                  </w:tcMar>
                  <w:vAlign w:val="center"/>
                </w:tcPr>
                <w:p w14:paraId="189E9F37">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28%</w:t>
                  </w:r>
                </w:p>
              </w:tc>
              <w:tc>
                <w:tcPr>
                  <w:tcW w:w="853" w:type="dxa"/>
                  <w:tcBorders>
                    <w:tl2br w:val="nil"/>
                    <w:tr2bl w:val="nil"/>
                  </w:tcBorders>
                  <w:shd w:val="clear" w:color="auto" w:fill="auto"/>
                  <w:tcMar>
                    <w:top w:w="120" w:type="dxa"/>
                    <w:left w:w="120" w:type="dxa"/>
                    <w:bottom w:w="120" w:type="dxa"/>
                    <w:right w:w="120" w:type="dxa"/>
                  </w:tcMar>
                  <w:vAlign w:val="center"/>
                </w:tcPr>
                <w:p w14:paraId="2FF44B28">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24%</w:t>
                  </w:r>
                </w:p>
              </w:tc>
              <w:tc>
                <w:tcPr>
                  <w:tcW w:w="853" w:type="dxa"/>
                  <w:tcBorders>
                    <w:tl2br w:val="nil"/>
                    <w:tr2bl w:val="nil"/>
                  </w:tcBorders>
                  <w:shd w:val="clear" w:color="auto" w:fill="auto"/>
                  <w:tcMar>
                    <w:top w:w="120" w:type="dxa"/>
                    <w:left w:w="120" w:type="dxa"/>
                    <w:bottom w:w="120" w:type="dxa"/>
                    <w:right w:w="120" w:type="dxa"/>
                  </w:tcMar>
                  <w:vAlign w:val="center"/>
                </w:tcPr>
                <w:p w14:paraId="55D20913">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45%</w:t>
                  </w:r>
                </w:p>
              </w:tc>
              <w:tc>
                <w:tcPr>
                  <w:tcW w:w="853" w:type="dxa"/>
                  <w:tcBorders>
                    <w:tl2br w:val="nil"/>
                    <w:tr2bl w:val="nil"/>
                  </w:tcBorders>
                  <w:shd w:val="clear" w:color="auto" w:fill="auto"/>
                  <w:tcMar>
                    <w:top w:w="120" w:type="dxa"/>
                    <w:left w:w="120" w:type="dxa"/>
                    <w:bottom w:w="120" w:type="dxa"/>
                    <w:right w:w="120" w:type="dxa"/>
                  </w:tcMar>
                  <w:vAlign w:val="center"/>
                </w:tcPr>
                <w:p w14:paraId="0CAF6C97">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0%</w:t>
                  </w:r>
                </w:p>
              </w:tc>
              <w:tc>
                <w:tcPr>
                  <w:tcW w:w="853" w:type="dxa"/>
                  <w:tcBorders>
                    <w:tl2br w:val="nil"/>
                    <w:tr2bl w:val="nil"/>
                  </w:tcBorders>
                  <w:shd w:val="clear" w:color="auto" w:fill="auto"/>
                  <w:tcMar>
                    <w:top w:w="120" w:type="dxa"/>
                    <w:left w:w="120" w:type="dxa"/>
                    <w:bottom w:w="120" w:type="dxa"/>
                    <w:right w:w="120" w:type="dxa"/>
                  </w:tcMar>
                  <w:vAlign w:val="center"/>
                </w:tcPr>
                <w:p w14:paraId="309DD31F">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6%</w:t>
                  </w:r>
                </w:p>
              </w:tc>
              <w:tc>
                <w:tcPr>
                  <w:tcW w:w="853" w:type="dxa"/>
                  <w:tcBorders>
                    <w:tl2br w:val="nil"/>
                    <w:tr2bl w:val="nil"/>
                  </w:tcBorders>
                  <w:shd w:val="clear" w:color="auto" w:fill="auto"/>
                  <w:tcMar>
                    <w:top w:w="120" w:type="dxa"/>
                    <w:left w:w="120" w:type="dxa"/>
                    <w:bottom w:w="120" w:type="dxa"/>
                    <w:right w:w="120" w:type="dxa"/>
                  </w:tcMar>
                  <w:vAlign w:val="center"/>
                </w:tcPr>
                <w:p w14:paraId="5EB1DF05">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35%</w:t>
                  </w:r>
                </w:p>
              </w:tc>
              <w:tc>
                <w:tcPr>
                  <w:tcW w:w="853" w:type="dxa"/>
                  <w:tcBorders>
                    <w:tl2br w:val="nil"/>
                    <w:tr2bl w:val="nil"/>
                  </w:tcBorders>
                  <w:shd w:val="clear" w:color="auto" w:fill="auto"/>
                  <w:tcMar>
                    <w:top w:w="120" w:type="dxa"/>
                    <w:left w:w="120" w:type="dxa"/>
                    <w:bottom w:w="120" w:type="dxa"/>
                    <w:right w:w="120" w:type="dxa"/>
                  </w:tcMar>
                  <w:vAlign w:val="center"/>
                </w:tcPr>
                <w:p w14:paraId="1BFDD106">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65%</w:t>
                  </w:r>
                </w:p>
              </w:tc>
              <w:tc>
                <w:tcPr>
                  <w:tcW w:w="896" w:type="pct"/>
                  <w:tcBorders>
                    <w:tl2br w:val="nil"/>
                    <w:tr2bl w:val="nil"/>
                  </w:tcBorders>
                  <w:shd w:val="clear" w:color="auto" w:fill="auto"/>
                  <w:tcMar>
                    <w:top w:w="120" w:type="dxa"/>
                    <w:left w:w="120" w:type="dxa"/>
                    <w:bottom w:w="120" w:type="dxa"/>
                    <w:right w:w="120" w:type="dxa"/>
                  </w:tcMar>
                  <w:vAlign w:val="center"/>
                </w:tcPr>
                <w:p w14:paraId="7DC8E4FD">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去除乳化油、胶体、悬浮有机物、部分总磷</w:t>
                  </w:r>
                </w:p>
              </w:tc>
            </w:tr>
            <w:tr w14:paraId="68B899F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504" w:type="pct"/>
                  <w:tcBorders>
                    <w:tl2br w:val="nil"/>
                    <w:tr2bl w:val="nil"/>
                  </w:tcBorders>
                  <w:shd w:val="clear" w:color="auto" w:fill="auto"/>
                  <w:tcMar>
                    <w:top w:w="120" w:type="dxa"/>
                    <w:left w:w="120" w:type="dxa"/>
                    <w:bottom w:w="120" w:type="dxa"/>
                    <w:right w:w="120" w:type="dxa"/>
                  </w:tcMar>
                  <w:vAlign w:val="center"/>
                </w:tcPr>
                <w:p w14:paraId="2CFD592F">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厌氧塔</w:t>
                  </w:r>
                </w:p>
              </w:tc>
              <w:tc>
                <w:tcPr>
                  <w:tcW w:w="851" w:type="dxa"/>
                  <w:tcBorders>
                    <w:tl2br w:val="nil"/>
                    <w:tr2bl w:val="nil"/>
                  </w:tcBorders>
                  <w:shd w:val="clear" w:color="auto" w:fill="auto"/>
                  <w:tcMar>
                    <w:top w:w="120" w:type="dxa"/>
                    <w:left w:w="120" w:type="dxa"/>
                    <w:bottom w:w="120" w:type="dxa"/>
                    <w:right w:w="120" w:type="dxa"/>
                  </w:tcMar>
                  <w:vAlign w:val="center"/>
                </w:tcPr>
                <w:p w14:paraId="2B811520">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72%</w:t>
                  </w:r>
                </w:p>
              </w:tc>
              <w:tc>
                <w:tcPr>
                  <w:tcW w:w="853" w:type="dxa"/>
                  <w:tcBorders>
                    <w:tl2br w:val="nil"/>
                    <w:tr2bl w:val="nil"/>
                  </w:tcBorders>
                  <w:shd w:val="clear" w:color="auto" w:fill="auto"/>
                  <w:tcMar>
                    <w:top w:w="120" w:type="dxa"/>
                    <w:left w:w="120" w:type="dxa"/>
                    <w:bottom w:w="120" w:type="dxa"/>
                    <w:right w:w="120" w:type="dxa"/>
                  </w:tcMar>
                  <w:vAlign w:val="center"/>
                </w:tcPr>
                <w:p w14:paraId="253331CD">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78%</w:t>
                  </w:r>
                </w:p>
              </w:tc>
              <w:tc>
                <w:tcPr>
                  <w:tcW w:w="853" w:type="dxa"/>
                  <w:tcBorders>
                    <w:tl2br w:val="nil"/>
                    <w:tr2bl w:val="nil"/>
                  </w:tcBorders>
                  <w:shd w:val="clear" w:color="auto" w:fill="auto"/>
                  <w:tcMar>
                    <w:top w:w="120" w:type="dxa"/>
                    <w:left w:w="120" w:type="dxa"/>
                    <w:bottom w:w="120" w:type="dxa"/>
                    <w:right w:w="120" w:type="dxa"/>
                  </w:tcMar>
                  <w:vAlign w:val="center"/>
                </w:tcPr>
                <w:p w14:paraId="4F6BD971">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22%</w:t>
                  </w:r>
                </w:p>
              </w:tc>
              <w:tc>
                <w:tcPr>
                  <w:tcW w:w="853" w:type="dxa"/>
                  <w:tcBorders>
                    <w:tl2br w:val="nil"/>
                    <w:tr2bl w:val="nil"/>
                  </w:tcBorders>
                  <w:shd w:val="clear" w:color="auto" w:fill="auto"/>
                  <w:tcMar>
                    <w:top w:w="120" w:type="dxa"/>
                    <w:left w:w="120" w:type="dxa"/>
                    <w:bottom w:w="120" w:type="dxa"/>
                    <w:right w:w="120" w:type="dxa"/>
                  </w:tcMar>
                  <w:vAlign w:val="center"/>
                </w:tcPr>
                <w:p w14:paraId="3555DF9D">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8%</w:t>
                  </w:r>
                </w:p>
              </w:tc>
              <w:tc>
                <w:tcPr>
                  <w:tcW w:w="853" w:type="dxa"/>
                  <w:tcBorders>
                    <w:tl2br w:val="nil"/>
                    <w:tr2bl w:val="nil"/>
                  </w:tcBorders>
                  <w:shd w:val="clear" w:color="auto" w:fill="auto"/>
                  <w:tcMar>
                    <w:top w:w="120" w:type="dxa"/>
                    <w:left w:w="120" w:type="dxa"/>
                    <w:bottom w:w="120" w:type="dxa"/>
                    <w:right w:w="120" w:type="dxa"/>
                  </w:tcMar>
                  <w:vAlign w:val="center"/>
                </w:tcPr>
                <w:p w14:paraId="5088F30C">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12%</w:t>
                  </w:r>
                </w:p>
              </w:tc>
              <w:tc>
                <w:tcPr>
                  <w:tcW w:w="853" w:type="dxa"/>
                  <w:tcBorders>
                    <w:tl2br w:val="nil"/>
                    <w:tr2bl w:val="nil"/>
                  </w:tcBorders>
                  <w:shd w:val="clear" w:color="auto" w:fill="auto"/>
                  <w:tcMar>
                    <w:top w:w="120" w:type="dxa"/>
                    <w:left w:w="120" w:type="dxa"/>
                    <w:bottom w:w="120" w:type="dxa"/>
                    <w:right w:w="120" w:type="dxa"/>
                  </w:tcMar>
                  <w:vAlign w:val="center"/>
                </w:tcPr>
                <w:p w14:paraId="7DE34C98">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8%</w:t>
                  </w:r>
                </w:p>
              </w:tc>
              <w:tc>
                <w:tcPr>
                  <w:tcW w:w="853" w:type="dxa"/>
                  <w:tcBorders>
                    <w:tl2br w:val="nil"/>
                    <w:tr2bl w:val="nil"/>
                  </w:tcBorders>
                  <w:shd w:val="clear" w:color="auto" w:fill="auto"/>
                  <w:tcMar>
                    <w:top w:w="120" w:type="dxa"/>
                    <w:left w:w="120" w:type="dxa"/>
                    <w:bottom w:w="120" w:type="dxa"/>
                    <w:right w:w="120" w:type="dxa"/>
                  </w:tcMar>
                  <w:vAlign w:val="center"/>
                </w:tcPr>
                <w:p w14:paraId="5D668EAA">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12%</w:t>
                  </w:r>
                </w:p>
              </w:tc>
              <w:tc>
                <w:tcPr>
                  <w:tcW w:w="896" w:type="pct"/>
                  <w:tcBorders>
                    <w:tl2br w:val="nil"/>
                    <w:tr2bl w:val="nil"/>
                  </w:tcBorders>
                  <w:shd w:val="clear" w:color="auto" w:fill="auto"/>
                  <w:tcMar>
                    <w:top w:w="120" w:type="dxa"/>
                    <w:left w:w="120" w:type="dxa"/>
                    <w:bottom w:w="120" w:type="dxa"/>
                    <w:right w:w="120" w:type="dxa"/>
                  </w:tcMar>
                  <w:vAlign w:val="center"/>
                </w:tcPr>
                <w:p w14:paraId="6FB7EC33">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高浓度有机污染物降解，大幅削减</w:t>
                  </w:r>
                  <w:r>
                    <w:rPr>
                      <w:rFonts w:hint="eastAsia" w:asciiTheme="minorAscii" w:hAnsiTheme="minorAscii" w:eastAsiaTheme="minorEastAsia" w:cstheme="minorEastAsia"/>
                      <w:kern w:val="0"/>
                      <w:sz w:val="21"/>
                      <w:szCs w:val="21"/>
                      <w:lang w:val="en-US" w:eastAsia="zh-CN" w:bidi="ar"/>
                    </w:rPr>
                    <w:t>CODcr</w:t>
                  </w:r>
                  <w:r>
                    <w:rPr>
                      <w:rFonts w:hint="default" w:asciiTheme="minorAscii" w:hAnsiTheme="minorAscii" w:eastAsiaTheme="minorEastAsia" w:cstheme="minorEastAsia"/>
                      <w:kern w:val="0"/>
                      <w:sz w:val="21"/>
                      <w:szCs w:val="21"/>
                      <w:lang w:val="en-US" w:eastAsia="zh-CN" w:bidi="ar"/>
                    </w:rPr>
                    <w:t>/BOD₅，改善可生化性</w:t>
                  </w:r>
                </w:p>
              </w:tc>
            </w:tr>
            <w:tr w14:paraId="5B64C3C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504" w:type="pct"/>
                  <w:tcBorders>
                    <w:tl2br w:val="nil"/>
                    <w:tr2bl w:val="nil"/>
                  </w:tcBorders>
                  <w:shd w:val="clear" w:color="auto" w:fill="auto"/>
                  <w:tcMar>
                    <w:top w:w="120" w:type="dxa"/>
                    <w:left w:w="120" w:type="dxa"/>
                    <w:bottom w:w="120" w:type="dxa"/>
                    <w:right w:w="120" w:type="dxa"/>
                  </w:tcMar>
                  <w:vAlign w:val="center"/>
                </w:tcPr>
                <w:p w14:paraId="0269FA49">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A/O生化池</w:t>
                  </w:r>
                </w:p>
              </w:tc>
              <w:tc>
                <w:tcPr>
                  <w:tcW w:w="851" w:type="dxa"/>
                  <w:tcBorders>
                    <w:tl2br w:val="nil"/>
                    <w:tr2bl w:val="nil"/>
                  </w:tcBorders>
                  <w:shd w:val="clear" w:color="auto" w:fill="auto"/>
                  <w:tcMar>
                    <w:top w:w="120" w:type="dxa"/>
                    <w:left w:w="120" w:type="dxa"/>
                    <w:bottom w:w="120" w:type="dxa"/>
                    <w:right w:w="120" w:type="dxa"/>
                  </w:tcMar>
                  <w:vAlign w:val="center"/>
                </w:tcPr>
                <w:p w14:paraId="5116FC18">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75%</w:t>
                  </w:r>
                </w:p>
              </w:tc>
              <w:tc>
                <w:tcPr>
                  <w:tcW w:w="853" w:type="dxa"/>
                  <w:tcBorders>
                    <w:tl2br w:val="nil"/>
                    <w:tr2bl w:val="nil"/>
                  </w:tcBorders>
                  <w:shd w:val="clear" w:color="auto" w:fill="auto"/>
                  <w:tcMar>
                    <w:top w:w="120" w:type="dxa"/>
                    <w:left w:w="120" w:type="dxa"/>
                    <w:bottom w:w="120" w:type="dxa"/>
                    <w:right w:w="120" w:type="dxa"/>
                  </w:tcMar>
                  <w:vAlign w:val="center"/>
                </w:tcPr>
                <w:p w14:paraId="06B96C2F">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80%</w:t>
                  </w:r>
                </w:p>
              </w:tc>
              <w:tc>
                <w:tcPr>
                  <w:tcW w:w="853" w:type="dxa"/>
                  <w:tcBorders>
                    <w:tl2br w:val="nil"/>
                    <w:tr2bl w:val="nil"/>
                  </w:tcBorders>
                  <w:shd w:val="clear" w:color="auto" w:fill="auto"/>
                  <w:tcMar>
                    <w:top w:w="120" w:type="dxa"/>
                    <w:left w:w="120" w:type="dxa"/>
                    <w:bottom w:w="120" w:type="dxa"/>
                    <w:right w:w="120" w:type="dxa"/>
                  </w:tcMar>
                  <w:vAlign w:val="center"/>
                </w:tcPr>
                <w:p w14:paraId="2EB1DE92">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35%</w:t>
                  </w:r>
                </w:p>
              </w:tc>
              <w:tc>
                <w:tcPr>
                  <w:tcW w:w="853" w:type="dxa"/>
                  <w:tcBorders>
                    <w:tl2br w:val="nil"/>
                    <w:tr2bl w:val="nil"/>
                  </w:tcBorders>
                  <w:shd w:val="clear" w:color="auto" w:fill="auto"/>
                  <w:tcMar>
                    <w:top w:w="120" w:type="dxa"/>
                    <w:left w:w="120" w:type="dxa"/>
                    <w:bottom w:w="120" w:type="dxa"/>
                    <w:right w:w="120" w:type="dxa"/>
                  </w:tcMar>
                  <w:vAlign w:val="center"/>
                </w:tcPr>
                <w:p w14:paraId="3EAD077F">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85%</w:t>
                  </w:r>
                </w:p>
              </w:tc>
              <w:tc>
                <w:tcPr>
                  <w:tcW w:w="853" w:type="dxa"/>
                  <w:tcBorders>
                    <w:tl2br w:val="nil"/>
                    <w:tr2bl w:val="nil"/>
                  </w:tcBorders>
                  <w:shd w:val="clear" w:color="auto" w:fill="auto"/>
                  <w:tcMar>
                    <w:top w:w="120" w:type="dxa"/>
                    <w:left w:w="120" w:type="dxa"/>
                    <w:bottom w:w="120" w:type="dxa"/>
                    <w:right w:w="120" w:type="dxa"/>
                  </w:tcMar>
                  <w:vAlign w:val="center"/>
                </w:tcPr>
                <w:p w14:paraId="70DCC85B">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68%</w:t>
                  </w:r>
                </w:p>
              </w:tc>
              <w:tc>
                <w:tcPr>
                  <w:tcW w:w="853" w:type="dxa"/>
                  <w:tcBorders>
                    <w:tl2br w:val="nil"/>
                    <w:tr2bl w:val="nil"/>
                  </w:tcBorders>
                  <w:shd w:val="clear" w:color="auto" w:fill="auto"/>
                  <w:tcMar>
                    <w:top w:w="120" w:type="dxa"/>
                    <w:left w:w="120" w:type="dxa"/>
                    <w:bottom w:w="120" w:type="dxa"/>
                    <w:right w:w="120" w:type="dxa"/>
                  </w:tcMar>
                  <w:vAlign w:val="center"/>
                </w:tcPr>
                <w:p w14:paraId="1A86FE47">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30%</w:t>
                  </w:r>
                </w:p>
              </w:tc>
              <w:tc>
                <w:tcPr>
                  <w:tcW w:w="853" w:type="dxa"/>
                  <w:tcBorders>
                    <w:tl2br w:val="nil"/>
                    <w:tr2bl w:val="nil"/>
                  </w:tcBorders>
                  <w:shd w:val="clear" w:color="auto" w:fill="auto"/>
                  <w:tcMar>
                    <w:top w:w="120" w:type="dxa"/>
                    <w:left w:w="120" w:type="dxa"/>
                    <w:bottom w:w="120" w:type="dxa"/>
                    <w:right w:w="120" w:type="dxa"/>
                  </w:tcMar>
                  <w:vAlign w:val="center"/>
                </w:tcPr>
                <w:p w14:paraId="36C53B47">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18%</w:t>
                  </w:r>
                </w:p>
              </w:tc>
              <w:tc>
                <w:tcPr>
                  <w:tcW w:w="896" w:type="pct"/>
                  <w:tcBorders>
                    <w:tl2br w:val="nil"/>
                    <w:tr2bl w:val="nil"/>
                  </w:tcBorders>
                  <w:shd w:val="clear" w:color="auto" w:fill="auto"/>
                  <w:tcMar>
                    <w:top w:w="120" w:type="dxa"/>
                    <w:left w:w="120" w:type="dxa"/>
                    <w:bottom w:w="120" w:type="dxa"/>
                    <w:right w:w="120" w:type="dxa"/>
                  </w:tcMar>
                  <w:vAlign w:val="center"/>
                </w:tcPr>
                <w:p w14:paraId="391A82AC">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核心生化，有机物降解、硝化</w:t>
                  </w:r>
                  <w:r>
                    <w:rPr>
                      <w:rFonts w:hint="eastAsia" w:asciiTheme="minorAscii" w:hAnsiTheme="minorAscii" w:eastAsiaTheme="minorEastAsia" w:cstheme="minorEastAsia"/>
                      <w:kern w:val="0"/>
                      <w:sz w:val="21"/>
                      <w:szCs w:val="21"/>
                      <w:lang w:val="en-US" w:eastAsia="zh-CN" w:bidi="ar"/>
                    </w:rPr>
                    <w:t>-</w:t>
                  </w:r>
                  <w:r>
                    <w:rPr>
                      <w:rFonts w:hint="default" w:asciiTheme="minorAscii" w:hAnsiTheme="minorAscii" w:eastAsiaTheme="minorEastAsia" w:cstheme="minorEastAsia"/>
                      <w:kern w:val="0"/>
                      <w:sz w:val="21"/>
                      <w:szCs w:val="21"/>
                      <w:lang w:val="en-US" w:eastAsia="zh-CN" w:bidi="ar"/>
                    </w:rPr>
                    <w:t>反硝化脱氮、生物除磷</w:t>
                  </w:r>
                </w:p>
              </w:tc>
            </w:tr>
            <w:tr w14:paraId="73C9AFB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504" w:type="pct"/>
                  <w:tcBorders>
                    <w:tl2br w:val="nil"/>
                    <w:tr2bl w:val="nil"/>
                  </w:tcBorders>
                  <w:shd w:val="clear" w:color="auto" w:fill="auto"/>
                  <w:tcMar>
                    <w:top w:w="120" w:type="dxa"/>
                    <w:left w:w="120" w:type="dxa"/>
                    <w:bottom w:w="120" w:type="dxa"/>
                    <w:right w:w="120" w:type="dxa"/>
                  </w:tcMar>
                  <w:vAlign w:val="center"/>
                </w:tcPr>
                <w:p w14:paraId="1D414106">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混凝沉淀池</w:t>
                  </w:r>
                </w:p>
              </w:tc>
              <w:tc>
                <w:tcPr>
                  <w:tcW w:w="851" w:type="dxa"/>
                  <w:tcBorders>
                    <w:tl2br w:val="nil"/>
                    <w:tr2bl w:val="nil"/>
                  </w:tcBorders>
                  <w:shd w:val="clear" w:color="auto" w:fill="auto"/>
                  <w:tcMar>
                    <w:top w:w="120" w:type="dxa"/>
                    <w:left w:w="120" w:type="dxa"/>
                    <w:bottom w:w="120" w:type="dxa"/>
                    <w:right w:w="120" w:type="dxa"/>
                  </w:tcMar>
                  <w:vAlign w:val="center"/>
                </w:tcPr>
                <w:p w14:paraId="2F70B7CB">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30%</w:t>
                  </w:r>
                </w:p>
              </w:tc>
              <w:tc>
                <w:tcPr>
                  <w:tcW w:w="853" w:type="dxa"/>
                  <w:tcBorders>
                    <w:tl2br w:val="nil"/>
                    <w:tr2bl w:val="nil"/>
                  </w:tcBorders>
                  <w:shd w:val="clear" w:color="auto" w:fill="auto"/>
                  <w:tcMar>
                    <w:top w:w="120" w:type="dxa"/>
                    <w:left w:w="120" w:type="dxa"/>
                    <w:bottom w:w="120" w:type="dxa"/>
                    <w:right w:w="120" w:type="dxa"/>
                  </w:tcMar>
                  <w:vAlign w:val="center"/>
                </w:tcPr>
                <w:p w14:paraId="4B2FE1AE">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25%</w:t>
                  </w:r>
                </w:p>
              </w:tc>
              <w:tc>
                <w:tcPr>
                  <w:tcW w:w="853" w:type="dxa"/>
                  <w:tcBorders>
                    <w:tl2br w:val="nil"/>
                    <w:tr2bl w:val="nil"/>
                  </w:tcBorders>
                  <w:shd w:val="clear" w:color="auto" w:fill="auto"/>
                  <w:tcMar>
                    <w:top w:w="120" w:type="dxa"/>
                    <w:left w:w="120" w:type="dxa"/>
                    <w:bottom w:w="120" w:type="dxa"/>
                    <w:right w:w="120" w:type="dxa"/>
                  </w:tcMar>
                  <w:vAlign w:val="center"/>
                </w:tcPr>
                <w:p w14:paraId="4C63FB74">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62%</w:t>
                  </w:r>
                </w:p>
              </w:tc>
              <w:tc>
                <w:tcPr>
                  <w:tcW w:w="853" w:type="dxa"/>
                  <w:tcBorders>
                    <w:tl2br w:val="nil"/>
                    <w:tr2bl w:val="nil"/>
                  </w:tcBorders>
                  <w:shd w:val="clear" w:color="auto" w:fill="auto"/>
                  <w:tcMar>
                    <w:top w:w="120" w:type="dxa"/>
                    <w:left w:w="120" w:type="dxa"/>
                    <w:bottom w:w="120" w:type="dxa"/>
                    <w:right w:w="120" w:type="dxa"/>
                  </w:tcMar>
                  <w:vAlign w:val="center"/>
                </w:tcPr>
                <w:p w14:paraId="3C7A6ECF">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8%</w:t>
                  </w:r>
                </w:p>
              </w:tc>
              <w:tc>
                <w:tcPr>
                  <w:tcW w:w="853" w:type="dxa"/>
                  <w:tcBorders>
                    <w:tl2br w:val="nil"/>
                    <w:tr2bl w:val="nil"/>
                  </w:tcBorders>
                  <w:shd w:val="clear" w:color="auto" w:fill="auto"/>
                  <w:tcMar>
                    <w:top w:w="120" w:type="dxa"/>
                    <w:left w:w="120" w:type="dxa"/>
                    <w:bottom w:w="120" w:type="dxa"/>
                    <w:right w:w="120" w:type="dxa"/>
                  </w:tcMar>
                  <w:vAlign w:val="center"/>
                </w:tcPr>
                <w:p w14:paraId="10839862">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12%</w:t>
                  </w:r>
                </w:p>
              </w:tc>
              <w:tc>
                <w:tcPr>
                  <w:tcW w:w="853" w:type="dxa"/>
                  <w:tcBorders>
                    <w:tl2br w:val="nil"/>
                    <w:tr2bl w:val="nil"/>
                  </w:tcBorders>
                  <w:shd w:val="clear" w:color="auto" w:fill="auto"/>
                  <w:tcMar>
                    <w:top w:w="120" w:type="dxa"/>
                    <w:left w:w="120" w:type="dxa"/>
                    <w:bottom w:w="120" w:type="dxa"/>
                    <w:right w:w="120" w:type="dxa"/>
                  </w:tcMar>
                  <w:vAlign w:val="center"/>
                </w:tcPr>
                <w:p w14:paraId="0A6F8701">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72%</w:t>
                  </w:r>
                </w:p>
              </w:tc>
              <w:tc>
                <w:tcPr>
                  <w:tcW w:w="853" w:type="dxa"/>
                  <w:tcBorders>
                    <w:tl2br w:val="nil"/>
                    <w:tr2bl w:val="nil"/>
                  </w:tcBorders>
                  <w:shd w:val="clear" w:color="auto" w:fill="auto"/>
                  <w:tcMar>
                    <w:top w:w="120" w:type="dxa"/>
                    <w:left w:w="120" w:type="dxa"/>
                    <w:bottom w:w="120" w:type="dxa"/>
                    <w:right w:w="120" w:type="dxa"/>
                  </w:tcMar>
                  <w:vAlign w:val="center"/>
                </w:tcPr>
                <w:p w14:paraId="311E71AA">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12%</w:t>
                  </w:r>
                </w:p>
              </w:tc>
              <w:tc>
                <w:tcPr>
                  <w:tcW w:w="896" w:type="pct"/>
                  <w:tcBorders>
                    <w:tl2br w:val="nil"/>
                    <w:tr2bl w:val="nil"/>
                  </w:tcBorders>
                  <w:shd w:val="clear" w:color="auto" w:fill="auto"/>
                  <w:tcMar>
                    <w:top w:w="120" w:type="dxa"/>
                    <w:left w:w="120" w:type="dxa"/>
                    <w:bottom w:w="120" w:type="dxa"/>
                    <w:right w:w="120" w:type="dxa"/>
                  </w:tcMar>
                  <w:vAlign w:val="center"/>
                </w:tcPr>
                <w:p w14:paraId="120A316B">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强化化学絮凝、除磷，去除胶体态</w:t>
                  </w:r>
                  <w:r>
                    <w:rPr>
                      <w:rFonts w:hint="eastAsia" w:asciiTheme="minorAscii" w:hAnsiTheme="minorAscii" w:eastAsiaTheme="minorEastAsia" w:cstheme="minorEastAsia"/>
                      <w:kern w:val="0"/>
                      <w:sz w:val="21"/>
                      <w:szCs w:val="21"/>
                      <w:lang w:val="en-US" w:eastAsia="zh-CN" w:bidi="ar"/>
                    </w:rPr>
                    <w:t>CODcr</w:t>
                  </w:r>
                  <w:r>
                    <w:rPr>
                      <w:rFonts w:hint="default" w:asciiTheme="minorAscii" w:hAnsiTheme="minorAscii" w:eastAsiaTheme="minorEastAsia" w:cstheme="minorEastAsia"/>
                      <w:kern w:val="0"/>
                      <w:sz w:val="21"/>
                      <w:szCs w:val="21"/>
                      <w:lang w:val="en-US" w:eastAsia="zh-CN" w:bidi="ar"/>
                    </w:rPr>
                    <w:t>、SS</w:t>
                  </w:r>
                </w:p>
              </w:tc>
            </w:tr>
            <w:tr w14:paraId="4422376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504" w:type="pct"/>
                  <w:tcBorders>
                    <w:tl2br w:val="nil"/>
                    <w:tr2bl w:val="nil"/>
                  </w:tcBorders>
                  <w:shd w:val="clear" w:color="auto" w:fill="auto"/>
                  <w:tcMar>
                    <w:top w:w="120" w:type="dxa"/>
                    <w:left w:w="120" w:type="dxa"/>
                    <w:bottom w:w="120" w:type="dxa"/>
                    <w:right w:w="120" w:type="dxa"/>
                  </w:tcMar>
                  <w:vAlign w:val="center"/>
                </w:tcPr>
                <w:p w14:paraId="4AA5628A">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活性炭过滤罐</w:t>
                  </w:r>
                </w:p>
              </w:tc>
              <w:tc>
                <w:tcPr>
                  <w:tcW w:w="851" w:type="dxa"/>
                  <w:tcBorders>
                    <w:tl2br w:val="nil"/>
                    <w:tr2bl w:val="nil"/>
                  </w:tcBorders>
                  <w:shd w:val="clear" w:color="auto" w:fill="auto"/>
                  <w:tcMar>
                    <w:top w:w="120" w:type="dxa"/>
                    <w:left w:w="120" w:type="dxa"/>
                    <w:bottom w:w="120" w:type="dxa"/>
                    <w:right w:w="120" w:type="dxa"/>
                  </w:tcMar>
                  <w:vAlign w:val="center"/>
                </w:tcPr>
                <w:p w14:paraId="298BF38B">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35%</w:t>
                  </w:r>
                </w:p>
              </w:tc>
              <w:tc>
                <w:tcPr>
                  <w:tcW w:w="853" w:type="dxa"/>
                  <w:tcBorders>
                    <w:tl2br w:val="nil"/>
                    <w:tr2bl w:val="nil"/>
                  </w:tcBorders>
                  <w:shd w:val="clear" w:color="auto" w:fill="auto"/>
                  <w:tcMar>
                    <w:top w:w="120" w:type="dxa"/>
                    <w:left w:w="120" w:type="dxa"/>
                    <w:bottom w:w="120" w:type="dxa"/>
                    <w:right w:w="120" w:type="dxa"/>
                  </w:tcMar>
                  <w:vAlign w:val="center"/>
                </w:tcPr>
                <w:p w14:paraId="0DF16203">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27%</w:t>
                  </w:r>
                </w:p>
              </w:tc>
              <w:tc>
                <w:tcPr>
                  <w:tcW w:w="853" w:type="dxa"/>
                  <w:tcBorders>
                    <w:tl2br w:val="nil"/>
                    <w:tr2bl w:val="nil"/>
                  </w:tcBorders>
                  <w:shd w:val="clear" w:color="auto" w:fill="auto"/>
                  <w:tcMar>
                    <w:top w:w="120" w:type="dxa"/>
                    <w:left w:w="120" w:type="dxa"/>
                    <w:bottom w:w="120" w:type="dxa"/>
                    <w:right w:w="120" w:type="dxa"/>
                  </w:tcMar>
                  <w:vAlign w:val="center"/>
                </w:tcPr>
                <w:p w14:paraId="225E2DFA">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52%</w:t>
                  </w:r>
                </w:p>
              </w:tc>
              <w:tc>
                <w:tcPr>
                  <w:tcW w:w="853" w:type="dxa"/>
                  <w:tcBorders>
                    <w:tl2br w:val="nil"/>
                    <w:tr2bl w:val="nil"/>
                  </w:tcBorders>
                  <w:shd w:val="clear" w:color="auto" w:fill="auto"/>
                  <w:tcMar>
                    <w:top w:w="120" w:type="dxa"/>
                    <w:left w:w="120" w:type="dxa"/>
                    <w:bottom w:w="120" w:type="dxa"/>
                    <w:right w:w="120" w:type="dxa"/>
                  </w:tcMar>
                  <w:vAlign w:val="center"/>
                </w:tcPr>
                <w:p w14:paraId="052D87FE">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8%</w:t>
                  </w:r>
                </w:p>
              </w:tc>
              <w:tc>
                <w:tcPr>
                  <w:tcW w:w="853" w:type="dxa"/>
                  <w:tcBorders>
                    <w:tl2br w:val="nil"/>
                    <w:tr2bl w:val="nil"/>
                  </w:tcBorders>
                  <w:shd w:val="clear" w:color="auto" w:fill="auto"/>
                  <w:tcMar>
                    <w:top w:w="120" w:type="dxa"/>
                    <w:left w:w="120" w:type="dxa"/>
                    <w:bottom w:w="120" w:type="dxa"/>
                    <w:right w:w="120" w:type="dxa"/>
                  </w:tcMar>
                  <w:vAlign w:val="center"/>
                </w:tcPr>
                <w:p w14:paraId="74EE2B62">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8%</w:t>
                  </w:r>
                </w:p>
              </w:tc>
              <w:tc>
                <w:tcPr>
                  <w:tcW w:w="853" w:type="dxa"/>
                  <w:tcBorders>
                    <w:tl2br w:val="nil"/>
                    <w:tr2bl w:val="nil"/>
                  </w:tcBorders>
                  <w:shd w:val="clear" w:color="auto" w:fill="auto"/>
                  <w:tcMar>
                    <w:top w:w="120" w:type="dxa"/>
                    <w:left w:w="120" w:type="dxa"/>
                    <w:bottom w:w="120" w:type="dxa"/>
                    <w:right w:w="120" w:type="dxa"/>
                  </w:tcMar>
                  <w:vAlign w:val="center"/>
                </w:tcPr>
                <w:p w14:paraId="2A3DC50B">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15%</w:t>
                  </w:r>
                </w:p>
              </w:tc>
              <w:tc>
                <w:tcPr>
                  <w:tcW w:w="853" w:type="dxa"/>
                  <w:tcBorders>
                    <w:tl2br w:val="nil"/>
                    <w:tr2bl w:val="nil"/>
                  </w:tcBorders>
                  <w:shd w:val="clear" w:color="auto" w:fill="auto"/>
                  <w:tcMar>
                    <w:top w:w="120" w:type="dxa"/>
                    <w:left w:w="120" w:type="dxa"/>
                    <w:bottom w:w="120" w:type="dxa"/>
                    <w:right w:w="120" w:type="dxa"/>
                  </w:tcMar>
                  <w:vAlign w:val="center"/>
                </w:tcPr>
                <w:p w14:paraId="0CDA197D">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8%</w:t>
                  </w:r>
                </w:p>
              </w:tc>
              <w:tc>
                <w:tcPr>
                  <w:tcW w:w="896" w:type="pct"/>
                  <w:tcBorders>
                    <w:tl2br w:val="nil"/>
                    <w:tr2bl w:val="nil"/>
                  </w:tcBorders>
                  <w:shd w:val="clear" w:color="auto" w:fill="auto"/>
                  <w:tcMar>
                    <w:top w:w="120" w:type="dxa"/>
                    <w:left w:w="120" w:type="dxa"/>
                    <w:bottom w:w="120" w:type="dxa"/>
                    <w:right w:w="120" w:type="dxa"/>
                  </w:tcMar>
                  <w:vAlign w:val="center"/>
                </w:tcPr>
                <w:p w14:paraId="3B842AF4">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深度吸附生化出水残留难降解</w:t>
                  </w:r>
                  <w:r>
                    <w:rPr>
                      <w:rFonts w:hint="eastAsia" w:asciiTheme="minorAscii" w:hAnsiTheme="minorAscii" w:eastAsiaTheme="minorEastAsia" w:cstheme="minorEastAsia"/>
                      <w:kern w:val="0"/>
                      <w:sz w:val="21"/>
                      <w:szCs w:val="21"/>
                      <w:lang w:val="en-US" w:eastAsia="zh-CN" w:bidi="ar"/>
                    </w:rPr>
                    <w:t>CODcr</w:t>
                  </w:r>
                  <w:r>
                    <w:rPr>
                      <w:rFonts w:hint="default" w:asciiTheme="minorAscii" w:hAnsiTheme="minorAscii" w:eastAsiaTheme="minorEastAsia" w:cstheme="minorEastAsia"/>
                      <w:kern w:val="0"/>
                      <w:sz w:val="21"/>
                      <w:szCs w:val="21"/>
                      <w:lang w:val="en-US" w:eastAsia="zh-CN" w:bidi="ar"/>
                    </w:rPr>
                    <w:t>、色度、残余SS；活性炭定期更换</w:t>
                  </w:r>
                </w:p>
              </w:tc>
            </w:tr>
            <w:tr w14:paraId="3B69680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504" w:type="pct"/>
                  <w:tcBorders>
                    <w:tl2br w:val="nil"/>
                    <w:tr2bl w:val="nil"/>
                  </w:tcBorders>
                  <w:shd w:val="clear" w:color="auto" w:fill="auto"/>
                  <w:tcMar>
                    <w:top w:w="120" w:type="dxa"/>
                    <w:left w:w="120" w:type="dxa"/>
                    <w:bottom w:w="120" w:type="dxa"/>
                    <w:right w:w="120" w:type="dxa"/>
                  </w:tcMar>
                  <w:vAlign w:val="center"/>
                </w:tcPr>
                <w:p w14:paraId="665353A0">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消毒</w:t>
                  </w:r>
                </w:p>
              </w:tc>
              <w:tc>
                <w:tcPr>
                  <w:tcW w:w="851" w:type="dxa"/>
                  <w:tcBorders>
                    <w:tl2br w:val="nil"/>
                    <w:tr2bl w:val="nil"/>
                  </w:tcBorders>
                  <w:shd w:val="clear" w:color="auto" w:fill="auto"/>
                  <w:tcMar>
                    <w:top w:w="120" w:type="dxa"/>
                    <w:left w:w="120" w:type="dxa"/>
                    <w:bottom w:w="120" w:type="dxa"/>
                    <w:right w:w="120" w:type="dxa"/>
                  </w:tcMar>
                  <w:vAlign w:val="center"/>
                </w:tcPr>
                <w:p w14:paraId="729B2356">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0%</w:t>
                  </w:r>
                </w:p>
              </w:tc>
              <w:tc>
                <w:tcPr>
                  <w:tcW w:w="853" w:type="dxa"/>
                  <w:tcBorders>
                    <w:tl2br w:val="nil"/>
                    <w:tr2bl w:val="nil"/>
                  </w:tcBorders>
                  <w:shd w:val="clear" w:color="auto" w:fill="auto"/>
                  <w:tcMar>
                    <w:top w:w="120" w:type="dxa"/>
                    <w:left w:w="120" w:type="dxa"/>
                    <w:bottom w:w="120" w:type="dxa"/>
                    <w:right w:w="120" w:type="dxa"/>
                  </w:tcMar>
                  <w:vAlign w:val="center"/>
                </w:tcPr>
                <w:p w14:paraId="64C7AEA7">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0%</w:t>
                  </w:r>
                </w:p>
              </w:tc>
              <w:tc>
                <w:tcPr>
                  <w:tcW w:w="853" w:type="dxa"/>
                  <w:tcBorders>
                    <w:tl2br w:val="nil"/>
                    <w:tr2bl w:val="nil"/>
                  </w:tcBorders>
                  <w:shd w:val="clear" w:color="auto" w:fill="auto"/>
                  <w:tcMar>
                    <w:top w:w="120" w:type="dxa"/>
                    <w:left w:w="120" w:type="dxa"/>
                    <w:bottom w:w="120" w:type="dxa"/>
                    <w:right w:w="120" w:type="dxa"/>
                  </w:tcMar>
                  <w:vAlign w:val="center"/>
                </w:tcPr>
                <w:p w14:paraId="0D3193E5">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0%</w:t>
                  </w:r>
                </w:p>
              </w:tc>
              <w:tc>
                <w:tcPr>
                  <w:tcW w:w="853" w:type="dxa"/>
                  <w:tcBorders>
                    <w:tl2br w:val="nil"/>
                    <w:tr2bl w:val="nil"/>
                  </w:tcBorders>
                  <w:shd w:val="clear" w:color="auto" w:fill="auto"/>
                  <w:tcMar>
                    <w:top w:w="120" w:type="dxa"/>
                    <w:left w:w="120" w:type="dxa"/>
                    <w:bottom w:w="120" w:type="dxa"/>
                    <w:right w:w="120" w:type="dxa"/>
                  </w:tcMar>
                  <w:vAlign w:val="center"/>
                </w:tcPr>
                <w:p w14:paraId="7143D6D6">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0%</w:t>
                  </w:r>
                </w:p>
              </w:tc>
              <w:tc>
                <w:tcPr>
                  <w:tcW w:w="853" w:type="dxa"/>
                  <w:tcBorders>
                    <w:tl2br w:val="nil"/>
                    <w:tr2bl w:val="nil"/>
                  </w:tcBorders>
                  <w:shd w:val="clear" w:color="auto" w:fill="auto"/>
                  <w:tcMar>
                    <w:top w:w="120" w:type="dxa"/>
                    <w:left w:w="120" w:type="dxa"/>
                    <w:bottom w:w="120" w:type="dxa"/>
                    <w:right w:w="120" w:type="dxa"/>
                  </w:tcMar>
                  <w:vAlign w:val="center"/>
                </w:tcPr>
                <w:p w14:paraId="0FF00B82">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0%</w:t>
                  </w:r>
                </w:p>
              </w:tc>
              <w:tc>
                <w:tcPr>
                  <w:tcW w:w="853" w:type="dxa"/>
                  <w:tcBorders>
                    <w:tl2br w:val="nil"/>
                    <w:tr2bl w:val="nil"/>
                  </w:tcBorders>
                  <w:shd w:val="clear" w:color="auto" w:fill="auto"/>
                  <w:tcMar>
                    <w:top w:w="120" w:type="dxa"/>
                    <w:left w:w="120" w:type="dxa"/>
                    <w:bottom w:w="120" w:type="dxa"/>
                    <w:right w:w="120" w:type="dxa"/>
                  </w:tcMar>
                  <w:vAlign w:val="center"/>
                </w:tcPr>
                <w:p w14:paraId="2C2F3F64">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0%</w:t>
                  </w:r>
                </w:p>
              </w:tc>
              <w:tc>
                <w:tcPr>
                  <w:tcW w:w="853" w:type="dxa"/>
                  <w:tcBorders>
                    <w:tl2br w:val="nil"/>
                    <w:tr2bl w:val="nil"/>
                  </w:tcBorders>
                  <w:shd w:val="clear" w:color="auto" w:fill="auto"/>
                  <w:tcMar>
                    <w:top w:w="120" w:type="dxa"/>
                    <w:left w:w="120" w:type="dxa"/>
                    <w:bottom w:w="120" w:type="dxa"/>
                    <w:right w:w="120" w:type="dxa"/>
                  </w:tcMar>
                  <w:vAlign w:val="center"/>
                </w:tcPr>
                <w:p w14:paraId="665DAF6F">
                  <w:pPr>
                    <w:keepNext w:val="0"/>
                    <w:keepLines w:val="0"/>
                    <w:widowControl/>
                    <w:suppressLineNumbers w:val="0"/>
                    <w:jc w:val="center"/>
                    <w:rPr>
                      <w:rFonts w:hint="default" w:asciiTheme="minorAscii" w:hAnsiTheme="minorAscii" w:eastAsiaTheme="minorEastAsia" w:cstheme="minorEastAsia"/>
                      <w:kern w:val="0"/>
                      <w:sz w:val="21"/>
                      <w:szCs w:val="21"/>
                      <w:lang w:val="en-US" w:eastAsia="zh-CN" w:bidi="ar"/>
                    </w:rPr>
                  </w:pPr>
                  <w:r>
                    <w:rPr>
                      <w:rFonts w:hint="default" w:asciiTheme="minorAscii" w:hAnsiTheme="minorAscii" w:eastAsiaTheme="minorEastAsia" w:cstheme="minorEastAsia"/>
                      <w:kern w:val="0"/>
                      <w:sz w:val="21"/>
                      <w:szCs w:val="21"/>
                      <w:lang w:val="en-US" w:eastAsia="zh-CN" w:bidi="ar"/>
                    </w:rPr>
                    <w:t>0%</w:t>
                  </w:r>
                </w:p>
              </w:tc>
              <w:tc>
                <w:tcPr>
                  <w:tcW w:w="896" w:type="pct"/>
                  <w:tcBorders>
                    <w:tl2br w:val="nil"/>
                    <w:tr2bl w:val="nil"/>
                  </w:tcBorders>
                  <w:shd w:val="clear" w:color="auto" w:fill="auto"/>
                  <w:tcMar>
                    <w:top w:w="120" w:type="dxa"/>
                    <w:left w:w="120" w:type="dxa"/>
                    <w:bottom w:w="120" w:type="dxa"/>
                    <w:right w:w="120" w:type="dxa"/>
                  </w:tcMar>
                  <w:vAlign w:val="center"/>
                </w:tcPr>
                <w:p w14:paraId="03E5B523">
                  <w:pPr>
                    <w:keepNext w:val="0"/>
                    <w:keepLines w:val="0"/>
                    <w:widowControl/>
                    <w:suppressLineNumbers w:val="0"/>
                    <w:jc w:val="center"/>
                    <w:rPr>
                      <w:rFonts w:hint="default" w:asciiTheme="minorAscii" w:hAnsiTheme="minorAscii" w:eastAsiaTheme="minorEastAsia" w:cstheme="minorEastAsia"/>
                      <w:sz w:val="21"/>
                      <w:szCs w:val="21"/>
                    </w:rPr>
                  </w:pPr>
                  <w:r>
                    <w:rPr>
                      <w:rFonts w:hint="default" w:asciiTheme="minorAscii" w:hAnsiTheme="minorAscii" w:eastAsiaTheme="minorEastAsia" w:cstheme="minorEastAsia"/>
                      <w:kern w:val="0"/>
                      <w:sz w:val="21"/>
                      <w:szCs w:val="21"/>
                      <w:lang w:val="en-US" w:eastAsia="zh-CN" w:bidi="ar"/>
                    </w:rPr>
                    <w:t>仅杀菌，理化指标无去除</w:t>
                  </w:r>
                </w:p>
              </w:tc>
            </w:tr>
            <w:tr w14:paraId="1E9A855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504" w:type="pct"/>
                  <w:tcBorders>
                    <w:tl2br w:val="nil"/>
                    <w:tr2bl w:val="nil"/>
                  </w:tcBorders>
                  <w:shd w:val="clear" w:color="auto" w:fill="auto"/>
                  <w:tcMar>
                    <w:top w:w="120" w:type="dxa"/>
                    <w:left w:w="120" w:type="dxa"/>
                    <w:bottom w:w="120" w:type="dxa"/>
                    <w:right w:w="120" w:type="dxa"/>
                  </w:tcMar>
                  <w:vAlign w:val="center"/>
                </w:tcPr>
                <w:p w14:paraId="522CE1BD">
                  <w:pPr>
                    <w:keepNext w:val="0"/>
                    <w:keepLines w:val="0"/>
                    <w:widowControl/>
                    <w:suppressLineNumbers w:val="0"/>
                    <w:jc w:val="center"/>
                    <w:rPr>
                      <w:rFonts w:hint="default" w:asciiTheme="minorAscii" w:hAnsiTheme="minorAscii" w:eastAsiaTheme="minorEastAsia" w:cstheme="minorEastAsia"/>
                      <w:b w:val="0"/>
                      <w:bCs/>
                      <w:sz w:val="21"/>
                      <w:szCs w:val="21"/>
                    </w:rPr>
                  </w:pPr>
                  <w:r>
                    <w:rPr>
                      <w:rStyle w:val="25"/>
                      <w:rFonts w:hint="default" w:asciiTheme="minorAscii" w:hAnsiTheme="minorAscii" w:eastAsiaTheme="minorEastAsia" w:cstheme="minorEastAsia"/>
                      <w:b w:val="0"/>
                      <w:bCs/>
                      <w:kern w:val="0"/>
                      <w:sz w:val="21"/>
                      <w:szCs w:val="21"/>
                      <w:lang w:val="en-US" w:eastAsia="zh-CN" w:bidi="ar"/>
                    </w:rPr>
                    <w:t>串联综合总去除率</w:t>
                  </w:r>
                </w:p>
              </w:tc>
              <w:tc>
                <w:tcPr>
                  <w:tcW w:w="851" w:type="dxa"/>
                  <w:tcBorders>
                    <w:tl2br w:val="nil"/>
                    <w:tr2bl w:val="nil"/>
                  </w:tcBorders>
                  <w:shd w:val="clear" w:color="auto" w:fill="auto"/>
                  <w:tcMar>
                    <w:top w:w="120" w:type="dxa"/>
                    <w:left w:w="120" w:type="dxa"/>
                    <w:bottom w:w="120" w:type="dxa"/>
                    <w:right w:w="120" w:type="dxa"/>
                  </w:tcMar>
                  <w:vAlign w:val="center"/>
                </w:tcPr>
                <w:p w14:paraId="1F5EA276">
                  <w:pPr>
                    <w:keepNext w:val="0"/>
                    <w:keepLines w:val="0"/>
                    <w:widowControl/>
                    <w:suppressLineNumbers w:val="0"/>
                    <w:jc w:val="center"/>
                    <w:rPr>
                      <w:rFonts w:hint="default" w:asciiTheme="minorAscii" w:hAnsiTheme="minorAscii" w:eastAsiaTheme="minorEastAsia" w:cstheme="minorEastAsia"/>
                      <w:b w:val="0"/>
                      <w:bCs/>
                      <w:kern w:val="0"/>
                      <w:sz w:val="21"/>
                      <w:szCs w:val="21"/>
                      <w:lang w:val="en-US" w:eastAsia="zh-CN" w:bidi="ar"/>
                    </w:rPr>
                  </w:pPr>
                  <w:r>
                    <w:rPr>
                      <w:rFonts w:hint="default" w:asciiTheme="minorAscii" w:hAnsiTheme="minorAscii" w:eastAsiaTheme="minorEastAsia" w:cstheme="minorEastAsia"/>
                      <w:b w:val="0"/>
                      <w:bCs/>
                      <w:kern w:val="0"/>
                      <w:sz w:val="21"/>
                      <w:szCs w:val="21"/>
                      <w:lang w:val="en-US" w:eastAsia="zh-CN" w:bidi="ar"/>
                    </w:rPr>
                    <w:t>99.49%</w:t>
                  </w:r>
                </w:p>
              </w:tc>
              <w:tc>
                <w:tcPr>
                  <w:tcW w:w="853" w:type="dxa"/>
                  <w:tcBorders>
                    <w:tl2br w:val="nil"/>
                    <w:tr2bl w:val="nil"/>
                  </w:tcBorders>
                  <w:shd w:val="clear" w:color="auto" w:fill="auto"/>
                  <w:tcMar>
                    <w:top w:w="120" w:type="dxa"/>
                    <w:left w:w="120" w:type="dxa"/>
                    <w:bottom w:w="120" w:type="dxa"/>
                    <w:right w:w="120" w:type="dxa"/>
                  </w:tcMar>
                  <w:vAlign w:val="center"/>
                </w:tcPr>
                <w:p w14:paraId="692FF47D">
                  <w:pPr>
                    <w:keepNext w:val="0"/>
                    <w:keepLines w:val="0"/>
                    <w:widowControl/>
                    <w:suppressLineNumbers w:val="0"/>
                    <w:jc w:val="center"/>
                    <w:rPr>
                      <w:rFonts w:hint="default" w:asciiTheme="minorAscii" w:hAnsiTheme="minorAscii" w:eastAsiaTheme="minorEastAsia" w:cstheme="minorEastAsia"/>
                      <w:b w:val="0"/>
                      <w:bCs/>
                      <w:kern w:val="0"/>
                      <w:sz w:val="21"/>
                      <w:szCs w:val="21"/>
                      <w:lang w:val="en-US" w:eastAsia="zh-CN" w:bidi="ar"/>
                    </w:rPr>
                  </w:pPr>
                  <w:r>
                    <w:rPr>
                      <w:rFonts w:hint="default" w:asciiTheme="minorAscii" w:hAnsiTheme="minorAscii" w:eastAsiaTheme="minorEastAsia" w:cstheme="minorEastAsia"/>
                      <w:b w:val="0"/>
                      <w:bCs/>
                      <w:kern w:val="0"/>
                      <w:sz w:val="21"/>
                      <w:szCs w:val="21"/>
                      <w:lang w:val="en-US" w:eastAsia="zh-CN" w:bidi="ar"/>
                    </w:rPr>
                    <w:t>99.8</w:t>
                  </w:r>
                  <w:r>
                    <w:rPr>
                      <w:rFonts w:hint="eastAsia" w:asciiTheme="minorAscii" w:hAnsiTheme="minorAscii" w:eastAsiaTheme="minorEastAsia" w:cstheme="minorEastAsia"/>
                      <w:b w:val="0"/>
                      <w:bCs/>
                      <w:kern w:val="0"/>
                      <w:sz w:val="21"/>
                      <w:szCs w:val="21"/>
                      <w:lang w:val="en-US" w:eastAsia="zh-CN" w:bidi="ar"/>
                    </w:rPr>
                    <w:t>1</w:t>
                  </w:r>
                  <w:r>
                    <w:rPr>
                      <w:rFonts w:hint="default" w:asciiTheme="minorAscii" w:hAnsiTheme="minorAscii" w:eastAsiaTheme="minorEastAsia" w:cstheme="minorEastAsia"/>
                      <w:b w:val="0"/>
                      <w:bCs/>
                      <w:kern w:val="0"/>
                      <w:sz w:val="21"/>
                      <w:szCs w:val="21"/>
                      <w:lang w:val="en-US" w:eastAsia="zh-CN" w:bidi="ar"/>
                    </w:rPr>
                    <w:t>%</w:t>
                  </w:r>
                </w:p>
              </w:tc>
              <w:tc>
                <w:tcPr>
                  <w:tcW w:w="853" w:type="dxa"/>
                  <w:tcBorders>
                    <w:tl2br w:val="nil"/>
                    <w:tr2bl w:val="nil"/>
                  </w:tcBorders>
                  <w:shd w:val="clear" w:color="auto" w:fill="auto"/>
                  <w:tcMar>
                    <w:top w:w="120" w:type="dxa"/>
                    <w:left w:w="120" w:type="dxa"/>
                    <w:bottom w:w="120" w:type="dxa"/>
                    <w:right w:w="120" w:type="dxa"/>
                  </w:tcMar>
                  <w:vAlign w:val="center"/>
                </w:tcPr>
                <w:p w14:paraId="74FEB881">
                  <w:pPr>
                    <w:keepNext w:val="0"/>
                    <w:keepLines w:val="0"/>
                    <w:widowControl/>
                    <w:suppressLineNumbers w:val="0"/>
                    <w:jc w:val="center"/>
                    <w:rPr>
                      <w:rFonts w:hint="default" w:asciiTheme="minorAscii" w:hAnsiTheme="minorAscii" w:eastAsiaTheme="minorEastAsia" w:cstheme="minorEastAsia"/>
                      <w:b w:val="0"/>
                      <w:bCs/>
                      <w:kern w:val="0"/>
                      <w:sz w:val="21"/>
                      <w:szCs w:val="21"/>
                      <w:lang w:val="en-US" w:eastAsia="zh-CN" w:bidi="ar"/>
                    </w:rPr>
                  </w:pPr>
                  <w:r>
                    <w:rPr>
                      <w:rFonts w:hint="default" w:asciiTheme="minorAscii" w:hAnsiTheme="minorAscii" w:eastAsiaTheme="minorEastAsia" w:cstheme="minorEastAsia"/>
                      <w:b w:val="0"/>
                      <w:bCs/>
                      <w:kern w:val="0"/>
                      <w:sz w:val="21"/>
                      <w:szCs w:val="21"/>
                      <w:lang w:val="en-US" w:eastAsia="zh-CN" w:bidi="ar"/>
                    </w:rPr>
                    <w:t>99.64%</w:t>
                  </w:r>
                </w:p>
              </w:tc>
              <w:tc>
                <w:tcPr>
                  <w:tcW w:w="853" w:type="dxa"/>
                  <w:tcBorders>
                    <w:tl2br w:val="nil"/>
                    <w:tr2bl w:val="nil"/>
                  </w:tcBorders>
                  <w:shd w:val="clear" w:color="auto" w:fill="auto"/>
                  <w:tcMar>
                    <w:top w:w="120" w:type="dxa"/>
                    <w:left w:w="120" w:type="dxa"/>
                    <w:bottom w:w="120" w:type="dxa"/>
                    <w:right w:w="120" w:type="dxa"/>
                  </w:tcMar>
                  <w:vAlign w:val="center"/>
                </w:tcPr>
                <w:p w14:paraId="3F13FD8A">
                  <w:pPr>
                    <w:keepNext w:val="0"/>
                    <w:keepLines w:val="0"/>
                    <w:widowControl/>
                    <w:suppressLineNumbers w:val="0"/>
                    <w:jc w:val="center"/>
                    <w:rPr>
                      <w:rFonts w:hint="default" w:asciiTheme="minorAscii" w:hAnsiTheme="minorAscii" w:eastAsiaTheme="minorEastAsia" w:cstheme="minorEastAsia"/>
                      <w:b w:val="0"/>
                      <w:bCs/>
                      <w:kern w:val="0"/>
                      <w:sz w:val="21"/>
                      <w:szCs w:val="21"/>
                      <w:lang w:val="en-US" w:eastAsia="zh-CN" w:bidi="ar"/>
                    </w:rPr>
                  </w:pPr>
                  <w:r>
                    <w:rPr>
                      <w:rFonts w:hint="default" w:asciiTheme="minorAscii" w:hAnsiTheme="minorAscii" w:eastAsiaTheme="minorEastAsia" w:cstheme="minorEastAsia"/>
                      <w:b w:val="0"/>
                      <w:bCs/>
                      <w:kern w:val="0"/>
                      <w:sz w:val="21"/>
                      <w:szCs w:val="21"/>
                      <w:lang w:val="en-US" w:eastAsia="zh-CN" w:bidi="ar"/>
                    </w:rPr>
                    <w:t>89.81%</w:t>
                  </w:r>
                </w:p>
              </w:tc>
              <w:tc>
                <w:tcPr>
                  <w:tcW w:w="853" w:type="dxa"/>
                  <w:tcBorders>
                    <w:tl2br w:val="nil"/>
                    <w:tr2bl w:val="nil"/>
                  </w:tcBorders>
                  <w:shd w:val="clear" w:color="auto" w:fill="auto"/>
                  <w:tcMar>
                    <w:top w:w="120" w:type="dxa"/>
                    <w:left w:w="120" w:type="dxa"/>
                    <w:bottom w:w="120" w:type="dxa"/>
                    <w:right w:w="120" w:type="dxa"/>
                  </w:tcMar>
                  <w:vAlign w:val="center"/>
                </w:tcPr>
                <w:p w14:paraId="16EFE8FE">
                  <w:pPr>
                    <w:keepNext w:val="0"/>
                    <w:keepLines w:val="0"/>
                    <w:widowControl/>
                    <w:suppressLineNumbers w:val="0"/>
                    <w:jc w:val="center"/>
                    <w:rPr>
                      <w:rFonts w:hint="default" w:asciiTheme="minorAscii" w:hAnsiTheme="minorAscii" w:eastAsiaTheme="minorEastAsia" w:cstheme="minorEastAsia"/>
                      <w:b w:val="0"/>
                      <w:bCs/>
                      <w:kern w:val="0"/>
                      <w:sz w:val="21"/>
                      <w:szCs w:val="21"/>
                      <w:lang w:val="en-US" w:eastAsia="zh-CN" w:bidi="ar"/>
                    </w:rPr>
                  </w:pPr>
                  <w:r>
                    <w:rPr>
                      <w:rFonts w:hint="default" w:asciiTheme="minorAscii" w:hAnsiTheme="minorAscii" w:eastAsiaTheme="minorEastAsia" w:cstheme="minorEastAsia"/>
                      <w:b w:val="0"/>
                      <w:bCs/>
                      <w:kern w:val="0"/>
                      <w:sz w:val="21"/>
                      <w:szCs w:val="21"/>
                      <w:lang w:val="en-US" w:eastAsia="zh-CN" w:bidi="ar"/>
                    </w:rPr>
                    <w:t>78.81%</w:t>
                  </w:r>
                </w:p>
              </w:tc>
              <w:tc>
                <w:tcPr>
                  <w:tcW w:w="853" w:type="dxa"/>
                  <w:tcBorders>
                    <w:tl2br w:val="nil"/>
                    <w:tr2bl w:val="nil"/>
                  </w:tcBorders>
                  <w:shd w:val="clear" w:color="auto" w:fill="auto"/>
                  <w:tcMar>
                    <w:top w:w="120" w:type="dxa"/>
                    <w:left w:w="120" w:type="dxa"/>
                    <w:bottom w:w="120" w:type="dxa"/>
                    <w:right w:w="120" w:type="dxa"/>
                  </w:tcMar>
                  <w:vAlign w:val="center"/>
                </w:tcPr>
                <w:p w14:paraId="132D28A8">
                  <w:pPr>
                    <w:keepNext w:val="0"/>
                    <w:keepLines w:val="0"/>
                    <w:widowControl/>
                    <w:suppressLineNumbers w:val="0"/>
                    <w:jc w:val="center"/>
                    <w:rPr>
                      <w:rFonts w:hint="default" w:asciiTheme="minorAscii" w:hAnsiTheme="minorAscii" w:eastAsiaTheme="minorEastAsia" w:cstheme="minorEastAsia"/>
                      <w:b w:val="0"/>
                      <w:bCs/>
                      <w:kern w:val="0"/>
                      <w:sz w:val="21"/>
                      <w:szCs w:val="21"/>
                      <w:lang w:val="en-US" w:eastAsia="zh-CN" w:bidi="ar"/>
                    </w:rPr>
                  </w:pPr>
                  <w:r>
                    <w:rPr>
                      <w:rFonts w:hint="default" w:asciiTheme="minorAscii" w:hAnsiTheme="minorAscii" w:eastAsiaTheme="minorEastAsia" w:cstheme="minorEastAsia"/>
                      <w:b w:val="0"/>
                      <w:bCs/>
                      <w:kern w:val="0"/>
                      <w:sz w:val="21"/>
                      <w:szCs w:val="21"/>
                      <w:lang w:val="en-US" w:eastAsia="zh-CN" w:bidi="ar"/>
                    </w:rPr>
                    <w:t>96.83%</w:t>
                  </w:r>
                </w:p>
              </w:tc>
              <w:tc>
                <w:tcPr>
                  <w:tcW w:w="853" w:type="dxa"/>
                  <w:tcBorders>
                    <w:tl2br w:val="nil"/>
                    <w:tr2bl w:val="nil"/>
                  </w:tcBorders>
                  <w:shd w:val="clear" w:color="auto" w:fill="auto"/>
                  <w:tcMar>
                    <w:top w:w="120" w:type="dxa"/>
                    <w:left w:w="120" w:type="dxa"/>
                    <w:bottom w:w="120" w:type="dxa"/>
                    <w:right w:w="120" w:type="dxa"/>
                  </w:tcMar>
                  <w:vAlign w:val="center"/>
                </w:tcPr>
                <w:p w14:paraId="2D35989D">
                  <w:pPr>
                    <w:keepNext w:val="0"/>
                    <w:keepLines w:val="0"/>
                    <w:widowControl/>
                    <w:suppressLineNumbers w:val="0"/>
                    <w:jc w:val="center"/>
                    <w:rPr>
                      <w:rFonts w:hint="default" w:asciiTheme="minorAscii" w:hAnsiTheme="minorAscii" w:eastAsiaTheme="minorEastAsia" w:cstheme="minorEastAsia"/>
                      <w:b w:val="0"/>
                      <w:bCs/>
                      <w:kern w:val="0"/>
                      <w:sz w:val="21"/>
                      <w:szCs w:val="21"/>
                      <w:lang w:val="en-US" w:eastAsia="zh-CN" w:bidi="ar"/>
                    </w:rPr>
                  </w:pPr>
                  <w:r>
                    <w:rPr>
                      <w:rFonts w:hint="default" w:asciiTheme="minorAscii" w:hAnsiTheme="minorAscii" w:eastAsiaTheme="minorEastAsia" w:cstheme="minorEastAsia"/>
                      <w:b w:val="0"/>
                      <w:bCs/>
                      <w:kern w:val="0"/>
                      <w:sz w:val="21"/>
                      <w:szCs w:val="21"/>
                      <w:lang w:val="en-US" w:eastAsia="zh-CN" w:bidi="ar"/>
                    </w:rPr>
                    <w:t>99.79%</w:t>
                  </w:r>
                </w:p>
              </w:tc>
              <w:tc>
                <w:tcPr>
                  <w:tcW w:w="896" w:type="pct"/>
                  <w:tcBorders>
                    <w:tl2br w:val="nil"/>
                    <w:tr2bl w:val="nil"/>
                  </w:tcBorders>
                  <w:shd w:val="clear" w:color="auto" w:fill="auto"/>
                  <w:tcMar>
                    <w:top w:w="120" w:type="dxa"/>
                    <w:left w:w="120" w:type="dxa"/>
                    <w:bottom w:w="120" w:type="dxa"/>
                    <w:right w:w="120" w:type="dxa"/>
                  </w:tcMar>
                  <w:vAlign w:val="center"/>
                </w:tcPr>
                <w:p w14:paraId="350E6E93">
                  <w:pPr>
                    <w:keepNext w:val="0"/>
                    <w:keepLines w:val="0"/>
                    <w:widowControl/>
                    <w:suppressLineNumbers w:val="0"/>
                    <w:jc w:val="center"/>
                    <w:rPr>
                      <w:rFonts w:hint="eastAsia" w:asciiTheme="minorAscii" w:hAnsiTheme="minorAscii" w:eastAsiaTheme="minorEastAsia" w:cstheme="minorEastAsia"/>
                      <w:sz w:val="21"/>
                      <w:szCs w:val="21"/>
                      <w:lang w:val="en-US" w:eastAsia="zh-CN"/>
                    </w:rPr>
                  </w:pPr>
                  <w:r>
                    <w:rPr>
                      <w:rFonts w:hint="eastAsia" w:asciiTheme="minorAscii" w:hAnsiTheme="minorAscii" w:eastAsiaTheme="minorEastAsia" w:cstheme="minorEastAsia"/>
                      <w:sz w:val="21"/>
                      <w:szCs w:val="21"/>
                      <w:lang w:val="en-US" w:eastAsia="zh-CN"/>
                    </w:rPr>
                    <w:t>/</w:t>
                  </w:r>
                </w:p>
              </w:tc>
            </w:tr>
          </w:tbl>
          <w:p w14:paraId="62DABE0B">
            <w:pPr>
              <w:spacing w:line="360" w:lineRule="auto"/>
              <w:ind w:right="119" w:firstLine="480" w:firstLineChars="200"/>
              <w:rPr>
                <w:rFonts w:hint="default" w:eastAsia="宋体" w:cs="Times New Roman" w:asciiTheme="minorAscii" w:hAnsiTheme="minorAscii"/>
                <w:sz w:val="24"/>
                <w:lang w:val="en-US" w:eastAsia="zh-CN"/>
              </w:rPr>
            </w:pPr>
            <w:r>
              <w:rPr>
                <w:rFonts w:hint="default" w:eastAsia="宋体" w:cs="Times New Roman" w:asciiTheme="minorAscii" w:hAnsiTheme="minorAscii"/>
                <w:sz w:val="24"/>
                <w:lang w:val="en-US" w:eastAsia="zh-CN"/>
              </w:rPr>
              <w:t>在进水取设计浓度上限工况条件下开展出水反算，各污染因子理论出水计算结果：CODcr理论出水40.80mg/L，BOD₅理论出水9.75mg/L，SS理论出水9.00mg/L，氨氮理论出水4.59mg/L，总氮理论出水14.83mg/L，总磷理论出水0.48mg/L，动植物油理论出水0.21mg/L，</w:t>
            </w:r>
            <w:r>
              <w:rPr>
                <w:rFonts w:hint="eastAsia" w:cs="Times New Roman" w:asciiTheme="minorAscii" w:hAnsiTheme="minorAscii"/>
                <w:sz w:val="24"/>
                <w:lang w:val="en-US" w:eastAsia="zh-CN"/>
              </w:rPr>
              <w:t>各项</w:t>
            </w:r>
            <w:r>
              <w:rPr>
                <w:rFonts w:hint="default" w:eastAsia="宋体" w:cs="Times New Roman" w:asciiTheme="minorAscii" w:hAnsiTheme="minorAscii"/>
                <w:sz w:val="24"/>
                <w:lang w:val="en-US" w:eastAsia="zh-CN"/>
              </w:rPr>
              <w:t>指标均可满足本项目处理工艺各项出水指标均可满足《城镇污水处理厂污染物排放标准》（GB18918</w:t>
            </w:r>
            <w:r>
              <w:rPr>
                <w:rFonts w:hint="eastAsia" w:cs="Times New Roman" w:asciiTheme="minorAscii" w:hAnsiTheme="minorAscii"/>
                <w:sz w:val="24"/>
                <w:lang w:val="en-US" w:eastAsia="zh-CN"/>
              </w:rPr>
              <w:t>-</w:t>
            </w:r>
            <w:r>
              <w:rPr>
                <w:rFonts w:hint="default" w:eastAsia="宋体" w:cs="Times New Roman" w:asciiTheme="minorAscii" w:hAnsiTheme="minorAscii"/>
                <w:sz w:val="24"/>
                <w:lang w:val="en-US" w:eastAsia="zh-CN"/>
              </w:rPr>
              <w:t>2002）一级A标准及《城市污水再生利用 景观环境用水水质》（GB/T 18921-2019）中湿地环境用水相关要求</w:t>
            </w:r>
            <w:r>
              <w:rPr>
                <w:rFonts w:hint="eastAsia" w:cs="Times New Roman" w:asciiTheme="minorAscii" w:hAnsiTheme="minorAscii"/>
                <w:sz w:val="24"/>
                <w:lang w:val="en-US" w:eastAsia="zh-CN"/>
              </w:rPr>
              <w:t>。</w:t>
            </w:r>
          </w:p>
          <w:p w14:paraId="18CC005B">
            <w:pPr>
              <w:spacing w:line="360" w:lineRule="auto"/>
              <w:ind w:right="119" w:firstLine="480" w:firstLineChars="200"/>
              <w:rPr>
                <w:rFonts w:hint="default" w:eastAsia="宋体" w:cs="Times New Roman" w:asciiTheme="minorAscii" w:hAnsiTheme="minorAscii"/>
                <w:sz w:val="24"/>
                <w:lang w:val="en-US" w:eastAsia="zh-CN"/>
              </w:rPr>
            </w:pPr>
            <w:r>
              <w:rPr>
                <w:rFonts w:hint="default" w:eastAsia="宋体" w:cs="Times New Roman" w:asciiTheme="minorAscii" w:hAnsiTheme="minorAscii"/>
                <w:sz w:val="24"/>
                <w:lang w:val="en-US" w:eastAsia="zh-CN"/>
              </w:rPr>
              <w:t>为保障整套系统长期稳定达标运行，仍需落实源头纳管管控、工艺精细化运行、深度处理单元维护、应急风险防控多重保障条件：</w:t>
            </w:r>
          </w:p>
          <w:p w14:paraId="58A90695">
            <w:pPr>
              <w:spacing w:line="360" w:lineRule="auto"/>
              <w:ind w:right="119" w:firstLine="480" w:firstLineChars="200"/>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①源头纳管严格管控：入园辣椒加工企业落实废水预处理主体责任，接入污水站水质严禁突破本项目设计进水指标；严禁接入含有毒有害、难降解特征污染物的废水；进水总管设置在线监测及计量装置，将水质异常废水导入事故池暂存，不得进入主体处理系统。</w:t>
            </w:r>
          </w:p>
          <w:p w14:paraId="0BC14C02">
            <w:pPr>
              <w:spacing w:line="360" w:lineRule="auto"/>
              <w:ind w:right="119" w:firstLine="480" w:firstLineChars="200"/>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②生化单元优化运行调控：厌氧塔合理控制容积负荷、pH；A/O生化池维持设计污泥龄、内回流比，保障硝化-反硝化脱氮效果；根据进水水质动态调整混凝沉淀池PAC、PAM药剂投加量，保障化学除磷、除悬浮物效果。</w:t>
            </w:r>
          </w:p>
          <w:p w14:paraId="2C12AC93">
            <w:pPr>
              <w:spacing w:line="360" w:lineRule="auto"/>
              <w:ind w:right="119" w:firstLine="480" w:firstLineChars="200"/>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③深度处理单元保障：活性炭过滤罐活性炭严格按照吸附周期及时进行再生或者整体更换，保障深度处理去除效能。</w:t>
            </w:r>
          </w:p>
          <w:p w14:paraId="0E806BB8">
            <w:pPr>
              <w:spacing w:line="360" w:lineRule="auto"/>
              <w:ind w:right="119" w:firstLine="480" w:firstLineChars="200"/>
              <w:rPr>
                <w:rFonts w:hint="default" w:eastAsia="宋体" w:cs="Times New Roman" w:asciiTheme="minorAscii" w:hAnsiTheme="minorAscii"/>
                <w:sz w:val="24"/>
                <w:lang w:val="en-US" w:eastAsia="zh-CN"/>
              </w:rPr>
            </w:pPr>
            <w:r>
              <w:rPr>
                <w:rFonts w:hint="eastAsia" w:asciiTheme="minorEastAsia" w:hAnsiTheme="minorEastAsia" w:eastAsiaTheme="minorEastAsia" w:cstheme="minorEastAsia"/>
                <w:sz w:val="24"/>
                <w:lang w:val="en-US" w:eastAsia="zh-CN"/>
              </w:rPr>
              <w:t>④</w:t>
            </w:r>
            <w:r>
              <w:rPr>
                <w:rFonts w:hint="default" w:eastAsia="宋体" w:cs="Times New Roman" w:asciiTheme="minorAscii" w:hAnsiTheme="minorAscii"/>
                <w:sz w:val="24"/>
                <w:lang w:val="en-US" w:eastAsia="zh-CN"/>
              </w:rPr>
              <w:t>在线监测与应急措施：配套进出水全套在线监测系统，实时监控CODcr、氨氮、总氮、总磷等关键指标，根据出水指标动态调整系统运行参数；本项目依托事故池，当进水水质剧烈波动、设备故障时，异常废水进入事故池暂存，待故障排除后小流量打回处理系统，</w:t>
            </w:r>
            <w:r>
              <w:rPr>
                <w:rFonts w:hint="eastAsia" w:cs="Times New Roman" w:asciiTheme="minorAscii" w:hAnsiTheme="minorAscii"/>
                <w:sz w:val="24"/>
                <w:lang w:val="en-US" w:eastAsia="zh-CN"/>
              </w:rPr>
              <w:t>防止</w:t>
            </w:r>
            <w:r>
              <w:rPr>
                <w:rFonts w:hint="default" w:eastAsia="宋体" w:cs="Times New Roman" w:asciiTheme="minorAscii" w:hAnsiTheme="minorAscii"/>
                <w:sz w:val="24"/>
                <w:lang w:val="en-US" w:eastAsia="zh-CN"/>
              </w:rPr>
              <w:t>事故废水外溢。</w:t>
            </w:r>
          </w:p>
          <w:p w14:paraId="13955860">
            <w:pPr>
              <w:spacing w:line="360" w:lineRule="auto"/>
              <w:ind w:right="119" w:firstLine="480" w:firstLineChars="200"/>
              <w:rPr>
                <w:rFonts w:hint="eastAsia" w:ascii="Times New Roman" w:hAnsi="Times New Roman" w:eastAsia="宋体" w:cs="Times New Roman"/>
                <w:sz w:val="24"/>
                <w:lang w:val="en-US" w:eastAsia="zh-CN"/>
              </w:rPr>
            </w:pPr>
            <w:r>
              <w:rPr>
                <w:rFonts w:hint="default" w:eastAsia="宋体" w:cs="Times New Roman" w:asciiTheme="minorAscii" w:hAnsiTheme="minorAscii"/>
                <w:sz w:val="24"/>
                <w:lang w:val="en-US" w:eastAsia="zh-CN"/>
              </w:rPr>
              <w:t>综上，通过对各处理单元逐级去除效率核算，并开展出水水质反算以证明工艺的可行性；在严格落实进水纳管管控、生化系统精细化运行管理、活性炭定期再生</w:t>
            </w:r>
            <w:r>
              <w:rPr>
                <w:rFonts w:hint="eastAsia" w:cs="Times New Roman" w:asciiTheme="minorAscii" w:hAnsiTheme="minorAscii"/>
                <w:sz w:val="24"/>
                <w:lang w:val="en-US" w:eastAsia="zh-CN"/>
              </w:rPr>
              <w:t>/</w:t>
            </w:r>
            <w:r>
              <w:rPr>
                <w:rFonts w:hint="default" w:eastAsia="宋体" w:cs="Times New Roman" w:asciiTheme="minorAscii" w:hAnsiTheme="minorAscii"/>
                <w:sz w:val="24"/>
                <w:lang w:val="en-US" w:eastAsia="zh-CN"/>
              </w:rPr>
              <w:t>更换、应急风险防控等全部保障措施前提下，本套处理工艺各项出水指标均可满足《城镇污水处理厂污染物排放标准》（GB18918</w:t>
            </w:r>
            <w:r>
              <w:rPr>
                <w:rFonts w:hint="eastAsia" w:cs="Times New Roman" w:asciiTheme="minorAscii" w:hAnsiTheme="minorAscii"/>
                <w:sz w:val="24"/>
                <w:lang w:val="en-US" w:eastAsia="zh-CN"/>
              </w:rPr>
              <w:t>-</w:t>
            </w:r>
            <w:r>
              <w:rPr>
                <w:rFonts w:hint="default" w:eastAsia="宋体" w:cs="Times New Roman" w:asciiTheme="minorAscii" w:hAnsiTheme="minorAscii"/>
                <w:sz w:val="24"/>
                <w:lang w:val="en-US" w:eastAsia="zh-CN"/>
              </w:rPr>
              <w:t>2002）一级A标准及《城市污水再生利用 景观环境用水水质》（GB/T 18921-2019）中湿地环境用水相关要求，废水处理工艺技术可行。</w:t>
            </w:r>
          </w:p>
          <w:p w14:paraId="0EFED002">
            <w:pPr>
              <w:numPr>
                <w:ilvl w:val="0"/>
                <w:numId w:val="0"/>
              </w:numPr>
              <w:spacing w:line="360" w:lineRule="auto"/>
              <w:ind w:right="119" w:rightChars="0" w:firstLine="482" w:firstLineChars="200"/>
              <w:rPr>
                <w:rFonts w:hint="default"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3.尾水经排碱渠用于苇区灌溉可行性分析</w:t>
            </w:r>
          </w:p>
          <w:p w14:paraId="4B0E213E">
            <w:pPr>
              <w:numPr>
                <w:ilvl w:val="0"/>
                <w:numId w:val="0"/>
              </w:numPr>
              <w:spacing w:line="360" w:lineRule="auto"/>
              <w:ind w:right="119" w:rightChars="0" w:firstLine="480" w:firstLineChars="200"/>
              <w:rPr>
                <w:rFonts w:hint="default" w:eastAsia="宋体" w:cs="宋体" w:asciiTheme="minorAscii" w:hAnsiTheme="minorAscii"/>
                <w:sz w:val="24"/>
                <w:szCs w:val="24"/>
                <w:lang w:eastAsia="zh-CN"/>
              </w:rPr>
            </w:pPr>
            <w:r>
              <w:rPr>
                <w:rFonts w:hint="default" w:eastAsia="宋体" w:cs="宋体" w:asciiTheme="minorAscii" w:hAnsiTheme="minorAscii"/>
                <w:sz w:val="24"/>
                <w:szCs w:val="24"/>
                <w:lang w:eastAsia="zh-CN"/>
              </w:rPr>
              <w:t>本项目污水处理站尾水处理达标后经排碱渠输送至苇区开展生态灌溉回用，尾水不直接排入开都河干流。</w:t>
            </w:r>
          </w:p>
          <w:p w14:paraId="2C063974">
            <w:pPr>
              <w:numPr>
                <w:ilvl w:val="0"/>
                <w:numId w:val="0"/>
              </w:numPr>
              <w:spacing w:line="360" w:lineRule="auto"/>
              <w:ind w:right="119" w:rightChars="0" w:firstLine="480" w:firstLineChars="200"/>
              <w:rPr>
                <w:rFonts w:hint="default" w:eastAsia="宋体" w:cs="宋体" w:asciiTheme="minorAscii" w:hAnsiTheme="minorAscii"/>
                <w:sz w:val="24"/>
                <w:szCs w:val="24"/>
                <w:lang w:eastAsia="zh-CN"/>
              </w:rPr>
            </w:pPr>
            <w:r>
              <w:rPr>
                <w:rFonts w:hint="default" w:eastAsia="宋体" w:cs="宋体" w:asciiTheme="minorAscii" w:hAnsiTheme="minorAscii"/>
                <w:sz w:val="24"/>
                <w:szCs w:val="24"/>
                <w:lang w:eastAsia="zh-CN"/>
              </w:rPr>
              <w:t>本项目依托的排碱渠为区域农田退水专用排水渠道，渠系与开都河干流空间分离布设，无天然常态连通通道，正常工况下不存在水体交换；仅极端特大超标准洪水条件下存在洪水倒灌理论可能性。排碱渠具备相应过流断面，本项目尾水水量1000m³/d远小于渠道过流能力，正常工况尾水全部用于苇区灌溉，不会产生渠道漫溢。项目通过依托事故池暂存异常尾水、排碱渠</w:t>
            </w:r>
            <w:r>
              <w:rPr>
                <w:rFonts w:hint="eastAsia" w:cs="宋体" w:asciiTheme="minorAscii" w:hAnsiTheme="minorAscii"/>
                <w:sz w:val="24"/>
                <w:szCs w:val="24"/>
                <w:lang w:val="en-US" w:eastAsia="zh-CN"/>
              </w:rPr>
              <w:t>-</w:t>
            </w:r>
            <w:r>
              <w:rPr>
                <w:rFonts w:hint="default" w:eastAsia="宋体" w:cs="宋体" w:asciiTheme="minorAscii" w:hAnsiTheme="minorAscii"/>
                <w:sz w:val="24"/>
                <w:szCs w:val="24"/>
                <w:lang w:eastAsia="zh-CN"/>
              </w:rPr>
              <w:t>苇区前端设置节制闸、定期渠道清淤巡检、建立水利部门水情预警联动等措施，洪水期关闭节制闸阻断倒灌路径，可有效防控漫溢、倒灌风险。</w:t>
            </w:r>
          </w:p>
          <w:p w14:paraId="3449223B">
            <w:pPr>
              <w:numPr>
                <w:ilvl w:val="0"/>
                <w:numId w:val="0"/>
              </w:numPr>
              <w:spacing w:line="360" w:lineRule="auto"/>
              <w:ind w:right="119" w:rightChars="0" w:firstLine="480" w:firstLineChars="200"/>
              <w:rPr>
                <w:rFonts w:hint="default" w:eastAsia="宋体" w:cs="宋体" w:asciiTheme="minorAscii" w:hAnsiTheme="minorAscii"/>
                <w:sz w:val="24"/>
                <w:szCs w:val="24"/>
                <w:lang w:eastAsia="zh-CN"/>
              </w:rPr>
            </w:pPr>
            <w:r>
              <w:rPr>
                <w:rFonts w:hint="default" w:eastAsia="宋体" w:cs="宋体" w:asciiTheme="minorAscii" w:hAnsiTheme="minorAscii"/>
                <w:sz w:val="24"/>
                <w:szCs w:val="24"/>
                <w:lang w:eastAsia="zh-CN"/>
              </w:rPr>
              <w:t>现状该排碱渠主要接纳周边农田盐碱退水，下游苇区面积约1.25hm²，可消纳本项目全部尾水，尾水经苇区植被耗散、土壤下渗，不外溢外排。尾水满足回用标准，</w:t>
            </w:r>
            <w:r>
              <w:rPr>
                <w:rFonts w:hint="eastAsia" w:cs="宋体" w:asciiTheme="minorAscii" w:hAnsiTheme="minorAscii"/>
                <w:sz w:val="24"/>
                <w:szCs w:val="24"/>
                <w:lang w:val="en-US" w:eastAsia="zh-CN"/>
              </w:rPr>
              <w:t>在尾水出水口</w:t>
            </w:r>
            <w:r>
              <w:rPr>
                <w:rFonts w:hint="default" w:eastAsia="宋体" w:cs="宋体" w:asciiTheme="minorAscii" w:hAnsiTheme="minorAscii"/>
                <w:sz w:val="24"/>
                <w:szCs w:val="24"/>
                <w:lang w:eastAsia="zh-CN"/>
              </w:rPr>
              <w:t>设置水质监测点位，水质异常时尾水切回事故池，停止向排碱渠输水。</w:t>
            </w:r>
          </w:p>
          <w:p w14:paraId="25120240">
            <w:pPr>
              <w:numPr>
                <w:ilvl w:val="0"/>
                <w:numId w:val="0"/>
              </w:numPr>
              <w:spacing w:line="360" w:lineRule="auto"/>
              <w:ind w:right="119" w:rightChars="0" w:firstLine="480" w:firstLineChars="200"/>
              <w:rPr>
                <w:rFonts w:hint="default" w:eastAsia="宋体" w:cs="宋体" w:asciiTheme="minorAscii" w:hAnsiTheme="minorAscii"/>
                <w:sz w:val="24"/>
                <w:szCs w:val="24"/>
                <w:lang w:eastAsia="zh-CN"/>
              </w:rPr>
            </w:pPr>
            <w:r>
              <w:rPr>
                <w:rFonts w:hint="default" w:eastAsia="宋体" w:cs="宋体" w:asciiTheme="minorAscii" w:hAnsiTheme="minorAscii"/>
                <w:sz w:val="24"/>
                <w:szCs w:val="24"/>
                <w:lang w:eastAsia="zh-CN"/>
              </w:rPr>
              <w:t>开都河分布有新疆裸重唇鱼、塔里木裂腹鱼等土著特有鱼类，其栖息、洄游生境集中于开都河干流。项目正常工况尾水不进入开都河，极端洪水工况通过节制闸阻断水体交换，不会改变开都河干流水质及水文情势，对开都河特有鱼类栖息生存基本无不利影响。</w:t>
            </w:r>
          </w:p>
          <w:p w14:paraId="0CAEBC37">
            <w:pPr>
              <w:numPr>
                <w:ilvl w:val="0"/>
                <w:numId w:val="0"/>
              </w:numPr>
              <w:spacing w:line="360" w:lineRule="auto"/>
              <w:ind w:right="119" w:rightChars="0" w:firstLine="480" w:firstLineChars="200"/>
              <w:rPr>
                <w:rFonts w:hint="eastAsia" w:ascii="Times New Roman" w:hAnsi="Times New Roman" w:eastAsia="宋体" w:cs="Times New Roman"/>
                <w:b/>
                <w:bCs/>
                <w:kern w:val="2"/>
                <w:sz w:val="24"/>
                <w:szCs w:val="24"/>
                <w:lang w:val="en-US" w:eastAsia="zh-CN" w:bidi="ar-SA"/>
              </w:rPr>
            </w:pPr>
            <w:r>
              <w:rPr>
                <w:rFonts w:hint="default" w:eastAsia="宋体" w:cs="宋体" w:asciiTheme="minorAscii" w:hAnsiTheme="minorAscii"/>
                <w:sz w:val="24"/>
                <w:szCs w:val="24"/>
                <w:lang w:eastAsia="zh-CN"/>
              </w:rPr>
              <w:t>综上，落实各项防控措施后，尾水经排碱渠用于苇区生态灌溉方案可行</w:t>
            </w:r>
            <w:r>
              <w:rPr>
                <w:rFonts w:hint="eastAsia" w:cs="宋体" w:asciiTheme="minorAscii" w:hAnsiTheme="minorAscii"/>
                <w:sz w:val="24"/>
                <w:szCs w:val="24"/>
                <w:lang w:eastAsia="zh-CN"/>
              </w:rPr>
              <w:t>。</w:t>
            </w:r>
          </w:p>
          <w:p w14:paraId="2E587B63">
            <w:pPr>
              <w:numPr>
                <w:ilvl w:val="0"/>
                <w:numId w:val="0"/>
              </w:numPr>
              <w:spacing w:line="360" w:lineRule="auto"/>
              <w:ind w:right="119" w:rightChars="0" w:firstLine="482" w:firstLineChars="200"/>
              <w:rPr>
                <w:rFonts w:hint="eastAsia" w:cs="Times New Roman"/>
                <w:b/>
                <w:bCs/>
                <w:sz w:val="24"/>
                <w:lang w:val="en-US" w:eastAsia="zh-CN"/>
              </w:rPr>
            </w:pPr>
            <w:r>
              <w:rPr>
                <w:rFonts w:hint="eastAsia" w:cs="Times New Roman"/>
                <w:b/>
                <w:bCs/>
                <w:kern w:val="2"/>
                <w:sz w:val="24"/>
                <w:szCs w:val="24"/>
                <w:lang w:val="en-US" w:eastAsia="zh-CN" w:bidi="ar-SA"/>
              </w:rPr>
              <w:t>4</w:t>
            </w:r>
            <w:r>
              <w:rPr>
                <w:rFonts w:hint="eastAsia" w:ascii="Times New Roman" w:hAnsi="Times New Roman" w:eastAsia="宋体" w:cs="Times New Roman"/>
                <w:b/>
                <w:bCs/>
                <w:kern w:val="2"/>
                <w:sz w:val="24"/>
                <w:szCs w:val="24"/>
                <w:lang w:val="en-US" w:eastAsia="zh-CN" w:bidi="ar-SA"/>
              </w:rPr>
              <w:t>.</w:t>
            </w:r>
            <w:r>
              <w:rPr>
                <w:rFonts w:hint="eastAsia" w:cs="Times New Roman"/>
                <w:b/>
                <w:bCs/>
                <w:sz w:val="24"/>
                <w:lang w:val="en-US" w:eastAsia="zh-CN"/>
              </w:rPr>
              <w:t>尾水消纳可行性分析</w:t>
            </w:r>
          </w:p>
          <w:p w14:paraId="17FE15A3">
            <w:pPr>
              <w:numPr>
                <w:ilvl w:val="0"/>
                <w:numId w:val="0"/>
              </w:numPr>
              <w:spacing w:line="360" w:lineRule="auto"/>
              <w:ind w:right="119" w:rightChars="0" w:firstLine="480" w:firstLineChars="200"/>
              <w:rPr>
                <w:rFonts w:hint="default" w:eastAsia="宋体" w:cs="宋体" w:asciiTheme="minorAscii" w:hAnsiTheme="minorAscii"/>
                <w:sz w:val="24"/>
                <w:szCs w:val="24"/>
                <w:lang w:val="en-US" w:eastAsia="zh-CN"/>
              </w:rPr>
            </w:pPr>
            <w:r>
              <w:rPr>
                <w:rFonts w:hint="default" w:eastAsia="宋体" w:cs="宋体" w:asciiTheme="minorAscii" w:hAnsiTheme="minorAscii"/>
                <w:sz w:val="24"/>
                <w:szCs w:val="24"/>
                <w:lang w:eastAsia="zh-CN"/>
              </w:rPr>
              <w:t>本项目污水处理站设计处理规模为1000m³/d，参照人工芦苇湿地水力负荷0.08m³/(</w:t>
            </w:r>
            <w:r>
              <w:rPr>
                <w:rFonts w:hint="eastAsia" w:cs="宋体" w:asciiTheme="minorAscii" w:hAnsiTheme="minorAscii"/>
                <w:sz w:val="24"/>
                <w:szCs w:val="24"/>
                <w:lang w:val="en-US" w:eastAsia="zh-CN"/>
              </w:rPr>
              <w:t>m</w:t>
            </w:r>
            <w:r>
              <w:rPr>
                <w:rFonts w:hint="eastAsia" w:cs="宋体" w:asciiTheme="minorAscii" w:hAnsiTheme="minorAscii"/>
                <w:sz w:val="24"/>
                <w:szCs w:val="24"/>
                <w:vertAlign w:val="superscript"/>
                <w:lang w:val="en-US" w:eastAsia="zh-CN"/>
              </w:rPr>
              <w:t>2</w:t>
            </w:r>
            <w:r>
              <w:rPr>
                <w:rFonts w:hint="eastAsia" w:cs="宋体" w:asciiTheme="minorAscii" w:hAnsiTheme="minorAscii"/>
                <w:sz w:val="24"/>
                <w:szCs w:val="24"/>
                <w:lang w:val="en-US" w:eastAsia="zh-CN"/>
              </w:rPr>
              <w:t>·</w:t>
            </w:r>
            <w:r>
              <w:rPr>
                <w:rFonts w:hint="default" w:eastAsia="宋体" w:cs="宋体" w:asciiTheme="minorAscii" w:hAnsiTheme="minorAscii"/>
                <w:sz w:val="24"/>
                <w:szCs w:val="24"/>
                <w:lang w:eastAsia="zh-CN"/>
              </w:rPr>
              <w:t>d)核算，尾水消纳所需苇区面积约1.25hm²。</w:t>
            </w:r>
            <w:r>
              <w:rPr>
                <w:rFonts w:hint="default" w:eastAsia="宋体" w:cs="宋体" w:asciiTheme="minorAscii" w:hAnsiTheme="minorAscii"/>
                <w:sz w:val="24"/>
                <w:szCs w:val="24"/>
                <w:lang w:val="en-US" w:eastAsia="zh-CN"/>
              </w:rPr>
              <w:t>现状下游芦苇区总面积约60万亩，其中自然苇区40万亩、人工育苇区20万亩。目前已用于农田排碱水及尾水消纳的苇区面积约3万亩，剩余可利用苇区面积约57万亩，其中人工育苇区剩余约17万亩。本项目需消纳废水1000m³/d，本项目需苇区面积1.25hm²，仅占剩余可利用人工苇区面积的0.0007%，现状苇区面积及可利用余量完全满足项目废水消纳需求。</w:t>
            </w:r>
          </w:p>
          <w:p w14:paraId="62CEEF7B">
            <w:pPr>
              <w:numPr>
                <w:ilvl w:val="0"/>
                <w:numId w:val="0"/>
              </w:numPr>
              <w:spacing w:line="360" w:lineRule="auto"/>
              <w:ind w:right="119" w:rightChars="0" w:firstLine="482" w:firstLineChars="200"/>
              <w:rPr>
                <w:rFonts w:hint="default"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5</w:t>
            </w:r>
            <w:r>
              <w:rPr>
                <w:rFonts w:hint="eastAsia" w:ascii="Times New Roman" w:hAnsi="Times New Roman" w:eastAsia="宋体" w:cs="Times New Roman"/>
                <w:b/>
                <w:bCs/>
                <w:kern w:val="2"/>
                <w:sz w:val="24"/>
                <w:szCs w:val="24"/>
                <w:lang w:val="en-US" w:eastAsia="zh-CN" w:bidi="ar-SA"/>
              </w:rPr>
              <w:t>.污水污染防治技术可行性分析</w:t>
            </w:r>
          </w:p>
          <w:p w14:paraId="43C09826">
            <w:pPr>
              <w:numPr>
                <w:ilvl w:val="0"/>
                <w:numId w:val="0"/>
              </w:numPr>
              <w:spacing w:line="360" w:lineRule="auto"/>
              <w:ind w:right="119" w:rightChars="0" w:firstLine="480" w:firstLineChars="200"/>
              <w:rPr>
                <w:rFonts w:hint="default" w:ascii="Times New Roman" w:hAnsi="Times New Roman" w:eastAsia="宋体" w:cs="Times New Roman"/>
                <w:sz w:val="24"/>
                <w:lang w:val="en-US" w:eastAsia="zh-CN"/>
              </w:rPr>
            </w:pPr>
            <w:r>
              <w:rPr>
                <w:rFonts w:hint="eastAsia" w:ascii="宋体" w:hAnsi="宋体" w:eastAsia="宋体" w:cs="宋体"/>
                <w:sz w:val="24"/>
                <w:szCs w:val="24"/>
                <w:lang w:val="en-US" w:eastAsia="zh-CN"/>
              </w:rPr>
              <w:t>根据《排污许可证申请与核发技术规范水处理（试行）》（HJ 978-2018），处理单一行业废水的工业污水处理厂，按相应行业的排污许可证申请与核发技术规范执行，本项目主要接收辣椒食品等企业加工产生的废水，故根据《排污许可证申请与核发技术规范食品制造工业一调味品、发酵制品制造工业》表6调味品、发酵制品制造工业排污单位废水污染防治可行技术参考表预处理+生化处理+深度处理，本项目污水处理厂处理工艺为：格栅+调节+隔油沉淀+气浮+厌氧+A/O生物处理+混凝沉淀+活性炭过滤+消毒，属于污水防治可行技术。</w:t>
            </w:r>
          </w:p>
          <w:p w14:paraId="697BF2F2">
            <w:pPr>
              <w:spacing w:line="360" w:lineRule="auto"/>
              <w:ind w:firstLine="482" w:firstLineChars="200"/>
              <w:rPr>
                <w:rFonts w:hint="eastAsia"/>
                <w:b/>
                <w:bCs/>
                <w:sz w:val="24"/>
              </w:rPr>
            </w:pPr>
            <w:r>
              <w:rPr>
                <w:rFonts w:hint="eastAsia"/>
                <w:b/>
                <w:bCs/>
                <w:sz w:val="24"/>
                <w:lang w:val="en-US" w:eastAsia="zh-CN"/>
              </w:rPr>
              <w:t>6</w:t>
            </w:r>
            <w:r>
              <w:rPr>
                <w:rFonts w:hint="eastAsia"/>
                <w:b/>
                <w:bCs/>
                <w:sz w:val="24"/>
                <w:lang w:eastAsia="zh-CN"/>
              </w:rPr>
              <w:t>.</w:t>
            </w:r>
            <w:r>
              <w:rPr>
                <w:rFonts w:hint="eastAsia"/>
                <w:b/>
                <w:bCs/>
                <w:sz w:val="24"/>
              </w:rPr>
              <w:t>监测要求</w:t>
            </w:r>
          </w:p>
          <w:p w14:paraId="0561FC9A">
            <w:pPr>
              <w:spacing w:line="360" w:lineRule="auto"/>
              <w:ind w:firstLine="480" w:firstLineChars="200"/>
              <w:rPr>
                <w:sz w:val="24"/>
              </w:rPr>
            </w:pPr>
            <w:r>
              <w:rPr>
                <w:rFonts w:hint="eastAsia"/>
                <w:sz w:val="24"/>
              </w:rPr>
              <w:t>参照《排污单位自行监测技术指南 总则》（HJ819-2017）以及《排污许可证申请与核发技术规范食品制造工业一调味品、发酵制品制造工业》的相关要求，本项目废水污染物监测计划见下表。</w:t>
            </w:r>
          </w:p>
          <w:p w14:paraId="0DD5414C">
            <w:pPr>
              <w:jc w:val="center"/>
              <w:rPr>
                <w:b/>
                <w:bCs/>
                <w:sz w:val="24"/>
              </w:rPr>
            </w:pPr>
            <w:r>
              <w:rPr>
                <w:b/>
                <w:bCs/>
                <w:sz w:val="24"/>
              </w:rPr>
              <w:t>表</w:t>
            </w:r>
            <w:r>
              <w:rPr>
                <w:rFonts w:hint="eastAsia"/>
                <w:b/>
                <w:bCs/>
                <w:sz w:val="24"/>
                <w:lang w:val="en-US" w:eastAsia="zh-CN"/>
              </w:rPr>
              <w:t xml:space="preserve">4-11 </w:t>
            </w:r>
            <w:r>
              <w:rPr>
                <w:rFonts w:hint="eastAsia"/>
                <w:b/>
                <w:bCs/>
                <w:sz w:val="24"/>
              </w:rPr>
              <w:t xml:space="preserve"> </w:t>
            </w:r>
            <w:r>
              <w:rPr>
                <w:b/>
                <w:bCs/>
                <w:sz w:val="24"/>
              </w:rPr>
              <w:t xml:space="preserve"> </w:t>
            </w:r>
            <w:r>
              <w:rPr>
                <w:rFonts w:hint="eastAsia"/>
                <w:b/>
                <w:bCs/>
                <w:sz w:val="24"/>
              </w:rPr>
              <w:t>废水</w:t>
            </w:r>
            <w:r>
              <w:rPr>
                <w:b/>
                <w:bCs/>
                <w:sz w:val="24"/>
              </w:rPr>
              <w:t>环境监测计划</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488"/>
              <w:gridCol w:w="686"/>
              <w:gridCol w:w="653"/>
              <w:gridCol w:w="1109"/>
              <w:gridCol w:w="693"/>
              <w:gridCol w:w="1033"/>
              <w:gridCol w:w="958"/>
              <w:gridCol w:w="1788"/>
            </w:tblGrid>
            <w:tr w14:paraId="1212E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536" w:type="pct"/>
                  <w:vMerge w:val="restart"/>
                  <w:noWrap w:val="0"/>
                  <w:vAlign w:val="center"/>
                </w:tcPr>
                <w:p w14:paraId="3390F456">
                  <w:pPr>
                    <w:jc w:val="center"/>
                    <w:rPr>
                      <w:sz w:val="21"/>
                      <w:szCs w:val="21"/>
                    </w:rPr>
                  </w:pPr>
                  <w:r>
                    <w:rPr>
                      <w:sz w:val="21"/>
                      <w:szCs w:val="21"/>
                    </w:rPr>
                    <w:t>排放口编号</w:t>
                  </w:r>
                </w:p>
              </w:tc>
              <w:tc>
                <w:tcPr>
                  <w:tcW w:w="294" w:type="pct"/>
                  <w:vMerge w:val="restart"/>
                  <w:noWrap w:val="0"/>
                  <w:vAlign w:val="center"/>
                </w:tcPr>
                <w:p w14:paraId="77F1A918">
                  <w:pPr>
                    <w:jc w:val="center"/>
                    <w:rPr>
                      <w:sz w:val="21"/>
                      <w:szCs w:val="21"/>
                    </w:rPr>
                  </w:pPr>
                  <w:r>
                    <w:rPr>
                      <w:sz w:val="21"/>
                      <w:szCs w:val="21"/>
                    </w:rPr>
                    <w:t>排放方式</w:t>
                  </w:r>
                </w:p>
              </w:tc>
              <w:tc>
                <w:tcPr>
                  <w:tcW w:w="413" w:type="pct"/>
                  <w:vMerge w:val="restart"/>
                  <w:noWrap w:val="0"/>
                  <w:vAlign w:val="center"/>
                </w:tcPr>
                <w:p w14:paraId="509CE214">
                  <w:pPr>
                    <w:jc w:val="center"/>
                    <w:rPr>
                      <w:sz w:val="21"/>
                      <w:szCs w:val="21"/>
                    </w:rPr>
                  </w:pPr>
                  <w:r>
                    <w:rPr>
                      <w:sz w:val="21"/>
                      <w:szCs w:val="21"/>
                    </w:rPr>
                    <w:t>排放去向</w:t>
                  </w:r>
                </w:p>
              </w:tc>
              <w:tc>
                <w:tcPr>
                  <w:tcW w:w="393" w:type="pct"/>
                  <w:vMerge w:val="restart"/>
                  <w:noWrap w:val="0"/>
                  <w:vAlign w:val="center"/>
                </w:tcPr>
                <w:p w14:paraId="0A4EF613">
                  <w:pPr>
                    <w:jc w:val="center"/>
                    <w:rPr>
                      <w:sz w:val="21"/>
                      <w:szCs w:val="21"/>
                    </w:rPr>
                  </w:pPr>
                  <w:r>
                    <w:rPr>
                      <w:sz w:val="21"/>
                      <w:szCs w:val="21"/>
                    </w:rPr>
                    <w:t>排放规律</w:t>
                  </w:r>
                </w:p>
              </w:tc>
              <w:tc>
                <w:tcPr>
                  <w:tcW w:w="1085" w:type="pct"/>
                  <w:gridSpan w:val="2"/>
                  <w:noWrap w:val="0"/>
                  <w:vAlign w:val="center"/>
                </w:tcPr>
                <w:p w14:paraId="2FBA59FA">
                  <w:pPr>
                    <w:jc w:val="center"/>
                    <w:rPr>
                      <w:sz w:val="21"/>
                      <w:szCs w:val="21"/>
                    </w:rPr>
                  </w:pPr>
                  <w:r>
                    <w:rPr>
                      <w:sz w:val="21"/>
                      <w:szCs w:val="21"/>
                    </w:rPr>
                    <w:t>排放口情况</w:t>
                  </w:r>
                </w:p>
              </w:tc>
              <w:tc>
                <w:tcPr>
                  <w:tcW w:w="1199" w:type="pct"/>
                  <w:gridSpan w:val="2"/>
                  <w:noWrap w:val="0"/>
                  <w:vAlign w:val="center"/>
                </w:tcPr>
                <w:p w14:paraId="7E6DB708">
                  <w:pPr>
                    <w:jc w:val="center"/>
                    <w:rPr>
                      <w:sz w:val="21"/>
                      <w:szCs w:val="21"/>
                    </w:rPr>
                  </w:pPr>
                  <w:r>
                    <w:rPr>
                      <w:sz w:val="21"/>
                      <w:szCs w:val="21"/>
                    </w:rPr>
                    <w:t>监测要求</w:t>
                  </w:r>
                </w:p>
              </w:tc>
              <w:tc>
                <w:tcPr>
                  <w:tcW w:w="1077" w:type="pct"/>
                  <w:vMerge w:val="restart"/>
                  <w:noWrap w:val="0"/>
                  <w:vAlign w:val="center"/>
                </w:tcPr>
                <w:p w14:paraId="1CA657EA">
                  <w:pPr>
                    <w:jc w:val="center"/>
                    <w:rPr>
                      <w:sz w:val="21"/>
                      <w:szCs w:val="21"/>
                    </w:rPr>
                  </w:pPr>
                  <w:r>
                    <w:rPr>
                      <w:sz w:val="21"/>
                      <w:szCs w:val="21"/>
                    </w:rPr>
                    <w:t>执行标准</w:t>
                  </w:r>
                </w:p>
              </w:tc>
            </w:tr>
            <w:tr w14:paraId="7377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536" w:type="pct"/>
                  <w:vMerge w:val="continue"/>
                  <w:noWrap w:val="0"/>
                  <w:vAlign w:val="center"/>
                </w:tcPr>
                <w:p w14:paraId="7F798CBD">
                  <w:pPr>
                    <w:jc w:val="center"/>
                    <w:rPr>
                      <w:sz w:val="21"/>
                      <w:szCs w:val="21"/>
                    </w:rPr>
                  </w:pPr>
                </w:p>
              </w:tc>
              <w:tc>
                <w:tcPr>
                  <w:tcW w:w="294" w:type="pct"/>
                  <w:vMerge w:val="continue"/>
                  <w:noWrap w:val="0"/>
                  <w:vAlign w:val="center"/>
                </w:tcPr>
                <w:p w14:paraId="2828F9DF">
                  <w:pPr>
                    <w:jc w:val="center"/>
                    <w:rPr>
                      <w:sz w:val="21"/>
                      <w:szCs w:val="21"/>
                    </w:rPr>
                  </w:pPr>
                </w:p>
              </w:tc>
              <w:tc>
                <w:tcPr>
                  <w:tcW w:w="413" w:type="pct"/>
                  <w:vMerge w:val="continue"/>
                  <w:noWrap w:val="0"/>
                  <w:vAlign w:val="center"/>
                </w:tcPr>
                <w:p w14:paraId="540789D0">
                  <w:pPr>
                    <w:jc w:val="center"/>
                    <w:rPr>
                      <w:sz w:val="21"/>
                      <w:szCs w:val="21"/>
                    </w:rPr>
                  </w:pPr>
                </w:p>
              </w:tc>
              <w:tc>
                <w:tcPr>
                  <w:tcW w:w="393" w:type="pct"/>
                  <w:vMerge w:val="continue"/>
                  <w:noWrap w:val="0"/>
                  <w:vAlign w:val="center"/>
                </w:tcPr>
                <w:p w14:paraId="5624DFF0">
                  <w:pPr>
                    <w:jc w:val="center"/>
                    <w:rPr>
                      <w:sz w:val="21"/>
                      <w:szCs w:val="21"/>
                    </w:rPr>
                  </w:pPr>
                </w:p>
              </w:tc>
              <w:tc>
                <w:tcPr>
                  <w:tcW w:w="668" w:type="pct"/>
                  <w:noWrap w:val="0"/>
                  <w:vAlign w:val="center"/>
                </w:tcPr>
                <w:p w14:paraId="257378E2">
                  <w:pPr>
                    <w:jc w:val="center"/>
                    <w:rPr>
                      <w:sz w:val="21"/>
                      <w:szCs w:val="21"/>
                    </w:rPr>
                  </w:pPr>
                  <w:r>
                    <w:rPr>
                      <w:sz w:val="21"/>
                      <w:szCs w:val="21"/>
                    </w:rPr>
                    <w:t>坐标</w:t>
                  </w:r>
                </w:p>
              </w:tc>
              <w:tc>
                <w:tcPr>
                  <w:tcW w:w="417" w:type="pct"/>
                  <w:noWrap w:val="0"/>
                  <w:vAlign w:val="center"/>
                </w:tcPr>
                <w:p w14:paraId="3AE67F2B">
                  <w:pPr>
                    <w:jc w:val="center"/>
                    <w:rPr>
                      <w:sz w:val="21"/>
                      <w:szCs w:val="21"/>
                    </w:rPr>
                  </w:pPr>
                  <w:r>
                    <w:rPr>
                      <w:sz w:val="21"/>
                      <w:szCs w:val="21"/>
                    </w:rPr>
                    <w:t>类型</w:t>
                  </w:r>
                </w:p>
              </w:tc>
              <w:tc>
                <w:tcPr>
                  <w:tcW w:w="622" w:type="pct"/>
                  <w:noWrap w:val="0"/>
                  <w:vAlign w:val="center"/>
                </w:tcPr>
                <w:p w14:paraId="2604F128">
                  <w:pPr>
                    <w:jc w:val="center"/>
                    <w:rPr>
                      <w:sz w:val="21"/>
                      <w:szCs w:val="21"/>
                    </w:rPr>
                  </w:pPr>
                  <w:r>
                    <w:rPr>
                      <w:sz w:val="21"/>
                      <w:szCs w:val="21"/>
                    </w:rPr>
                    <w:t>监测因子</w:t>
                  </w:r>
                </w:p>
              </w:tc>
              <w:tc>
                <w:tcPr>
                  <w:tcW w:w="577" w:type="pct"/>
                  <w:noWrap w:val="0"/>
                  <w:vAlign w:val="center"/>
                </w:tcPr>
                <w:p w14:paraId="0700DE2E">
                  <w:pPr>
                    <w:jc w:val="center"/>
                    <w:rPr>
                      <w:sz w:val="21"/>
                      <w:szCs w:val="21"/>
                    </w:rPr>
                  </w:pPr>
                  <w:r>
                    <w:rPr>
                      <w:sz w:val="21"/>
                      <w:szCs w:val="21"/>
                    </w:rPr>
                    <w:t>监测频次</w:t>
                  </w:r>
                </w:p>
              </w:tc>
              <w:tc>
                <w:tcPr>
                  <w:tcW w:w="1077" w:type="pct"/>
                  <w:vMerge w:val="continue"/>
                  <w:noWrap w:val="0"/>
                  <w:vAlign w:val="center"/>
                </w:tcPr>
                <w:p w14:paraId="10507545">
                  <w:pPr>
                    <w:jc w:val="center"/>
                    <w:rPr>
                      <w:sz w:val="21"/>
                      <w:szCs w:val="21"/>
                    </w:rPr>
                  </w:pPr>
                </w:p>
              </w:tc>
            </w:tr>
            <w:tr w14:paraId="35B6E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536" w:type="pct"/>
                  <w:noWrap w:val="0"/>
                  <w:vAlign w:val="center"/>
                </w:tcPr>
                <w:p w14:paraId="2E7B85E4">
                  <w:pPr>
                    <w:jc w:val="center"/>
                    <w:rPr>
                      <w:rFonts w:hint="default" w:eastAsia="宋体"/>
                      <w:sz w:val="21"/>
                      <w:szCs w:val="21"/>
                      <w:lang w:val="en-US" w:eastAsia="zh-CN"/>
                    </w:rPr>
                  </w:pPr>
                  <w:r>
                    <w:rPr>
                      <w:rFonts w:hint="eastAsia"/>
                      <w:sz w:val="21"/>
                      <w:szCs w:val="21"/>
                      <w:lang w:val="en-US" w:eastAsia="zh-CN"/>
                    </w:rPr>
                    <w:t>污水处理站进水口</w:t>
                  </w:r>
                </w:p>
              </w:tc>
              <w:tc>
                <w:tcPr>
                  <w:tcW w:w="294" w:type="pct"/>
                  <w:noWrap w:val="0"/>
                  <w:vAlign w:val="center"/>
                </w:tcPr>
                <w:p w14:paraId="57E62FDE">
                  <w:pPr>
                    <w:jc w:val="center"/>
                    <w:rPr>
                      <w:rFonts w:hint="default" w:eastAsia="宋体"/>
                      <w:sz w:val="21"/>
                      <w:szCs w:val="21"/>
                      <w:lang w:val="en-US" w:eastAsia="zh-CN"/>
                    </w:rPr>
                  </w:pPr>
                  <w:r>
                    <w:rPr>
                      <w:rFonts w:hint="default" w:eastAsia="宋体"/>
                      <w:sz w:val="21"/>
                      <w:szCs w:val="21"/>
                      <w:lang w:val="en-US" w:eastAsia="zh-CN"/>
                    </w:rPr>
                    <w:t>纳管接收</w:t>
                  </w:r>
                </w:p>
              </w:tc>
              <w:tc>
                <w:tcPr>
                  <w:tcW w:w="413" w:type="pct"/>
                  <w:noWrap w:val="0"/>
                  <w:vAlign w:val="center"/>
                </w:tcPr>
                <w:p w14:paraId="5167DB27">
                  <w:pPr>
                    <w:jc w:val="center"/>
                    <w:rPr>
                      <w:rFonts w:hint="eastAsia" w:eastAsia="宋体"/>
                      <w:sz w:val="21"/>
                      <w:szCs w:val="21"/>
                      <w:lang w:val="en-US" w:eastAsia="zh-CN"/>
                    </w:rPr>
                  </w:pPr>
                  <w:r>
                    <w:rPr>
                      <w:rFonts w:hint="eastAsia"/>
                      <w:sz w:val="21"/>
                      <w:szCs w:val="21"/>
                      <w:lang w:val="en-US" w:eastAsia="zh-CN"/>
                    </w:rPr>
                    <w:t>/</w:t>
                  </w:r>
                </w:p>
              </w:tc>
              <w:tc>
                <w:tcPr>
                  <w:tcW w:w="393" w:type="pct"/>
                  <w:noWrap w:val="0"/>
                  <w:vAlign w:val="center"/>
                </w:tcPr>
                <w:p w14:paraId="1D563013">
                  <w:pPr>
                    <w:jc w:val="center"/>
                    <w:rPr>
                      <w:sz w:val="21"/>
                      <w:szCs w:val="21"/>
                    </w:rPr>
                  </w:pPr>
                  <w:r>
                    <w:rPr>
                      <w:rFonts w:hint="eastAsia"/>
                      <w:sz w:val="21"/>
                      <w:szCs w:val="21"/>
                    </w:rPr>
                    <w:t>间隙排放、排放期间流量稳定</w:t>
                  </w:r>
                </w:p>
              </w:tc>
              <w:tc>
                <w:tcPr>
                  <w:tcW w:w="668" w:type="pct"/>
                  <w:noWrap w:val="0"/>
                  <w:vAlign w:val="center"/>
                </w:tcPr>
                <w:p w14:paraId="2089984B">
                  <w:pPr>
                    <w:jc w:val="center"/>
                    <w:rPr>
                      <w:sz w:val="21"/>
                      <w:szCs w:val="21"/>
                    </w:rPr>
                  </w:pPr>
                  <w:r>
                    <w:rPr>
                      <w:rFonts w:hint="default" w:asciiTheme="minorAscii" w:hAnsiTheme="minorAscii"/>
                      <w:sz w:val="21"/>
                      <w:szCs w:val="21"/>
                    </w:rPr>
                    <w:t>东经86°36′41.249″，北纬42°2′23.633″</w:t>
                  </w:r>
                </w:p>
              </w:tc>
              <w:tc>
                <w:tcPr>
                  <w:tcW w:w="417" w:type="pct"/>
                  <w:noWrap w:val="0"/>
                  <w:vAlign w:val="center"/>
                </w:tcPr>
                <w:p w14:paraId="0794BF8D">
                  <w:pPr>
                    <w:jc w:val="center"/>
                    <w:rPr>
                      <w:rFonts w:hint="eastAsia" w:eastAsia="宋体"/>
                      <w:sz w:val="21"/>
                      <w:szCs w:val="21"/>
                      <w:lang w:val="en-US" w:eastAsia="zh-CN"/>
                    </w:rPr>
                  </w:pPr>
                  <w:r>
                    <w:rPr>
                      <w:rFonts w:hint="eastAsia"/>
                      <w:sz w:val="21"/>
                      <w:szCs w:val="21"/>
                      <w:lang w:val="en-US" w:eastAsia="zh-CN"/>
                    </w:rPr>
                    <w:t>/</w:t>
                  </w:r>
                </w:p>
              </w:tc>
              <w:tc>
                <w:tcPr>
                  <w:tcW w:w="622" w:type="pct"/>
                  <w:noWrap w:val="0"/>
                  <w:vAlign w:val="center"/>
                </w:tcPr>
                <w:p w14:paraId="5F1BC389">
                  <w:pPr>
                    <w:jc w:val="center"/>
                    <w:rPr>
                      <w:sz w:val="21"/>
                      <w:szCs w:val="21"/>
                    </w:rPr>
                  </w:pPr>
                  <w:r>
                    <w:rPr>
                      <w:rFonts w:hint="eastAsia"/>
                      <w:sz w:val="21"/>
                      <w:szCs w:val="21"/>
                    </w:rPr>
                    <w:t>pH、流量、CODcr、NH</w:t>
                  </w:r>
                  <w:r>
                    <w:rPr>
                      <w:rFonts w:hint="eastAsia"/>
                      <w:sz w:val="21"/>
                      <w:szCs w:val="21"/>
                      <w:vertAlign w:val="subscript"/>
                      <w:lang w:val="en-US" w:eastAsia="zh-CN"/>
                    </w:rPr>
                    <w:t>3</w:t>
                  </w:r>
                  <w:r>
                    <w:rPr>
                      <w:rFonts w:hint="eastAsia"/>
                      <w:sz w:val="21"/>
                      <w:szCs w:val="21"/>
                      <w:lang w:val="en-US" w:eastAsia="zh-CN"/>
                    </w:rPr>
                    <w:t>-</w:t>
                  </w:r>
                  <w:r>
                    <w:rPr>
                      <w:rFonts w:hint="eastAsia"/>
                      <w:sz w:val="21"/>
                      <w:szCs w:val="21"/>
                    </w:rPr>
                    <w:t>N</w:t>
                  </w:r>
                </w:p>
              </w:tc>
              <w:tc>
                <w:tcPr>
                  <w:tcW w:w="577" w:type="pct"/>
                  <w:noWrap w:val="0"/>
                  <w:vAlign w:val="center"/>
                </w:tcPr>
                <w:p w14:paraId="1629164C">
                  <w:pPr>
                    <w:jc w:val="center"/>
                    <w:rPr>
                      <w:sz w:val="21"/>
                      <w:szCs w:val="21"/>
                    </w:rPr>
                  </w:pPr>
                  <w:r>
                    <w:rPr>
                      <w:sz w:val="21"/>
                      <w:szCs w:val="21"/>
                    </w:rPr>
                    <w:t>1次/季度</w:t>
                  </w:r>
                </w:p>
              </w:tc>
              <w:tc>
                <w:tcPr>
                  <w:tcW w:w="1077" w:type="pct"/>
                  <w:noWrap w:val="0"/>
                  <w:vAlign w:val="center"/>
                </w:tcPr>
                <w:p w14:paraId="2FD3E898">
                  <w:pPr>
                    <w:jc w:val="center"/>
                    <w:rPr>
                      <w:sz w:val="21"/>
                      <w:szCs w:val="21"/>
                    </w:rPr>
                  </w:pPr>
                  <w:r>
                    <w:rPr>
                      <w:rFonts w:hint="eastAsia"/>
                      <w:sz w:val="21"/>
                      <w:szCs w:val="21"/>
                    </w:rPr>
                    <w:t>管控入园企业纳管废水，不得超过本项目设计进水水质限值</w:t>
                  </w:r>
                </w:p>
              </w:tc>
            </w:tr>
            <w:tr w14:paraId="2219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536" w:type="pct"/>
                  <w:vMerge w:val="restart"/>
                  <w:noWrap w:val="0"/>
                  <w:vAlign w:val="center"/>
                </w:tcPr>
                <w:p w14:paraId="301B1A80">
                  <w:pPr>
                    <w:jc w:val="center"/>
                    <w:rPr>
                      <w:sz w:val="21"/>
                      <w:szCs w:val="21"/>
                    </w:rPr>
                  </w:pPr>
                  <w:r>
                    <w:rPr>
                      <w:rFonts w:hint="eastAsia"/>
                      <w:sz w:val="21"/>
                      <w:szCs w:val="21"/>
                      <w:lang w:val="en-US" w:eastAsia="zh-CN"/>
                    </w:rPr>
                    <w:t>DW</w:t>
                  </w:r>
                  <w:r>
                    <w:rPr>
                      <w:sz w:val="21"/>
                      <w:szCs w:val="21"/>
                    </w:rPr>
                    <w:t>-001</w:t>
                  </w:r>
                </w:p>
              </w:tc>
              <w:tc>
                <w:tcPr>
                  <w:tcW w:w="294" w:type="pct"/>
                  <w:vMerge w:val="restart"/>
                  <w:noWrap w:val="0"/>
                  <w:vAlign w:val="center"/>
                </w:tcPr>
                <w:p w14:paraId="1FA6649F">
                  <w:pPr>
                    <w:jc w:val="center"/>
                    <w:rPr>
                      <w:rFonts w:hint="default" w:eastAsia="宋体"/>
                      <w:sz w:val="21"/>
                      <w:szCs w:val="21"/>
                      <w:lang w:val="en-US" w:eastAsia="zh-CN"/>
                    </w:rPr>
                  </w:pPr>
                  <w:r>
                    <w:rPr>
                      <w:rFonts w:hint="eastAsia"/>
                      <w:sz w:val="21"/>
                      <w:szCs w:val="21"/>
                      <w:lang w:val="en-US" w:eastAsia="zh-CN"/>
                    </w:rPr>
                    <w:t>综合利用</w:t>
                  </w:r>
                </w:p>
              </w:tc>
              <w:tc>
                <w:tcPr>
                  <w:tcW w:w="413" w:type="pct"/>
                  <w:vMerge w:val="restart"/>
                  <w:noWrap w:val="0"/>
                  <w:vAlign w:val="center"/>
                </w:tcPr>
                <w:p w14:paraId="436DD086">
                  <w:pPr>
                    <w:jc w:val="center"/>
                    <w:rPr>
                      <w:sz w:val="21"/>
                      <w:szCs w:val="21"/>
                    </w:rPr>
                  </w:pPr>
                  <w:r>
                    <w:rPr>
                      <w:rFonts w:hint="eastAsia"/>
                      <w:sz w:val="21"/>
                      <w:szCs w:val="21"/>
                    </w:rPr>
                    <w:t>尾水全部通过排碱渠排入下游苇区灌溉、绿化</w:t>
                  </w:r>
                </w:p>
              </w:tc>
              <w:tc>
                <w:tcPr>
                  <w:tcW w:w="393" w:type="pct"/>
                  <w:vMerge w:val="restart"/>
                  <w:noWrap w:val="0"/>
                  <w:vAlign w:val="center"/>
                </w:tcPr>
                <w:p w14:paraId="3947914B">
                  <w:pPr>
                    <w:jc w:val="center"/>
                    <w:rPr>
                      <w:sz w:val="21"/>
                      <w:szCs w:val="21"/>
                    </w:rPr>
                  </w:pPr>
                  <w:r>
                    <w:rPr>
                      <w:sz w:val="21"/>
                      <w:szCs w:val="21"/>
                    </w:rPr>
                    <w:t>间隙排放、排放期间流量稳定</w:t>
                  </w:r>
                </w:p>
              </w:tc>
              <w:tc>
                <w:tcPr>
                  <w:tcW w:w="668" w:type="pct"/>
                  <w:vMerge w:val="restart"/>
                  <w:noWrap w:val="0"/>
                  <w:vAlign w:val="center"/>
                </w:tcPr>
                <w:p w14:paraId="0FB52E7D">
                  <w:pPr>
                    <w:jc w:val="center"/>
                    <w:rPr>
                      <w:sz w:val="21"/>
                      <w:szCs w:val="21"/>
                    </w:rPr>
                  </w:pPr>
                  <w:r>
                    <w:rPr>
                      <w:rFonts w:hint="default" w:asciiTheme="minorAscii" w:hAnsiTheme="minorAscii"/>
                      <w:sz w:val="21"/>
                      <w:szCs w:val="21"/>
                    </w:rPr>
                    <w:t>东经86°36′42.628″，北纬42°2′23.241″</w:t>
                  </w:r>
                </w:p>
              </w:tc>
              <w:tc>
                <w:tcPr>
                  <w:tcW w:w="417" w:type="pct"/>
                  <w:vMerge w:val="restart"/>
                  <w:noWrap w:val="0"/>
                  <w:vAlign w:val="center"/>
                </w:tcPr>
                <w:p w14:paraId="2EA333F3">
                  <w:pPr>
                    <w:jc w:val="center"/>
                    <w:rPr>
                      <w:sz w:val="21"/>
                      <w:szCs w:val="21"/>
                    </w:rPr>
                  </w:pPr>
                  <w:r>
                    <w:rPr>
                      <w:sz w:val="21"/>
                      <w:szCs w:val="21"/>
                    </w:rPr>
                    <w:t>一般排放口</w:t>
                  </w:r>
                </w:p>
              </w:tc>
              <w:tc>
                <w:tcPr>
                  <w:tcW w:w="622" w:type="pct"/>
                  <w:noWrap w:val="0"/>
                  <w:vAlign w:val="center"/>
                </w:tcPr>
                <w:p w14:paraId="67C3C6A0">
                  <w:pPr>
                    <w:jc w:val="center"/>
                    <w:rPr>
                      <w:rFonts w:hint="default" w:eastAsia="宋体"/>
                      <w:sz w:val="21"/>
                      <w:szCs w:val="21"/>
                      <w:lang w:val="en-US" w:eastAsia="zh-CN"/>
                    </w:rPr>
                  </w:pPr>
                  <w:r>
                    <w:rPr>
                      <w:rFonts w:hint="eastAsia"/>
                      <w:sz w:val="21"/>
                      <w:szCs w:val="21"/>
                      <w:lang w:val="en-US" w:eastAsia="zh-CN"/>
                    </w:rPr>
                    <w:t>pH、流量</w:t>
                  </w:r>
                  <w:r>
                    <w:rPr>
                      <w:rFonts w:hint="eastAsia"/>
                      <w:sz w:val="21"/>
                      <w:szCs w:val="21"/>
                      <w:lang w:eastAsia="zh-CN"/>
                    </w:rPr>
                    <w:t>CODcr</w:t>
                  </w:r>
                  <w:r>
                    <w:rPr>
                      <w:sz w:val="21"/>
                      <w:szCs w:val="21"/>
                    </w:rPr>
                    <w:t>、NH</w:t>
                  </w:r>
                  <w:r>
                    <w:rPr>
                      <w:sz w:val="21"/>
                      <w:szCs w:val="21"/>
                      <w:vertAlign w:val="subscript"/>
                    </w:rPr>
                    <w:t>3</w:t>
                  </w:r>
                  <w:r>
                    <w:rPr>
                      <w:sz w:val="21"/>
                      <w:szCs w:val="21"/>
                    </w:rPr>
                    <w:t>-N、</w:t>
                  </w:r>
                  <w:r>
                    <w:rPr>
                      <w:rFonts w:hint="eastAsia"/>
                      <w:sz w:val="21"/>
                      <w:szCs w:val="21"/>
                      <w:lang w:val="en-US" w:eastAsia="zh-CN"/>
                    </w:rPr>
                    <w:t>动植物油</w:t>
                  </w:r>
                </w:p>
              </w:tc>
              <w:tc>
                <w:tcPr>
                  <w:tcW w:w="577" w:type="pct"/>
                  <w:noWrap w:val="0"/>
                  <w:vAlign w:val="center"/>
                </w:tcPr>
                <w:p w14:paraId="55FC6F46">
                  <w:pPr>
                    <w:jc w:val="center"/>
                    <w:rPr>
                      <w:sz w:val="21"/>
                      <w:szCs w:val="21"/>
                    </w:rPr>
                  </w:pPr>
                  <w:r>
                    <w:rPr>
                      <w:sz w:val="21"/>
                      <w:szCs w:val="21"/>
                    </w:rPr>
                    <w:t>1次/季度</w:t>
                  </w:r>
                </w:p>
              </w:tc>
              <w:tc>
                <w:tcPr>
                  <w:tcW w:w="1077" w:type="pct"/>
                  <w:vMerge w:val="restart"/>
                  <w:noWrap w:val="0"/>
                  <w:vAlign w:val="center"/>
                </w:tcPr>
                <w:p w14:paraId="374BF25D">
                  <w:pPr>
                    <w:jc w:val="center"/>
                    <w:rPr>
                      <w:rFonts w:hint="default" w:eastAsia="宋体"/>
                      <w:sz w:val="21"/>
                      <w:szCs w:val="21"/>
                      <w:lang w:val="en-US" w:eastAsia="zh-CN"/>
                    </w:rPr>
                  </w:pPr>
                  <w:r>
                    <w:rPr>
                      <w:rFonts w:hint="eastAsia"/>
                      <w:sz w:val="21"/>
                      <w:szCs w:val="21"/>
                    </w:rPr>
                    <w:t>《城镇污水处理厂污染物排放标准》（GB18918-2002）一级A标准</w:t>
                  </w:r>
                  <w:r>
                    <w:rPr>
                      <w:rFonts w:hint="eastAsia"/>
                      <w:sz w:val="21"/>
                      <w:szCs w:val="21"/>
                      <w:lang w:eastAsia="zh-CN"/>
                    </w:rPr>
                    <w:t>，</w:t>
                  </w:r>
                  <w:r>
                    <w:rPr>
                      <w:rFonts w:hint="eastAsia"/>
                      <w:sz w:val="21"/>
                      <w:szCs w:val="21"/>
                      <w:lang w:val="en-US" w:eastAsia="zh-CN"/>
                    </w:rPr>
                    <w:t>需同时满足《城市污水再生利用 景观环境用水水质》（GB/T 18921-2019）中湿地环境用水相关要求</w:t>
                  </w:r>
                </w:p>
              </w:tc>
            </w:tr>
            <w:tr w14:paraId="7D81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536" w:type="pct"/>
                  <w:vMerge w:val="continue"/>
                  <w:noWrap w:val="0"/>
                  <w:vAlign w:val="center"/>
                </w:tcPr>
                <w:p w14:paraId="5107E929">
                  <w:pPr>
                    <w:jc w:val="center"/>
                    <w:rPr>
                      <w:sz w:val="21"/>
                      <w:szCs w:val="21"/>
                    </w:rPr>
                  </w:pPr>
                </w:p>
              </w:tc>
              <w:tc>
                <w:tcPr>
                  <w:tcW w:w="294" w:type="pct"/>
                  <w:vMerge w:val="continue"/>
                  <w:noWrap w:val="0"/>
                  <w:vAlign w:val="center"/>
                </w:tcPr>
                <w:p w14:paraId="2BC4D6DB">
                  <w:pPr>
                    <w:jc w:val="center"/>
                    <w:rPr>
                      <w:sz w:val="21"/>
                      <w:szCs w:val="21"/>
                    </w:rPr>
                  </w:pPr>
                </w:p>
              </w:tc>
              <w:tc>
                <w:tcPr>
                  <w:tcW w:w="413" w:type="pct"/>
                  <w:vMerge w:val="continue"/>
                  <w:noWrap w:val="0"/>
                  <w:vAlign w:val="center"/>
                </w:tcPr>
                <w:p w14:paraId="73F134A7">
                  <w:pPr>
                    <w:jc w:val="center"/>
                    <w:rPr>
                      <w:sz w:val="21"/>
                      <w:szCs w:val="21"/>
                    </w:rPr>
                  </w:pPr>
                </w:p>
              </w:tc>
              <w:tc>
                <w:tcPr>
                  <w:tcW w:w="393" w:type="pct"/>
                  <w:vMerge w:val="continue"/>
                  <w:noWrap w:val="0"/>
                  <w:vAlign w:val="center"/>
                </w:tcPr>
                <w:p w14:paraId="268FB0BD">
                  <w:pPr>
                    <w:jc w:val="center"/>
                    <w:rPr>
                      <w:sz w:val="21"/>
                      <w:szCs w:val="21"/>
                    </w:rPr>
                  </w:pPr>
                </w:p>
              </w:tc>
              <w:tc>
                <w:tcPr>
                  <w:tcW w:w="668" w:type="pct"/>
                  <w:vMerge w:val="continue"/>
                  <w:noWrap w:val="0"/>
                  <w:vAlign w:val="center"/>
                </w:tcPr>
                <w:p w14:paraId="51FADCE3">
                  <w:pPr>
                    <w:jc w:val="center"/>
                    <w:rPr>
                      <w:sz w:val="21"/>
                      <w:szCs w:val="21"/>
                    </w:rPr>
                  </w:pPr>
                </w:p>
              </w:tc>
              <w:tc>
                <w:tcPr>
                  <w:tcW w:w="417" w:type="pct"/>
                  <w:vMerge w:val="continue"/>
                  <w:noWrap w:val="0"/>
                  <w:vAlign w:val="center"/>
                </w:tcPr>
                <w:p w14:paraId="1B0281DF">
                  <w:pPr>
                    <w:jc w:val="center"/>
                    <w:rPr>
                      <w:sz w:val="21"/>
                      <w:szCs w:val="21"/>
                    </w:rPr>
                  </w:pPr>
                </w:p>
              </w:tc>
              <w:tc>
                <w:tcPr>
                  <w:tcW w:w="622" w:type="pct"/>
                  <w:noWrap w:val="0"/>
                  <w:vAlign w:val="center"/>
                </w:tcPr>
                <w:p w14:paraId="594F3EB3">
                  <w:pPr>
                    <w:jc w:val="center"/>
                    <w:rPr>
                      <w:rFonts w:hint="eastAsia" w:eastAsia="宋体"/>
                      <w:sz w:val="21"/>
                      <w:szCs w:val="21"/>
                      <w:lang w:eastAsia="zh-CN"/>
                    </w:rPr>
                  </w:pPr>
                  <w:r>
                    <w:rPr>
                      <w:sz w:val="21"/>
                      <w:szCs w:val="21"/>
                    </w:rPr>
                    <w:t>BOD</w:t>
                  </w:r>
                  <w:r>
                    <w:rPr>
                      <w:sz w:val="21"/>
                      <w:szCs w:val="21"/>
                      <w:vertAlign w:val="subscript"/>
                    </w:rPr>
                    <w:t>5</w:t>
                  </w:r>
                  <w:r>
                    <w:rPr>
                      <w:sz w:val="21"/>
                      <w:szCs w:val="21"/>
                    </w:rPr>
                    <w:t>、SS、</w:t>
                  </w:r>
                  <w:r>
                    <w:rPr>
                      <w:rFonts w:hint="eastAsia"/>
                      <w:sz w:val="21"/>
                      <w:szCs w:val="21"/>
                    </w:rPr>
                    <w:t>总磷</w:t>
                  </w:r>
                  <w:r>
                    <w:rPr>
                      <w:rFonts w:hint="eastAsia"/>
                      <w:sz w:val="21"/>
                      <w:szCs w:val="21"/>
                      <w:lang w:eastAsia="zh-CN"/>
                    </w:rPr>
                    <w:t>、</w:t>
                  </w:r>
                  <w:r>
                    <w:rPr>
                      <w:rFonts w:hint="eastAsia"/>
                      <w:sz w:val="21"/>
                      <w:szCs w:val="21"/>
                    </w:rPr>
                    <w:t>总氮、</w:t>
                  </w:r>
                </w:p>
              </w:tc>
              <w:tc>
                <w:tcPr>
                  <w:tcW w:w="577" w:type="pct"/>
                  <w:noWrap w:val="0"/>
                  <w:vAlign w:val="center"/>
                </w:tcPr>
                <w:p w14:paraId="7841808B">
                  <w:pPr>
                    <w:jc w:val="center"/>
                    <w:rPr>
                      <w:rFonts w:hint="eastAsia" w:eastAsia="宋体"/>
                      <w:sz w:val="21"/>
                      <w:szCs w:val="21"/>
                      <w:lang w:val="en-US" w:eastAsia="zh-CN"/>
                    </w:rPr>
                  </w:pPr>
                  <w:r>
                    <w:rPr>
                      <w:sz w:val="21"/>
                      <w:szCs w:val="21"/>
                    </w:rPr>
                    <w:t>1次/</w:t>
                  </w:r>
                  <w:r>
                    <w:rPr>
                      <w:rFonts w:hint="eastAsia"/>
                      <w:sz w:val="21"/>
                      <w:szCs w:val="21"/>
                      <w:lang w:val="en-US" w:eastAsia="zh-CN"/>
                    </w:rPr>
                    <w:t>年</w:t>
                  </w:r>
                </w:p>
              </w:tc>
              <w:tc>
                <w:tcPr>
                  <w:tcW w:w="1077" w:type="pct"/>
                  <w:vMerge w:val="continue"/>
                  <w:noWrap w:val="0"/>
                  <w:vAlign w:val="center"/>
                </w:tcPr>
                <w:p w14:paraId="0A4F2045">
                  <w:pPr>
                    <w:jc w:val="center"/>
                    <w:rPr>
                      <w:sz w:val="21"/>
                      <w:szCs w:val="21"/>
                    </w:rPr>
                  </w:pPr>
                </w:p>
              </w:tc>
            </w:tr>
          </w:tbl>
          <w:p w14:paraId="2EF5E3DB">
            <w:pPr>
              <w:spacing w:line="360" w:lineRule="auto"/>
              <w:rPr>
                <w:rFonts w:hint="eastAsia" w:ascii="宋体" w:hAnsi="宋体" w:cs="宋体"/>
                <w:b/>
                <w:sz w:val="24"/>
              </w:rPr>
            </w:pPr>
            <w:r>
              <w:rPr>
                <w:rFonts w:hint="eastAsia" w:ascii="宋体" w:hAnsi="宋体" w:cs="宋体"/>
                <w:b/>
                <w:sz w:val="24"/>
              </w:rPr>
              <w:t>（三）运营期噪声环境影响和保护措施</w:t>
            </w:r>
          </w:p>
          <w:p w14:paraId="7ACC778F">
            <w:pPr>
              <w:spacing w:line="360" w:lineRule="auto"/>
              <w:ind w:firstLine="482" w:firstLineChars="200"/>
              <w:rPr>
                <w:rFonts w:hint="eastAsia"/>
                <w:sz w:val="24"/>
              </w:rPr>
            </w:pPr>
            <w:r>
              <w:rPr>
                <w:rFonts w:hint="eastAsia" w:ascii="宋体" w:hAnsi="宋体" w:cs="宋体"/>
                <w:b/>
                <w:bCs/>
                <w:sz w:val="24"/>
                <w:lang w:val="en-US" w:eastAsia="zh-CN"/>
              </w:rPr>
              <w:t>3.1</w:t>
            </w:r>
            <w:r>
              <w:rPr>
                <w:rFonts w:hint="eastAsia" w:ascii="宋体" w:hAnsi="宋体" w:cs="宋体"/>
                <w:b/>
                <w:bCs/>
                <w:sz w:val="24"/>
              </w:rPr>
              <w:t>噪声污染工序及源强分析</w:t>
            </w:r>
          </w:p>
          <w:p w14:paraId="0ADF160F">
            <w:pPr>
              <w:spacing w:line="360" w:lineRule="auto"/>
              <w:ind w:firstLine="480" w:firstLineChars="200"/>
              <w:jc w:val="left"/>
              <w:rPr>
                <w:rFonts w:hint="eastAsia"/>
                <w:color w:val="000000"/>
                <w:sz w:val="24"/>
              </w:rPr>
            </w:pPr>
            <w:bookmarkStart w:id="23" w:name="OLE_LINK67"/>
            <w:r>
              <w:rPr>
                <w:rFonts w:hint="eastAsia"/>
                <w:color w:val="000000"/>
                <w:sz w:val="24"/>
                <w:lang w:eastAsia="zh-CN"/>
              </w:rPr>
              <w:t>（</w:t>
            </w:r>
            <w:r>
              <w:rPr>
                <w:rFonts w:hint="eastAsia"/>
                <w:color w:val="000000"/>
                <w:sz w:val="24"/>
                <w:lang w:val="en-US" w:eastAsia="zh-CN"/>
              </w:rPr>
              <w:t>1）</w:t>
            </w:r>
            <w:r>
              <w:rPr>
                <w:rFonts w:hint="eastAsia"/>
                <w:color w:val="000000"/>
                <w:sz w:val="24"/>
              </w:rPr>
              <w:t>预测模式的确定</w:t>
            </w:r>
          </w:p>
          <w:p w14:paraId="04EC199A">
            <w:pPr>
              <w:spacing w:line="360" w:lineRule="auto"/>
              <w:ind w:firstLine="480" w:firstLineChars="200"/>
              <w:jc w:val="left"/>
              <w:rPr>
                <w:rFonts w:hint="eastAsia"/>
                <w:color w:val="000000"/>
                <w:sz w:val="24"/>
              </w:rPr>
            </w:pPr>
            <w:r>
              <w:rPr>
                <w:rFonts w:hint="eastAsia"/>
                <w:color w:val="000000"/>
                <w:sz w:val="24"/>
              </w:rPr>
              <w:t>根据项目建设内容及《环境影响评价技术导则—声环境》（HJ2.4-2021）的要求，项目环评采用的模型为《环境影响评价技术导则 声环境》（HJ2.4.2021）附录A（规范性附录）户外声传播的衰减和附录B（规范性附录）中“B.1工业噪声预测计算模型”。</w:t>
            </w:r>
          </w:p>
          <w:p w14:paraId="73811632">
            <w:pPr>
              <w:spacing w:line="360" w:lineRule="auto"/>
              <w:ind w:firstLine="480" w:firstLineChars="200"/>
              <w:jc w:val="left"/>
              <w:rPr>
                <w:rFonts w:hint="eastAsia"/>
                <w:color w:val="000000"/>
                <w:sz w:val="24"/>
              </w:rPr>
            </w:pPr>
            <w:r>
              <w:rPr>
                <w:rFonts w:hint="eastAsia"/>
                <w:color w:val="000000"/>
                <w:sz w:val="24"/>
                <w:lang w:eastAsia="zh-CN"/>
              </w:rPr>
              <w:t>（</w:t>
            </w:r>
            <w:r>
              <w:rPr>
                <w:rFonts w:hint="eastAsia"/>
                <w:color w:val="000000"/>
                <w:sz w:val="24"/>
                <w:lang w:val="en-US" w:eastAsia="zh-CN"/>
              </w:rPr>
              <w:t>2</w:t>
            </w:r>
            <w:r>
              <w:rPr>
                <w:rFonts w:hint="eastAsia"/>
                <w:color w:val="000000"/>
                <w:sz w:val="24"/>
                <w:lang w:eastAsia="zh-CN"/>
              </w:rPr>
              <w:t>）</w:t>
            </w:r>
            <w:r>
              <w:rPr>
                <w:rFonts w:hint="eastAsia"/>
                <w:color w:val="000000"/>
                <w:sz w:val="24"/>
              </w:rPr>
              <w:t>噪声源参数的确定</w:t>
            </w:r>
          </w:p>
          <w:p w14:paraId="1DA2A806">
            <w:pPr>
              <w:spacing w:line="360" w:lineRule="auto"/>
              <w:ind w:firstLine="480" w:firstLineChars="200"/>
              <w:jc w:val="left"/>
              <w:rPr>
                <w:rFonts w:hint="eastAsia" w:eastAsia="宋体"/>
                <w:color w:val="000000"/>
                <w:sz w:val="24"/>
                <w:lang w:eastAsia="zh-CN"/>
              </w:rPr>
            </w:pPr>
            <w:r>
              <w:rPr>
                <w:rFonts w:hint="eastAsia"/>
                <w:color w:val="000000"/>
                <w:sz w:val="24"/>
              </w:rPr>
              <w:t>根据建设单位所提供的参数及类比调查的结果，主要产噪设备参数见下表</w:t>
            </w:r>
            <w:r>
              <w:rPr>
                <w:rFonts w:hint="eastAsia"/>
                <w:color w:val="000000"/>
                <w:sz w:val="24"/>
                <w:lang w:eastAsia="zh-CN"/>
              </w:rPr>
              <w:t>。</w:t>
            </w:r>
          </w:p>
          <w:bookmarkEnd w:id="23"/>
          <w:p w14:paraId="20EA9493">
            <w:pPr>
              <w:spacing w:line="360" w:lineRule="auto"/>
              <w:rPr>
                <w:rFonts w:hint="eastAsia" w:ascii="宋体" w:hAnsi="宋体" w:cs="宋体"/>
                <w:bCs/>
                <w:spacing w:val="-10"/>
                <w:szCs w:val="21"/>
              </w:rPr>
            </w:pPr>
          </w:p>
          <w:p w14:paraId="01CA313B">
            <w:pPr>
              <w:spacing w:line="360" w:lineRule="auto"/>
              <w:rPr>
                <w:rFonts w:hint="eastAsia" w:ascii="宋体" w:hAnsi="宋体" w:cs="宋体"/>
                <w:bCs/>
                <w:spacing w:val="-10"/>
                <w:szCs w:val="21"/>
              </w:rPr>
            </w:pPr>
          </w:p>
          <w:p w14:paraId="53BD04DA">
            <w:pPr>
              <w:spacing w:line="360" w:lineRule="auto"/>
              <w:rPr>
                <w:rFonts w:hint="eastAsia" w:ascii="宋体" w:hAnsi="宋体" w:cs="宋体"/>
                <w:bCs/>
                <w:spacing w:val="-10"/>
                <w:szCs w:val="21"/>
              </w:rPr>
            </w:pPr>
          </w:p>
          <w:p w14:paraId="7E5834A2">
            <w:pPr>
              <w:spacing w:line="360" w:lineRule="auto"/>
              <w:rPr>
                <w:rFonts w:hint="eastAsia" w:ascii="宋体" w:hAnsi="宋体" w:cs="宋体"/>
                <w:bCs/>
                <w:spacing w:val="-10"/>
                <w:szCs w:val="21"/>
              </w:rPr>
            </w:pPr>
          </w:p>
          <w:p w14:paraId="298DB85E">
            <w:pPr>
              <w:spacing w:line="360" w:lineRule="auto"/>
              <w:rPr>
                <w:rFonts w:hint="eastAsia" w:ascii="宋体" w:hAnsi="宋体" w:cs="宋体"/>
                <w:bCs/>
                <w:spacing w:val="-10"/>
                <w:szCs w:val="21"/>
              </w:rPr>
            </w:pPr>
          </w:p>
          <w:p w14:paraId="67547806">
            <w:pPr>
              <w:spacing w:line="360" w:lineRule="auto"/>
              <w:rPr>
                <w:rFonts w:hint="eastAsia" w:ascii="宋体" w:hAnsi="宋体" w:cs="宋体"/>
                <w:bCs/>
                <w:spacing w:val="-10"/>
                <w:szCs w:val="21"/>
              </w:rPr>
            </w:pPr>
          </w:p>
          <w:p w14:paraId="171DCCF0">
            <w:pPr>
              <w:spacing w:line="360" w:lineRule="auto"/>
              <w:rPr>
                <w:rFonts w:hint="eastAsia" w:ascii="宋体" w:hAnsi="宋体" w:cs="宋体"/>
                <w:bCs/>
                <w:spacing w:val="-10"/>
                <w:szCs w:val="21"/>
              </w:rPr>
            </w:pPr>
          </w:p>
          <w:p w14:paraId="1DAEA4A8">
            <w:pPr>
              <w:spacing w:line="360" w:lineRule="auto"/>
              <w:rPr>
                <w:rFonts w:hint="eastAsia" w:ascii="宋体" w:hAnsi="宋体" w:cs="宋体"/>
                <w:bCs/>
                <w:spacing w:val="-10"/>
                <w:szCs w:val="21"/>
              </w:rPr>
            </w:pPr>
          </w:p>
          <w:p w14:paraId="01FECF6A">
            <w:pPr>
              <w:spacing w:line="360" w:lineRule="auto"/>
              <w:rPr>
                <w:rFonts w:hint="eastAsia" w:ascii="宋体" w:hAnsi="宋体" w:cs="宋体"/>
                <w:bCs/>
                <w:spacing w:val="-10"/>
                <w:szCs w:val="21"/>
              </w:rPr>
            </w:pPr>
          </w:p>
        </w:tc>
      </w:tr>
    </w:tbl>
    <w:p w14:paraId="5A16C41B">
      <w:pPr>
        <w:adjustRightInd w:val="0"/>
        <w:snapToGrid w:val="0"/>
        <w:spacing w:line="360" w:lineRule="auto"/>
        <w:rPr>
          <w:rFonts w:hint="eastAsia" w:ascii="宋体" w:cs="宋体"/>
          <w:b/>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28"/>
      </w:tblGrid>
      <w:tr w14:paraId="3E85E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8" w:type="dxa"/>
          </w:tcPr>
          <w:p w14:paraId="04DC5DE7">
            <w:pPr>
              <w:jc w:val="center"/>
              <w:rPr>
                <w:b/>
                <w:color w:val="000000"/>
                <w:sz w:val="24"/>
              </w:rPr>
            </w:pPr>
            <w:r>
              <w:rPr>
                <w:b/>
                <w:color w:val="000000"/>
                <w:sz w:val="24"/>
              </w:rPr>
              <w:t>表</w:t>
            </w:r>
            <w:r>
              <w:rPr>
                <w:rFonts w:hint="eastAsia"/>
                <w:b/>
                <w:color w:val="000000"/>
                <w:sz w:val="24"/>
                <w:lang w:val="en-US" w:eastAsia="zh-CN"/>
              </w:rPr>
              <w:t>4-12</w:t>
            </w:r>
            <w:r>
              <w:rPr>
                <w:rFonts w:hint="eastAsia"/>
                <w:b/>
                <w:color w:val="000000"/>
                <w:sz w:val="24"/>
              </w:rPr>
              <w:t xml:space="preserve"> </w:t>
            </w:r>
            <w:r>
              <w:rPr>
                <w:b/>
                <w:color w:val="000000"/>
                <w:sz w:val="24"/>
              </w:rPr>
              <w:t xml:space="preserve">  </w:t>
            </w:r>
            <w:r>
              <w:rPr>
                <w:rFonts w:hint="eastAsia"/>
                <w:b/>
                <w:color w:val="000000"/>
                <w:sz w:val="24"/>
              </w:rPr>
              <w:t>项目主要噪声源强及治理措施一览表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80"/>
              <w:gridCol w:w="645"/>
              <w:gridCol w:w="755"/>
              <w:gridCol w:w="481"/>
              <w:gridCol w:w="783"/>
              <w:gridCol w:w="812"/>
              <w:gridCol w:w="424"/>
              <w:gridCol w:w="544"/>
              <w:gridCol w:w="383"/>
              <w:gridCol w:w="409"/>
              <w:gridCol w:w="411"/>
              <w:gridCol w:w="409"/>
              <w:gridCol w:w="414"/>
              <w:gridCol w:w="416"/>
              <w:gridCol w:w="416"/>
              <w:gridCol w:w="416"/>
              <w:gridCol w:w="419"/>
              <w:gridCol w:w="591"/>
              <w:gridCol w:w="440"/>
              <w:gridCol w:w="440"/>
              <w:gridCol w:w="440"/>
              <w:gridCol w:w="445"/>
              <w:gridCol w:w="383"/>
              <w:gridCol w:w="383"/>
              <w:gridCol w:w="383"/>
              <w:gridCol w:w="383"/>
              <w:gridCol w:w="497"/>
            </w:tblGrid>
            <w:tr w14:paraId="7CB9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2" w:hRule="exact"/>
              </w:trPr>
              <w:tc>
                <w:tcPr>
                  <w:tcW w:w="185" w:type="pct"/>
                  <w:vMerge w:val="restart"/>
                  <w:shd w:val="clear" w:color="auto" w:fill="auto"/>
                  <w:vAlign w:val="center"/>
                </w:tcPr>
                <w:p w14:paraId="4079B276">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b/>
                      <w:sz w:val="21"/>
                      <w:szCs w:val="21"/>
                    </w:rPr>
                    <w:t>序号</w:t>
                  </w:r>
                </w:p>
              </w:tc>
              <w:tc>
                <w:tcPr>
                  <w:tcW w:w="248" w:type="pct"/>
                  <w:vMerge w:val="restart"/>
                  <w:shd w:val="clear" w:color="auto" w:fill="auto"/>
                  <w:vAlign w:val="center"/>
                </w:tcPr>
                <w:p w14:paraId="31912448">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b/>
                      <w:sz w:val="21"/>
                      <w:szCs w:val="21"/>
                    </w:rPr>
                    <w:t>建筑物名称</w:t>
                  </w:r>
                </w:p>
              </w:tc>
              <w:tc>
                <w:tcPr>
                  <w:tcW w:w="290" w:type="pct"/>
                  <w:vMerge w:val="restart"/>
                  <w:shd w:val="clear" w:color="auto" w:fill="auto"/>
                  <w:vAlign w:val="center"/>
                </w:tcPr>
                <w:p w14:paraId="38EB997F">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b/>
                      <w:sz w:val="21"/>
                      <w:szCs w:val="21"/>
                    </w:rPr>
                    <w:t>声源名称</w:t>
                  </w:r>
                </w:p>
              </w:tc>
              <w:tc>
                <w:tcPr>
                  <w:tcW w:w="185" w:type="pct"/>
                  <w:vMerge w:val="restart"/>
                  <w:shd w:val="clear" w:color="auto" w:fill="auto"/>
                  <w:vAlign w:val="center"/>
                </w:tcPr>
                <w:p w14:paraId="01BD0C6F">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b/>
                      <w:sz w:val="21"/>
                      <w:szCs w:val="21"/>
                    </w:rPr>
                    <w:t>型号</w:t>
                  </w:r>
                </w:p>
              </w:tc>
              <w:tc>
                <w:tcPr>
                  <w:tcW w:w="301" w:type="pct"/>
                  <w:shd w:val="clear" w:color="auto" w:fill="auto"/>
                  <w:vAlign w:val="center"/>
                </w:tcPr>
                <w:p w14:paraId="1E55CDFF">
                  <w:pPr>
                    <w:jc w:val="center"/>
                    <w:rPr>
                      <w:rFonts w:hint="default" w:cs="Times New Roman" w:asciiTheme="minorAscii" w:hAnsiTheme="minorAscii" w:eastAsiaTheme="minorEastAsia"/>
                      <w:sz w:val="21"/>
                      <w:szCs w:val="21"/>
                      <w:lang w:eastAsia="zh-CN"/>
                    </w:rPr>
                  </w:pPr>
                  <w:r>
                    <w:rPr>
                      <w:rFonts w:hint="default" w:cs="Times New Roman" w:asciiTheme="minorAscii" w:hAnsiTheme="minorAscii" w:eastAsiaTheme="minorEastAsia"/>
                      <w:b/>
                      <w:sz w:val="21"/>
                      <w:szCs w:val="21"/>
                      <w:lang w:eastAsia="zh-CN"/>
                    </w:rPr>
                    <w:t>声源源强</w:t>
                  </w:r>
                </w:p>
              </w:tc>
              <w:tc>
                <w:tcPr>
                  <w:tcW w:w="312" w:type="pct"/>
                  <w:vMerge w:val="restart"/>
                  <w:shd w:val="clear" w:color="auto" w:fill="auto"/>
                  <w:vAlign w:val="center"/>
                </w:tcPr>
                <w:p w14:paraId="51239849">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b/>
                      <w:sz w:val="21"/>
                      <w:szCs w:val="21"/>
                    </w:rPr>
                    <w:t>声源控制措施</w:t>
                  </w:r>
                </w:p>
              </w:tc>
              <w:tc>
                <w:tcPr>
                  <w:tcW w:w="519" w:type="pct"/>
                  <w:gridSpan w:val="3"/>
                  <w:shd w:val="clear" w:color="auto" w:fill="auto"/>
                  <w:vAlign w:val="center"/>
                </w:tcPr>
                <w:p w14:paraId="0D75BA73">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b/>
                      <w:sz w:val="21"/>
                      <w:szCs w:val="21"/>
                    </w:rPr>
                    <w:t>空间相对位置/m</w:t>
                  </w:r>
                </w:p>
              </w:tc>
              <w:tc>
                <w:tcPr>
                  <w:tcW w:w="631" w:type="pct"/>
                  <w:gridSpan w:val="4"/>
                  <w:shd w:val="clear" w:color="auto" w:fill="auto"/>
                  <w:vAlign w:val="center"/>
                </w:tcPr>
                <w:p w14:paraId="6363A363">
                  <w:pPr>
                    <w:jc w:val="center"/>
                    <w:rPr>
                      <w:rFonts w:hint="default" w:cs="Times New Roman" w:asciiTheme="minorAscii" w:hAnsiTheme="minorAscii" w:eastAsiaTheme="minorEastAsia"/>
                      <w:b/>
                      <w:sz w:val="21"/>
                      <w:szCs w:val="21"/>
                    </w:rPr>
                  </w:pPr>
                  <w:r>
                    <w:rPr>
                      <w:rFonts w:hint="default" w:cs="Times New Roman" w:asciiTheme="minorAscii" w:hAnsiTheme="minorAscii" w:eastAsiaTheme="minorEastAsia"/>
                      <w:b/>
                      <w:sz w:val="21"/>
                      <w:szCs w:val="21"/>
                    </w:rPr>
                    <w:t>距室内边界距离/m</w:t>
                  </w:r>
                </w:p>
              </w:tc>
              <w:tc>
                <w:tcPr>
                  <w:tcW w:w="641" w:type="pct"/>
                  <w:gridSpan w:val="4"/>
                  <w:shd w:val="clear" w:color="auto" w:fill="auto"/>
                  <w:vAlign w:val="center"/>
                </w:tcPr>
                <w:p w14:paraId="53F87ED6">
                  <w:pPr>
                    <w:jc w:val="center"/>
                    <w:rPr>
                      <w:rFonts w:hint="default" w:cs="Times New Roman" w:asciiTheme="minorAscii" w:hAnsiTheme="minorAscii" w:eastAsiaTheme="minorEastAsia"/>
                      <w:b/>
                      <w:sz w:val="21"/>
                      <w:szCs w:val="21"/>
                    </w:rPr>
                  </w:pPr>
                  <w:r>
                    <w:rPr>
                      <w:rFonts w:hint="default" w:cs="Times New Roman" w:asciiTheme="minorAscii" w:hAnsiTheme="minorAscii" w:eastAsiaTheme="minorEastAsia"/>
                      <w:b/>
                      <w:sz w:val="21"/>
                      <w:szCs w:val="21"/>
                    </w:rPr>
                    <w:t>室内边界声级/dB(A)</w:t>
                  </w:r>
                </w:p>
              </w:tc>
              <w:tc>
                <w:tcPr>
                  <w:tcW w:w="227" w:type="pct"/>
                  <w:vMerge w:val="restart"/>
                  <w:shd w:val="clear" w:color="auto" w:fill="auto"/>
                  <w:vAlign w:val="center"/>
                </w:tcPr>
                <w:p w14:paraId="63B58951">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b/>
                      <w:sz w:val="21"/>
                      <w:szCs w:val="21"/>
                    </w:rPr>
                    <w:t>运行时段</w:t>
                  </w:r>
                </w:p>
              </w:tc>
              <w:tc>
                <w:tcPr>
                  <w:tcW w:w="678" w:type="pct"/>
                  <w:gridSpan w:val="4"/>
                  <w:shd w:val="clear" w:color="auto" w:fill="auto"/>
                  <w:vAlign w:val="center"/>
                </w:tcPr>
                <w:p w14:paraId="4D5E254E">
                  <w:pPr>
                    <w:jc w:val="center"/>
                    <w:rPr>
                      <w:rFonts w:hint="default" w:cs="Times New Roman" w:asciiTheme="minorAscii" w:hAnsiTheme="minorAscii" w:eastAsiaTheme="minorEastAsia"/>
                      <w:b/>
                      <w:sz w:val="21"/>
                      <w:szCs w:val="21"/>
                    </w:rPr>
                  </w:pPr>
                  <w:r>
                    <w:rPr>
                      <w:rFonts w:hint="default" w:cs="Times New Roman" w:asciiTheme="minorAscii" w:hAnsiTheme="minorAscii" w:eastAsiaTheme="minorEastAsia"/>
                      <w:b/>
                      <w:sz w:val="21"/>
                      <w:szCs w:val="21"/>
                    </w:rPr>
                    <w:t>建筑物插入损失 / dB(A)</w:t>
                  </w:r>
                </w:p>
              </w:tc>
              <w:tc>
                <w:tcPr>
                  <w:tcW w:w="779" w:type="pct"/>
                  <w:gridSpan w:val="5"/>
                  <w:shd w:val="clear" w:color="auto" w:fill="auto"/>
                  <w:vAlign w:val="center"/>
                </w:tcPr>
                <w:p w14:paraId="739531C4">
                  <w:pPr>
                    <w:jc w:val="center"/>
                    <w:rPr>
                      <w:rFonts w:hint="default" w:cs="Times New Roman" w:asciiTheme="minorAscii" w:hAnsiTheme="minorAscii" w:eastAsiaTheme="minorEastAsia"/>
                      <w:b/>
                      <w:bCs w:val="0"/>
                      <w:sz w:val="21"/>
                      <w:szCs w:val="21"/>
                    </w:rPr>
                  </w:pPr>
                  <w:r>
                    <w:rPr>
                      <w:rFonts w:hint="default" w:cs="Times New Roman" w:asciiTheme="minorAscii" w:hAnsiTheme="minorAscii" w:eastAsiaTheme="minorEastAsia"/>
                      <w:b/>
                      <w:bCs w:val="0"/>
                      <w:sz w:val="21"/>
                      <w:szCs w:val="21"/>
                    </w:rPr>
                    <w:t>建筑物外噪声声压级/dB(A)</w:t>
                  </w:r>
                </w:p>
              </w:tc>
            </w:tr>
            <w:tr w14:paraId="0A6E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85" w:type="pct"/>
                  <w:vMerge w:val="continue"/>
                  <w:shd w:val="clear" w:color="auto" w:fill="auto"/>
                  <w:tcMar>
                    <w:top w:w="0" w:type="dxa"/>
                    <w:left w:w="0" w:type="dxa"/>
                    <w:bottom w:w="0" w:type="dxa"/>
                    <w:right w:w="0" w:type="dxa"/>
                  </w:tcMar>
                  <w:vAlign w:val="center"/>
                </w:tcPr>
                <w:p w14:paraId="25BBD34E">
                  <w:pPr>
                    <w:jc w:val="center"/>
                    <w:rPr>
                      <w:rFonts w:hint="default" w:cs="Times New Roman" w:asciiTheme="minorAscii" w:hAnsiTheme="minorAscii" w:eastAsiaTheme="minorEastAsia"/>
                      <w:sz w:val="21"/>
                      <w:szCs w:val="21"/>
                      <w:lang w:val="en-US" w:eastAsia="zh-CN"/>
                    </w:rPr>
                  </w:pPr>
                </w:p>
              </w:tc>
              <w:tc>
                <w:tcPr>
                  <w:tcW w:w="248" w:type="pct"/>
                  <w:vMerge w:val="continue"/>
                  <w:shd w:val="clear" w:color="auto" w:fill="auto"/>
                  <w:tcMar>
                    <w:top w:w="0" w:type="dxa"/>
                    <w:left w:w="0" w:type="dxa"/>
                    <w:bottom w:w="0" w:type="dxa"/>
                    <w:right w:w="0" w:type="dxa"/>
                  </w:tcMar>
                  <w:vAlign w:val="center"/>
                </w:tcPr>
                <w:p w14:paraId="5DD1C4E6">
                  <w:pPr>
                    <w:jc w:val="center"/>
                    <w:rPr>
                      <w:rFonts w:hint="default" w:cs="Times New Roman" w:asciiTheme="minorAscii" w:hAnsiTheme="minorAscii" w:eastAsiaTheme="minorEastAsia"/>
                      <w:sz w:val="21"/>
                      <w:szCs w:val="21"/>
                    </w:rPr>
                  </w:pPr>
                </w:p>
              </w:tc>
              <w:tc>
                <w:tcPr>
                  <w:tcW w:w="290" w:type="pct"/>
                  <w:vMerge w:val="continue"/>
                  <w:shd w:val="clear" w:color="auto" w:fill="auto"/>
                  <w:tcMar>
                    <w:top w:w="0" w:type="dxa"/>
                    <w:left w:w="0" w:type="dxa"/>
                    <w:bottom w:w="0" w:type="dxa"/>
                    <w:right w:w="0" w:type="dxa"/>
                  </w:tcMar>
                  <w:vAlign w:val="center"/>
                </w:tcPr>
                <w:p w14:paraId="6C34623B">
                  <w:pPr>
                    <w:jc w:val="center"/>
                    <w:rPr>
                      <w:rFonts w:hint="default" w:cs="Times New Roman" w:asciiTheme="minorAscii" w:hAnsiTheme="minorAscii" w:eastAsiaTheme="minorEastAsia"/>
                      <w:sz w:val="21"/>
                      <w:szCs w:val="21"/>
                    </w:rPr>
                  </w:pPr>
                </w:p>
              </w:tc>
              <w:tc>
                <w:tcPr>
                  <w:tcW w:w="185" w:type="pct"/>
                  <w:vMerge w:val="continue"/>
                  <w:shd w:val="clear" w:color="auto" w:fill="auto"/>
                  <w:tcMar>
                    <w:top w:w="0" w:type="dxa"/>
                    <w:left w:w="0" w:type="dxa"/>
                    <w:bottom w:w="0" w:type="dxa"/>
                    <w:right w:w="0" w:type="dxa"/>
                  </w:tcMar>
                  <w:vAlign w:val="center"/>
                </w:tcPr>
                <w:p w14:paraId="15663B4E">
                  <w:pPr>
                    <w:jc w:val="center"/>
                    <w:rPr>
                      <w:rFonts w:hint="default" w:cs="Times New Roman" w:asciiTheme="minorAscii" w:hAnsiTheme="minorAscii" w:eastAsiaTheme="minorEastAsia"/>
                      <w:sz w:val="21"/>
                      <w:szCs w:val="21"/>
                    </w:rPr>
                  </w:pPr>
                </w:p>
              </w:tc>
              <w:tc>
                <w:tcPr>
                  <w:tcW w:w="301" w:type="pct"/>
                  <w:shd w:val="clear" w:color="auto" w:fill="auto"/>
                  <w:tcMar>
                    <w:top w:w="0" w:type="dxa"/>
                    <w:left w:w="0" w:type="dxa"/>
                    <w:bottom w:w="0" w:type="dxa"/>
                    <w:right w:w="0" w:type="dxa"/>
                  </w:tcMar>
                  <w:vAlign w:val="center"/>
                </w:tcPr>
                <w:p w14:paraId="6E1952A5">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rPr>
                    <w:t>声功率级/dB(A)</w:t>
                  </w:r>
                </w:p>
              </w:tc>
              <w:tc>
                <w:tcPr>
                  <w:tcW w:w="312" w:type="pct"/>
                  <w:vMerge w:val="continue"/>
                  <w:shd w:val="clear" w:color="auto" w:fill="auto"/>
                  <w:tcMar>
                    <w:top w:w="0" w:type="dxa"/>
                    <w:left w:w="0" w:type="dxa"/>
                    <w:bottom w:w="0" w:type="dxa"/>
                    <w:right w:w="0" w:type="dxa"/>
                  </w:tcMar>
                  <w:vAlign w:val="center"/>
                </w:tcPr>
                <w:p w14:paraId="2B048189">
                  <w:pPr>
                    <w:jc w:val="center"/>
                    <w:rPr>
                      <w:rFonts w:hint="default" w:cs="Times New Roman" w:asciiTheme="minorAscii" w:hAnsiTheme="minorAscii" w:eastAsiaTheme="minorEastAsia"/>
                      <w:sz w:val="21"/>
                      <w:szCs w:val="21"/>
                    </w:rPr>
                  </w:pPr>
                </w:p>
              </w:tc>
              <w:tc>
                <w:tcPr>
                  <w:tcW w:w="163" w:type="pct"/>
                  <w:shd w:val="clear" w:color="auto" w:fill="auto"/>
                  <w:tcMar>
                    <w:top w:w="0" w:type="dxa"/>
                    <w:left w:w="0" w:type="dxa"/>
                    <w:bottom w:w="0" w:type="dxa"/>
                    <w:right w:w="0" w:type="dxa"/>
                  </w:tcMar>
                  <w:vAlign w:val="center"/>
                </w:tcPr>
                <w:p w14:paraId="546DF46E">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rPr>
                    <w:t>X</w:t>
                  </w:r>
                </w:p>
              </w:tc>
              <w:tc>
                <w:tcPr>
                  <w:tcW w:w="209" w:type="pct"/>
                  <w:shd w:val="clear" w:color="auto" w:fill="auto"/>
                  <w:tcMar>
                    <w:top w:w="0" w:type="dxa"/>
                    <w:left w:w="0" w:type="dxa"/>
                    <w:bottom w:w="0" w:type="dxa"/>
                    <w:right w:w="0" w:type="dxa"/>
                  </w:tcMar>
                  <w:vAlign w:val="center"/>
                </w:tcPr>
                <w:p w14:paraId="5C1EBAC3">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rPr>
                    <w:t>Y</w:t>
                  </w:r>
                </w:p>
              </w:tc>
              <w:tc>
                <w:tcPr>
                  <w:tcW w:w="146" w:type="pct"/>
                  <w:shd w:val="clear" w:color="auto" w:fill="auto"/>
                  <w:tcMar>
                    <w:top w:w="0" w:type="dxa"/>
                    <w:left w:w="0" w:type="dxa"/>
                    <w:bottom w:w="0" w:type="dxa"/>
                    <w:right w:w="0" w:type="dxa"/>
                  </w:tcMar>
                  <w:vAlign w:val="center"/>
                </w:tcPr>
                <w:p w14:paraId="04235105">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rPr>
                    <w:t>Z</w:t>
                  </w:r>
                </w:p>
              </w:tc>
              <w:tc>
                <w:tcPr>
                  <w:tcW w:w="157" w:type="pct"/>
                  <w:shd w:val="clear" w:color="auto" w:fill="auto"/>
                  <w:tcMar>
                    <w:top w:w="0" w:type="dxa"/>
                    <w:left w:w="0" w:type="dxa"/>
                    <w:bottom w:w="0" w:type="dxa"/>
                    <w:right w:w="0" w:type="dxa"/>
                  </w:tcMar>
                  <w:vAlign w:val="center"/>
                </w:tcPr>
                <w:p w14:paraId="09CD0892">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东</w:t>
                  </w:r>
                </w:p>
              </w:tc>
              <w:tc>
                <w:tcPr>
                  <w:tcW w:w="158" w:type="pct"/>
                  <w:shd w:val="clear" w:color="auto" w:fill="auto"/>
                  <w:tcMar>
                    <w:top w:w="0" w:type="dxa"/>
                    <w:left w:w="0" w:type="dxa"/>
                    <w:bottom w:w="0" w:type="dxa"/>
                    <w:right w:w="0" w:type="dxa"/>
                  </w:tcMar>
                  <w:vAlign w:val="center"/>
                </w:tcPr>
                <w:p w14:paraId="7469238F">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南</w:t>
                  </w:r>
                </w:p>
              </w:tc>
              <w:tc>
                <w:tcPr>
                  <w:tcW w:w="157" w:type="pct"/>
                  <w:shd w:val="clear" w:color="auto" w:fill="auto"/>
                  <w:tcMar>
                    <w:top w:w="0" w:type="dxa"/>
                    <w:left w:w="0" w:type="dxa"/>
                    <w:bottom w:w="0" w:type="dxa"/>
                    <w:right w:w="0" w:type="dxa"/>
                  </w:tcMar>
                  <w:vAlign w:val="center"/>
                </w:tcPr>
                <w:p w14:paraId="7FD120C0">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西</w:t>
                  </w:r>
                </w:p>
              </w:tc>
              <w:tc>
                <w:tcPr>
                  <w:tcW w:w="157" w:type="pct"/>
                  <w:shd w:val="clear" w:color="auto" w:fill="auto"/>
                  <w:tcMar>
                    <w:top w:w="0" w:type="dxa"/>
                    <w:left w:w="0" w:type="dxa"/>
                    <w:bottom w:w="0" w:type="dxa"/>
                    <w:right w:w="0" w:type="dxa"/>
                  </w:tcMar>
                  <w:vAlign w:val="center"/>
                </w:tcPr>
                <w:p w14:paraId="2C8EB320">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北</w:t>
                  </w:r>
                </w:p>
              </w:tc>
              <w:tc>
                <w:tcPr>
                  <w:tcW w:w="160" w:type="pct"/>
                  <w:shd w:val="clear" w:color="auto" w:fill="auto"/>
                  <w:tcMar>
                    <w:top w:w="0" w:type="dxa"/>
                    <w:left w:w="0" w:type="dxa"/>
                    <w:bottom w:w="0" w:type="dxa"/>
                    <w:right w:w="0" w:type="dxa"/>
                  </w:tcMar>
                  <w:vAlign w:val="center"/>
                </w:tcPr>
                <w:p w14:paraId="3B99628C">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东</w:t>
                  </w:r>
                </w:p>
              </w:tc>
              <w:tc>
                <w:tcPr>
                  <w:tcW w:w="160" w:type="pct"/>
                  <w:shd w:val="clear" w:color="auto" w:fill="auto"/>
                  <w:tcMar>
                    <w:top w:w="0" w:type="dxa"/>
                    <w:left w:w="0" w:type="dxa"/>
                    <w:bottom w:w="0" w:type="dxa"/>
                    <w:right w:w="0" w:type="dxa"/>
                  </w:tcMar>
                  <w:vAlign w:val="center"/>
                </w:tcPr>
                <w:p w14:paraId="311E6F7D">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南</w:t>
                  </w:r>
                </w:p>
              </w:tc>
              <w:tc>
                <w:tcPr>
                  <w:tcW w:w="160" w:type="pct"/>
                  <w:shd w:val="clear" w:color="auto" w:fill="auto"/>
                  <w:tcMar>
                    <w:top w:w="0" w:type="dxa"/>
                    <w:left w:w="0" w:type="dxa"/>
                    <w:bottom w:w="0" w:type="dxa"/>
                    <w:right w:w="0" w:type="dxa"/>
                  </w:tcMar>
                  <w:vAlign w:val="center"/>
                </w:tcPr>
                <w:p w14:paraId="39C750DA">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西</w:t>
                  </w:r>
                </w:p>
              </w:tc>
              <w:tc>
                <w:tcPr>
                  <w:tcW w:w="160" w:type="pct"/>
                  <w:shd w:val="clear" w:color="auto" w:fill="auto"/>
                  <w:tcMar>
                    <w:top w:w="0" w:type="dxa"/>
                    <w:left w:w="0" w:type="dxa"/>
                    <w:bottom w:w="0" w:type="dxa"/>
                    <w:right w:w="0" w:type="dxa"/>
                  </w:tcMar>
                  <w:vAlign w:val="center"/>
                </w:tcPr>
                <w:p w14:paraId="778B3D94">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北</w:t>
                  </w:r>
                </w:p>
              </w:tc>
              <w:tc>
                <w:tcPr>
                  <w:tcW w:w="227" w:type="pct"/>
                  <w:vMerge w:val="continue"/>
                  <w:shd w:val="clear" w:color="auto" w:fill="auto"/>
                  <w:tcMar>
                    <w:top w:w="0" w:type="dxa"/>
                    <w:left w:w="0" w:type="dxa"/>
                    <w:bottom w:w="0" w:type="dxa"/>
                    <w:right w:w="0" w:type="dxa"/>
                  </w:tcMar>
                  <w:vAlign w:val="center"/>
                </w:tcPr>
                <w:p w14:paraId="1CA0989E">
                  <w:pPr>
                    <w:jc w:val="center"/>
                    <w:rPr>
                      <w:rFonts w:hint="default" w:cs="Times New Roman" w:asciiTheme="minorAscii" w:hAnsiTheme="minorAscii" w:eastAsiaTheme="minorEastAsia"/>
                      <w:sz w:val="21"/>
                      <w:szCs w:val="21"/>
                    </w:rPr>
                  </w:pPr>
                </w:p>
              </w:tc>
              <w:tc>
                <w:tcPr>
                  <w:tcW w:w="169" w:type="pct"/>
                  <w:shd w:val="clear" w:color="auto" w:fill="auto"/>
                  <w:tcMar>
                    <w:top w:w="0" w:type="dxa"/>
                    <w:left w:w="0" w:type="dxa"/>
                    <w:bottom w:w="0" w:type="dxa"/>
                    <w:right w:w="0" w:type="dxa"/>
                  </w:tcMar>
                  <w:vAlign w:val="center"/>
                </w:tcPr>
                <w:p w14:paraId="570C06AC">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东</w:t>
                  </w:r>
                </w:p>
              </w:tc>
              <w:tc>
                <w:tcPr>
                  <w:tcW w:w="169" w:type="pct"/>
                  <w:shd w:val="clear" w:color="auto" w:fill="auto"/>
                  <w:tcMar>
                    <w:top w:w="0" w:type="dxa"/>
                    <w:left w:w="0" w:type="dxa"/>
                    <w:bottom w:w="0" w:type="dxa"/>
                    <w:right w:w="0" w:type="dxa"/>
                  </w:tcMar>
                  <w:vAlign w:val="center"/>
                </w:tcPr>
                <w:p w14:paraId="0AF3DEAD">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南</w:t>
                  </w:r>
                </w:p>
              </w:tc>
              <w:tc>
                <w:tcPr>
                  <w:tcW w:w="169" w:type="pct"/>
                  <w:shd w:val="clear" w:color="auto" w:fill="auto"/>
                  <w:tcMar>
                    <w:top w:w="0" w:type="dxa"/>
                    <w:left w:w="0" w:type="dxa"/>
                    <w:bottom w:w="0" w:type="dxa"/>
                    <w:right w:w="0" w:type="dxa"/>
                  </w:tcMar>
                  <w:vAlign w:val="center"/>
                </w:tcPr>
                <w:p w14:paraId="6BD1A082">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西</w:t>
                  </w:r>
                </w:p>
              </w:tc>
              <w:tc>
                <w:tcPr>
                  <w:tcW w:w="169" w:type="pct"/>
                  <w:shd w:val="clear" w:color="auto" w:fill="auto"/>
                  <w:tcMar>
                    <w:top w:w="0" w:type="dxa"/>
                    <w:left w:w="0" w:type="dxa"/>
                    <w:bottom w:w="0" w:type="dxa"/>
                    <w:right w:w="0" w:type="dxa"/>
                  </w:tcMar>
                  <w:vAlign w:val="center"/>
                </w:tcPr>
                <w:p w14:paraId="796C5155">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北</w:t>
                  </w:r>
                </w:p>
              </w:tc>
              <w:tc>
                <w:tcPr>
                  <w:tcW w:w="147" w:type="pct"/>
                  <w:shd w:val="clear" w:color="auto" w:fill="auto"/>
                  <w:tcMar>
                    <w:top w:w="0" w:type="dxa"/>
                    <w:left w:w="0" w:type="dxa"/>
                    <w:bottom w:w="0" w:type="dxa"/>
                    <w:right w:w="0" w:type="dxa"/>
                  </w:tcMar>
                  <w:vAlign w:val="center"/>
                </w:tcPr>
                <w:p w14:paraId="66B7127B">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东</w:t>
                  </w:r>
                </w:p>
              </w:tc>
              <w:tc>
                <w:tcPr>
                  <w:tcW w:w="147" w:type="pct"/>
                  <w:shd w:val="clear" w:color="auto" w:fill="auto"/>
                  <w:tcMar>
                    <w:top w:w="0" w:type="dxa"/>
                    <w:left w:w="0" w:type="dxa"/>
                    <w:bottom w:w="0" w:type="dxa"/>
                    <w:right w:w="0" w:type="dxa"/>
                  </w:tcMar>
                  <w:vAlign w:val="center"/>
                </w:tcPr>
                <w:p w14:paraId="12C00861">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南</w:t>
                  </w:r>
                </w:p>
              </w:tc>
              <w:tc>
                <w:tcPr>
                  <w:tcW w:w="147" w:type="pct"/>
                  <w:shd w:val="clear" w:color="auto" w:fill="auto"/>
                  <w:tcMar>
                    <w:top w:w="0" w:type="dxa"/>
                    <w:left w:w="0" w:type="dxa"/>
                    <w:bottom w:w="0" w:type="dxa"/>
                    <w:right w:w="0" w:type="dxa"/>
                  </w:tcMar>
                  <w:vAlign w:val="center"/>
                </w:tcPr>
                <w:p w14:paraId="36735D6B">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西</w:t>
                  </w:r>
                </w:p>
              </w:tc>
              <w:tc>
                <w:tcPr>
                  <w:tcW w:w="147" w:type="pct"/>
                  <w:shd w:val="clear" w:color="auto" w:fill="auto"/>
                  <w:tcMar>
                    <w:top w:w="0" w:type="dxa"/>
                    <w:left w:w="0" w:type="dxa"/>
                    <w:bottom w:w="0" w:type="dxa"/>
                    <w:right w:w="0" w:type="dxa"/>
                  </w:tcMar>
                  <w:vAlign w:val="center"/>
                </w:tcPr>
                <w:p w14:paraId="3076A9C3">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lang w:val="en-US" w:eastAsia="zh-CN"/>
                    </w:rPr>
                    <w:t>北</w:t>
                  </w:r>
                </w:p>
              </w:tc>
              <w:tc>
                <w:tcPr>
                  <w:tcW w:w="189" w:type="pct"/>
                  <w:shd w:val="clear" w:color="auto" w:fill="auto"/>
                  <w:tcMar>
                    <w:top w:w="0" w:type="dxa"/>
                    <w:left w:w="0" w:type="dxa"/>
                    <w:bottom w:w="0" w:type="dxa"/>
                    <w:right w:w="0" w:type="dxa"/>
                  </w:tcMar>
                  <w:vAlign w:val="center"/>
                </w:tcPr>
                <w:p w14:paraId="1244C988">
                  <w:pPr>
                    <w:jc w:val="center"/>
                    <w:rPr>
                      <w:rFonts w:hint="default" w:cs="Times New Roman" w:asciiTheme="minorAscii" w:hAnsiTheme="minorAscii" w:eastAsiaTheme="minorEastAsia"/>
                      <w:sz w:val="21"/>
                      <w:szCs w:val="21"/>
                    </w:rPr>
                  </w:pPr>
                  <w:r>
                    <w:rPr>
                      <w:rFonts w:hint="default" w:cs="Times New Roman" w:asciiTheme="minorAscii" w:hAnsiTheme="minorAscii" w:eastAsiaTheme="minorEastAsia"/>
                      <w:sz w:val="21"/>
                      <w:szCs w:val="21"/>
                    </w:rPr>
                    <w:t>建筑物外距离</w:t>
                  </w:r>
                </w:p>
              </w:tc>
            </w:tr>
            <w:tr w14:paraId="2559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5" w:type="pct"/>
                  <w:shd w:val="clear" w:color="auto" w:fill="auto"/>
                  <w:tcMar>
                    <w:top w:w="0" w:type="dxa"/>
                    <w:left w:w="0" w:type="dxa"/>
                    <w:bottom w:w="0" w:type="dxa"/>
                    <w:right w:w="0" w:type="dxa"/>
                  </w:tcMar>
                  <w:vAlign w:val="center"/>
                </w:tcPr>
                <w:p w14:paraId="0F8AAAD6">
                  <w:pPr>
                    <w:jc w:val="center"/>
                    <w:rPr>
                      <w:rFonts w:hint="default" w:asciiTheme="minorAscii" w:hAnsiTheme="minorAscii"/>
                      <w:sz w:val="21"/>
                      <w:szCs w:val="21"/>
                    </w:rPr>
                  </w:pPr>
                  <w:r>
                    <w:rPr>
                      <w:rFonts w:hint="default" w:eastAsia="Arial" w:cs="Arial" w:asciiTheme="minorAscii" w:hAnsiTheme="minorAscii"/>
                      <w:sz w:val="21"/>
                      <w:szCs w:val="21"/>
                    </w:rPr>
                    <w:t>1</w:t>
                  </w:r>
                </w:p>
              </w:tc>
              <w:tc>
                <w:tcPr>
                  <w:tcW w:w="248" w:type="pct"/>
                  <w:vMerge w:val="restart"/>
                  <w:shd w:val="clear" w:color="auto" w:fill="auto"/>
                  <w:tcMar>
                    <w:top w:w="0" w:type="dxa"/>
                    <w:left w:w="0" w:type="dxa"/>
                    <w:bottom w:w="0" w:type="dxa"/>
                    <w:right w:w="0" w:type="dxa"/>
                  </w:tcMar>
                  <w:vAlign w:val="center"/>
                </w:tcPr>
                <w:p w14:paraId="06C5A685">
                  <w:pPr>
                    <w:jc w:val="center"/>
                    <w:rPr>
                      <w:rFonts w:hint="default" w:eastAsia="宋体" w:asciiTheme="minorAscii" w:hAnsiTheme="minorAscii"/>
                      <w:sz w:val="21"/>
                      <w:szCs w:val="21"/>
                      <w:lang w:val="en-US" w:eastAsia="zh-CN"/>
                    </w:rPr>
                  </w:pPr>
                  <w:r>
                    <w:rPr>
                      <w:rFonts w:hint="default" w:asciiTheme="minorAscii" w:hAnsiTheme="minorAscii"/>
                      <w:sz w:val="21"/>
                      <w:szCs w:val="21"/>
                      <w:lang w:val="en-US" w:eastAsia="zh-CN"/>
                    </w:rPr>
                    <w:t>污水处理站</w:t>
                  </w:r>
                </w:p>
              </w:tc>
              <w:tc>
                <w:tcPr>
                  <w:tcW w:w="290" w:type="pct"/>
                  <w:shd w:val="clear" w:color="auto" w:fill="auto"/>
                  <w:tcMar>
                    <w:top w:w="0" w:type="dxa"/>
                    <w:left w:w="0" w:type="dxa"/>
                    <w:bottom w:w="0" w:type="dxa"/>
                    <w:right w:w="0" w:type="dxa"/>
                  </w:tcMar>
                  <w:vAlign w:val="center"/>
                </w:tcPr>
                <w:p w14:paraId="4B60AB9B">
                  <w:pPr>
                    <w:jc w:val="center"/>
                    <w:rPr>
                      <w:rFonts w:hint="default" w:asciiTheme="minorAscii" w:hAnsiTheme="minorAscii"/>
                      <w:sz w:val="21"/>
                      <w:szCs w:val="21"/>
                    </w:rPr>
                  </w:pPr>
                  <w:r>
                    <w:rPr>
                      <w:rFonts w:hint="default" w:eastAsia="Arial" w:cs="Arial" w:asciiTheme="minorAscii" w:hAnsiTheme="minorAscii"/>
                      <w:sz w:val="21"/>
                      <w:szCs w:val="21"/>
                    </w:rPr>
                    <w:t>调节池潜水搅拌机</w:t>
                  </w:r>
                </w:p>
              </w:tc>
              <w:tc>
                <w:tcPr>
                  <w:tcW w:w="185" w:type="pct"/>
                  <w:shd w:val="clear" w:color="auto" w:fill="auto"/>
                  <w:tcMar>
                    <w:top w:w="0" w:type="dxa"/>
                    <w:left w:w="0" w:type="dxa"/>
                    <w:bottom w:w="0" w:type="dxa"/>
                    <w:right w:w="0" w:type="dxa"/>
                  </w:tcMar>
                  <w:vAlign w:val="center"/>
                </w:tcPr>
                <w:p w14:paraId="0BFB60F1">
                  <w:pPr>
                    <w:jc w:val="center"/>
                    <w:rPr>
                      <w:rFonts w:hint="eastAsia" w:eastAsia="宋体" w:asciiTheme="minorAscii" w:hAnsiTheme="minorAscii"/>
                      <w:sz w:val="21"/>
                      <w:szCs w:val="21"/>
                      <w:lang w:val="en-US" w:eastAsia="zh-CN"/>
                    </w:rPr>
                  </w:pPr>
                  <w:r>
                    <w:rPr>
                      <w:rFonts w:hint="eastAsia" w:asciiTheme="minorAscii" w:hAnsiTheme="minorAscii"/>
                      <w:sz w:val="21"/>
                      <w:szCs w:val="21"/>
                      <w:lang w:val="en-US" w:eastAsia="zh-CN"/>
                    </w:rPr>
                    <w:t>/</w:t>
                  </w:r>
                </w:p>
              </w:tc>
              <w:tc>
                <w:tcPr>
                  <w:tcW w:w="301" w:type="pct"/>
                  <w:shd w:val="clear" w:color="auto" w:fill="auto"/>
                  <w:tcMar>
                    <w:top w:w="0" w:type="dxa"/>
                    <w:left w:w="0" w:type="dxa"/>
                    <w:bottom w:w="0" w:type="dxa"/>
                    <w:right w:w="0" w:type="dxa"/>
                  </w:tcMar>
                  <w:vAlign w:val="center"/>
                </w:tcPr>
                <w:p w14:paraId="3F391E1A">
                  <w:pPr>
                    <w:jc w:val="center"/>
                    <w:rPr>
                      <w:rFonts w:hint="default" w:asciiTheme="minorAscii" w:hAnsiTheme="minorAscii"/>
                      <w:sz w:val="21"/>
                      <w:szCs w:val="21"/>
                    </w:rPr>
                  </w:pPr>
                  <w:r>
                    <w:rPr>
                      <w:rFonts w:hint="default" w:eastAsia="Arial" w:cs="Arial" w:asciiTheme="minorAscii" w:hAnsiTheme="minorAscii"/>
                      <w:sz w:val="21"/>
                      <w:szCs w:val="21"/>
                    </w:rPr>
                    <w:t>85</w:t>
                  </w:r>
                </w:p>
              </w:tc>
              <w:tc>
                <w:tcPr>
                  <w:tcW w:w="312" w:type="pct"/>
                  <w:vMerge w:val="restart"/>
                  <w:shd w:val="clear" w:color="auto" w:fill="auto"/>
                  <w:tcMar>
                    <w:top w:w="0" w:type="dxa"/>
                    <w:left w:w="0" w:type="dxa"/>
                    <w:bottom w:w="0" w:type="dxa"/>
                    <w:right w:w="0" w:type="dxa"/>
                  </w:tcMar>
                  <w:vAlign w:val="center"/>
                </w:tcPr>
                <w:p w14:paraId="3F445BF6">
                  <w:pPr>
                    <w:jc w:val="center"/>
                    <w:rPr>
                      <w:rFonts w:hint="default" w:eastAsia="宋体" w:asciiTheme="minorAscii" w:hAnsiTheme="minorAscii"/>
                      <w:sz w:val="21"/>
                      <w:szCs w:val="21"/>
                      <w:lang w:val="en-US" w:eastAsia="zh-CN"/>
                    </w:rPr>
                  </w:pPr>
                  <w:r>
                    <w:rPr>
                      <w:rFonts w:hint="default" w:ascii="Calibri" w:hAnsi="Calibri" w:eastAsia="宋体" w:cs="Calibri"/>
                      <w:sz w:val="21"/>
                      <w:szCs w:val="21"/>
                    </w:rPr>
                    <w:t>基础减振、厂房隔声</w:t>
                  </w:r>
                </w:p>
              </w:tc>
              <w:tc>
                <w:tcPr>
                  <w:tcW w:w="163" w:type="pct"/>
                  <w:shd w:val="clear" w:color="auto" w:fill="auto"/>
                  <w:tcMar>
                    <w:top w:w="0" w:type="dxa"/>
                    <w:left w:w="0" w:type="dxa"/>
                    <w:bottom w:w="0" w:type="dxa"/>
                    <w:right w:w="0" w:type="dxa"/>
                  </w:tcMar>
                  <w:vAlign w:val="center"/>
                </w:tcPr>
                <w:p w14:paraId="19CCF19B">
                  <w:pPr>
                    <w:jc w:val="center"/>
                    <w:rPr>
                      <w:rFonts w:hint="default" w:asciiTheme="minorAscii" w:hAnsiTheme="minorAscii"/>
                      <w:sz w:val="21"/>
                      <w:szCs w:val="21"/>
                    </w:rPr>
                  </w:pPr>
                  <w:r>
                    <w:rPr>
                      <w:rFonts w:hint="default" w:eastAsia="Arial" w:cs="Arial" w:asciiTheme="minorAscii" w:hAnsiTheme="minorAscii"/>
                      <w:sz w:val="21"/>
                      <w:szCs w:val="21"/>
                    </w:rPr>
                    <w:t>10.5</w:t>
                  </w:r>
                </w:p>
              </w:tc>
              <w:tc>
                <w:tcPr>
                  <w:tcW w:w="209" w:type="pct"/>
                  <w:shd w:val="clear" w:color="auto" w:fill="auto"/>
                  <w:tcMar>
                    <w:top w:w="0" w:type="dxa"/>
                    <w:left w:w="0" w:type="dxa"/>
                    <w:bottom w:w="0" w:type="dxa"/>
                    <w:right w:w="0" w:type="dxa"/>
                  </w:tcMar>
                  <w:vAlign w:val="center"/>
                </w:tcPr>
                <w:p w14:paraId="4F6FB8A2">
                  <w:pPr>
                    <w:jc w:val="center"/>
                    <w:rPr>
                      <w:rFonts w:hint="default" w:asciiTheme="minorAscii" w:hAnsiTheme="minorAscii"/>
                      <w:sz w:val="21"/>
                      <w:szCs w:val="21"/>
                    </w:rPr>
                  </w:pPr>
                  <w:r>
                    <w:rPr>
                      <w:rFonts w:hint="default" w:eastAsia="Arial" w:cs="Arial" w:asciiTheme="minorAscii" w:hAnsiTheme="minorAscii"/>
                      <w:sz w:val="21"/>
                      <w:szCs w:val="21"/>
                    </w:rPr>
                    <w:t>130.3</w:t>
                  </w:r>
                </w:p>
              </w:tc>
              <w:tc>
                <w:tcPr>
                  <w:tcW w:w="146" w:type="pct"/>
                  <w:shd w:val="clear" w:color="auto" w:fill="auto"/>
                  <w:tcMar>
                    <w:top w:w="0" w:type="dxa"/>
                    <w:left w:w="0" w:type="dxa"/>
                    <w:bottom w:w="0" w:type="dxa"/>
                    <w:right w:w="0" w:type="dxa"/>
                  </w:tcMar>
                  <w:vAlign w:val="center"/>
                </w:tcPr>
                <w:p w14:paraId="1595E1C8">
                  <w:pPr>
                    <w:jc w:val="center"/>
                    <w:rPr>
                      <w:rFonts w:hint="default" w:asciiTheme="minorAscii" w:hAnsiTheme="minorAscii"/>
                      <w:sz w:val="21"/>
                      <w:szCs w:val="21"/>
                    </w:rPr>
                  </w:pPr>
                  <w:r>
                    <w:rPr>
                      <w:rFonts w:hint="default" w:eastAsia="Arial" w:cs="Arial" w:asciiTheme="minorAscii" w:hAnsiTheme="minorAscii"/>
                      <w:sz w:val="21"/>
                      <w:szCs w:val="21"/>
                    </w:rPr>
                    <w:t>1.2</w:t>
                  </w:r>
                </w:p>
              </w:tc>
              <w:tc>
                <w:tcPr>
                  <w:tcW w:w="157" w:type="pct"/>
                  <w:shd w:val="clear" w:color="auto" w:fill="auto"/>
                  <w:tcMar>
                    <w:top w:w="0" w:type="dxa"/>
                    <w:left w:w="0" w:type="dxa"/>
                    <w:bottom w:w="0" w:type="dxa"/>
                    <w:right w:w="0" w:type="dxa"/>
                  </w:tcMar>
                  <w:vAlign w:val="center"/>
                </w:tcPr>
                <w:p w14:paraId="3CFE193F">
                  <w:pPr>
                    <w:jc w:val="center"/>
                    <w:rPr>
                      <w:rFonts w:hint="default" w:asciiTheme="minorAscii" w:hAnsiTheme="minorAscii"/>
                      <w:sz w:val="21"/>
                      <w:szCs w:val="21"/>
                    </w:rPr>
                  </w:pPr>
                  <w:r>
                    <w:rPr>
                      <w:rFonts w:hint="default" w:eastAsia="Arial" w:cs="Arial" w:asciiTheme="minorAscii" w:hAnsiTheme="minorAscii"/>
                      <w:sz w:val="21"/>
                      <w:szCs w:val="21"/>
                    </w:rPr>
                    <w:t>22.0</w:t>
                  </w:r>
                </w:p>
              </w:tc>
              <w:tc>
                <w:tcPr>
                  <w:tcW w:w="158" w:type="pct"/>
                  <w:shd w:val="clear" w:color="auto" w:fill="auto"/>
                  <w:tcMar>
                    <w:top w:w="0" w:type="dxa"/>
                    <w:left w:w="0" w:type="dxa"/>
                    <w:bottom w:w="0" w:type="dxa"/>
                    <w:right w:w="0" w:type="dxa"/>
                  </w:tcMar>
                  <w:vAlign w:val="center"/>
                </w:tcPr>
                <w:p w14:paraId="5CBCA50F">
                  <w:pPr>
                    <w:jc w:val="center"/>
                    <w:rPr>
                      <w:rFonts w:hint="default" w:asciiTheme="minorAscii" w:hAnsiTheme="minorAscii"/>
                      <w:sz w:val="21"/>
                      <w:szCs w:val="21"/>
                    </w:rPr>
                  </w:pPr>
                  <w:r>
                    <w:rPr>
                      <w:rFonts w:hint="default" w:eastAsia="Arial" w:cs="Arial" w:asciiTheme="minorAscii" w:hAnsiTheme="minorAscii"/>
                      <w:sz w:val="21"/>
                      <w:szCs w:val="21"/>
                    </w:rPr>
                    <w:t>33.3</w:t>
                  </w:r>
                </w:p>
              </w:tc>
              <w:tc>
                <w:tcPr>
                  <w:tcW w:w="157" w:type="pct"/>
                  <w:shd w:val="clear" w:color="auto" w:fill="auto"/>
                  <w:tcMar>
                    <w:top w:w="0" w:type="dxa"/>
                    <w:left w:w="0" w:type="dxa"/>
                    <w:bottom w:w="0" w:type="dxa"/>
                    <w:right w:w="0" w:type="dxa"/>
                  </w:tcMar>
                  <w:vAlign w:val="center"/>
                </w:tcPr>
                <w:p w14:paraId="3DD0DA3A">
                  <w:pPr>
                    <w:jc w:val="center"/>
                    <w:rPr>
                      <w:rFonts w:hint="default" w:asciiTheme="minorAscii" w:hAnsiTheme="minorAscii"/>
                      <w:sz w:val="21"/>
                      <w:szCs w:val="21"/>
                    </w:rPr>
                  </w:pPr>
                  <w:r>
                    <w:rPr>
                      <w:rFonts w:hint="default" w:eastAsia="Arial" w:cs="Arial" w:asciiTheme="minorAscii" w:hAnsiTheme="minorAscii"/>
                      <w:sz w:val="21"/>
                      <w:szCs w:val="21"/>
                    </w:rPr>
                    <w:t>7.8</w:t>
                  </w:r>
                </w:p>
              </w:tc>
              <w:tc>
                <w:tcPr>
                  <w:tcW w:w="157" w:type="pct"/>
                  <w:shd w:val="clear" w:color="auto" w:fill="auto"/>
                  <w:tcMar>
                    <w:top w:w="0" w:type="dxa"/>
                    <w:left w:w="0" w:type="dxa"/>
                    <w:bottom w:w="0" w:type="dxa"/>
                    <w:right w:w="0" w:type="dxa"/>
                  </w:tcMar>
                  <w:vAlign w:val="center"/>
                </w:tcPr>
                <w:p w14:paraId="40AC4055">
                  <w:pPr>
                    <w:jc w:val="center"/>
                    <w:rPr>
                      <w:rFonts w:hint="default" w:asciiTheme="minorAscii" w:hAnsiTheme="minorAscii"/>
                      <w:sz w:val="21"/>
                      <w:szCs w:val="21"/>
                    </w:rPr>
                  </w:pPr>
                  <w:r>
                    <w:rPr>
                      <w:rFonts w:hint="default" w:eastAsia="Arial" w:cs="Arial" w:asciiTheme="minorAscii" w:hAnsiTheme="minorAscii"/>
                      <w:sz w:val="21"/>
                      <w:szCs w:val="21"/>
                    </w:rPr>
                    <w:t>3.9</w:t>
                  </w:r>
                </w:p>
              </w:tc>
              <w:tc>
                <w:tcPr>
                  <w:tcW w:w="160" w:type="pct"/>
                  <w:shd w:val="clear" w:color="auto" w:fill="auto"/>
                  <w:tcMar>
                    <w:top w:w="0" w:type="dxa"/>
                    <w:left w:w="0" w:type="dxa"/>
                    <w:bottom w:w="0" w:type="dxa"/>
                    <w:right w:w="0" w:type="dxa"/>
                  </w:tcMar>
                  <w:vAlign w:val="center"/>
                </w:tcPr>
                <w:p w14:paraId="3523C95A">
                  <w:pPr>
                    <w:jc w:val="center"/>
                    <w:rPr>
                      <w:rFonts w:hint="default" w:asciiTheme="minorAscii" w:hAnsiTheme="minorAscii"/>
                      <w:sz w:val="21"/>
                      <w:szCs w:val="21"/>
                    </w:rPr>
                  </w:pPr>
                  <w:r>
                    <w:rPr>
                      <w:rFonts w:hint="default" w:eastAsia="Arial" w:cs="Arial" w:asciiTheme="minorAscii" w:hAnsiTheme="minorAscii"/>
                      <w:sz w:val="21"/>
                      <w:szCs w:val="21"/>
                    </w:rPr>
                    <w:t>74.7</w:t>
                  </w:r>
                </w:p>
              </w:tc>
              <w:tc>
                <w:tcPr>
                  <w:tcW w:w="160" w:type="pct"/>
                  <w:shd w:val="clear" w:color="auto" w:fill="auto"/>
                  <w:tcMar>
                    <w:top w:w="0" w:type="dxa"/>
                    <w:left w:w="0" w:type="dxa"/>
                    <w:bottom w:w="0" w:type="dxa"/>
                    <w:right w:w="0" w:type="dxa"/>
                  </w:tcMar>
                  <w:vAlign w:val="center"/>
                </w:tcPr>
                <w:p w14:paraId="2E3C7C7D">
                  <w:pPr>
                    <w:jc w:val="center"/>
                    <w:rPr>
                      <w:rFonts w:hint="default" w:asciiTheme="minorAscii" w:hAnsiTheme="minorAscii"/>
                      <w:sz w:val="21"/>
                      <w:szCs w:val="21"/>
                    </w:rPr>
                  </w:pPr>
                  <w:r>
                    <w:rPr>
                      <w:rFonts w:hint="default" w:eastAsia="Arial" w:cs="Arial" w:asciiTheme="minorAscii" w:hAnsiTheme="minorAscii"/>
                      <w:sz w:val="21"/>
                      <w:szCs w:val="21"/>
                    </w:rPr>
                    <w:t>74.7</w:t>
                  </w:r>
                </w:p>
              </w:tc>
              <w:tc>
                <w:tcPr>
                  <w:tcW w:w="160" w:type="pct"/>
                  <w:shd w:val="clear" w:color="auto" w:fill="auto"/>
                  <w:tcMar>
                    <w:top w:w="0" w:type="dxa"/>
                    <w:left w:w="0" w:type="dxa"/>
                    <w:bottom w:w="0" w:type="dxa"/>
                    <w:right w:w="0" w:type="dxa"/>
                  </w:tcMar>
                  <w:vAlign w:val="center"/>
                </w:tcPr>
                <w:p w14:paraId="3B36827E">
                  <w:pPr>
                    <w:jc w:val="center"/>
                    <w:rPr>
                      <w:rFonts w:hint="default" w:asciiTheme="minorAscii" w:hAnsiTheme="minorAscii"/>
                      <w:sz w:val="21"/>
                      <w:szCs w:val="21"/>
                    </w:rPr>
                  </w:pPr>
                  <w:r>
                    <w:rPr>
                      <w:rFonts w:hint="default" w:eastAsia="Arial" w:cs="Arial" w:asciiTheme="minorAscii" w:hAnsiTheme="minorAscii"/>
                      <w:sz w:val="21"/>
                      <w:szCs w:val="21"/>
                    </w:rPr>
                    <w:t>74.7</w:t>
                  </w:r>
                </w:p>
              </w:tc>
              <w:tc>
                <w:tcPr>
                  <w:tcW w:w="160" w:type="pct"/>
                  <w:shd w:val="clear" w:color="auto" w:fill="auto"/>
                  <w:tcMar>
                    <w:top w:w="0" w:type="dxa"/>
                    <w:left w:w="0" w:type="dxa"/>
                    <w:bottom w:w="0" w:type="dxa"/>
                    <w:right w:w="0" w:type="dxa"/>
                  </w:tcMar>
                  <w:vAlign w:val="center"/>
                </w:tcPr>
                <w:p w14:paraId="7AB919F9">
                  <w:pPr>
                    <w:jc w:val="center"/>
                    <w:rPr>
                      <w:rFonts w:hint="default" w:asciiTheme="minorAscii" w:hAnsiTheme="minorAscii"/>
                      <w:sz w:val="21"/>
                      <w:szCs w:val="21"/>
                    </w:rPr>
                  </w:pPr>
                  <w:r>
                    <w:rPr>
                      <w:rFonts w:hint="default" w:eastAsia="Arial" w:cs="Arial" w:asciiTheme="minorAscii" w:hAnsiTheme="minorAscii"/>
                      <w:sz w:val="21"/>
                      <w:szCs w:val="21"/>
                    </w:rPr>
                    <w:t>74.9</w:t>
                  </w:r>
                </w:p>
              </w:tc>
              <w:tc>
                <w:tcPr>
                  <w:tcW w:w="227" w:type="pct"/>
                  <w:shd w:val="clear" w:color="auto" w:fill="auto"/>
                  <w:tcMar>
                    <w:top w:w="0" w:type="dxa"/>
                    <w:left w:w="0" w:type="dxa"/>
                    <w:bottom w:w="0" w:type="dxa"/>
                    <w:right w:w="0" w:type="dxa"/>
                  </w:tcMar>
                  <w:vAlign w:val="center"/>
                </w:tcPr>
                <w:p w14:paraId="6B15E632">
                  <w:pPr>
                    <w:jc w:val="center"/>
                    <w:rPr>
                      <w:rFonts w:hint="default" w:asciiTheme="minorAscii" w:hAnsiTheme="minorAscii"/>
                      <w:sz w:val="21"/>
                      <w:szCs w:val="21"/>
                    </w:rPr>
                  </w:pPr>
                  <w:r>
                    <w:rPr>
                      <w:rFonts w:hint="default" w:eastAsia="Arial" w:cs="Arial" w:asciiTheme="minorAscii" w:hAnsiTheme="minorAscii"/>
                      <w:sz w:val="21"/>
                      <w:szCs w:val="21"/>
                    </w:rPr>
                    <w:t>24.0</w:t>
                  </w:r>
                </w:p>
              </w:tc>
              <w:tc>
                <w:tcPr>
                  <w:tcW w:w="169" w:type="pct"/>
                  <w:shd w:val="clear" w:color="auto" w:fill="auto"/>
                  <w:tcMar>
                    <w:top w:w="0" w:type="dxa"/>
                    <w:left w:w="0" w:type="dxa"/>
                    <w:bottom w:w="0" w:type="dxa"/>
                    <w:right w:w="0" w:type="dxa"/>
                  </w:tcMar>
                  <w:vAlign w:val="center"/>
                </w:tcPr>
                <w:p w14:paraId="73ACE9A3">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3E26D7D9">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77F16912">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44D28F7B">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47" w:type="pct"/>
                  <w:shd w:val="clear" w:color="auto" w:fill="auto"/>
                  <w:tcMar>
                    <w:top w:w="0" w:type="dxa"/>
                    <w:left w:w="0" w:type="dxa"/>
                    <w:bottom w:w="0" w:type="dxa"/>
                    <w:right w:w="0" w:type="dxa"/>
                  </w:tcMar>
                  <w:vAlign w:val="center"/>
                </w:tcPr>
                <w:p w14:paraId="171C4529">
                  <w:pPr>
                    <w:jc w:val="center"/>
                    <w:rPr>
                      <w:rFonts w:hint="default" w:asciiTheme="minorAscii" w:hAnsiTheme="minorAscii"/>
                      <w:sz w:val="21"/>
                      <w:szCs w:val="21"/>
                    </w:rPr>
                  </w:pPr>
                  <w:r>
                    <w:rPr>
                      <w:rFonts w:hint="default" w:eastAsia="Arial" w:cs="Arial" w:asciiTheme="minorAscii" w:hAnsiTheme="minorAscii"/>
                      <w:sz w:val="21"/>
                      <w:szCs w:val="21"/>
                    </w:rPr>
                    <w:t>48.7</w:t>
                  </w:r>
                </w:p>
              </w:tc>
              <w:tc>
                <w:tcPr>
                  <w:tcW w:w="147" w:type="pct"/>
                  <w:shd w:val="clear" w:color="auto" w:fill="auto"/>
                  <w:tcMar>
                    <w:top w:w="0" w:type="dxa"/>
                    <w:left w:w="0" w:type="dxa"/>
                    <w:bottom w:w="0" w:type="dxa"/>
                    <w:right w:w="0" w:type="dxa"/>
                  </w:tcMar>
                  <w:vAlign w:val="center"/>
                </w:tcPr>
                <w:p w14:paraId="728FB0E6">
                  <w:pPr>
                    <w:jc w:val="center"/>
                    <w:rPr>
                      <w:rFonts w:hint="default" w:asciiTheme="minorAscii" w:hAnsiTheme="minorAscii"/>
                      <w:sz w:val="21"/>
                      <w:szCs w:val="21"/>
                    </w:rPr>
                  </w:pPr>
                  <w:r>
                    <w:rPr>
                      <w:rFonts w:hint="default" w:eastAsia="Arial" w:cs="Arial" w:asciiTheme="minorAscii" w:hAnsiTheme="minorAscii"/>
                      <w:sz w:val="21"/>
                      <w:szCs w:val="21"/>
                    </w:rPr>
                    <w:t>48.7</w:t>
                  </w:r>
                </w:p>
              </w:tc>
              <w:tc>
                <w:tcPr>
                  <w:tcW w:w="147" w:type="pct"/>
                  <w:shd w:val="clear" w:color="auto" w:fill="auto"/>
                  <w:tcMar>
                    <w:top w:w="0" w:type="dxa"/>
                    <w:left w:w="0" w:type="dxa"/>
                    <w:bottom w:w="0" w:type="dxa"/>
                    <w:right w:w="0" w:type="dxa"/>
                  </w:tcMar>
                  <w:vAlign w:val="center"/>
                </w:tcPr>
                <w:p w14:paraId="06EF2472">
                  <w:pPr>
                    <w:jc w:val="center"/>
                    <w:rPr>
                      <w:rFonts w:hint="default" w:asciiTheme="minorAscii" w:hAnsiTheme="minorAscii"/>
                      <w:sz w:val="21"/>
                      <w:szCs w:val="21"/>
                    </w:rPr>
                  </w:pPr>
                  <w:r>
                    <w:rPr>
                      <w:rFonts w:hint="default" w:eastAsia="Arial" w:cs="Arial" w:asciiTheme="minorAscii" w:hAnsiTheme="minorAscii"/>
                      <w:sz w:val="21"/>
                      <w:szCs w:val="21"/>
                    </w:rPr>
                    <w:t>48.7</w:t>
                  </w:r>
                </w:p>
              </w:tc>
              <w:tc>
                <w:tcPr>
                  <w:tcW w:w="147" w:type="pct"/>
                  <w:shd w:val="clear" w:color="auto" w:fill="auto"/>
                  <w:tcMar>
                    <w:top w:w="0" w:type="dxa"/>
                    <w:left w:w="0" w:type="dxa"/>
                    <w:bottom w:w="0" w:type="dxa"/>
                    <w:right w:w="0" w:type="dxa"/>
                  </w:tcMar>
                  <w:vAlign w:val="center"/>
                </w:tcPr>
                <w:p w14:paraId="0A1AA789">
                  <w:pPr>
                    <w:jc w:val="center"/>
                    <w:rPr>
                      <w:rFonts w:hint="default" w:asciiTheme="minorAscii" w:hAnsiTheme="minorAscii"/>
                      <w:sz w:val="21"/>
                      <w:szCs w:val="21"/>
                    </w:rPr>
                  </w:pPr>
                  <w:r>
                    <w:rPr>
                      <w:rFonts w:hint="default" w:eastAsia="Arial" w:cs="Arial" w:asciiTheme="minorAscii" w:hAnsiTheme="minorAscii"/>
                      <w:sz w:val="21"/>
                      <w:szCs w:val="21"/>
                    </w:rPr>
                    <w:t>48.9</w:t>
                  </w:r>
                </w:p>
              </w:tc>
              <w:tc>
                <w:tcPr>
                  <w:tcW w:w="189" w:type="pct"/>
                  <w:shd w:val="clear" w:color="auto" w:fill="auto"/>
                  <w:tcMar>
                    <w:top w:w="0" w:type="dxa"/>
                    <w:left w:w="0" w:type="dxa"/>
                    <w:bottom w:w="0" w:type="dxa"/>
                    <w:right w:w="0" w:type="dxa"/>
                  </w:tcMar>
                  <w:vAlign w:val="center"/>
                </w:tcPr>
                <w:p w14:paraId="3295190A">
                  <w:pPr>
                    <w:jc w:val="center"/>
                    <w:rPr>
                      <w:rFonts w:hint="default" w:asciiTheme="minorAscii" w:hAnsiTheme="minorAscii"/>
                      <w:sz w:val="21"/>
                      <w:szCs w:val="21"/>
                    </w:rPr>
                  </w:pPr>
                  <w:r>
                    <w:rPr>
                      <w:rFonts w:hint="default" w:eastAsia="Arial" w:cs="Arial" w:asciiTheme="minorAscii" w:hAnsiTheme="minorAscii"/>
                      <w:sz w:val="21"/>
                      <w:szCs w:val="21"/>
                    </w:rPr>
                    <w:t>1</w:t>
                  </w:r>
                </w:p>
              </w:tc>
            </w:tr>
            <w:tr w14:paraId="525F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85" w:type="pct"/>
                  <w:shd w:val="clear" w:color="auto" w:fill="auto"/>
                  <w:tcMar>
                    <w:top w:w="0" w:type="dxa"/>
                    <w:left w:w="0" w:type="dxa"/>
                    <w:bottom w:w="0" w:type="dxa"/>
                    <w:right w:w="0" w:type="dxa"/>
                  </w:tcMar>
                  <w:vAlign w:val="center"/>
                </w:tcPr>
                <w:p w14:paraId="7497B151">
                  <w:pPr>
                    <w:jc w:val="center"/>
                    <w:rPr>
                      <w:rFonts w:hint="default" w:asciiTheme="minorAscii" w:hAnsiTheme="minorAscii"/>
                      <w:sz w:val="21"/>
                      <w:szCs w:val="21"/>
                    </w:rPr>
                  </w:pPr>
                  <w:r>
                    <w:rPr>
                      <w:rFonts w:hint="default" w:eastAsia="Arial" w:cs="Arial" w:asciiTheme="minorAscii" w:hAnsiTheme="minorAscii"/>
                      <w:sz w:val="21"/>
                      <w:szCs w:val="21"/>
                    </w:rPr>
                    <w:t>2</w:t>
                  </w:r>
                </w:p>
              </w:tc>
              <w:tc>
                <w:tcPr>
                  <w:tcW w:w="248" w:type="pct"/>
                  <w:vMerge w:val="continue"/>
                  <w:shd w:val="clear" w:color="auto" w:fill="auto"/>
                  <w:tcMar>
                    <w:top w:w="0" w:type="dxa"/>
                    <w:left w:w="0" w:type="dxa"/>
                    <w:bottom w:w="0" w:type="dxa"/>
                    <w:right w:w="0" w:type="dxa"/>
                  </w:tcMar>
                  <w:vAlign w:val="center"/>
                </w:tcPr>
                <w:p w14:paraId="360BAE60">
                  <w:pPr>
                    <w:jc w:val="center"/>
                    <w:rPr>
                      <w:rFonts w:hint="default" w:asciiTheme="minorAscii" w:hAnsiTheme="minorAscii"/>
                      <w:sz w:val="21"/>
                      <w:szCs w:val="21"/>
                    </w:rPr>
                  </w:pPr>
                </w:p>
              </w:tc>
              <w:tc>
                <w:tcPr>
                  <w:tcW w:w="290" w:type="pct"/>
                  <w:shd w:val="clear" w:color="auto" w:fill="auto"/>
                  <w:tcMar>
                    <w:top w:w="0" w:type="dxa"/>
                    <w:left w:w="0" w:type="dxa"/>
                    <w:bottom w:w="0" w:type="dxa"/>
                    <w:right w:w="0" w:type="dxa"/>
                  </w:tcMar>
                  <w:vAlign w:val="center"/>
                </w:tcPr>
                <w:p w14:paraId="740E3CA1">
                  <w:pPr>
                    <w:jc w:val="center"/>
                    <w:rPr>
                      <w:rFonts w:hint="default" w:asciiTheme="minorAscii" w:hAnsiTheme="minorAscii"/>
                      <w:sz w:val="21"/>
                      <w:szCs w:val="21"/>
                    </w:rPr>
                  </w:pPr>
                  <w:r>
                    <w:rPr>
                      <w:rFonts w:hint="default" w:eastAsia="Arial" w:cs="Arial" w:asciiTheme="minorAscii" w:hAnsiTheme="minorAscii"/>
                      <w:sz w:val="21"/>
                      <w:szCs w:val="21"/>
                    </w:rPr>
                    <w:t>调节池提升泵</w:t>
                  </w:r>
                </w:p>
              </w:tc>
              <w:tc>
                <w:tcPr>
                  <w:tcW w:w="185" w:type="pct"/>
                  <w:shd w:val="clear" w:color="auto" w:fill="auto"/>
                  <w:tcMar>
                    <w:top w:w="0" w:type="dxa"/>
                    <w:left w:w="0" w:type="dxa"/>
                    <w:bottom w:w="0" w:type="dxa"/>
                    <w:right w:w="0" w:type="dxa"/>
                  </w:tcMar>
                  <w:vAlign w:val="center"/>
                </w:tcPr>
                <w:p w14:paraId="7786D987">
                  <w:pPr>
                    <w:jc w:val="center"/>
                    <w:rPr>
                      <w:rFonts w:hint="eastAsia" w:eastAsia="宋体" w:asciiTheme="minorAscii" w:hAnsiTheme="minorAscii"/>
                      <w:sz w:val="21"/>
                      <w:szCs w:val="21"/>
                      <w:lang w:val="en-US" w:eastAsia="zh-CN"/>
                    </w:rPr>
                  </w:pPr>
                  <w:r>
                    <w:rPr>
                      <w:rFonts w:hint="eastAsia" w:asciiTheme="minorAscii" w:hAnsiTheme="minorAscii"/>
                      <w:sz w:val="21"/>
                      <w:szCs w:val="21"/>
                      <w:lang w:val="en-US" w:eastAsia="zh-CN"/>
                    </w:rPr>
                    <w:t>/</w:t>
                  </w:r>
                </w:p>
              </w:tc>
              <w:tc>
                <w:tcPr>
                  <w:tcW w:w="301" w:type="pct"/>
                  <w:shd w:val="clear" w:color="auto" w:fill="auto"/>
                  <w:tcMar>
                    <w:top w:w="0" w:type="dxa"/>
                    <w:left w:w="0" w:type="dxa"/>
                    <w:bottom w:w="0" w:type="dxa"/>
                    <w:right w:w="0" w:type="dxa"/>
                  </w:tcMar>
                  <w:vAlign w:val="center"/>
                </w:tcPr>
                <w:p w14:paraId="43FD35C5">
                  <w:pPr>
                    <w:jc w:val="center"/>
                    <w:rPr>
                      <w:rFonts w:hint="default" w:asciiTheme="minorAscii" w:hAnsiTheme="minorAscii"/>
                      <w:sz w:val="21"/>
                      <w:szCs w:val="21"/>
                    </w:rPr>
                  </w:pPr>
                  <w:r>
                    <w:rPr>
                      <w:rFonts w:hint="default" w:eastAsia="Arial" w:cs="Arial" w:asciiTheme="minorAscii" w:hAnsiTheme="minorAscii"/>
                      <w:sz w:val="21"/>
                      <w:szCs w:val="21"/>
                    </w:rPr>
                    <w:t>87</w:t>
                  </w:r>
                </w:p>
              </w:tc>
              <w:tc>
                <w:tcPr>
                  <w:tcW w:w="312" w:type="pct"/>
                  <w:vMerge w:val="continue"/>
                  <w:shd w:val="clear" w:color="auto" w:fill="auto"/>
                  <w:tcMar>
                    <w:top w:w="0" w:type="dxa"/>
                    <w:left w:w="0" w:type="dxa"/>
                    <w:bottom w:w="0" w:type="dxa"/>
                    <w:right w:w="0" w:type="dxa"/>
                  </w:tcMar>
                  <w:vAlign w:val="center"/>
                </w:tcPr>
                <w:p w14:paraId="06D51BED">
                  <w:pPr>
                    <w:jc w:val="center"/>
                    <w:rPr>
                      <w:rFonts w:hint="default" w:asciiTheme="minorAscii" w:hAnsiTheme="minorAscii"/>
                      <w:sz w:val="21"/>
                      <w:szCs w:val="21"/>
                    </w:rPr>
                  </w:pPr>
                </w:p>
              </w:tc>
              <w:tc>
                <w:tcPr>
                  <w:tcW w:w="163" w:type="pct"/>
                  <w:shd w:val="clear" w:color="auto" w:fill="auto"/>
                  <w:tcMar>
                    <w:top w:w="0" w:type="dxa"/>
                    <w:left w:w="0" w:type="dxa"/>
                    <w:bottom w:w="0" w:type="dxa"/>
                    <w:right w:w="0" w:type="dxa"/>
                  </w:tcMar>
                  <w:vAlign w:val="center"/>
                </w:tcPr>
                <w:p w14:paraId="6CBFD734">
                  <w:pPr>
                    <w:jc w:val="center"/>
                    <w:rPr>
                      <w:rFonts w:hint="default" w:asciiTheme="minorAscii" w:hAnsiTheme="minorAscii"/>
                      <w:sz w:val="21"/>
                      <w:szCs w:val="21"/>
                    </w:rPr>
                  </w:pPr>
                  <w:r>
                    <w:rPr>
                      <w:rFonts w:hint="default" w:eastAsia="Arial" w:cs="Arial" w:asciiTheme="minorAscii" w:hAnsiTheme="minorAscii"/>
                      <w:sz w:val="21"/>
                      <w:szCs w:val="21"/>
                    </w:rPr>
                    <w:t>9.6</w:t>
                  </w:r>
                </w:p>
              </w:tc>
              <w:tc>
                <w:tcPr>
                  <w:tcW w:w="209" w:type="pct"/>
                  <w:shd w:val="clear" w:color="auto" w:fill="auto"/>
                  <w:tcMar>
                    <w:top w:w="0" w:type="dxa"/>
                    <w:left w:w="0" w:type="dxa"/>
                    <w:bottom w:w="0" w:type="dxa"/>
                    <w:right w:w="0" w:type="dxa"/>
                  </w:tcMar>
                  <w:vAlign w:val="center"/>
                </w:tcPr>
                <w:p w14:paraId="3F19ED41">
                  <w:pPr>
                    <w:jc w:val="center"/>
                    <w:rPr>
                      <w:rFonts w:hint="default" w:asciiTheme="minorAscii" w:hAnsiTheme="minorAscii"/>
                      <w:sz w:val="21"/>
                      <w:szCs w:val="21"/>
                    </w:rPr>
                  </w:pPr>
                  <w:r>
                    <w:rPr>
                      <w:rFonts w:hint="default" w:eastAsia="Arial" w:cs="Arial" w:asciiTheme="minorAscii" w:hAnsiTheme="minorAscii"/>
                      <w:sz w:val="21"/>
                      <w:szCs w:val="21"/>
                    </w:rPr>
                    <w:t>125.8</w:t>
                  </w:r>
                </w:p>
              </w:tc>
              <w:tc>
                <w:tcPr>
                  <w:tcW w:w="146" w:type="pct"/>
                  <w:shd w:val="clear" w:color="auto" w:fill="auto"/>
                  <w:tcMar>
                    <w:top w:w="0" w:type="dxa"/>
                    <w:left w:w="0" w:type="dxa"/>
                    <w:bottom w:w="0" w:type="dxa"/>
                    <w:right w:w="0" w:type="dxa"/>
                  </w:tcMar>
                  <w:vAlign w:val="center"/>
                </w:tcPr>
                <w:p w14:paraId="1D68ACF7">
                  <w:pPr>
                    <w:jc w:val="center"/>
                    <w:rPr>
                      <w:rFonts w:hint="default" w:asciiTheme="minorAscii" w:hAnsiTheme="minorAscii"/>
                      <w:sz w:val="21"/>
                      <w:szCs w:val="21"/>
                    </w:rPr>
                  </w:pPr>
                  <w:r>
                    <w:rPr>
                      <w:rFonts w:hint="default" w:eastAsia="Arial" w:cs="Arial" w:asciiTheme="minorAscii" w:hAnsiTheme="minorAscii"/>
                      <w:sz w:val="21"/>
                      <w:szCs w:val="21"/>
                    </w:rPr>
                    <w:t>-0.5</w:t>
                  </w:r>
                </w:p>
              </w:tc>
              <w:tc>
                <w:tcPr>
                  <w:tcW w:w="157" w:type="pct"/>
                  <w:shd w:val="clear" w:color="auto" w:fill="auto"/>
                  <w:tcMar>
                    <w:top w:w="0" w:type="dxa"/>
                    <w:left w:w="0" w:type="dxa"/>
                    <w:bottom w:w="0" w:type="dxa"/>
                    <w:right w:w="0" w:type="dxa"/>
                  </w:tcMar>
                  <w:vAlign w:val="center"/>
                </w:tcPr>
                <w:p w14:paraId="3BB54628">
                  <w:pPr>
                    <w:jc w:val="center"/>
                    <w:rPr>
                      <w:rFonts w:hint="default" w:asciiTheme="minorAscii" w:hAnsiTheme="minorAscii"/>
                      <w:sz w:val="21"/>
                      <w:szCs w:val="21"/>
                    </w:rPr>
                  </w:pPr>
                  <w:r>
                    <w:rPr>
                      <w:rFonts w:hint="default" w:eastAsia="Arial" w:cs="Arial" w:asciiTheme="minorAscii" w:hAnsiTheme="minorAscii"/>
                      <w:sz w:val="21"/>
                      <w:szCs w:val="21"/>
                    </w:rPr>
                    <w:t>24.8</w:t>
                  </w:r>
                </w:p>
              </w:tc>
              <w:tc>
                <w:tcPr>
                  <w:tcW w:w="158" w:type="pct"/>
                  <w:shd w:val="clear" w:color="auto" w:fill="auto"/>
                  <w:tcMar>
                    <w:top w:w="0" w:type="dxa"/>
                    <w:left w:w="0" w:type="dxa"/>
                    <w:bottom w:w="0" w:type="dxa"/>
                    <w:right w:w="0" w:type="dxa"/>
                  </w:tcMar>
                  <w:vAlign w:val="center"/>
                </w:tcPr>
                <w:p w14:paraId="5BEBBDFE">
                  <w:pPr>
                    <w:jc w:val="center"/>
                    <w:rPr>
                      <w:rFonts w:hint="default" w:asciiTheme="minorAscii" w:hAnsiTheme="minorAscii"/>
                      <w:sz w:val="21"/>
                      <w:szCs w:val="21"/>
                    </w:rPr>
                  </w:pPr>
                  <w:r>
                    <w:rPr>
                      <w:rFonts w:hint="default" w:eastAsia="Arial" w:cs="Arial" w:asciiTheme="minorAscii" w:hAnsiTheme="minorAscii"/>
                      <w:sz w:val="21"/>
                      <w:szCs w:val="21"/>
                    </w:rPr>
                    <w:t>29.8</w:t>
                  </w:r>
                </w:p>
              </w:tc>
              <w:tc>
                <w:tcPr>
                  <w:tcW w:w="157" w:type="pct"/>
                  <w:shd w:val="clear" w:color="auto" w:fill="auto"/>
                  <w:tcMar>
                    <w:top w:w="0" w:type="dxa"/>
                    <w:left w:w="0" w:type="dxa"/>
                    <w:bottom w:w="0" w:type="dxa"/>
                    <w:right w:w="0" w:type="dxa"/>
                  </w:tcMar>
                  <w:vAlign w:val="center"/>
                </w:tcPr>
                <w:p w14:paraId="5243D924">
                  <w:pPr>
                    <w:jc w:val="center"/>
                    <w:rPr>
                      <w:rFonts w:hint="default" w:asciiTheme="minorAscii" w:hAnsiTheme="minorAscii"/>
                      <w:sz w:val="21"/>
                      <w:szCs w:val="21"/>
                    </w:rPr>
                  </w:pPr>
                  <w:r>
                    <w:rPr>
                      <w:rFonts w:hint="default" w:eastAsia="Arial" w:cs="Arial" w:asciiTheme="minorAscii" w:hAnsiTheme="minorAscii"/>
                      <w:sz w:val="21"/>
                      <w:szCs w:val="21"/>
                    </w:rPr>
                    <w:t>5.1</w:t>
                  </w:r>
                </w:p>
              </w:tc>
              <w:tc>
                <w:tcPr>
                  <w:tcW w:w="157" w:type="pct"/>
                  <w:shd w:val="clear" w:color="auto" w:fill="auto"/>
                  <w:tcMar>
                    <w:top w:w="0" w:type="dxa"/>
                    <w:left w:w="0" w:type="dxa"/>
                    <w:bottom w:w="0" w:type="dxa"/>
                    <w:right w:w="0" w:type="dxa"/>
                  </w:tcMar>
                  <w:vAlign w:val="center"/>
                </w:tcPr>
                <w:p w14:paraId="0B365583">
                  <w:pPr>
                    <w:jc w:val="center"/>
                    <w:rPr>
                      <w:rFonts w:hint="default" w:asciiTheme="minorAscii" w:hAnsiTheme="minorAscii"/>
                      <w:sz w:val="21"/>
                      <w:szCs w:val="21"/>
                    </w:rPr>
                  </w:pPr>
                  <w:r>
                    <w:rPr>
                      <w:rFonts w:hint="default" w:eastAsia="Arial" w:cs="Arial" w:asciiTheme="minorAscii" w:hAnsiTheme="minorAscii"/>
                      <w:sz w:val="21"/>
                      <w:szCs w:val="21"/>
                    </w:rPr>
                    <w:t>7.6</w:t>
                  </w:r>
                </w:p>
              </w:tc>
              <w:tc>
                <w:tcPr>
                  <w:tcW w:w="160" w:type="pct"/>
                  <w:shd w:val="clear" w:color="auto" w:fill="auto"/>
                  <w:tcMar>
                    <w:top w:w="0" w:type="dxa"/>
                    <w:left w:w="0" w:type="dxa"/>
                    <w:bottom w:w="0" w:type="dxa"/>
                    <w:right w:w="0" w:type="dxa"/>
                  </w:tcMar>
                  <w:vAlign w:val="center"/>
                </w:tcPr>
                <w:p w14:paraId="6B06C383">
                  <w:pPr>
                    <w:jc w:val="center"/>
                    <w:rPr>
                      <w:rFonts w:hint="default" w:asciiTheme="minorAscii" w:hAnsiTheme="minorAscii"/>
                      <w:sz w:val="21"/>
                      <w:szCs w:val="21"/>
                    </w:rPr>
                  </w:pPr>
                  <w:r>
                    <w:rPr>
                      <w:rFonts w:hint="default" w:eastAsia="Arial" w:cs="Arial" w:asciiTheme="minorAscii" w:hAnsiTheme="minorAscii"/>
                      <w:sz w:val="21"/>
                      <w:szCs w:val="21"/>
                    </w:rPr>
                    <w:t>76.7</w:t>
                  </w:r>
                </w:p>
              </w:tc>
              <w:tc>
                <w:tcPr>
                  <w:tcW w:w="160" w:type="pct"/>
                  <w:shd w:val="clear" w:color="auto" w:fill="auto"/>
                  <w:tcMar>
                    <w:top w:w="0" w:type="dxa"/>
                    <w:left w:w="0" w:type="dxa"/>
                    <w:bottom w:w="0" w:type="dxa"/>
                    <w:right w:w="0" w:type="dxa"/>
                  </w:tcMar>
                  <w:vAlign w:val="center"/>
                </w:tcPr>
                <w:p w14:paraId="22812DBD">
                  <w:pPr>
                    <w:jc w:val="center"/>
                    <w:rPr>
                      <w:rFonts w:hint="default" w:asciiTheme="minorAscii" w:hAnsiTheme="minorAscii"/>
                      <w:sz w:val="21"/>
                      <w:szCs w:val="21"/>
                    </w:rPr>
                  </w:pPr>
                  <w:r>
                    <w:rPr>
                      <w:rFonts w:hint="default" w:eastAsia="Arial" w:cs="Arial" w:asciiTheme="minorAscii" w:hAnsiTheme="minorAscii"/>
                      <w:sz w:val="21"/>
                      <w:szCs w:val="21"/>
                    </w:rPr>
                    <w:t>76.7</w:t>
                  </w:r>
                </w:p>
              </w:tc>
              <w:tc>
                <w:tcPr>
                  <w:tcW w:w="160" w:type="pct"/>
                  <w:shd w:val="clear" w:color="auto" w:fill="auto"/>
                  <w:tcMar>
                    <w:top w:w="0" w:type="dxa"/>
                    <w:left w:w="0" w:type="dxa"/>
                    <w:bottom w:w="0" w:type="dxa"/>
                    <w:right w:w="0" w:type="dxa"/>
                  </w:tcMar>
                  <w:vAlign w:val="center"/>
                </w:tcPr>
                <w:p w14:paraId="491B4E23">
                  <w:pPr>
                    <w:jc w:val="center"/>
                    <w:rPr>
                      <w:rFonts w:hint="default" w:asciiTheme="minorAscii" w:hAnsiTheme="minorAscii"/>
                      <w:sz w:val="21"/>
                      <w:szCs w:val="21"/>
                    </w:rPr>
                  </w:pPr>
                  <w:r>
                    <w:rPr>
                      <w:rFonts w:hint="default" w:eastAsia="Arial" w:cs="Arial" w:asciiTheme="minorAscii" w:hAnsiTheme="minorAscii"/>
                      <w:sz w:val="21"/>
                      <w:szCs w:val="21"/>
                    </w:rPr>
                    <w:t>76.8</w:t>
                  </w:r>
                </w:p>
              </w:tc>
              <w:tc>
                <w:tcPr>
                  <w:tcW w:w="160" w:type="pct"/>
                  <w:shd w:val="clear" w:color="auto" w:fill="auto"/>
                  <w:tcMar>
                    <w:top w:w="0" w:type="dxa"/>
                    <w:left w:w="0" w:type="dxa"/>
                    <w:bottom w:w="0" w:type="dxa"/>
                    <w:right w:w="0" w:type="dxa"/>
                  </w:tcMar>
                  <w:vAlign w:val="center"/>
                </w:tcPr>
                <w:p w14:paraId="71CB8A30">
                  <w:pPr>
                    <w:jc w:val="center"/>
                    <w:rPr>
                      <w:rFonts w:hint="default" w:asciiTheme="minorAscii" w:hAnsiTheme="minorAscii"/>
                      <w:sz w:val="21"/>
                      <w:szCs w:val="21"/>
                    </w:rPr>
                  </w:pPr>
                  <w:r>
                    <w:rPr>
                      <w:rFonts w:hint="default" w:eastAsia="Arial" w:cs="Arial" w:asciiTheme="minorAscii" w:hAnsiTheme="minorAscii"/>
                      <w:sz w:val="21"/>
                      <w:szCs w:val="21"/>
                    </w:rPr>
                    <w:t>76.7</w:t>
                  </w:r>
                </w:p>
              </w:tc>
              <w:tc>
                <w:tcPr>
                  <w:tcW w:w="227" w:type="pct"/>
                  <w:shd w:val="clear" w:color="auto" w:fill="auto"/>
                  <w:tcMar>
                    <w:top w:w="0" w:type="dxa"/>
                    <w:left w:w="0" w:type="dxa"/>
                    <w:bottom w:w="0" w:type="dxa"/>
                    <w:right w:w="0" w:type="dxa"/>
                  </w:tcMar>
                  <w:vAlign w:val="center"/>
                </w:tcPr>
                <w:p w14:paraId="19D641F2">
                  <w:pPr>
                    <w:jc w:val="center"/>
                    <w:rPr>
                      <w:rFonts w:hint="default" w:asciiTheme="minorAscii" w:hAnsiTheme="minorAscii"/>
                      <w:sz w:val="21"/>
                      <w:szCs w:val="21"/>
                    </w:rPr>
                  </w:pPr>
                  <w:r>
                    <w:rPr>
                      <w:rFonts w:hint="default" w:eastAsia="Arial" w:cs="Arial" w:asciiTheme="minorAscii" w:hAnsiTheme="minorAscii"/>
                      <w:sz w:val="21"/>
                      <w:szCs w:val="21"/>
                    </w:rPr>
                    <w:t>24.0</w:t>
                  </w:r>
                </w:p>
              </w:tc>
              <w:tc>
                <w:tcPr>
                  <w:tcW w:w="169" w:type="pct"/>
                  <w:shd w:val="clear" w:color="auto" w:fill="auto"/>
                  <w:tcMar>
                    <w:top w:w="0" w:type="dxa"/>
                    <w:left w:w="0" w:type="dxa"/>
                    <w:bottom w:w="0" w:type="dxa"/>
                    <w:right w:w="0" w:type="dxa"/>
                  </w:tcMar>
                  <w:vAlign w:val="center"/>
                </w:tcPr>
                <w:p w14:paraId="5E4948FA">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08BCC08C">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5D686FAE">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7F75FE2E">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47" w:type="pct"/>
                  <w:shd w:val="clear" w:color="auto" w:fill="auto"/>
                  <w:tcMar>
                    <w:top w:w="0" w:type="dxa"/>
                    <w:left w:w="0" w:type="dxa"/>
                    <w:bottom w:w="0" w:type="dxa"/>
                    <w:right w:w="0" w:type="dxa"/>
                  </w:tcMar>
                  <w:vAlign w:val="center"/>
                </w:tcPr>
                <w:p w14:paraId="55682E53">
                  <w:pPr>
                    <w:jc w:val="center"/>
                    <w:rPr>
                      <w:rFonts w:hint="default" w:asciiTheme="minorAscii" w:hAnsiTheme="minorAscii"/>
                      <w:sz w:val="21"/>
                      <w:szCs w:val="21"/>
                    </w:rPr>
                  </w:pPr>
                  <w:r>
                    <w:rPr>
                      <w:rFonts w:hint="default" w:eastAsia="Arial" w:cs="Arial" w:asciiTheme="minorAscii" w:hAnsiTheme="minorAscii"/>
                      <w:sz w:val="21"/>
                      <w:szCs w:val="21"/>
                    </w:rPr>
                    <w:t>50.7</w:t>
                  </w:r>
                </w:p>
              </w:tc>
              <w:tc>
                <w:tcPr>
                  <w:tcW w:w="147" w:type="pct"/>
                  <w:shd w:val="clear" w:color="auto" w:fill="auto"/>
                  <w:tcMar>
                    <w:top w:w="0" w:type="dxa"/>
                    <w:left w:w="0" w:type="dxa"/>
                    <w:bottom w:w="0" w:type="dxa"/>
                    <w:right w:w="0" w:type="dxa"/>
                  </w:tcMar>
                  <w:vAlign w:val="center"/>
                </w:tcPr>
                <w:p w14:paraId="64E3BC22">
                  <w:pPr>
                    <w:jc w:val="center"/>
                    <w:rPr>
                      <w:rFonts w:hint="default" w:asciiTheme="minorAscii" w:hAnsiTheme="minorAscii"/>
                      <w:sz w:val="21"/>
                      <w:szCs w:val="21"/>
                    </w:rPr>
                  </w:pPr>
                  <w:r>
                    <w:rPr>
                      <w:rFonts w:hint="default" w:eastAsia="Arial" w:cs="Arial" w:asciiTheme="minorAscii" w:hAnsiTheme="minorAscii"/>
                      <w:sz w:val="21"/>
                      <w:szCs w:val="21"/>
                    </w:rPr>
                    <w:t>50.7</w:t>
                  </w:r>
                </w:p>
              </w:tc>
              <w:tc>
                <w:tcPr>
                  <w:tcW w:w="147" w:type="pct"/>
                  <w:shd w:val="clear" w:color="auto" w:fill="auto"/>
                  <w:tcMar>
                    <w:top w:w="0" w:type="dxa"/>
                    <w:left w:w="0" w:type="dxa"/>
                    <w:bottom w:w="0" w:type="dxa"/>
                    <w:right w:w="0" w:type="dxa"/>
                  </w:tcMar>
                  <w:vAlign w:val="center"/>
                </w:tcPr>
                <w:p w14:paraId="7BB29CFE">
                  <w:pPr>
                    <w:jc w:val="center"/>
                    <w:rPr>
                      <w:rFonts w:hint="default" w:asciiTheme="minorAscii" w:hAnsiTheme="minorAscii"/>
                      <w:sz w:val="21"/>
                      <w:szCs w:val="21"/>
                    </w:rPr>
                  </w:pPr>
                  <w:r>
                    <w:rPr>
                      <w:rFonts w:hint="default" w:eastAsia="Arial" w:cs="Arial" w:asciiTheme="minorAscii" w:hAnsiTheme="minorAscii"/>
                      <w:sz w:val="21"/>
                      <w:szCs w:val="21"/>
                    </w:rPr>
                    <w:t>50.8</w:t>
                  </w:r>
                </w:p>
              </w:tc>
              <w:tc>
                <w:tcPr>
                  <w:tcW w:w="147" w:type="pct"/>
                  <w:shd w:val="clear" w:color="auto" w:fill="auto"/>
                  <w:tcMar>
                    <w:top w:w="0" w:type="dxa"/>
                    <w:left w:w="0" w:type="dxa"/>
                    <w:bottom w:w="0" w:type="dxa"/>
                    <w:right w:w="0" w:type="dxa"/>
                  </w:tcMar>
                  <w:vAlign w:val="center"/>
                </w:tcPr>
                <w:p w14:paraId="0493AB32">
                  <w:pPr>
                    <w:jc w:val="center"/>
                    <w:rPr>
                      <w:rFonts w:hint="default" w:asciiTheme="minorAscii" w:hAnsiTheme="minorAscii"/>
                      <w:sz w:val="21"/>
                      <w:szCs w:val="21"/>
                    </w:rPr>
                  </w:pPr>
                  <w:r>
                    <w:rPr>
                      <w:rFonts w:hint="default" w:eastAsia="Arial" w:cs="Arial" w:asciiTheme="minorAscii" w:hAnsiTheme="minorAscii"/>
                      <w:sz w:val="21"/>
                      <w:szCs w:val="21"/>
                    </w:rPr>
                    <w:t>50.7</w:t>
                  </w:r>
                </w:p>
              </w:tc>
              <w:tc>
                <w:tcPr>
                  <w:tcW w:w="189" w:type="pct"/>
                  <w:shd w:val="clear" w:color="auto" w:fill="auto"/>
                  <w:tcMar>
                    <w:top w:w="0" w:type="dxa"/>
                    <w:left w:w="0" w:type="dxa"/>
                    <w:bottom w:w="0" w:type="dxa"/>
                    <w:right w:w="0" w:type="dxa"/>
                  </w:tcMar>
                  <w:vAlign w:val="center"/>
                </w:tcPr>
                <w:p w14:paraId="0B04B9AC">
                  <w:pPr>
                    <w:jc w:val="center"/>
                    <w:rPr>
                      <w:rFonts w:hint="default" w:asciiTheme="minorAscii" w:hAnsiTheme="minorAscii"/>
                      <w:sz w:val="21"/>
                      <w:szCs w:val="21"/>
                    </w:rPr>
                  </w:pPr>
                  <w:r>
                    <w:rPr>
                      <w:rFonts w:hint="default" w:eastAsia="Arial" w:cs="Arial" w:asciiTheme="minorAscii" w:hAnsiTheme="minorAscii"/>
                      <w:sz w:val="21"/>
                      <w:szCs w:val="21"/>
                    </w:rPr>
                    <w:t>1</w:t>
                  </w:r>
                </w:p>
              </w:tc>
            </w:tr>
            <w:tr w14:paraId="71FC9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5" w:type="pct"/>
                  <w:shd w:val="clear" w:color="auto" w:fill="auto"/>
                  <w:tcMar>
                    <w:top w:w="0" w:type="dxa"/>
                    <w:left w:w="0" w:type="dxa"/>
                    <w:bottom w:w="0" w:type="dxa"/>
                    <w:right w:w="0" w:type="dxa"/>
                  </w:tcMar>
                  <w:vAlign w:val="center"/>
                </w:tcPr>
                <w:p w14:paraId="1EBBB41B">
                  <w:pPr>
                    <w:jc w:val="center"/>
                    <w:rPr>
                      <w:rFonts w:hint="default" w:asciiTheme="minorAscii" w:hAnsiTheme="minorAscii"/>
                      <w:sz w:val="21"/>
                      <w:szCs w:val="21"/>
                    </w:rPr>
                  </w:pPr>
                  <w:r>
                    <w:rPr>
                      <w:rFonts w:hint="default" w:eastAsia="Arial" w:cs="Arial" w:asciiTheme="minorAscii" w:hAnsiTheme="minorAscii"/>
                      <w:sz w:val="21"/>
                      <w:szCs w:val="21"/>
                    </w:rPr>
                    <w:t>3</w:t>
                  </w:r>
                </w:p>
              </w:tc>
              <w:tc>
                <w:tcPr>
                  <w:tcW w:w="248" w:type="pct"/>
                  <w:vMerge w:val="continue"/>
                  <w:shd w:val="clear" w:color="auto" w:fill="auto"/>
                  <w:tcMar>
                    <w:top w:w="0" w:type="dxa"/>
                    <w:left w:w="0" w:type="dxa"/>
                    <w:bottom w:w="0" w:type="dxa"/>
                    <w:right w:w="0" w:type="dxa"/>
                  </w:tcMar>
                  <w:vAlign w:val="center"/>
                </w:tcPr>
                <w:p w14:paraId="1F7BA5D1">
                  <w:pPr>
                    <w:jc w:val="center"/>
                    <w:rPr>
                      <w:rFonts w:hint="default" w:asciiTheme="minorAscii" w:hAnsiTheme="minorAscii"/>
                      <w:sz w:val="21"/>
                      <w:szCs w:val="21"/>
                    </w:rPr>
                  </w:pPr>
                </w:p>
              </w:tc>
              <w:tc>
                <w:tcPr>
                  <w:tcW w:w="290" w:type="pct"/>
                  <w:shd w:val="clear" w:color="auto" w:fill="auto"/>
                  <w:tcMar>
                    <w:top w:w="0" w:type="dxa"/>
                    <w:left w:w="0" w:type="dxa"/>
                    <w:bottom w:w="0" w:type="dxa"/>
                    <w:right w:w="0" w:type="dxa"/>
                  </w:tcMar>
                  <w:vAlign w:val="center"/>
                </w:tcPr>
                <w:p w14:paraId="62C77401">
                  <w:pPr>
                    <w:jc w:val="center"/>
                    <w:rPr>
                      <w:rFonts w:hint="default" w:asciiTheme="minorAscii" w:hAnsiTheme="minorAscii"/>
                      <w:sz w:val="21"/>
                      <w:szCs w:val="21"/>
                    </w:rPr>
                  </w:pPr>
                  <w:r>
                    <w:rPr>
                      <w:rFonts w:hint="default" w:eastAsia="Arial" w:cs="Arial" w:asciiTheme="minorAscii" w:hAnsiTheme="minorAscii"/>
                      <w:sz w:val="21"/>
                      <w:szCs w:val="21"/>
                    </w:rPr>
                    <w:t>刮油刮泥机</w:t>
                  </w:r>
                </w:p>
              </w:tc>
              <w:tc>
                <w:tcPr>
                  <w:tcW w:w="185" w:type="pct"/>
                  <w:shd w:val="clear" w:color="auto" w:fill="auto"/>
                  <w:tcMar>
                    <w:top w:w="0" w:type="dxa"/>
                    <w:left w:w="0" w:type="dxa"/>
                    <w:bottom w:w="0" w:type="dxa"/>
                    <w:right w:w="0" w:type="dxa"/>
                  </w:tcMar>
                  <w:vAlign w:val="center"/>
                </w:tcPr>
                <w:p w14:paraId="4C00D780">
                  <w:pPr>
                    <w:jc w:val="center"/>
                    <w:rPr>
                      <w:rFonts w:hint="eastAsia" w:eastAsia="宋体" w:asciiTheme="minorAscii" w:hAnsiTheme="minorAscii"/>
                      <w:sz w:val="21"/>
                      <w:szCs w:val="21"/>
                      <w:lang w:val="en-US" w:eastAsia="zh-CN"/>
                    </w:rPr>
                  </w:pPr>
                  <w:r>
                    <w:rPr>
                      <w:rFonts w:hint="eastAsia" w:asciiTheme="minorAscii" w:hAnsiTheme="minorAscii"/>
                      <w:sz w:val="21"/>
                      <w:szCs w:val="21"/>
                      <w:lang w:val="en-US" w:eastAsia="zh-CN"/>
                    </w:rPr>
                    <w:t>/</w:t>
                  </w:r>
                </w:p>
              </w:tc>
              <w:tc>
                <w:tcPr>
                  <w:tcW w:w="301" w:type="pct"/>
                  <w:shd w:val="clear" w:color="auto" w:fill="auto"/>
                  <w:tcMar>
                    <w:top w:w="0" w:type="dxa"/>
                    <w:left w:w="0" w:type="dxa"/>
                    <w:bottom w:w="0" w:type="dxa"/>
                    <w:right w:w="0" w:type="dxa"/>
                  </w:tcMar>
                  <w:vAlign w:val="center"/>
                </w:tcPr>
                <w:p w14:paraId="681AE5A0">
                  <w:pPr>
                    <w:jc w:val="center"/>
                    <w:rPr>
                      <w:rFonts w:hint="default" w:asciiTheme="minorAscii" w:hAnsiTheme="minorAscii"/>
                      <w:sz w:val="21"/>
                      <w:szCs w:val="21"/>
                    </w:rPr>
                  </w:pPr>
                  <w:r>
                    <w:rPr>
                      <w:rFonts w:hint="default" w:eastAsia="Arial" w:cs="Arial" w:asciiTheme="minorAscii" w:hAnsiTheme="minorAscii"/>
                      <w:sz w:val="21"/>
                      <w:szCs w:val="21"/>
                    </w:rPr>
                    <w:t>80</w:t>
                  </w:r>
                </w:p>
              </w:tc>
              <w:tc>
                <w:tcPr>
                  <w:tcW w:w="312" w:type="pct"/>
                  <w:vMerge w:val="continue"/>
                  <w:shd w:val="clear" w:color="auto" w:fill="auto"/>
                  <w:tcMar>
                    <w:top w:w="0" w:type="dxa"/>
                    <w:left w:w="0" w:type="dxa"/>
                    <w:bottom w:w="0" w:type="dxa"/>
                    <w:right w:w="0" w:type="dxa"/>
                  </w:tcMar>
                  <w:vAlign w:val="center"/>
                </w:tcPr>
                <w:p w14:paraId="6F8BD3E4">
                  <w:pPr>
                    <w:jc w:val="center"/>
                    <w:rPr>
                      <w:rFonts w:hint="default" w:asciiTheme="minorAscii" w:hAnsiTheme="minorAscii"/>
                      <w:sz w:val="21"/>
                      <w:szCs w:val="21"/>
                    </w:rPr>
                  </w:pPr>
                </w:p>
              </w:tc>
              <w:tc>
                <w:tcPr>
                  <w:tcW w:w="163" w:type="pct"/>
                  <w:shd w:val="clear" w:color="auto" w:fill="auto"/>
                  <w:tcMar>
                    <w:top w:w="0" w:type="dxa"/>
                    <w:left w:w="0" w:type="dxa"/>
                    <w:bottom w:w="0" w:type="dxa"/>
                    <w:right w:w="0" w:type="dxa"/>
                  </w:tcMar>
                  <w:vAlign w:val="center"/>
                </w:tcPr>
                <w:p w14:paraId="72D2E796">
                  <w:pPr>
                    <w:jc w:val="center"/>
                    <w:rPr>
                      <w:rFonts w:hint="default" w:asciiTheme="minorAscii" w:hAnsiTheme="minorAscii"/>
                      <w:sz w:val="21"/>
                      <w:szCs w:val="21"/>
                    </w:rPr>
                  </w:pPr>
                  <w:r>
                    <w:rPr>
                      <w:rFonts w:hint="default" w:eastAsia="Arial" w:cs="Arial" w:asciiTheme="minorAscii" w:hAnsiTheme="minorAscii"/>
                      <w:sz w:val="21"/>
                      <w:szCs w:val="21"/>
                    </w:rPr>
                    <w:t>14.1</w:t>
                  </w:r>
                </w:p>
              </w:tc>
              <w:tc>
                <w:tcPr>
                  <w:tcW w:w="209" w:type="pct"/>
                  <w:shd w:val="clear" w:color="auto" w:fill="auto"/>
                  <w:tcMar>
                    <w:top w:w="0" w:type="dxa"/>
                    <w:left w:w="0" w:type="dxa"/>
                    <w:bottom w:w="0" w:type="dxa"/>
                    <w:right w:w="0" w:type="dxa"/>
                  </w:tcMar>
                  <w:vAlign w:val="center"/>
                </w:tcPr>
                <w:p w14:paraId="2F640777">
                  <w:pPr>
                    <w:jc w:val="center"/>
                    <w:rPr>
                      <w:rFonts w:hint="default" w:asciiTheme="minorAscii" w:hAnsiTheme="minorAscii"/>
                      <w:sz w:val="21"/>
                      <w:szCs w:val="21"/>
                    </w:rPr>
                  </w:pPr>
                  <w:r>
                    <w:rPr>
                      <w:rFonts w:hint="default" w:eastAsia="Arial" w:cs="Arial" w:asciiTheme="minorAscii" w:hAnsiTheme="minorAscii"/>
                      <w:sz w:val="21"/>
                      <w:szCs w:val="21"/>
                    </w:rPr>
                    <w:t>117</w:t>
                  </w:r>
                </w:p>
              </w:tc>
              <w:tc>
                <w:tcPr>
                  <w:tcW w:w="146" w:type="pct"/>
                  <w:shd w:val="clear" w:color="auto" w:fill="auto"/>
                  <w:tcMar>
                    <w:top w:w="0" w:type="dxa"/>
                    <w:left w:w="0" w:type="dxa"/>
                    <w:bottom w:w="0" w:type="dxa"/>
                    <w:right w:w="0" w:type="dxa"/>
                  </w:tcMar>
                  <w:vAlign w:val="center"/>
                </w:tcPr>
                <w:p w14:paraId="18A9CE9C">
                  <w:pPr>
                    <w:jc w:val="center"/>
                    <w:rPr>
                      <w:rFonts w:hint="default" w:asciiTheme="minorAscii" w:hAnsiTheme="minorAscii"/>
                      <w:sz w:val="21"/>
                      <w:szCs w:val="21"/>
                    </w:rPr>
                  </w:pPr>
                  <w:r>
                    <w:rPr>
                      <w:rFonts w:hint="default" w:eastAsia="Arial" w:cs="Arial" w:asciiTheme="minorAscii" w:hAnsiTheme="minorAscii"/>
                      <w:sz w:val="21"/>
                      <w:szCs w:val="21"/>
                    </w:rPr>
                    <w:t>1.2</w:t>
                  </w:r>
                </w:p>
              </w:tc>
              <w:tc>
                <w:tcPr>
                  <w:tcW w:w="157" w:type="pct"/>
                  <w:shd w:val="clear" w:color="auto" w:fill="auto"/>
                  <w:tcMar>
                    <w:top w:w="0" w:type="dxa"/>
                    <w:left w:w="0" w:type="dxa"/>
                    <w:bottom w:w="0" w:type="dxa"/>
                    <w:right w:w="0" w:type="dxa"/>
                  </w:tcMar>
                  <w:vAlign w:val="center"/>
                </w:tcPr>
                <w:p w14:paraId="31232C9B">
                  <w:pPr>
                    <w:jc w:val="center"/>
                    <w:rPr>
                      <w:rFonts w:hint="default" w:asciiTheme="minorAscii" w:hAnsiTheme="minorAscii"/>
                      <w:sz w:val="21"/>
                      <w:szCs w:val="21"/>
                    </w:rPr>
                  </w:pPr>
                  <w:r>
                    <w:rPr>
                      <w:rFonts w:hint="default" w:eastAsia="Arial" w:cs="Arial" w:asciiTheme="minorAscii" w:hAnsiTheme="minorAscii"/>
                      <w:sz w:val="21"/>
                      <w:szCs w:val="21"/>
                    </w:rPr>
                    <w:t>24.8</w:t>
                  </w:r>
                </w:p>
              </w:tc>
              <w:tc>
                <w:tcPr>
                  <w:tcW w:w="158" w:type="pct"/>
                  <w:shd w:val="clear" w:color="auto" w:fill="auto"/>
                  <w:tcMar>
                    <w:top w:w="0" w:type="dxa"/>
                    <w:left w:w="0" w:type="dxa"/>
                    <w:bottom w:w="0" w:type="dxa"/>
                    <w:right w:w="0" w:type="dxa"/>
                  </w:tcMar>
                  <w:vAlign w:val="center"/>
                </w:tcPr>
                <w:p w14:paraId="09122811">
                  <w:pPr>
                    <w:jc w:val="center"/>
                    <w:rPr>
                      <w:rFonts w:hint="default" w:asciiTheme="minorAscii" w:hAnsiTheme="minorAscii"/>
                      <w:sz w:val="21"/>
                      <w:szCs w:val="21"/>
                    </w:rPr>
                  </w:pPr>
                  <w:r>
                    <w:rPr>
                      <w:rFonts w:hint="default" w:eastAsia="Arial" w:cs="Arial" w:asciiTheme="minorAscii" w:hAnsiTheme="minorAscii"/>
                      <w:sz w:val="21"/>
                      <w:szCs w:val="21"/>
                    </w:rPr>
                    <w:t>20.0</w:t>
                  </w:r>
                </w:p>
              </w:tc>
              <w:tc>
                <w:tcPr>
                  <w:tcW w:w="157" w:type="pct"/>
                  <w:shd w:val="clear" w:color="auto" w:fill="auto"/>
                  <w:tcMar>
                    <w:top w:w="0" w:type="dxa"/>
                    <w:left w:w="0" w:type="dxa"/>
                    <w:bottom w:w="0" w:type="dxa"/>
                    <w:right w:w="0" w:type="dxa"/>
                  </w:tcMar>
                  <w:vAlign w:val="center"/>
                </w:tcPr>
                <w:p w14:paraId="078B2A6E">
                  <w:pPr>
                    <w:jc w:val="center"/>
                    <w:rPr>
                      <w:rFonts w:hint="default" w:asciiTheme="minorAscii" w:hAnsiTheme="minorAscii"/>
                      <w:sz w:val="21"/>
                      <w:szCs w:val="21"/>
                    </w:rPr>
                  </w:pPr>
                  <w:r>
                    <w:rPr>
                      <w:rFonts w:hint="default" w:eastAsia="Arial" w:cs="Arial" w:asciiTheme="minorAscii" w:hAnsiTheme="minorAscii"/>
                      <w:sz w:val="21"/>
                      <w:szCs w:val="21"/>
                    </w:rPr>
                    <w:t>5.6</w:t>
                  </w:r>
                </w:p>
              </w:tc>
              <w:tc>
                <w:tcPr>
                  <w:tcW w:w="157" w:type="pct"/>
                  <w:shd w:val="clear" w:color="auto" w:fill="auto"/>
                  <w:tcMar>
                    <w:top w:w="0" w:type="dxa"/>
                    <w:left w:w="0" w:type="dxa"/>
                    <w:bottom w:w="0" w:type="dxa"/>
                    <w:right w:w="0" w:type="dxa"/>
                  </w:tcMar>
                  <w:vAlign w:val="center"/>
                </w:tcPr>
                <w:p w14:paraId="7A4AD9BE">
                  <w:pPr>
                    <w:jc w:val="center"/>
                    <w:rPr>
                      <w:rFonts w:hint="default" w:asciiTheme="minorAscii" w:hAnsiTheme="minorAscii"/>
                      <w:sz w:val="21"/>
                      <w:szCs w:val="21"/>
                    </w:rPr>
                  </w:pPr>
                  <w:r>
                    <w:rPr>
                      <w:rFonts w:hint="default" w:eastAsia="Arial" w:cs="Arial" w:asciiTheme="minorAscii" w:hAnsiTheme="minorAscii"/>
                      <w:sz w:val="21"/>
                      <w:szCs w:val="21"/>
                    </w:rPr>
                    <w:t>17.4</w:t>
                  </w:r>
                </w:p>
              </w:tc>
              <w:tc>
                <w:tcPr>
                  <w:tcW w:w="160" w:type="pct"/>
                  <w:shd w:val="clear" w:color="auto" w:fill="auto"/>
                  <w:tcMar>
                    <w:top w:w="0" w:type="dxa"/>
                    <w:left w:w="0" w:type="dxa"/>
                    <w:bottom w:w="0" w:type="dxa"/>
                    <w:right w:w="0" w:type="dxa"/>
                  </w:tcMar>
                  <w:vAlign w:val="center"/>
                </w:tcPr>
                <w:p w14:paraId="6CC9B463">
                  <w:pPr>
                    <w:jc w:val="center"/>
                    <w:rPr>
                      <w:rFonts w:hint="default" w:asciiTheme="minorAscii" w:hAnsiTheme="minorAscii"/>
                      <w:sz w:val="21"/>
                      <w:szCs w:val="21"/>
                    </w:rPr>
                  </w:pPr>
                  <w:r>
                    <w:rPr>
                      <w:rFonts w:hint="default" w:eastAsia="Arial" w:cs="Arial" w:asciiTheme="minorAscii" w:hAnsiTheme="minorAscii"/>
                      <w:sz w:val="21"/>
                      <w:szCs w:val="21"/>
                    </w:rPr>
                    <w:t>69.7</w:t>
                  </w:r>
                </w:p>
              </w:tc>
              <w:tc>
                <w:tcPr>
                  <w:tcW w:w="160" w:type="pct"/>
                  <w:shd w:val="clear" w:color="auto" w:fill="auto"/>
                  <w:tcMar>
                    <w:top w:w="0" w:type="dxa"/>
                    <w:left w:w="0" w:type="dxa"/>
                    <w:bottom w:w="0" w:type="dxa"/>
                    <w:right w:w="0" w:type="dxa"/>
                  </w:tcMar>
                  <w:vAlign w:val="center"/>
                </w:tcPr>
                <w:p w14:paraId="298C0483">
                  <w:pPr>
                    <w:jc w:val="center"/>
                    <w:rPr>
                      <w:rFonts w:hint="default" w:asciiTheme="minorAscii" w:hAnsiTheme="minorAscii"/>
                      <w:sz w:val="21"/>
                      <w:szCs w:val="21"/>
                    </w:rPr>
                  </w:pPr>
                  <w:r>
                    <w:rPr>
                      <w:rFonts w:hint="default" w:eastAsia="Arial" w:cs="Arial" w:asciiTheme="minorAscii" w:hAnsiTheme="minorAscii"/>
                      <w:sz w:val="21"/>
                      <w:szCs w:val="21"/>
                    </w:rPr>
                    <w:t>69.7</w:t>
                  </w:r>
                </w:p>
              </w:tc>
              <w:tc>
                <w:tcPr>
                  <w:tcW w:w="160" w:type="pct"/>
                  <w:shd w:val="clear" w:color="auto" w:fill="auto"/>
                  <w:tcMar>
                    <w:top w:w="0" w:type="dxa"/>
                    <w:left w:w="0" w:type="dxa"/>
                    <w:bottom w:w="0" w:type="dxa"/>
                    <w:right w:w="0" w:type="dxa"/>
                  </w:tcMar>
                  <w:vAlign w:val="center"/>
                </w:tcPr>
                <w:p w14:paraId="16CD2BDE">
                  <w:pPr>
                    <w:jc w:val="center"/>
                    <w:rPr>
                      <w:rFonts w:hint="default" w:asciiTheme="minorAscii" w:hAnsiTheme="minorAscii"/>
                      <w:sz w:val="21"/>
                      <w:szCs w:val="21"/>
                    </w:rPr>
                  </w:pPr>
                  <w:r>
                    <w:rPr>
                      <w:rFonts w:hint="default" w:eastAsia="Arial" w:cs="Arial" w:asciiTheme="minorAscii" w:hAnsiTheme="minorAscii"/>
                      <w:sz w:val="21"/>
                      <w:szCs w:val="21"/>
                    </w:rPr>
                    <w:t>69.8</w:t>
                  </w:r>
                </w:p>
              </w:tc>
              <w:tc>
                <w:tcPr>
                  <w:tcW w:w="160" w:type="pct"/>
                  <w:shd w:val="clear" w:color="auto" w:fill="auto"/>
                  <w:tcMar>
                    <w:top w:w="0" w:type="dxa"/>
                    <w:left w:w="0" w:type="dxa"/>
                    <w:bottom w:w="0" w:type="dxa"/>
                    <w:right w:w="0" w:type="dxa"/>
                  </w:tcMar>
                  <w:vAlign w:val="center"/>
                </w:tcPr>
                <w:p w14:paraId="589D7A01">
                  <w:pPr>
                    <w:jc w:val="center"/>
                    <w:rPr>
                      <w:rFonts w:hint="default" w:asciiTheme="minorAscii" w:hAnsiTheme="minorAscii"/>
                      <w:sz w:val="21"/>
                      <w:szCs w:val="21"/>
                    </w:rPr>
                  </w:pPr>
                  <w:r>
                    <w:rPr>
                      <w:rFonts w:hint="default" w:eastAsia="Arial" w:cs="Arial" w:asciiTheme="minorAscii" w:hAnsiTheme="minorAscii"/>
                      <w:sz w:val="21"/>
                      <w:szCs w:val="21"/>
                    </w:rPr>
                    <w:t>69.7</w:t>
                  </w:r>
                </w:p>
              </w:tc>
              <w:tc>
                <w:tcPr>
                  <w:tcW w:w="227" w:type="pct"/>
                  <w:shd w:val="clear" w:color="auto" w:fill="auto"/>
                  <w:tcMar>
                    <w:top w:w="0" w:type="dxa"/>
                    <w:left w:w="0" w:type="dxa"/>
                    <w:bottom w:w="0" w:type="dxa"/>
                    <w:right w:w="0" w:type="dxa"/>
                  </w:tcMar>
                  <w:vAlign w:val="center"/>
                </w:tcPr>
                <w:p w14:paraId="070F6FFD">
                  <w:pPr>
                    <w:jc w:val="center"/>
                    <w:rPr>
                      <w:rFonts w:hint="default" w:asciiTheme="minorAscii" w:hAnsiTheme="minorAscii"/>
                      <w:sz w:val="21"/>
                      <w:szCs w:val="21"/>
                    </w:rPr>
                  </w:pPr>
                  <w:r>
                    <w:rPr>
                      <w:rFonts w:hint="default" w:eastAsia="Arial" w:cs="Arial" w:asciiTheme="minorAscii" w:hAnsiTheme="minorAscii"/>
                      <w:sz w:val="21"/>
                      <w:szCs w:val="21"/>
                    </w:rPr>
                    <w:t>24.0</w:t>
                  </w:r>
                </w:p>
              </w:tc>
              <w:tc>
                <w:tcPr>
                  <w:tcW w:w="169" w:type="pct"/>
                  <w:shd w:val="clear" w:color="auto" w:fill="auto"/>
                  <w:tcMar>
                    <w:top w:w="0" w:type="dxa"/>
                    <w:left w:w="0" w:type="dxa"/>
                    <w:bottom w:w="0" w:type="dxa"/>
                    <w:right w:w="0" w:type="dxa"/>
                  </w:tcMar>
                  <w:vAlign w:val="center"/>
                </w:tcPr>
                <w:p w14:paraId="1B28C573">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0FEC49D2">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6C601C39">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1A3FBAC7">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47" w:type="pct"/>
                  <w:shd w:val="clear" w:color="auto" w:fill="auto"/>
                  <w:tcMar>
                    <w:top w:w="0" w:type="dxa"/>
                    <w:left w:w="0" w:type="dxa"/>
                    <w:bottom w:w="0" w:type="dxa"/>
                    <w:right w:w="0" w:type="dxa"/>
                  </w:tcMar>
                  <w:vAlign w:val="center"/>
                </w:tcPr>
                <w:p w14:paraId="12FB090F">
                  <w:pPr>
                    <w:jc w:val="center"/>
                    <w:rPr>
                      <w:rFonts w:hint="default" w:asciiTheme="minorAscii" w:hAnsiTheme="minorAscii"/>
                      <w:sz w:val="21"/>
                      <w:szCs w:val="21"/>
                    </w:rPr>
                  </w:pPr>
                  <w:r>
                    <w:rPr>
                      <w:rFonts w:hint="default" w:eastAsia="Arial" w:cs="Arial" w:asciiTheme="minorAscii" w:hAnsiTheme="minorAscii"/>
                      <w:sz w:val="21"/>
                      <w:szCs w:val="21"/>
                    </w:rPr>
                    <w:t>43.7</w:t>
                  </w:r>
                </w:p>
              </w:tc>
              <w:tc>
                <w:tcPr>
                  <w:tcW w:w="147" w:type="pct"/>
                  <w:shd w:val="clear" w:color="auto" w:fill="auto"/>
                  <w:tcMar>
                    <w:top w:w="0" w:type="dxa"/>
                    <w:left w:w="0" w:type="dxa"/>
                    <w:bottom w:w="0" w:type="dxa"/>
                    <w:right w:w="0" w:type="dxa"/>
                  </w:tcMar>
                  <w:vAlign w:val="center"/>
                </w:tcPr>
                <w:p w14:paraId="40EB754A">
                  <w:pPr>
                    <w:jc w:val="center"/>
                    <w:rPr>
                      <w:rFonts w:hint="default" w:asciiTheme="minorAscii" w:hAnsiTheme="minorAscii"/>
                      <w:sz w:val="21"/>
                      <w:szCs w:val="21"/>
                    </w:rPr>
                  </w:pPr>
                  <w:r>
                    <w:rPr>
                      <w:rFonts w:hint="default" w:eastAsia="Arial" w:cs="Arial" w:asciiTheme="minorAscii" w:hAnsiTheme="minorAscii"/>
                      <w:sz w:val="21"/>
                      <w:szCs w:val="21"/>
                    </w:rPr>
                    <w:t>43.7</w:t>
                  </w:r>
                </w:p>
              </w:tc>
              <w:tc>
                <w:tcPr>
                  <w:tcW w:w="147" w:type="pct"/>
                  <w:shd w:val="clear" w:color="auto" w:fill="auto"/>
                  <w:tcMar>
                    <w:top w:w="0" w:type="dxa"/>
                    <w:left w:w="0" w:type="dxa"/>
                    <w:bottom w:w="0" w:type="dxa"/>
                    <w:right w:w="0" w:type="dxa"/>
                  </w:tcMar>
                  <w:vAlign w:val="center"/>
                </w:tcPr>
                <w:p w14:paraId="1D7CE4A1">
                  <w:pPr>
                    <w:jc w:val="center"/>
                    <w:rPr>
                      <w:rFonts w:hint="default" w:asciiTheme="minorAscii" w:hAnsiTheme="minorAscii"/>
                      <w:sz w:val="21"/>
                      <w:szCs w:val="21"/>
                    </w:rPr>
                  </w:pPr>
                  <w:r>
                    <w:rPr>
                      <w:rFonts w:hint="default" w:eastAsia="Arial" w:cs="Arial" w:asciiTheme="minorAscii" w:hAnsiTheme="minorAscii"/>
                      <w:sz w:val="21"/>
                      <w:szCs w:val="21"/>
                    </w:rPr>
                    <w:t>43.8</w:t>
                  </w:r>
                </w:p>
              </w:tc>
              <w:tc>
                <w:tcPr>
                  <w:tcW w:w="147" w:type="pct"/>
                  <w:shd w:val="clear" w:color="auto" w:fill="auto"/>
                  <w:tcMar>
                    <w:top w:w="0" w:type="dxa"/>
                    <w:left w:w="0" w:type="dxa"/>
                    <w:bottom w:w="0" w:type="dxa"/>
                    <w:right w:w="0" w:type="dxa"/>
                  </w:tcMar>
                  <w:vAlign w:val="center"/>
                </w:tcPr>
                <w:p w14:paraId="7FB9391D">
                  <w:pPr>
                    <w:jc w:val="center"/>
                    <w:rPr>
                      <w:rFonts w:hint="default" w:asciiTheme="minorAscii" w:hAnsiTheme="minorAscii"/>
                      <w:sz w:val="21"/>
                      <w:szCs w:val="21"/>
                    </w:rPr>
                  </w:pPr>
                  <w:r>
                    <w:rPr>
                      <w:rFonts w:hint="default" w:eastAsia="Arial" w:cs="Arial" w:asciiTheme="minorAscii" w:hAnsiTheme="minorAscii"/>
                      <w:sz w:val="21"/>
                      <w:szCs w:val="21"/>
                    </w:rPr>
                    <w:t>43.7</w:t>
                  </w:r>
                </w:p>
              </w:tc>
              <w:tc>
                <w:tcPr>
                  <w:tcW w:w="189" w:type="pct"/>
                  <w:shd w:val="clear" w:color="auto" w:fill="auto"/>
                  <w:tcMar>
                    <w:top w:w="0" w:type="dxa"/>
                    <w:left w:w="0" w:type="dxa"/>
                    <w:bottom w:w="0" w:type="dxa"/>
                    <w:right w:w="0" w:type="dxa"/>
                  </w:tcMar>
                  <w:vAlign w:val="center"/>
                </w:tcPr>
                <w:p w14:paraId="346C5D8C">
                  <w:pPr>
                    <w:jc w:val="center"/>
                    <w:rPr>
                      <w:rFonts w:hint="default" w:asciiTheme="minorAscii" w:hAnsiTheme="minorAscii"/>
                      <w:sz w:val="21"/>
                      <w:szCs w:val="21"/>
                    </w:rPr>
                  </w:pPr>
                  <w:r>
                    <w:rPr>
                      <w:rFonts w:hint="default" w:eastAsia="Arial" w:cs="Arial" w:asciiTheme="minorAscii" w:hAnsiTheme="minorAscii"/>
                      <w:sz w:val="21"/>
                      <w:szCs w:val="21"/>
                    </w:rPr>
                    <w:t>1</w:t>
                  </w:r>
                </w:p>
              </w:tc>
            </w:tr>
            <w:tr w14:paraId="13C5E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5" w:type="pct"/>
                  <w:shd w:val="clear" w:color="auto" w:fill="auto"/>
                  <w:tcMar>
                    <w:top w:w="0" w:type="dxa"/>
                    <w:left w:w="0" w:type="dxa"/>
                    <w:bottom w:w="0" w:type="dxa"/>
                    <w:right w:w="0" w:type="dxa"/>
                  </w:tcMar>
                  <w:vAlign w:val="center"/>
                </w:tcPr>
                <w:p w14:paraId="5BB932BC">
                  <w:pPr>
                    <w:jc w:val="center"/>
                    <w:rPr>
                      <w:rFonts w:hint="default" w:asciiTheme="minorAscii" w:hAnsiTheme="minorAscii"/>
                      <w:sz w:val="21"/>
                      <w:szCs w:val="21"/>
                    </w:rPr>
                  </w:pPr>
                  <w:r>
                    <w:rPr>
                      <w:rFonts w:hint="default" w:eastAsia="Arial" w:cs="Arial" w:asciiTheme="minorAscii" w:hAnsiTheme="minorAscii"/>
                      <w:sz w:val="21"/>
                      <w:szCs w:val="21"/>
                    </w:rPr>
                    <w:t>4</w:t>
                  </w:r>
                </w:p>
              </w:tc>
              <w:tc>
                <w:tcPr>
                  <w:tcW w:w="248" w:type="pct"/>
                  <w:vMerge w:val="continue"/>
                  <w:shd w:val="clear" w:color="auto" w:fill="auto"/>
                  <w:tcMar>
                    <w:top w:w="0" w:type="dxa"/>
                    <w:left w:w="0" w:type="dxa"/>
                    <w:bottom w:w="0" w:type="dxa"/>
                    <w:right w:w="0" w:type="dxa"/>
                  </w:tcMar>
                  <w:vAlign w:val="center"/>
                </w:tcPr>
                <w:p w14:paraId="1605B194">
                  <w:pPr>
                    <w:jc w:val="center"/>
                    <w:rPr>
                      <w:rFonts w:hint="default" w:asciiTheme="minorAscii" w:hAnsiTheme="minorAscii"/>
                      <w:sz w:val="21"/>
                      <w:szCs w:val="21"/>
                    </w:rPr>
                  </w:pPr>
                </w:p>
              </w:tc>
              <w:tc>
                <w:tcPr>
                  <w:tcW w:w="290" w:type="pct"/>
                  <w:shd w:val="clear" w:color="auto" w:fill="auto"/>
                  <w:tcMar>
                    <w:top w:w="0" w:type="dxa"/>
                    <w:left w:w="0" w:type="dxa"/>
                    <w:bottom w:w="0" w:type="dxa"/>
                    <w:right w:w="0" w:type="dxa"/>
                  </w:tcMar>
                  <w:vAlign w:val="center"/>
                </w:tcPr>
                <w:p w14:paraId="6F0692F3">
                  <w:pPr>
                    <w:jc w:val="center"/>
                    <w:rPr>
                      <w:rFonts w:hint="default" w:asciiTheme="minorAscii" w:hAnsiTheme="minorAscii"/>
                      <w:sz w:val="21"/>
                      <w:szCs w:val="21"/>
                    </w:rPr>
                  </w:pPr>
                  <w:r>
                    <w:rPr>
                      <w:rFonts w:hint="default" w:eastAsia="Arial" w:cs="Arial" w:asciiTheme="minorAscii" w:hAnsiTheme="minorAscii"/>
                      <w:sz w:val="21"/>
                      <w:szCs w:val="21"/>
                    </w:rPr>
                    <w:t>气浮机配套空压机</w:t>
                  </w:r>
                </w:p>
              </w:tc>
              <w:tc>
                <w:tcPr>
                  <w:tcW w:w="185" w:type="pct"/>
                  <w:shd w:val="clear" w:color="auto" w:fill="auto"/>
                  <w:tcMar>
                    <w:top w:w="0" w:type="dxa"/>
                    <w:left w:w="0" w:type="dxa"/>
                    <w:bottom w:w="0" w:type="dxa"/>
                    <w:right w:w="0" w:type="dxa"/>
                  </w:tcMar>
                  <w:vAlign w:val="center"/>
                </w:tcPr>
                <w:p w14:paraId="0343E5AA">
                  <w:pPr>
                    <w:jc w:val="center"/>
                    <w:rPr>
                      <w:rFonts w:hint="eastAsia" w:eastAsia="宋体" w:asciiTheme="minorAscii" w:hAnsiTheme="minorAscii"/>
                      <w:sz w:val="21"/>
                      <w:szCs w:val="21"/>
                      <w:lang w:val="en-US" w:eastAsia="zh-CN"/>
                    </w:rPr>
                  </w:pPr>
                  <w:r>
                    <w:rPr>
                      <w:rFonts w:hint="eastAsia" w:asciiTheme="minorAscii" w:hAnsiTheme="minorAscii"/>
                      <w:sz w:val="21"/>
                      <w:szCs w:val="21"/>
                      <w:lang w:val="en-US" w:eastAsia="zh-CN"/>
                    </w:rPr>
                    <w:t>/</w:t>
                  </w:r>
                </w:p>
              </w:tc>
              <w:tc>
                <w:tcPr>
                  <w:tcW w:w="301" w:type="pct"/>
                  <w:shd w:val="clear" w:color="auto" w:fill="auto"/>
                  <w:tcMar>
                    <w:top w:w="0" w:type="dxa"/>
                    <w:left w:w="0" w:type="dxa"/>
                    <w:bottom w:w="0" w:type="dxa"/>
                    <w:right w:w="0" w:type="dxa"/>
                  </w:tcMar>
                  <w:vAlign w:val="center"/>
                </w:tcPr>
                <w:p w14:paraId="2CEA5EC1">
                  <w:pPr>
                    <w:jc w:val="center"/>
                    <w:rPr>
                      <w:rFonts w:hint="default" w:asciiTheme="minorAscii" w:hAnsiTheme="minorAscii"/>
                      <w:sz w:val="21"/>
                      <w:szCs w:val="21"/>
                    </w:rPr>
                  </w:pPr>
                  <w:r>
                    <w:rPr>
                      <w:rFonts w:hint="default" w:eastAsia="Arial" w:cs="Arial" w:asciiTheme="minorAscii" w:hAnsiTheme="minorAscii"/>
                      <w:sz w:val="21"/>
                      <w:szCs w:val="21"/>
                    </w:rPr>
                    <w:t>85</w:t>
                  </w:r>
                </w:p>
              </w:tc>
              <w:tc>
                <w:tcPr>
                  <w:tcW w:w="312" w:type="pct"/>
                  <w:vMerge w:val="continue"/>
                  <w:shd w:val="clear" w:color="auto" w:fill="auto"/>
                  <w:tcMar>
                    <w:top w:w="0" w:type="dxa"/>
                    <w:left w:w="0" w:type="dxa"/>
                    <w:bottom w:w="0" w:type="dxa"/>
                    <w:right w:w="0" w:type="dxa"/>
                  </w:tcMar>
                  <w:vAlign w:val="center"/>
                </w:tcPr>
                <w:p w14:paraId="489768D1">
                  <w:pPr>
                    <w:jc w:val="center"/>
                    <w:rPr>
                      <w:rFonts w:hint="default" w:asciiTheme="minorAscii" w:hAnsiTheme="minorAscii"/>
                      <w:sz w:val="21"/>
                      <w:szCs w:val="21"/>
                    </w:rPr>
                  </w:pPr>
                </w:p>
              </w:tc>
              <w:tc>
                <w:tcPr>
                  <w:tcW w:w="163" w:type="pct"/>
                  <w:shd w:val="clear" w:color="auto" w:fill="auto"/>
                  <w:tcMar>
                    <w:top w:w="0" w:type="dxa"/>
                    <w:left w:w="0" w:type="dxa"/>
                    <w:bottom w:w="0" w:type="dxa"/>
                    <w:right w:w="0" w:type="dxa"/>
                  </w:tcMar>
                  <w:vAlign w:val="center"/>
                </w:tcPr>
                <w:p w14:paraId="6D1A7C35">
                  <w:pPr>
                    <w:jc w:val="center"/>
                    <w:rPr>
                      <w:rFonts w:hint="default" w:asciiTheme="minorAscii" w:hAnsiTheme="minorAscii"/>
                      <w:sz w:val="21"/>
                      <w:szCs w:val="21"/>
                    </w:rPr>
                  </w:pPr>
                  <w:r>
                    <w:rPr>
                      <w:rFonts w:hint="default" w:eastAsia="Arial" w:cs="Arial" w:asciiTheme="minorAscii" w:hAnsiTheme="minorAscii"/>
                      <w:sz w:val="21"/>
                      <w:szCs w:val="21"/>
                    </w:rPr>
                    <w:t>18.5</w:t>
                  </w:r>
                </w:p>
              </w:tc>
              <w:tc>
                <w:tcPr>
                  <w:tcW w:w="209" w:type="pct"/>
                  <w:shd w:val="clear" w:color="auto" w:fill="auto"/>
                  <w:tcMar>
                    <w:top w:w="0" w:type="dxa"/>
                    <w:left w:w="0" w:type="dxa"/>
                    <w:bottom w:w="0" w:type="dxa"/>
                    <w:right w:w="0" w:type="dxa"/>
                  </w:tcMar>
                  <w:vAlign w:val="center"/>
                </w:tcPr>
                <w:p w14:paraId="698D8728">
                  <w:pPr>
                    <w:jc w:val="center"/>
                    <w:rPr>
                      <w:rFonts w:hint="default" w:asciiTheme="minorAscii" w:hAnsiTheme="minorAscii"/>
                      <w:sz w:val="21"/>
                      <w:szCs w:val="21"/>
                    </w:rPr>
                  </w:pPr>
                  <w:r>
                    <w:rPr>
                      <w:rFonts w:hint="default" w:eastAsia="Arial" w:cs="Arial" w:asciiTheme="minorAscii" w:hAnsiTheme="minorAscii"/>
                      <w:sz w:val="21"/>
                      <w:szCs w:val="21"/>
                    </w:rPr>
                    <w:t>119.6</w:t>
                  </w:r>
                </w:p>
              </w:tc>
              <w:tc>
                <w:tcPr>
                  <w:tcW w:w="146" w:type="pct"/>
                  <w:shd w:val="clear" w:color="auto" w:fill="auto"/>
                  <w:tcMar>
                    <w:top w:w="0" w:type="dxa"/>
                    <w:left w:w="0" w:type="dxa"/>
                    <w:bottom w:w="0" w:type="dxa"/>
                    <w:right w:w="0" w:type="dxa"/>
                  </w:tcMar>
                  <w:vAlign w:val="center"/>
                </w:tcPr>
                <w:p w14:paraId="0445AB9B">
                  <w:pPr>
                    <w:jc w:val="center"/>
                    <w:rPr>
                      <w:rFonts w:hint="default" w:asciiTheme="minorAscii" w:hAnsiTheme="minorAscii"/>
                      <w:sz w:val="21"/>
                      <w:szCs w:val="21"/>
                    </w:rPr>
                  </w:pPr>
                  <w:r>
                    <w:rPr>
                      <w:rFonts w:hint="default" w:eastAsia="Arial" w:cs="Arial" w:asciiTheme="minorAscii" w:hAnsiTheme="minorAscii"/>
                      <w:sz w:val="21"/>
                      <w:szCs w:val="21"/>
                    </w:rPr>
                    <w:t>-0.5</w:t>
                  </w:r>
                </w:p>
              </w:tc>
              <w:tc>
                <w:tcPr>
                  <w:tcW w:w="157" w:type="pct"/>
                  <w:shd w:val="clear" w:color="auto" w:fill="auto"/>
                  <w:tcMar>
                    <w:top w:w="0" w:type="dxa"/>
                    <w:left w:w="0" w:type="dxa"/>
                    <w:bottom w:w="0" w:type="dxa"/>
                    <w:right w:w="0" w:type="dxa"/>
                  </w:tcMar>
                  <w:vAlign w:val="center"/>
                </w:tcPr>
                <w:p w14:paraId="1E7FF6A8">
                  <w:pPr>
                    <w:jc w:val="center"/>
                    <w:rPr>
                      <w:rFonts w:hint="default" w:asciiTheme="minorAscii" w:hAnsiTheme="minorAscii"/>
                      <w:sz w:val="21"/>
                      <w:szCs w:val="21"/>
                    </w:rPr>
                  </w:pPr>
                  <w:r>
                    <w:rPr>
                      <w:rFonts w:hint="default" w:eastAsia="Arial" w:cs="Arial" w:asciiTheme="minorAscii" w:hAnsiTheme="minorAscii"/>
                      <w:sz w:val="21"/>
                      <w:szCs w:val="21"/>
                    </w:rPr>
                    <w:t>19.7</w:t>
                  </w:r>
                </w:p>
              </w:tc>
              <w:tc>
                <w:tcPr>
                  <w:tcW w:w="158" w:type="pct"/>
                  <w:shd w:val="clear" w:color="auto" w:fill="auto"/>
                  <w:tcMar>
                    <w:top w:w="0" w:type="dxa"/>
                    <w:left w:w="0" w:type="dxa"/>
                    <w:bottom w:w="0" w:type="dxa"/>
                    <w:right w:w="0" w:type="dxa"/>
                  </w:tcMar>
                  <w:vAlign w:val="center"/>
                </w:tcPr>
                <w:p w14:paraId="21B8431E">
                  <w:pPr>
                    <w:jc w:val="center"/>
                    <w:rPr>
                      <w:rFonts w:hint="default" w:asciiTheme="minorAscii" w:hAnsiTheme="minorAscii"/>
                      <w:sz w:val="21"/>
                      <w:szCs w:val="21"/>
                    </w:rPr>
                  </w:pPr>
                  <w:r>
                    <w:rPr>
                      <w:rFonts w:hint="default" w:eastAsia="Arial" w:cs="Arial" w:asciiTheme="minorAscii" w:hAnsiTheme="minorAscii"/>
                      <w:sz w:val="21"/>
                      <w:szCs w:val="21"/>
                    </w:rPr>
                    <w:t>20.1</w:t>
                  </w:r>
                </w:p>
              </w:tc>
              <w:tc>
                <w:tcPr>
                  <w:tcW w:w="157" w:type="pct"/>
                  <w:shd w:val="clear" w:color="auto" w:fill="auto"/>
                  <w:tcMar>
                    <w:top w:w="0" w:type="dxa"/>
                    <w:left w:w="0" w:type="dxa"/>
                    <w:bottom w:w="0" w:type="dxa"/>
                    <w:right w:w="0" w:type="dxa"/>
                  </w:tcMar>
                  <w:vAlign w:val="center"/>
                </w:tcPr>
                <w:p w14:paraId="10A52BE6">
                  <w:pPr>
                    <w:jc w:val="center"/>
                    <w:rPr>
                      <w:rFonts w:hint="default" w:asciiTheme="minorAscii" w:hAnsiTheme="minorAscii"/>
                      <w:sz w:val="21"/>
                      <w:szCs w:val="21"/>
                    </w:rPr>
                  </w:pPr>
                  <w:r>
                    <w:rPr>
                      <w:rFonts w:hint="default" w:eastAsia="Arial" w:cs="Arial" w:asciiTheme="minorAscii" w:hAnsiTheme="minorAscii"/>
                      <w:sz w:val="21"/>
                      <w:szCs w:val="21"/>
                    </w:rPr>
                    <w:t>10.7</w:t>
                  </w:r>
                </w:p>
              </w:tc>
              <w:tc>
                <w:tcPr>
                  <w:tcW w:w="157" w:type="pct"/>
                  <w:shd w:val="clear" w:color="auto" w:fill="auto"/>
                  <w:tcMar>
                    <w:top w:w="0" w:type="dxa"/>
                    <w:left w:w="0" w:type="dxa"/>
                    <w:bottom w:w="0" w:type="dxa"/>
                    <w:right w:w="0" w:type="dxa"/>
                  </w:tcMar>
                  <w:vAlign w:val="center"/>
                </w:tcPr>
                <w:p w14:paraId="130BABEF">
                  <w:pPr>
                    <w:jc w:val="center"/>
                    <w:rPr>
                      <w:rFonts w:hint="default" w:asciiTheme="minorAscii" w:hAnsiTheme="minorAscii"/>
                      <w:sz w:val="21"/>
                      <w:szCs w:val="21"/>
                    </w:rPr>
                  </w:pPr>
                  <w:r>
                    <w:rPr>
                      <w:rFonts w:hint="default" w:eastAsia="Arial" w:cs="Arial" w:asciiTheme="minorAscii" w:hAnsiTheme="minorAscii"/>
                      <w:sz w:val="21"/>
                      <w:szCs w:val="21"/>
                    </w:rPr>
                    <w:t>17.0</w:t>
                  </w:r>
                </w:p>
              </w:tc>
              <w:tc>
                <w:tcPr>
                  <w:tcW w:w="160" w:type="pct"/>
                  <w:shd w:val="clear" w:color="auto" w:fill="auto"/>
                  <w:tcMar>
                    <w:top w:w="0" w:type="dxa"/>
                    <w:left w:w="0" w:type="dxa"/>
                    <w:bottom w:w="0" w:type="dxa"/>
                    <w:right w:w="0" w:type="dxa"/>
                  </w:tcMar>
                  <w:vAlign w:val="center"/>
                </w:tcPr>
                <w:p w14:paraId="20F72CAC">
                  <w:pPr>
                    <w:jc w:val="center"/>
                    <w:rPr>
                      <w:rFonts w:hint="default" w:asciiTheme="minorAscii" w:hAnsiTheme="minorAscii"/>
                      <w:sz w:val="21"/>
                      <w:szCs w:val="21"/>
                    </w:rPr>
                  </w:pPr>
                  <w:r>
                    <w:rPr>
                      <w:rFonts w:hint="default" w:eastAsia="Arial" w:cs="Arial" w:asciiTheme="minorAscii" w:hAnsiTheme="minorAscii"/>
                      <w:sz w:val="21"/>
                      <w:szCs w:val="21"/>
                    </w:rPr>
                    <w:t>74.7</w:t>
                  </w:r>
                </w:p>
              </w:tc>
              <w:tc>
                <w:tcPr>
                  <w:tcW w:w="160" w:type="pct"/>
                  <w:shd w:val="clear" w:color="auto" w:fill="auto"/>
                  <w:tcMar>
                    <w:top w:w="0" w:type="dxa"/>
                    <w:left w:w="0" w:type="dxa"/>
                    <w:bottom w:w="0" w:type="dxa"/>
                    <w:right w:w="0" w:type="dxa"/>
                  </w:tcMar>
                  <w:vAlign w:val="center"/>
                </w:tcPr>
                <w:p w14:paraId="56DC12F6">
                  <w:pPr>
                    <w:jc w:val="center"/>
                    <w:rPr>
                      <w:rFonts w:hint="default" w:asciiTheme="minorAscii" w:hAnsiTheme="minorAscii"/>
                      <w:sz w:val="21"/>
                      <w:szCs w:val="21"/>
                    </w:rPr>
                  </w:pPr>
                  <w:r>
                    <w:rPr>
                      <w:rFonts w:hint="default" w:eastAsia="Arial" w:cs="Arial" w:asciiTheme="minorAscii" w:hAnsiTheme="minorAscii"/>
                      <w:sz w:val="21"/>
                      <w:szCs w:val="21"/>
                    </w:rPr>
                    <w:t>74.7</w:t>
                  </w:r>
                </w:p>
              </w:tc>
              <w:tc>
                <w:tcPr>
                  <w:tcW w:w="160" w:type="pct"/>
                  <w:shd w:val="clear" w:color="auto" w:fill="auto"/>
                  <w:tcMar>
                    <w:top w:w="0" w:type="dxa"/>
                    <w:left w:w="0" w:type="dxa"/>
                    <w:bottom w:w="0" w:type="dxa"/>
                    <w:right w:w="0" w:type="dxa"/>
                  </w:tcMar>
                  <w:vAlign w:val="center"/>
                </w:tcPr>
                <w:p w14:paraId="222CF090">
                  <w:pPr>
                    <w:jc w:val="center"/>
                    <w:rPr>
                      <w:rFonts w:hint="default" w:asciiTheme="minorAscii" w:hAnsiTheme="minorAscii"/>
                      <w:sz w:val="21"/>
                      <w:szCs w:val="21"/>
                    </w:rPr>
                  </w:pPr>
                  <w:r>
                    <w:rPr>
                      <w:rFonts w:hint="default" w:eastAsia="Arial" w:cs="Arial" w:asciiTheme="minorAscii" w:hAnsiTheme="minorAscii"/>
                      <w:sz w:val="21"/>
                      <w:szCs w:val="21"/>
                    </w:rPr>
                    <w:t>74.7</w:t>
                  </w:r>
                </w:p>
              </w:tc>
              <w:tc>
                <w:tcPr>
                  <w:tcW w:w="160" w:type="pct"/>
                  <w:shd w:val="clear" w:color="auto" w:fill="auto"/>
                  <w:tcMar>
                    <w:top w:w="0" w:type="dxa"/>
                    <w:left w:w="0" w:type="dxa"/>
                    <w:bottom w:w="0" w:type="dxa"/>
                    <w:right w:w="0" w:type="dxa"/>
                  </w:tcMar>
                  <w:vAlign w:val="center"/>
                </w:tcPr>
                <w:p w14:paraId="773E8D98">
                  <w:pPr>
                    <w:jc w:val="center"/>
                    <w:rPr>
                      <w:rFonts w:hint="default" w:asciiTheme="minorAscii" w:hAnsiTheme="minorAscii"/>
                      <w:sz w:val="21"/>
                      <w:szCs w:val="21"/>
                    </w:rPr>
                  </w:pPr>
                  <w:r>
                    <w:rPr>
                      <w:rFonts w:hint="default" w:eastAsia="Arial" w:cs="Arial" w:asciiTheme="minorAscii" w:hAnsiTheme="minorAscii"/>
                      <w:sz w:val="21"/>
                      <w:szCs w:val="21"/>
                    </w:rPr>
                    <w:t>74.7</w:t>
                  </w:r>
                </w:p>
              </w:tc>
              <w:tc>
                <w:tcPr>
                  <w:tcW w:w="227" w:type="pct"/>
                  <w:shd w:val="clear" w:color="auto" w:fill="auto"/>
                  <w:tcMar>
                    <w:top w:w="0" w:type="dxa"/>
                    <w:left w:w="0" w:type="dxa"/>
                    <w:bottom w:w="0" w:type="dxa"/>
                    <w:right w:w="0" w:type="dxa"/>
                  </w:tcMar>
                  <w:vAlign w:val="center"/>
                </w:tcPr>
                <w:p w14:paraId="7C0DC4DF">
                  <w:pPr>
                    <w:jc w:val="center"/>
                    <w:rPr>
                      <w:rFonts w:hint="default" w:asciiTheme="minorAscii" w:hAnsiTheme="minorAscii"/>
                      <w:sz w:val="21"/>
                      <w:szCs w:val="21"/>
                    </w:rPr>
                  </w:pPr>
                  <w:r>
                    <w:rPr>
                      <w:rFonts w:hint="default" w:eastAsia="Arial" w:cs="Arial" w:asciiTheme="minorAscii" w:hAnsiTheme="minorAscii"/>
                      <w:sz w:val="21"/>
                      <w:szCs w:val="21"/>
                    </w:rPr>
                    <w:t>24.0</w:t>
                  </w:r>
                </w:p>
              </w:tc>
              <w:tc>
                <w:tcPr>
                  <w:tcW w:w="169" w:type="pct"/>
                  <w:shd w:val="clear" w:color="auto" w:fill="auto"/>
                  <w:tcMar>
                    <w:top w:w="0" w:type="dxa"/>
                    <w:left w:w="0" w:type="dxa"/>
                    <w:bottom w:w="0" w:type="dxa"/>
                    <w:right w:w="0" w:type="dxa"/>
                  </w:tcMar>
                  <w:vAlign w:val="center"/>
                </w:tcPr>
                <w:p w14:paraId="0C438784">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67CD6027">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5319728A">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43BA2D47">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47" w:type="pct"/>
                  <w:shd w:val="clear" w:color="auto" w:fill="auto"/>
                  <w:tcMar>
                    <w:top w:w="0" w:type="dxa"/>
                    <w:left w:w="0" w:type="dxa"/>
                    <w:bottom w:w="0" w:type="dxa"/>
                    <w:right w:w="0" w:type="dxa"/>
                  </w:tcMar>
                  <w:vAlign w:val="center"/>
                </w:tcPr>
                <w:p w14:paraId="13DDB0FC">
                  <w:pPr>
                    <w:jc w:val="center"/>
                    <w:rPr>
                      <w:rFonts w:hint="default" w:asciiTheme="minorAscii" w:hAnsiTheme="minorAscii"/>
                      <w:sz w:val="21"/>
                      <w:szCs w:val="21"/>
                    </w:rPr>
                  </w:pPr>
                  <w:r>
                    <w:rPr>
                      <w:rFonts w:hint="default" w:eastAsia="Arial" w:cs="Arial" w:asciiTheme="minorAscii" w:hAnsiTheme="minorAscii"/>
                      <w:sz w:val="21"/>
                      <w:szCs w:val="21"/>
                    </w:rPr>
                    <w:t>48.7</w:t>
                  </w:r>
                </w:p>
              </w:tc>
              <w:tc>
                <w:tcPr>
                  <w:tcW w:w="147" w:type="pct"/>
                  <w:shd w:val="clear" w:color="auto" w:fill="auto"/>
                  <w:tcMar>
                    <w:top w:w="0" w:type="dxa"/>
                    <w:left w:w="0" w:type="dxa"/>
                    <w:bottom w:w="0" w:type="dxa"/>
                    <w:right w:w="0" w:type="dxa"/>
                  </w:tcMar>
                  <w:vAlign w:val="center"/>
                </w:tcPr>
                <w:p w14:paraId="7549F04C">
                  <w:pPr>
                    <w:jc w:val="center"/>
                    <w:rPr>
                      <w:rFonts w:hint="default" w:asciiTheme="minorAscii" w:hAnsiTheme="minorAscii"/>
                      <w:sz w:val="21"/>
                      <w:szCs w:val="21"/>
                    </w:rPr>
                  </w:pPr>
                  <w:r>
                    <w:rPr>
                      <w:rFonts w:hint="default" w:eastAsia="Arial" w:cs="Arial" w:asciiTheme="minorAscii" w:hAnsiTheme="minorAscii"/>
                      <w:sz w:val="21"/>
                      <w:szCs w:val="21"/>
                    </w:rPr>
                    <w:t>48.7</w:t>
                  </w:r>
                </w:p>
              </w:tc>
              <w:tc>
                <w:tcPr>
                  <w:tcW w:w="147" w:type="pct"/>
                  <w:shd w:val="clear" w:color="auto" w:fill="auto"/>
                  <w:tcMar>
                    <w:top w:w="0" w:type="dxa"/>
                    <w:left w:w="0" w:type="dxa"/>
                    <w:bottom w:w="0" w:type="dxa"/>
                    <w:right w:w="0" w:type="dxa"/>
                  </w:tcMar>
                  <w:vAlign w:val="center"/>
                </w:tcPr>
                <w:p w14:paraId="3E2D21BB">
                  <w:pPr>
                    <w:jc w:val="center"/>
                    <w:rPr>
                      <w:rFonts w:hint="default" w:asciiTheme="minorAscii" w:hAnsiTheme="minorAscii"/>
                      <w:sz w:val="21"/>
                      <w:szCs w:val="21"/>
                    </w:rPr>
                  </w:pPr>
                  <w:r>
                    <w:rPr>
                      <w:rFonts w:hint="default" w:eastAsia="Arial" w:cs="Arial" w:asciiTheme="minorAscii" w:hAnsiTheme="minorAscii"/>
                      <w:sz w:val="21"/>
                      <w:szCs w:val="21"/>
                    </w:rPr>
                    <w:t>48.7</w:t>
                  </w:r>
                </w:p>
              </w:tc>
              <w:tc>
                <w:tcPr>
                  <w:tcW w:w="147" w:type="pct"/>
                  <w:shd w:val="clear" w:color="auto" w:fill="auto"/>
                  <w:tcMar>
                    <w:top w:w="0" w:type="dxa"/>
                    <w:left w:w="0" w:type="dxa"/>
                    <w:bottom w:w="0" w:type="dxa"/>
                    <w:right w:w="0" w:type="dxa"/>
                  </w:tcMar>
                  <w:vAlign w:val="center"/>
                </w:tcPr>
                <w:p w14:paraId="1A284090">
                  <w:pPr>
                    <w:jc w:val="center"/>
                    <w:rPr>
                      <w:rFonts w:hint="default" w:asciiTheme="minorAscii" w:hAnsiTheme="minorAscii"/>
                      <w:sz w:val="21"/>
                      <w:szCs w:val="21"/>
                    </w:rPr>
                  </w:pPr>
                  <w:r>
                    <w:rPr>
                      <w:rFonts w:hint="default" w:eastAsia="Arial" w:cs="Arial" w:asciiTheme="minorAscii" w:hAnsiTheme="minorAscii"/>
                      <w:sz w:val="21"/>
                      <w:szCs w:val="21"/>
                    </w:rPr>
                    <w:t>48.7</w:t>
                  </w:r>
                </w:p>
              </w:tc>
              <w:tc>
                <w:tcPr>
                  <w:tcW w:w="189" w:type="pct"/>
                  <w:shd w:val="clear" w:color="auto" w:fill="auto"/>
                  <w:tcMar>
                    <w:top w:w="0" w:type="dxa"/>
                    <w:left w:w="0" w:type="dxa"/>
                    <w:bottom w:w="0" w:type="dxa"/>
                    <w:right w:w="0" w:type="dxa"/>
                  </w:tcMar>
                  <w:vAlign w:val="center"/>
                </w:tcPr>
                <w:p w14:paraId="26BD7602">
                  <w:pPr>
                    <w:jc w:val="center"/>
                    <w:rPr>
                      <w:rFonts w:hint="default" w:asciiTheme="minorAscii" w:hAnsiTheme="minorAscii"/>
                      <w:sz w:val="21"/>
                      <w:szCs w:val="21"/>
                    </w:rPr>
                  </w:pPr>
                  <w:r>
                    <w:rPr>
                      <w:rFonts w:hint="default" w:eastAsia="Arial" w:cs="Arial" w:asciiTheme="minorAscii" w:hAnsiTheme="minorAscii"/>
                      <w:sz w:val="21"/>
                      <w:szCs w:val="21"/>
                    </w:rPr>
                    <w:t>1</w:t>
                  </w:r>
                </w:p>
              </w:tc>
            </w:tr>
            <w:tr w14:paraId="70842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85" w:type="pct"/>
                  <w:shd w:val="clear" w:color="auto" w:fill="auto"/>
                  <w:tcMar>
                    <w:top w:w="0" w:type="dxa"/>
                    <w:left w:w="0" w:type="dxa"/>
                    <w:bottom w:w="0" w:type="dxa"/>
                    <w:right w:w="0" w:type="dxa"/>
                  </w:tcMar>
                  <w:vAlign w:val="center"/>
                </w:tcPr>
                <w:p w14:paraId="5E9D382D">
                  <w:pPr>
                    <w:jc w:val="center"/>
                    <w:rPr>
                      <w:rFonts w:hint="default" w:asciiTheme="minorAscii" w:hAnsiTheme="minorAscii"/>
                      <w:sz w:val="21"/>
                      <w:szCs w:val="21"/>
                    </w:rPr>
                  </w:pPr>
                  <w:r>
                    <w:rPr>
                      <w:rFonts w:hint="default" w:eastAsia="Arial" w:cs="Arial" w:asciiTheme="minorAscii" w:hAnsiTheme="minorAscii"/>
                      <w:sz w:val="21"/>
                      <w:szCs w:val="21"/>
                    </w:rPr>
                    <w:t>5</w:t>
                  </w:r>
                </w:p>
              </w:tc>
              <w:tc>
                <w:tcPr>
                  <w:tcW w:w="248" w:type="pct"/>
                  <w:vMerge w:val="continue"/>
                  <w:shd w:val="clear" w:color="auto" w:fill="auto"/>
                  <w:tcMar>
                    <w:top w:w="0" w:type="dxa"/>
                    <w:left w:w="0" w:type="dxa"/>
                    <w:bottom w:w="0" w:type="dxa"/>
                    <w:right w:w="0" w:type="dxa"/>
                  </w:tcMar>
                  <w:vAlign w:val="center"/>
                </w:tcPr>
                <w:p w14:paraId="0EED0EBE">
                  <w:pPr>
                    <w:jc w:val="center"/>
                    <w:rPr>
                      <w:rFonts w:hint="default" w:asciiTheme="minorAscii" w:hAnsiTheme="minorAscii"/>
                      <w:sz w:val="21"/>
                      <w:szCs w:val="21"/>
                    </w:rPr>
                  </w:pPr>
                </w:p>
              </w:tc>
              <w:tc>
                <w:tcPr>
                  <w:tcW w:w="290" w:type="pct"/>
                  <w:shd w:val="clear" w:color="auto" w:fill="auto"/>
                  <w:tcMar>
                    <w:top w:w="0" w:type="dxa"/>
                    <w:left w:w="0" w:type="dxa"/>
                    <w:bottom w:w="0" w:type="dxa"/>
                    <w:right w:w="0" w:type="dxa"/>
                  </w:tcMar>
                  <w:vAlign w:val="center"/>
                </w:tcPr>
                <w:p w14:paraId="7E191FD3">
                  <w:pPr>
                    <w:jc w:val="center"/>
                    <w:rPr>
                      <w:rFonts w:hint="default" w:asciiTheme="minorAscii" w:hAnsiTheme="minorAscii"/>
                      <w:sz w:val="21"/>
                      <w:szCs w:val="21"/>
                    </w:rPr>
                  </w:pPr>
                  <w:r>
                    <w:rPr>
                      <w:rFonts w:hint="default" w:eastAsia="Arial" w:cs="Arial" w:asciiTheme="minorAscii" w:hAnsiTheme="minorAscii"/>
                      <w:sz w:val="21"/>
                      <w:szCs w:val="21"/>
                    </w:rPr>
                    <w:t>缺氧池潜水搅拌机</w:t>
                  </w:r>
                </w:p>
              </w:tc>
              <w:tc>
                <w:tcPr>
                  <w:tcW w:w="185" w:type="pct"/>
                  <w:shd w:val="clear" w:color="auto" w:fill="auto"/>
                  <w:tcMar>
                    <w:top w:w="0" w:type="dxa"/>
                    <w:left w:w="0" w:type="dxa"/>
                    <w:bottom w:w="0" w:type="dxa"/>
                    <w:right w:w="0" w:type="dxa"/>
                  </w:tcMar>
                  <w:vAlign w:val="center"/>
                </w:tcPr>
                <w:p w14:paraId="30EB023F">
                  <w:pPr>
                    <w:jc w:val="center"/>
                    <w:rPr>
                      <w:rFonts w:hint="eastAsia" w:eastAsia="宋体" w:asciiTheme="minorAscii" w:hAnsiTheme="minorAscii"/>
                      <w:sz w:val="21"/>
                      <w:szCs w:val="21"/>
                      <w:lang w:val="en-US" w:eastAsia="zh-CN"/>
                    </w:rPr>
                  </w:pPr>
                  <w:r>
                    <w:rPr>
                      <w:rFonts w:hint="eastAsia" w:asciiTheme="minorAscii" w:hAnsiTheme="minorAscii"/>
                      <w:sz w:val="21"/>
                      <w:szCs w:val="21"/>
                      <w:lang w:val="en-US" w:eastAsia="zh-CN"/>
                    </w:rPr>
                    <w:t>/</w:t>
                  </w:r>
                </w:p>
              </w:tc>
              <w:tc>
                <w:tcPr>
                  <w:tcW w:w="301" w:type="pct"/>
                  <w:shd w:val="clear" w:color="auto" w:fill="auto"/>
                  <w:tcMar>
                    <w:top w:w="0" w:type="dxa"/>
                    <w:left w:w="0" w:type="dxa"/>
                    <w:bottom w:w="0" w:type="dxa"/>
                    <w:right w:w="0" w:type="dxa"/>
                  </w:tcMar>
                  <w:vAlign w:val="center"/>
                </w:tcPr>
                <w:p w14:paraId="5FA42AC3">
                  <w:pPr>
                    <w:jc w:val="center"/>
                    <w:rPr>
                      <w:rFonts w:hint="default" w:asciiTheme="minorAscii" w:hAnsiTheme="minorAscii"/>
                      <w:sz w:val="21"/>
                      <w:szCs w:val="21"/>
                    </w:rPr>
                  </w:pPr>
                  <w:r>
                    <w:rPr>
                      <w:rFonts w:hint="default" w:eastAsia="Arial" w:cs="Arial" w:asciiTheme="minorAscii" w:hAnsiTheme="minorAscii"/>
                      <w:sz w:val="21"/>
                      <w:szCs w:val="21"/>
                    </w:rPr>
                    <w:t>90</w:t>
                  </w:r>
                </w:p>
              </w:tc>
              <w:tc>
                <w:tcPr>
                  <w:tcW w:w="312" w:type="pct"/>
                  <w:vMerge w:val="continue"/>
                  <w:shd w:val="clear" w:color="auto" w:fill="auto"/>
                  <w:tcMar>
                    <w:top w:w="0" w:type="dxa"/>
                    <w:left w:w="0" w:type="dxa"/>
                    <w:bottom w:w="0" w:type="dxa"/>
                    <w:right w:w="0" w:type="dxa"/>
                  </w:tcMar>
                  <w:vAlign w:val="center"/>
                </w:tcPr>
                <w:p w14:paraId="6F46C77D">
                  <w:pPr>
                    <w:jc w:val="center"/>
                    <w:rPr>
                      <w:rFonts w:hint="default" w:asciiTheme="minorAscii" w:hAnsiTheme="minorAscii"/>
                      <w:sz w:val="21"/>
                      <w:szCs w:val="21"/>
                    </w:rPr>
                  </w:pPr>
                </w:p>
              </w:tc>
              <w:tc>
                <w:tcPr>
                  <w:tcW w:w="163" w:type="pct"/>
                  <w:shd w:val="clear" w:color="auto" w:fill="auto"/>
                  <w:tcMar>
                    <w:top w:w="0" w:type="dxa"/>
                    <w:left w:w="0" w:type="dxa"/>
                    <w:bottom w:w="0" w:type="dxa"/>
                    <w:right w:w="0" w:type="dxa"/>
                  </w:tcMar>
                  <w:vAlign w:val="center"/>
                </w:tcPr>
                <w:p w14:paraId="4A4EA5F7">
                  <w:pPr>
                    <w:jc w:val="center"/>
                    <w:rPr>
                      <w:rFonts w:hint="default" w:asciiTheme="minorAscii" w:hAnsiTheme="minorAscii"/>
                      <w:sz w:val="21"/>
                      <w:szCs w:val="21"/>
                    </w:rPr>
                  </w:pPr>
                  <w:r>
                    <w:rPr>
                      <w:rFonts w:hint="default" w:eastAsia="Arial" w:cs="Arial" w:asciiTheme="minorAscii" w:hAnsiTheme="minorAscii"/>
                      <w:sz w:val="21"/>
                      <w:szCs w:val="21"/>
                    </w:rPr>
                    <w:t>18.5</w:t>
                  </w:r>
                </w:p>
              </w:tc>
              <w:tc>
                <w:tcPr>
                  <w:tcW w:w="209" w:type="pct"/>
                  <w:shd w:val="clear" w:color="auto" w:fill="auto"/>
                  <w:tcMar>
                    <w:top w:w="0" w:type="dxa"/>
                    <w:left w:w="0" w:type="dxa"/>
                    <w:bottom w:w="0" w:type="dxa"/>
                    <w:right w:w="0" w:type="dxa"/>
                  </w:tcMar>
                  <w:vAlign w:val="center"/>
                </w:tcPr>
                <w:p w14:paraId="51BE9DC4">
                  <w:pPr>
                    <w:jc w:val="center"/>
                    <w:rPr>
                      <w:rFonts w:hint="default" w:asciiTheme="minorAscii" w:hAnsiTheme="minorAscii"/>
                      <w:sz w:val="21"/>
                      <w:szCs w:val="21"/>
                    </w:rPr>
                  </w:pPr>
                  <w:r>
                    <w:rPr>
                      <w:rFonts w:hint="default" w:eastAsia="Arial" w:cs="Arial" w:asciiTheme="minorAscii" w:hAnsiTheme="minorAscii"/>
                      <w:sz w:val="21"/>
                      <w:szCs w:val="21"/>
                    </w:rPr>
                    <w:t>111.6</w:t>
                  </w:r>
                </w:p>
              </w:tc>
              <w:tc>
                <w:tcPr>
                  <w:tcW w:w="146" w:type="pct"/>
                  <w:shd w:val="clear" w:color="auto" w:fill="auto"/>
                  <w:tcMar>
                    <w:top w:w="0" w:type="dxa"/>
                    <w:left w:w="0" w:type="dxa"/>
                    <w:bottom w:w="0" w:type="dxa"/>
                    <w:right w:w="0" w:type="dxa"/>
                  </w:tcMar>
                  <w:vAlign w:val="center"/>
                </w:tcPr>
                <w:p w14:paraId="00CEA8A3">
                  <w:pPr>
                    <w:jc w:val="center"/>
                    <w:rPr>
                      <w:rFonts w:hint="default" w:asciiTheme="minorAscii" w:hAnsiTheme="minorAscii"/>
                      <w:sz w:val="21"/>
                      <w:szCs w:val="21"/>
                    </w:rPr>
                  </w:pPr>
                  <w:r>
                    <w:rPr>
                      <w:rFonts w:hint="default" w:eastAsia="Arial" w:cs="Arial" w:asciiTheme="minorAscii" w:hAnsiTheme="minorAscii"/>
                      <w:sz w:val="21"/>
                      <w:szCs w:val="21"/>
                    </w:rPr>
                    <w:t>-0.5</w:t>
                  </w:r>
                </w:p>
              </w:tc>
              <w:tc>
                <w:tcPr>
                  <w:tcW w:w="157" w:type="pct"/>
                  <w:shd w:val="clear" w:color="auto" w:fill="auto"/>
                  <w:tcMar>
                    <w:top w:w="0" w:type="dxa"/>
                    <w:left w:w="0" w:type="dxa"/>
                    <w:bottom w:w="0" w:type="dxa"/>
                    <w:right w:w="0" w:type="dxa"/>
                  </w:tcMar>
                  <w:vAlign w:val="center"/>
                </w:tcPr>
                <w:p w14:paraId="659BB9DA">
                  <w:pPr>
                    <w:jc w:val="center"/>
                    <w:rPr>
                      <w:rFonts w:hint="default" w:asciiTheme="minorAscii" w:hAnsiTheme="minorAscii"/>
                      <w:sz w:val="21"/>
                      <w:szCs w:val="21"/>
                    </w:rPr>
                  </w:pPr>
                  <w:r>
                    <w:rPr>
                      <w:rFonts w:hint="default" w:eastAsia="Arial" w:cs="Arial" w:asciiTheme="minorAscii" w:hAnsiTheme="minorAscii"/>
                      <w:sz w:val="21"/>
                      <w:szCs w:val="21"/>
                    </w:rPr>
                    <w:t>23.4</w:t>
                  </w:r>
                </w:p>
              </w:tc>
              <w:tc>
                <w:tcPr>
                  <w:tcW w:w="158" w:type="pct"/>
                  <w:shd w:val="clear" w:color="auto" w:fill="auto"/>
                  <w:tcMar>
                    <w:top w:w="0" w:type="dxa"/>
                    <w:left w:w="0" w:type="dxa"/>
                    <w:bottom w:w="0" w:type="dxa"/>
                    <w:right w:w="0" w:type="dxa"/>
                  </w:tcMar>
                  <w:vAlign w:val="center"/>
                </w:tcPr>
                <w:p w14:paraId="136D303A">
                  <w:pPr>
                    <w:jc w:val="center"/>
                    <w:rPr>
                      <w:rFonts w:hint="default" w:asciiTheme="minorAscii" w:hAnsiTheme="minorAscii"/>
                      <w:sz w:val="21"/>
                      <w:szCs w:val="21"/>
                    </w:rPr>
                  </w:pPr>
                  <w:r>
                    <w:rPr>
                      <w:rFonts w:hint="default" w:eastAsia="Arial" w:cs="Arial" w:asciiTheme="minorAscii" w:hAnsiTheme="minorAscii"/>
                      <w:sz w:val="21"/>
                      <w:szCs w:val="21"/>
                    </w:rPr>
                    <w:t>13.1</w:t>
                  </w:r>
                </w:p>
              </w:tc>
              <w:tc>
                <w:tcPr>
                  <w:tcW w:w="157" w:type="pct"/>
                  <w:shd w:val="clear" w:color="auto" w:fill="auto"/>
                  <w:tcMar>
                    <w:top w:w="0" w:type="dxa"/>
                    <w:left w:w="0" w:type="dxa"/>
                    <w:bottom w:w="0" w:type="dxa"/>
                    <w:right w:w="0" w:type="dxa"/>
                  </w:tcMar>
                  <w:vAlign w:val="center"/>
                </w:tcPr>
                <w:p w14:paraId="694C7120">
                  <w:pPr>
                    <w:jc w:val="center"/>
                    <w:rPr>
                      <w:rFonts w:hint="default" w:asciiTheme="minorAscii" w:hAnsiTheme="minorAscii"/>
                      <w:sz w:val="21"/>
                      <w:szCs w:val="21"/>
                    </w:rPr>
                  </w:pPr>
                  <w:r>
                    <w:rPr>
                      <w:rFonts w:hint="default" w:eastAsia="Arial" w:cs="Arial" w:asciiTheme="minorAscii" w:hAnsiTheme="minorAscii"/>
                      <w:sz w:val="21"/>
                      <w:szCs w:val="21"/>
                    </w:rPr>
                    <w:t>7.4</w:t>
                  </w:r>
                </w:p>
              </w:tc>
              <w:tc>
                <w:tcPr>
                  <w:tcW w:w="157" w:type="pct"/>
                  <w:shd w:val="clear" w:color="auto" w:fill="auto"/>
                  <w:tcMar>
                    <w:top w:w="0" w:type="dxa"/>
                    <w:left w:w="0" w:type="dxa"/>
                    <w:bottom w:w="0" w:type="dxa"/>
                    <w:right w:w="0" w:type="dxa"/>
                  </w:tcMar>
                  <w:vAlign w:val="center"/>
                </w:tcPr>
                <w:p w14:paraId="682726E9">
                  <w:pPr>
                    <w:jc w:val="center"/>
                    <w:rPr>
                      <w:rFonts w:hint="default" w:asciiTheme="minorAscii" w:hAnsiTheme="minorAscii"/>
                      <w:sz w:val="21"/>
                      <w:szCs w:val="21"/>
                    </w:rPr>
                  </w:pPr>
                  <w:r>
                    <w:rPr>
                      <w:rFonts w:hint="default" w:eastAsia="Arial" w:cs="Arial" w:asciiTheme="minorAscii" w:hAnsiTheme="minorAscii"/>
                      <w:sz w:val="21"/>
                      <w:szCs w:val="21"/>
                    </w:rPr>
                    <w:t>24.2</w:t>
                  </w:r>
                </w:p>
              </w:tc>
              <w:tc>
                <w:tcPr>
                  <w:tcW w:w="160" w:type="pct"/>
                  <w:shd w:val="clear" w:color="auto" w:fill="auto"/>
                  <w:tcMar>
                    <w:top w:w="0" w:type="dxa"/>
                    <w:left w:w="0" w:type="dxa"/>
                    <w:bottom w:w="0" w:type="dxa"/>
                    <w:right w:w="0" w:type="dxa"/>
                  </w:tcMar>
                  <w:vAlign w:val="center"/>
                </w:tcPr>
                <w:p w14:paraId="6BECD475">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160" w:type="pct"/>
                  <w:shd w:val="clear" w:color="auto" w:fill="auto"/>
                  <w:tcMar>
                    <w:top w:w="0" w:type="dxa"/>
                    <w:left w:w="0" w:type="dxa"/>
                    <w:bottom w:w="0" w:type="dxa"/>
                    <w:right w:w="0" w:type="dxa"/>
                  </w:tcMar>
                  <w:vAlign w:val="center"/>
                </w:tcPr>
                <w:p w14:paraId="073225B5">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160" w:type="pct"/>
                  <w:shd w:val="clear" w:color="auto" w:fill="auto"/>
                  <w:tcMar>
                    <w:top w:w="0" w:type="dxa"/>
                    <w:left w:w="0" w:type="dxa"/>
                    <w:bottom w:w="0" w:type="dxa"/>
                    <w:right w:w="0" w:type="dxa"/>
                  </w:tcMar>
                  <w:vAlign w:val="center"/>
                </w:tcPr>
                <w:p w14:paraId="20914B5A">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160" w:type="pct"/>
                  <w:shd w:val="clear" w:color="auto" w:fill="auto"/>
                  <w:tcMar>
                    <w:top w:w="0" w:type="dxa"/>
                    <w:left w:w="0" w:type="dxa"/>
                    <w:bottom w:w="0" w:type="dxa"/>
                    <w:right w:w="0" w:type="dxa"/>
                  </w:tcMar>
                  <w:vAlign w:val="center"/>
                </w:tcPr>
                <w:p w14:paraId="69C1BCC3">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227" w:type="pct"/>
                  <w:shd w:val="clear" w:color="auto" w:fill="auto"/>
                  <w:tcMar>
                    <w:top w:w="0" w:type="dxa"/>
                    <w:left w:w="0" w:type="dxa"/>
                    <w:bottom w:w="0" w:type="dxa"/>
                    <w:right w:w="0" w:type="dxa"/>
                  </w:tcMar>
                  <w:vAlign w:val="center"/>
                </w:tcPr>
                <w:p w14:paraId="201256AA">
                  <w:pPr>
                    <w:jc w:val="center"/>
                    <w:rPr>
                      <w:rFonts w:hint="default" w:asciiTheme="minorAscii" w:hAnsiTheme="minorAscii"/>
                      <w:sz w:val="21"/>
                      <w:szCs w:val="21"/>
                    </w:rPr>
                  </w:pPr>
                  <w:r>
                    <w:rPr>
                      <w:rFonts w:hint="default" w:eastAsia="Arial" w:cs="Arial" w:asciiTheme="minorAscii" w:hAnsiTheme="minorAscii"/>
                      <w:sz w:val="21"/>
                      <w:szCs w:val="21"/>
                    </w:rPr>
                    <w:t>24.0</w:t>
                  </w:r>
                </w:p>
              </w:tc>
              <w:tc>
                <w:tcPr>
                  <w:tcW w:w="169" w:type="pct"/>
                  <w:shd w:val="clear" w:color="auto" w:fill="auto"/>
                  <w:tcMar>
                    <w:top w:w="0" w:type="dxa"/>
                    <w:left w:w="0" w:type="dxa"/>
                    <w:bottom w:w="0" w:type="dxa"/>
                    <w:right w:w="0" w:type="dxa"/>
                  </w:tcMar>
                  <w:vAlign w:val="center"/>
                </w:tcPr>
                <w:p w14:paraId="5CCBACEC">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2F9C6ACC">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76826A85">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2A7BB0A1">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47" w:type="pct"/>
                  <w:shd w:val="clear" w:color="auto" w:fill="auto"/>
                  <w:tcMar>
                    <w:top w:w="0" w:type="dxa"/>
                    <w:left w:w="0" w:type="dxa"/>
                    <w:bottom w:w="0" w:type="dxa"/>
                    <w:right w:w="0" w:type="dxa"/>
                  </w:tcMar>
                  <w:vAlign w:val="center"/>
                </w:tcPr>
                <w:p w14:paraId="6733D314">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47" w:type="pct"/>
                  <w:shd w:val="clear" w:color="auto" w:fill="auto"/>
                  <w:tcMar>
                    <w:top w:w="0" w:type="dxa"/>
                    <w:left w:w="0" w:type="dxa"/>
                    <w:bottom w:w="0" w:type="dxa"/>
                    <w:right w:w="0" w:type="dxa"/>
                  </w:tcMar>
                  <w:vAlign w:val="center"/>
                </w:tcPr>
                <w:p w14:paraId="3163893E">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47" w:type="pct"/>
                  <w:shd w:val="clear" w:color="auto" w:fill="auto"/>
                  <w:tcMar>
                    <w:top w:w="0" w:type="dxa"/>
                    <w:left w:w="0" w:type="dxa"/>
                    <w:bottom w:w="0" w:type="dxa"/>
                    <w:right w:w="0" w:type="dxa"/>
                  </w:tcMar>
                  <w:vAlign w:val="center"/>
                </w:tcPr>
                <w:p w14:paraId="0BCFBFD6">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47" w:type="pct"/>
                  <w:shd w:val="clear" w:color="auto" w:fill="auto"/>
                  <w:tcMar>
                    <w:top w:w="0" w:type="dxa"/>
                    <w:left w:w="0" w:type="dxa"/>
                    <w:bottom w:w="0" w:type="dxa"/>
                    <w:right w:w="0" w:type="dxa"/>
                  </w:tcMar>
                  <w:vAlign w:val="center"/>
                </w:tcPr>
                <w:p w14:paraId="61E39CCB">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89" w:type="pct"/>
                  <w:shd w:val="clear" w:color="auto" w:fill="auto"/>
                  <w:tcMar>
                    <w:top w:w="0" w:type="dxa"/>
                    <w:left w:w="0" w:type="dxa"/>
                    <w:bottom w:w="0" w:type="dxa"/>
                    <w:right w:w="0" w:type="dxa"/>
                  </w:tcMar>
                  <w:vAlign w:val="center"/>
                </w:tcPr>
                <w:p w14:paraId="2E57103E">
                  <w:pPr>
                    <w:jc w:val="center"/>
                    <w:rPr>
                      <w:rFonts w:hint="default" w:asciiTheme="minorAscii" w:hAnsiTheme="minorAscii"/>
                      <w:sz w:val="21"/>
                      <w:szCs w:val="21"/>
                    </w:rPr>
                  </w:pPr>
                  <w:r>
                    <w:rPr>
                      <w:rFonts w:hint="default" w:eastAsia="Arial" w:cs="Arial" w:asciiTheme="minorAscii" w:hAnsiTheme="minorAscii"/>
                      <w:sz w:val="21"/>
                      <w:szCs w:val="21"/>
                    </w:rPr>
                    <w:t>1</w:t>
                  </w:r>
                </w:p>
              </w:tc>
            </w:tr>
            <w:tr w14:paraId="3F70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85" w:type="pct"/>
                  <w:shd w:val="clear" w:color="auto" w:fill="auto"/>
                  <w:tcMar>
                    <w:top w:w="0" w:type="dxa"/>
                    <w:left w:w="0" w:type="dxa"/>
                    <w:bottom w:w="0" w:type="dxa"/>
                    <w:right w:w="0" w:type="dxa"/>
                  </w:tcMar>
                  <w:vAlign w:val="center"/>
                </w:tcPr>
                <w:p w14:paraId="1E3F3548">
                  <w:pPr>
                    <w:jc w:val="center"/>
                    <w:rPr>
                      <w:rFonts w:hint="default" w:asciiTheme="minorAscii" w:hAnsiTheme="minorAscii"/>
                      <w:sz w:val="21"/>
                      <w:szCs w:val="21"/>
                    </w:rPr>
                  </w:pPr>
                  <w:r>
                    <w:rPr>
                      <w:rFonts w:hint="default" w:eastAsia="Arial" w:cs="Arial" w:asciiTheme="minorAscii" w:hAnsiTheme="minorAscii"/>
                      <w:sz w:val="21"/>
                      <w:szCs w:val="21"/>
                    </w:rPr>
                    <w:t>6</w:t>
                  </w:r>
                </w:p>
              </w:tc>
              <w:tc>
                <w:tcPr>
                  <w:tcW w:w="248" w:type="pct"/>
                  <w:vMerge w:val="continue"/>
                  <w:shd w:val="clear" w:color="auto" w:fill="auto"/>
                  <w:tcMar>
                    <w:top w:w="0" w:type="dxa"/>
                    <w:left w:w="0" w:type="dxa"/>
                    <w:bottom w:w="0" w:type="dxa"/>
                    <w:right w:w="0" w:type="dxa"/>
                  </w:tcMar>
                  <w:vAlign w:val="center"/>
                </w:tcPr>
                <w:p w14:paraId="7E3C9E65">
                  <w:pPr>
                    <w:jc w:val="center"/>
                    <w:rPr>
                      <w:rFonts w:hint="default" w:asciiTheme="minorAscii" w:hAnsiTheme="minorAscii"/>
                      <w:sz w:val="21"/>
                      <w:szCs w:val="21"/>
                    </w:rPr>
                  </w:pPr>
                </w:p>
              </w:tc>
              <w:tc>
                <w:tcPr>
                  <w:tcW w:w="290" w:type="pct"/>
                  <w:shd w:val="clear" w:color="auto" w:fill="auto"/>
                  <w:tcMar>
                    <w:top w:w="0" w:type="dxa"/>
                    <w:left w:w="0" w:type="dxa"/>
                    <w:bottom w:w="0" w:type="dxa"/>
                    <w:right w:w="0" w:type="dxa"/>
                  </w:tcMar>
                  <w:vAlign w:val="center"/>
                </w:tcPr>
                <w:p w14:paraId="6292F78F">
                  <w:pPr>
                    <w:jc w:val="center"/>
                    <w:rPr>
                      <w:rFonts w:hint="default" w:asciiTheme="minorAscii" w:hAnsiTheme="minorAscii"/>
                      <w:sz w:val="21"/>
                      <w:szCs w:val="21"/>
                    </w:rPr>
                  </w:pPr>
                  <w:r>
                    <w:rPr>
                      <w:rFonts w:hint="default" w:eastAsia="Arial" w:cs="Arial" w:asciiTheme="minorAscii" w:hAnsiTheme="minorAscii"/>
                      <w:sz w:val="21"/>
                      <w:szCs w:val="21"/>
                    </w:rPr>
                    <w:t>好氧池曝气器</w:t>
                  </w:r>
                </w:p>
              </w:tc>
              <w:tc>
                <w:tcPr>
                  <w:tcW w:w="185" w:type="pct"/>
                  <w:shd w:val="clear" w:color="auto" w:fill="auto"/>
                  <w:tcMar>
                    <w:top w:w="0" w:type="dxa"/>
                    <w:left w:w="0" w:type="dxa"/>
                    <w:bottom w:w="0" w:type="dxa"/>
                    <w:right w:w="0" w:type="dxa"/>
                  </w:tcMar>
                  <w:vAlign w:val="center"/>
                </w:tcPr>
                <w:p w14:paraId="20CABF10">
                  <w:pPr>
                    <w:jc w:val="center"/>
                    <w:rPr>
                      <w:rFonts w:hint="eastAsia" w:eastAsia="宋体" w:asciiTheme="minorAscii" w:hAnsiTheme="minorAscii"/>
                      <w:sz w:val="21"/>
                      <w:szCs w:val="21"/>
                      <w:lang w:val="en-US" w:eastAsia="zh-CN"/>
                    </w:rPr>
                  </w:pPr>
                  <w:r>
                    <w:rPr>
                      <w:rFonts w:hint="eastAsia" w:asciiTheme="minorAscii" w:hAnsiTheme="minorAscii"/>
                      <w:sz w:val="21"/>
                      <w:szCs w:val="21"/>
                      <w:lang w:val="en-US" w:eastAsia="zh-CN"/>
                    </w:rPr>
                    <w:t>/</w:t>
                  </w:r>
                </w:p>
              </w:tc>
              <w:tc>
                <w:tcPr>
                  <w:tcW w:w="301" w:type="pct"/>
                  <w:shd w:val="clear" w:color="auto" w:fill="auto"/>
                  <w:tcMar>
                    <w:top w:w="0" w:type="dxa"/>
                    <w:left w:w="0" w:type="dxa"/>
                    <w:bottom w:w="0" w:type="dxa"/>
                    <w:right w:w="0" w:type="dxa"/>
                  </w:tcMar>
                  <w:vAlign w:val="center"/>
                </w:tcPr>
                <w:p w14:paraId="72907126">
                  <w:pPr>
                    <w:jc w:val="center"/>
                    <w:rPr>
                      <w:rFonts w:hint="default" w:asciiTheme="minorAscii" w:hAnsiTheme="minorAscii"/>
                      <w:sz w:val="21"/>
                      <w:szCs w:val="21"/>
                    </w:rPr>
                  </w:pPr>
                  <w:r>
                    <w:rPr>
                      <w:rFonts w:hint="default" w:eastAsia="Arial" w:cs="Arial" w:asciiTheme="minorAscii" w:hAnsiTheme="minorAscii"/>
                      <w:sz w:val="21"/>
                      <w:szCs w:val="21"/>
                    </w:rPr>
                    <w:t>80</w:t>
                  </w:r>
                </w:p>
              </w:tc>
              <w:tc>
                <w:tcPr>
                  <w:tcW w:w="312" w:type="pct"/>
                  <w:vMerge w:val="continue"/>
                  <w:shd w:val="clear" w:color="auto" w:fill="auto"/>
                  <w:tcMar>
                    <w:top w:w="0" w:type="dxa"/>
                    <w:left w:w="0" w:type="dxa"/>
                    <w:bottom w:w="0" w:type="dxa"/>
                    <w:right w:w="0" w:type="dxa"/>
                  </w:tcMar>
                  <w:vAlign w:val="center"/>
                </w:tcPr>
                <w:p w14:paraId="71E6CAB1">
                  <w:pPr>
                    <w:jc w:val="center"/>
                    <w:rPr>
                      <w:rFonts w:hint="default" w:asciiTheme="minorAscii" w:hAnsiTheme="minorAscii"/>
                      <w:sz w:val="21"/>
                      <w:szCs w:val="21"/>
                    </w:rPr>
                  </w:pPr>
                </w:p>
              </w:tc>
              <w:tc>
                <w:tcPr>
                  <w:tcW w:w="163" w:type="pct"/>
                  <w:shd w:val="clear" w:color="auto" w:fill="auto"/>
                  <w:tcMar>
                    <w:top w:w="0" w:type="dxa"/>
                    <w:left w:w="0" w:type="dxa"/>
                    <w:bottom w:w="0" w:type="dxa"/>
                    <w:right w:w="0" w:type="dxa"/>
                  </w:tcMar>
                  <w:vAlign w:val="center"/>
                </w:tcPr>
                <w:p w14:paraId="07DCB72B">
                  <w:pPr>
                    <w:jc w:val="center"/>
                    <w:rPr>
                      <w:rFonts w:hint="default" w:asciiTheme="minorAscii" w:hAnsiTheme="minorAscii"/>
                      <w:sz w:val="21"/>
                      <w:szCs w:val="21"/>
                    </w:rPr>
                  </w:pPr>
                  <w:r>
                    <w:rPr>
                      <w:rFonts w:hint="default" w:eastAsia="Arial" w:cs="Arial" w:asciiTheme="minorAscii" w:hAnsiTheme="minorAscii"/>
                      <w:sz w:val="21"/>
                      <w:szCs w:val="21"/>
                    </w:rPr>
                    <w:t>19.9</w:t>
                  </w:r>
                </w:p>
              </w:tc>
              <w:tc>
                <w:tcPr>
                  <w:tcW w:w="209" w:type="pct"/>
                  <w:shd w:val="clear" w:color="auto" w:fill="auto"/>
                  <w:tcMar>
                    <w:top w:w="0" w:type="dxa"/>
                    <w:left w:w="0" w:type="dxa"/>
                    <w:bottom w:w="0" w:type="dxa"/>
                    <w:right w:w="0" w:type="dxa"/>
                  </w:tcMar>
                  <w:vAlign w:val="center"/>
                </w:tcPr>
                <w:p w14:paraId="496826F8">
                  <w:pPr>
                    <w:jc w:val="center"/>
                    <w:rPr>
                      <w:rFonts w:hint="default" w:asciiTheme="minorAscii" w:hAnsiTheme="minorAscii"/>
                      <w:sz w:val="21"/>
                      <w:szCs w:val="21"/>
                    </w:rPr>
                  </w:pPr>
                  <w:r>
                    <w:rPr>
                      <w:rFonts w:hint="default" w:eastAsia="Arial" w:cs="Arial" w:asciiTheme="minorAscii" w:hAnsiTheme="minorAscii"/>
                      <w:sz w:val="21"/>
                      <w:szCs w:val="21"/>
                    </w:rPr>
                    <w:t>114.3</w:t>
                  </w:r>
                </w:p>
              </w:tc>
              <w:tc>
                <w:tcPr>
                  <w:tcW w:w="146" w:type="pct"/>
                  <w:shd w:val="clear" w:color="auto" w:fill="auto"/>
                  <w:tcMar>
                    <w:top w:w="0" w:type="dxa"/>
                    <w:left w:w="0" w:type="dxa"/>
                    <w:bottom w:w="0" w:type="dxa"/>
                    <w:right w:w="0" w:type="dxa"/>
                  </w:tcMar>
                  <w:vAlign w:val="center"/>
                </w:tcPr>
                <w:p w14:paraId="30A743CD">
                  <w:pPr>
                    <w:jc w:val="center"/>
                    <w:rPr>
                      <w:rFonts w:hint="default" w:asciiTheme="minorAscii" w:hAnsiTheme="minorAscii"/>
                      <w:sz w:val="21"/>
                      <w:szCs w:val="21"/>
                    </w:rPr>
                  </w:pPr>
                  <w:r>
                    <w:rPr>
                      <w:rFonts w:hint="default" w:eastAsia="Arial" w:cs="Arial" w:asciiTheme="minorAscii" w:hAnsiTheme="minorAscii"/>
                      <w:sz w:val="21"/>
                      <w:szCs w:val="21"/>
                    </w:rPr>
                    <w:t>-0.2</w:t>
                  </w:r>
                </w:p>
              </w:tc>
              <w:tc>
                <w:tcPr>
                  <w:tcW w:w="157" w:type="pct"/>
                  <w:shd w:val="clear" w:color="auto" w:fill="auto"/>
                  <w:tcMar>
                    <w:top w:w="0" w:type="dxa"/>
                    <w:left w:w="0" w:type="dxa"/>
                    <w:bottom w:w="0" w:type="dxa"/>
                    <w:right w:w="0" w:type="dxa"/>
                  </w:tcMar>
                  <w:vAlign w:val="center"/>
                </w:tcPr>
                <w:p w14:paraId="6B9E9103">
                  <w:pPr>
                    <w:jc w:val="center"/>
                    <w:rPr>
                      <w:rFonts w:hint="default" w:asciiTheme="minorAscii" w:hAnsiTheme="minorAscii"/>
                      <w:sz w:val="21"/>
                      <w:szCs w:val="21"/>
                    </w:rPr>
                  </w:pPr>
                  <w:r>
                    <w:rPr>
                      <w:rFonts w:hint="default" w:eastAsia="Arial" w:cs="Arial" w:asciiTheme="minorAscii" w:hAnsiTheme="minorAscii"/>
                      <w:sz w:val="21"/>
                      <w:szCs w:val="21"/>
                    </w:rPr>
                    <w:t>20.9</w:t>
                  </w:r>
                </w:p>
              </w:tc>
              <w:tc>
                <w:tcPr>
                  <w:tcW w:w="158" w:type="pct"/>
                  <w:shd w:val="clear" w:color="auto" w:fill="auto"/>
                  <w:tcMar>
                    <w:top w:w="0" w:type="dxa"/>
                    <w:left w:w="0" w:type="dxa"/>
                    <w:bottom w:w="0" w:type="dxa"/>
                    <w:right w:w="0" w:type="dxa"/>
                  </w:tcMar>
                  <w:vAlign w:val="center"/>
                </w:tcPr>
                <w:p w14:paraId="0A1C4560">
                  <w:pPr>
                    <w:jc w:val="center"/>
                    <w:rPr>
                      <w:rFonts w:hint="default" w:asciiTheme="minorAscii" w:hAnsiTheme="minorAscii"/>
                      <w:sz w:val="21"/>
                      <w:szCs w:val="21"/>
                    </w:rPr>
                  </w:pPr>
                  <w:r>
                    <w:rPr>
                      <w:rFonts w:hint="default" w:eastAsia="Arial" w:cs="Arial" w:asciiTheme="minorAscii" w:hAnsiTheme="minorAscii"/>
                      <w:sz w:val="21"/>
                      <w:szCs w:val="21"/>
                    </w:rPr>
                    <w:t>14.8</w:t>
                  </w:r>
                </w:p>
              </w:tc>
              <w:tc>
                <w:tcPr>
                  <w:tcW w:w="157" w:type="pct"/>
                  <w:shd w:val="clear" w:color="auto" w:fill="auto"/>
                  <w:tcMar>
                    <w:top w:w="0" w:type="dxa"/>
                    <w:left w:w="0" w:type="dxa"/>
                    <w:bottom w:w="0" w:type="dxa"/>
                    <w:right w:w="0" w:type="dxa"/>
                  </w:tcMar>
                  <w:vAlign w:val="center"/>
                </w:tcPr>
                <w:p w14:paraId="6F2ECE52">
                  <w:pPr>
                    <w:jc w:val="center"/>
                    <w:rPr>
                      <w:rFonts w:hint="default" w:asciiTheme="minorAscii" w:hAnsiTheme="minorAscii"/>
                      <w:sz w:val="21"/>
                      <w:szCs w:val="21"/>
                    </w:rPr>
                  </w:pPr>
                  <w:r>
                    <w:rPr>
                      <w:rFonts w:hint="default" w:eastAsia="Arial" w:cs="Arial" w:asciiTheme="minorAscii" w:hAnsiTheme="minorAscii"/>
                      <w:sz w:val="21"/>
                      <w:szCs w:val="21"/>
                    </w:rPr>
                    <w:t>9.8</w:t>
                  </w:r>
                </w:p>
              </w:tc>
              <w:tc>
                <w:tcPr>
                  <w:tcW w:w="157" w:type="pct"/>
                  <w:shd w:val="clear" w:color="auto" w:fill="auto"/>
                  <w:tcMar>
                    <w:top w:w="0" w:type="dxa"/>
                    <w:left w:w="0" w:type="dxa"/>
                    <w:bottom w:w="0" w:type="dxa"/>
                    <w:right w:w="0" w:type="dxa"/>
                  </w:tcMar>
                  <w:vAlign w:val="center"/>
                </w:tcPr>
                <w:p w14:paraId="1AAC11D3">
                  <w:pPr>
                    <w:jc w:val="center"/>
                    <w:rPr>
                      <w:rFonts w:hint="default" w:asciiTheme="minorAscii" w:hAnsiTheme="minorAscii"/>
                      <w:sz w:val="21"/>
                      <w:szCs w:val="21"/>
                    </w:rPr>
                  </w:pPr>
                  <w:r>
                    <w:rPr>
                      <w:rFonts w:hint="default" w:eastAsia="Arial" w:cs="Arial" w:asciiTheme="minorAscii" w:hAnsiTheme="minorAscii"/>
                      <w:sz w:val="21"/>
                      <w:szCs w:val="21"/>
                    </w:rPr>
                    <w:t>22.4</w:t>
                  </w:r>
                </w:p>
              </w:tc>
              <w:tc>
                <w:tcPr>
                  <w:tcW w:w="160" w:type="pct"/>
                  <w:shd w:val="clear" w:color="auto" w:fill="auto"/>
                  <w:tcMar>
                    <w:top w:w="0" w:type="dxa"/>
                    <w:left w:w="0" w:type="dxa"/>
                    <w:bottom w:w="0" w:type="dxa"/>
                    <w:right w:w="0" w:type="dxa"/>
                  </w:tcMar>
                  <w:vAlign w:val="center"/>
                </w:tcPr>
                <w:p w14:paraId="79D1747B">
                  <w:pPr>
                    <w:jc w:val="center"/>
                    <w:rPr>
                      <w:rFonts w:hint="default" w:asciiTheme="minorAscii" w:hAnsiTheme="minorAscii"/>
                      <w:sz w:val="21"/>
                      <w:szCs w:val="21"/>
                    </w:rPr>
                  </w:pPr>
                  <w:r>
                    <w:rPr>
                      <w:rFonts w:hint="default" w:eastAsia="Arial" w:cs="Arial" w:asciiTheme="minorAscii" w:hAnsiTheme="minorAscii"/>
                      <w:sz w:val="21"/>
                      <w:szCs w:val="21"/>
                    </w:rPr>
                    <w:t>69.7</w:t>
                  </w:r>
                </w:p>
              </w:tc>
              <w:tc>
                <w:tcPr>
                  <w:tcW w:w="160" w:type="pct"/>
                  <w:shd w:val="clear" w:color="auto" w:fill="auto"/>
                  <w:tcMar>
                    <w:top w:w="0" w:type="dxa"/>
                    <w:left w:w="0" w:type="dxa"/>
                    <w:bottom w:w="0" w:type="dxa"/>
                    <w:right w:w="0" w:type="dxa"/>
                  </w:tcMar>
                  <w:vAlign w:val="center"/>
                </w:tcPr>
                <w:p w14:paraId="31885714">
                  <w:pPr>
                    <w:jc w:val="center"/>
                    <w:rPr>
                      <w:rFonts w:hint="default" w:asciiTheme="minorAscii" w:hAnsiTheme="minorAscii"/>
                      <w:sz w:val="21"/>
                      <w:szCs w:val="21"/>
                    </w:rPr>
                  </w:pPr>
                  <w:r>
                    <w:rPr>
                      <w:rFonts w:hint="default" w:eastAsia="Arial" w:cs="Arial" w:asciiTheme="minorAscii" w:hAnsiTheme="minorAscii"/>
                      <w:sz w:val="21"/>
                      <w:szCs w:val="21"/>
                    </w:rPr>
                    <w:t>69.7</w:t>
                  </w:r>
                </w:p>
              </w:tc>
              <w:tc>
                <w:tcPr>
                  <w:tcW w:w="160" w:type="pct"/>
                  <w:shd w:val="clear" w:color="auto" w:fill="auto"/>
                  <w:tcMar>
                    <w:top w:w="0" w:type="dxa"/>
                    <w:left w:w="0" w:type="dxa"/>
                    <w:bottom w:w="0" w:type="dxa"/>
                    <w:right w:w="0" w:type="dxa"/>
                  </w:tcMar>
                  <w:vAlign w:val="center"/>
                </w:tcPr>
                <w:p w14:paraId="37E17890">
                  <w:pPr>
                    <w:jc w:val="center"/>
                    <w:rPr>
                      <w:rFonts w:hint="default" w:asciiTheme="minorAscii" w:hAnsiTheme="minorAscii"/>
                      <w:sz w:val="21"/>
                      <w:szCs w:val="21"/>
                    </w:rPr>
                  </w:pPr>
                  <w:r>
                    <w:rPr>
                      <w:rFonts w:hint="default" w:eastAsia="Arial" w:cs="Arial" w:asciiTheme="minorAscii" w:hAnsiTheme="minorAscii"/>
                      <w:sz w:val="21"/>
                      <w:szCs w:val="21"/>
                    </w:rPr>
                    <w:t>69.7</w:t>
                  </w:r>
                </w:p>
              </w:tc>
              <w:tc>
                <w:tcPr>
                  <w:tcW w:w="160" w:type="pct"/>
                  <w:shd w:val="clear" w:color="auto" w:fill="auto"/>
                  <w:tcMar>
                    <w:top w:w="0" w:type="dxa"/>
                    <w:left w:w="0" w:type="dxa"/>
                    <w:bottom w:w="0" w:type="dxa"/>
                    <w:right w:w="0" w:type="dxa"/>
                  </w:tcMar>
                  <w:vAlign w:val="center"/>
                </w:tcPr>
                <w:p w14:paraId="5A41A5AD">
                  <w:pPr>
                    <w:jc w:val="center"/>
                    <w:rPr>
                      <w:rFonts w:hint="default" w:asciiTheme="minorAscii" w:hAnsiTheme="minorAscii"/>
                      <w:sz w:val="21"/>
                      <w:szCs w:val="21"/>
                    </w:rPr>
                  </w:pPr>
                  <w:r>
                    <w:rPr>
                      <w:rFonts w:hint="default" w:eastAsia="Arial" w:cs="Arial" w:asciiTheme="minorAscii" w:hAnsiTheme="minorAscii"/>
                      <w:sz w:val="21"/>
                      <w:szCs w:val="21"/>
                    </w:rPr>
                    <w:t>69.7</w:t>
                  </w:r>
                </w:p>
              </w:tc>
              <w:tc>
                <w:tcPr>
                  <w:tcW w:w="227" w:type="pct"/>
                  <w:shd w:val="clear" w:color="auto" w:fill="auto"/>
                  <w:tcMar>
                    <w:top w:w="0" w:type="dxa"/>
                    <w:left w:w="0" w:type="dxa"/>
                    <w:bottom w:w="0" w:type="dxa"/>
                    <w:right w:w="0" w:type="dxa"/>
                  </w:tcMar>
                  <w:vAlign w:val="center"/>
                </w:tcPr>
                <w:p w14:paraId="64E6983C">
                  <w:pPr>
                    <w:jc w:val="center"/>
                    <w:rPr>
                      <w:rFonts w:hint="default" w:asciiTheme="minorAscii" w:hAnsiTheme="minorAscii"/>
                      <w:sz w:val="21"/>
                      <w:szCs w:val="21"/>
                    </w:rPr>
                  </w:pPr>
                  <w:r>
                    <w:rPr>
                      <w:rFonts w:hint="default" w:eastAsia="Arial" w:cs="Arial" w:asciiTheme="minorAscii" w:hAnsiTheme="minorAscii"/>
                      <w:sz w:val="21"/>
                      <w:szCs w:val="21"/>
                    </w:rPr>
                    <w:t>24.0</w:t>
                  </w:r>
                </w:p>
              </w:tc>
              <w:tc>
                <w:tcPr>
                  <w:tcW w:w="169" w:type="pct"/>
                  <w:shd w:val="clear" w:color="auto" w:fill="auto"/>
                  <w:tcMar>
                    <w:top w:w="0" w:type="dxa"/>
                    <w:left w:w="0" w:type="dxa"/>
                    <w:bottom w:w="0" w:type="dxa"/>
                    <w:right w:w="0" w:type="dxa"/>
                  </w:tcMar>
                  <w:vAlign w:val="center"/>
                </w:tcPr>
                <w:p w14:paraId="5ED07AF7">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03817042">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67F88B4F">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46C5BE03">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47" w:type="pct"/>
                  <w:shd w:val="clear" w:color="auto" w:fill="auto"/>
                  <w:tcMar>
                    <w:top w:w="0" w:type="dxa"/>
                    <w:left w:w="0" w:type="dxa"/>
                    <w:bottom w:w="0" w:type="dxa"/>
                    <w:right w:w="0" w:type="dxa"/>
                  </w:tcMar>
                  <w:vAlign w:val="center"/>
                </w:tcPr>
                <w:p w14:paraId="1E2D221E">
                  <w:pPr>
                    <w:jc w:val="center"/>
                    <w:rPr>
                      <w:rFonts w:hint="default" w:asciiTheme="minorAscii" w:hAnsiTheme="minorAscii"/>
                      <w:sz w:val="21"/>
                      <w:szCs w:val="21"/>
                    </w:rPr>
                  </w:pPr>
                  <w:r>
                    <w:rPr>
                      <w:rFonts w:hint="default" w:eastAsia="Arial" w:cs="Arial" w:asciiTheme="minorAscii" w:hAnsiTheme="minorAscii"/>
                      <w:sz w:val="21"/>
                      <w:szCs w:val="21"/>
                    </w:rPr>
                    <w:t>43.7</w:t>
                  </w:r>
                </w:p>
              </w:tc>
              <w:tc>
                <w:tcPr>
                  <w:tcW w:w="147" w:type="pct"/>
                  <w:shd w:val="clear" w:color="auto" w:fill="auto"/>
                  <w:tcMar>
                    <w:top w:w="0" w:type="dxa"/>
                    <w:left w:w="0" w:type="dxa"/>
                    <w:bottom w:w="0" w:type="dxa"/>
                    <w:right w:w="0" w:type="dxa"/>
                  </w:tcMar>
                  <w:vAlign w:val="center"/>
                </w:tcPr>
                <w:p w14:paraId="31AFCB85">
                  <w:pPr>
                    <w:jc w:val="center"/>
                    <w:rPr>
                      <w:rFonts w:hint="default" w:asciiTheme="minorAscii" w:hAnsiTheme="minorAscii"/>
                      <w:sz w:val="21"/>
                      <w:szCs w:val="21"/>
                    </w:rPr>
                  </w:pPr>
                  <w:r>
                    <w:rPr>
                      <w:rFonts w:hint="default" w:eastAsia="Arial" w:cs="Arial" w:asciiTheme="minorAscii" w:hAnsiTheme="minorAscii"/>
                      <w:sz w:val="21"/>
                      <w:szCs w:val="21"/>
                    </w:rPr>
                    <w:t>43.7</w:t>
                  </w:r>
                </w:p>
              </w:tc>
              <w:tc>
                <w:tcPr>
                  <w:tcW w:w="147" w:type="pct"/>
                  <w:shd w:val="clear" w:color="auto" w:fill="auto"/>
                  <w:tcMar>
                    <w:top w:w="0" w:type="dxa"/>
                    <w:left w:w="0" w:type="dxa"/>
                    <w:bottom w:w="0" w:type="dxa"/>
                    <w:right w:w="0" w:type="dxa"/>
                  </w:tcMar>
                  <w:vAlign w:val="center"/>
                </w:tcPr>
                <w:p w14:paraId="56BBAFD1">
                  <w:pPr>
                    <w:jc w:val="center"/>
                    <w:rPr>
                      <w:rFonts w:hint="default" w:asciiTheme="minorAscii" w:hAnsiTheme="minorAscii"/>
                      <w:sz w:val="21"/>
                      <w:szCs w:val="21"/>
                    </w:rPr>
                  </w:pPr>
                  <w:r>
                    <w:rPr>
                      <w:rFonts w:hint="default" w:eastAsia="Arial" w:cs="Arial" w:asciiTheme="minorAscii" w:hAnsiTheme="minorAscii"/>
                      <w:sz w:val="21"/>
                      <w:szCs w:val="21"/>
                    </w:rPr>
                    <w:t>43.7</w:t>
                  </w:r>
                </w:p>
              </w:tc>
              <w:tc>
                <w:tcPr>
                  <w:tcW w:w="147" w:type="pct"/>
                  <w:shd w:val="clear" w:color="auto" w:fill="auto"/>
                  <w:tcMar>
                    <w:top w:w="0" w:type="dxa"/>
                    <w:left w:w="0" w:type="dxa"/>
                    <w:bottom w:w="0" w:type="dxa"/>
                    <w:right w:w="0" w:type="dxa"/>
                  </w:tcMar>
                  <w:vAlign w:val="center"/>
                </w:tcPr>
                <w:p w14:paraId="441335C1">
                  <w:pPr>
                    <w:jc w:val="center"/>
                    <w:rPr>
                      <w:rFonts w:hint="default" w:asciiTheme="minorAscii" w:hAnsiTheme="minorAscii"/>
                      <w:sz w:val="21"/>
                      <w:szCs w:val="21"/>
                    </w:rPr>
                  </w:pPr>
                  <w:r>
                    <w:rPr>
                      <w:rFonts w:hint="default" w:eastAsia="Arial" w:cs="Arial" w:asciiTheme="minorAscii" w:hAnsiTheme="minorAscii"/>
                      <w:sz w:val="21"/>
                      <w:szCs w:val="21"/>
                    </w:rPr>
                    <w:t>43.7</w:t>
                  </w:r>
                </w:p>
              </w:tc>
              <w:tc>
                <w:tcPr>
                  <w:tcW w:w="189" w:type="pct"/>
                  <w:shd w:val="clear" w:color="auto" w:fill="auto"/>
                  <w:tcMar>
                    <w:top w:w="0" w:type="dxa"/>
                    <w:left w:w="0" w:type="dxa"/>
                    <w:bottom w:w="0" w:type="dxa"/>
                    <w:right w:w="0" w:type="dxa"/>
                  </w:tcMar>
                  <w:vAlign w:val="center"/>
                </w:tcPr>
                <w:p w14:paraId="4B73BD45">
                  <w:pPr>
                    <w:jc w:val="center"/>
                    <w:rPr>
                      <w:rFonts w:hint="default" w:asciiTheme="minorAscii" w:hAnsiTheme="minorAscii"/>
                      <w:sz w:val="21"/>
                      <w:szCs w:val="21"/>
                    </w:rPr>
                  </w:pPr>
                  <w:r>
                    <w:rPr>
                      <w:rFonts w:hint="default" w:eastAsia="Arial" w:cs="Arial" w:asciiTheme="minorAscii" w:hAnsiTheme="minorAscii"/>
                      <w:sz w:val="21"/>
                      <w:szCs w:val="21"/>
                    </w:rPr>
                    <w:t>1</w:t>
                  </w:r>
                </w:p>
              </w:tc>
            </w:tr>
            <w:tr w14:paraId="4C0B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85" w:type="pct"/>
                  <w:shd w:val="clear" w:color="auto" w:fill="auto"/>
                  <w:tcMar>
                    <w:top w:w="0" w:type="dxa"/>
                    <w:left w:w="0" w:type="dxa"/>
                    <w:bottom w:w="0" w:type="dxa"/>
                    <w:right w:w="0" w:type="dxa"/>
                  </w:tcMar>
                  <w:vAlign w:val="center"/>
                </w:tcPr>
                <w:p w14:paraId="4FBADF31">
                  <w:pPr>
                    <w:jc w:val="center"/>
                    <w:rPr>
                      <w:rFonts w:hint="default" w:asciiTheme="minorAscii" w:hAnsiTheme="minorAscii"/>
                      <w:sz w:val="21"/>
                      <w:szCs w:val="21"/>
                    </w:rPr>
                  </w:pPr>
                  <w:r>
                    <w:rPr>
                      <w:rFonts w:hint="default" w:eastAsia="Arial" w:cs="Arial" w:asciiTheme="minorAscii" w:hAnsiTheme="minorAscii"/>
                      <w:sz w:val="21"/>
                      <w:szCs w:val="21"/>
                    </w:rPr>
                    <w:t>7</w:t>
                  </w:r>
                </w:p>
              </w:tc>
              <w:tc>
                <w:tcPr>
                  <w:tcW w:w="248" w:type="pct"/>
                  <w:vMerge w:val="continue"/>
                  <w:shd w:val="clear" w:color="auto" w:fill="auto"/>
                  <w:tcMar>
                    <w:top w:w="0" w:type="dxa"/>
                    <w:left w:w="0" w:type="dxa"/>
                    <w:bottom w:w="0" w:type="dxa"/>
                    <w:right w:w="0" w:type="dxa"/>
                  </w:tcMar>
                  <w:vAlign w:val="center"/>
                </w:tcPr>
                <w:p w14:paraId="2BA75241">
                  <w:pPr>
                    <w:jc w:val="center"/>
                    <w:rPr>
                      <w:rFonts w:hint="default" w:asciiTheme="minorAscii" w:hAnsiTheme="minorAscii"/>
                      <w:sz w:val="21"/>
                      <w:szCs w:val="21"/>
                    </w:rPr>
                  </w:pPr>
                </w:p>
              </w:tc>
              <w:tc>
                <w:tcPr>
                  <w:tcW w:w="290" w:type="pct"/>
                  <w:shd w:val="clear" w:color="auto" w:fill="auto"/>
                  <w:tcMar>
                    <w:top w:w="0" w:type="dxa"/>
                    <w:left w:w="0" w:type="dxa"/>
                    <w:bottom w:w="0" w:type="dxa"/>
                    <w:right w:w="0" w:type="dxa"/>
                  </w:tcMar>
                  <w:vAlign w:val="center"/>
                </w:tcPr>
                <w:p w14:paraId="09E77762">
                  <w:pPr>
                    <w:jc w:val="center"/>
                    <w:rPr>
                      <w:rFonts w:hint="eastAsia" w:eastAsia="宋体" w:asciiTheme="minorAscii" w:hAnsiTheme="minorAscii"/>
                      <w:sz w:val="21"/>
                      <w:szCs w:val="21"/>
                      <w:lang w:val="en-US" w:eastAsia="zh-CN"/>
                    </w:rPr>
                  </w:pPr>
                  <w:r>
                    <w:rPr>
                      <w:rFonts w:hint="default" w:eastAsia="Arial" w:cs="Arial" w:asciiTheme="minorAscii" w:hAnsiTheme="minorAscii"/>
                      <w:sz w:val="21"/>
                      <w:szCs w:val="21"/>
                    </w:rPr>
                    <w:t>曝气风机</w:t>
                  </w:r>
                </w:p>
              </w:tc>
              <w:tc>
                <w:tcPr>
                  <w:tcW w:w="185" w:type="pct"/>
                  <w:shd w:val="clear" w:color="auto" w:fill="auto"/>
                  <w:tcMar>
                    <w:top w:w="0" w:type="dxa"/>
                    <w:left w:w="0" w:type="dxa"/>
                    <w:bottom w:w="0" w:type="dxa"/>
                    <w:right w:w="0" w:type="dxa"/>
                  </w:tcMar>
                  <w:vAlign w:val="center"/>
                </w:tcPr>
                <w:p w14:paraId="29B5281E">
                  <w:pPr>
                    <w:jc w:val="center"/>
                    <w:rPr>
                      <w:rFonts w:hint="eastAsia" w:eastAsia="宋体" w:asciiTheme="minorAscii" w:hAnsiTheme="minorAscii"/>
                      <w:sz w:val="21"/>
                      <w:szCs w:val="21"/>
                      <w:lang w:val="en-US" w:eastAsia="zh-CN"/>
                    </w:rPr>
                  </w:pPr>
                  <w:r>
                    <w:rPr>
                      <w:rFonts w:hint="eastAsia" w:asciiTheme="minorAscii" w:hAnsiTheme="minorAscii"/>
                      <w:sz w:val="21"/>
                      <w:szCs w:val="21"/>
                      <w:lang w:val="en-US" w:eastAsia="zh-CN"/>
                    </w:rPr>
                    <w:t>/</w:t>
                  </w:r>
                </w:p>
              </w:tc>
              <w:tc>
                <w:tcPr>
                  <w:tcW w:w="301" w:type="pct"/>
                  <w:shd w:val="clear" w:color="auto" w:fill="auto"/>
                  <w:tcMar>
                    <w:top w:w="0" w:type="dxa"/>
                    <w:left w:w="0" w:type="dxa"/>
                    <w:bottom w:w="0" w:type="dxa"/>
                    <w:right w:w="0" w:type="dxa"/>
                  </w:tcMar>
                  <w:vAlign w:val="center"/>
                </w:tcPr>
                <w:p w14:paraId="705DF7C0">
                  <w:pPr>
                    <w:jc w:val="center"/>
                    <w:rPr>
                      <w:rFonts w:hint="default" w:asciiTheme="minorAscii" w:hAnsiTheme="minorAscii"/>
                      <w:sz w:val="21"/>
                      <w:szCs w:val="21"/>
                    </w:rPr>
                  </w:pPr>
                  <w:r>
                    <w:rPr>
                      <w:rFonts w:hint="default" w:eastAsia="Arial" w:cs="Arial" w:asciiTheme="minorAscii" w:hAnsiTheme="minorAscii"/>
                      <w:sz w:val="21"/>
                      <w:szCs w:val="21"/>
                    </w:rPr>
                    <w:t>83</w:t>
                  </w:r>
                </w:p>
              </w:tc>
              <w:tc>
                <w:tcPr>
                  <w:tcW w:w="312" w:type="pct"/>
                  <w:vMerge w:val="continue"/>
                  <w:shd w:val="clear" w:color="auto" w:fill="auto"/>
                  <w:tcMar>
                    <w:top w:w="0" w:type="dxa"/>
                    <w:left w:w="0" w:type="dxa"/>
                    <w:bottom w:w="0" w:type="dxa"/>
                    <w:right w:w="0" w:type="dxa"/>
                  </w:tcMar>
                  <w:vAlign w:val="center"/>
                </w:tcPr>
                <w:p w14:paraId="340D5ACE">
                  <w:pPr>
                    <w:jc w:val="center"/>
                    <w:rPr>
                      <w:rFonts w:hint="default" w:asciiTheme="minorAscii" w:hAnsiTheme="minorAscii"/>
                      <w:sz w:val="21"/>
                      <w:szCs w:val="21"/>
                    </w:rPr>
                  </w:pPr>
                </w:p>
              </w:tc>
              <w:tc>
                <w:tcPr>
                  <w:tcW w:w="163" w:type="pct"/>
                  <w:shd w:val="clear" w:color="auto" w:fill="auto"/>
                  <w:tcMar>
                    <w:top w:w="0" w:type="dxa"/>
                    <w:left w:w="0" w:type="dxa"/>
                    <w:bottom w:w="0" w:type="dxa"/>
                    <w:right w:w="0" w:type="dxa"/>
                  </w:tcMar>
                  <w:vAlign w:val="center"/>
                </w:tcPr>
                <w:p w14:paraId="3DBA2C4C">
                  <w:pPr>
                    <w:jc w:val="center"/>
                    <w:rPr>
                      <w:rFonts w:hint="default" w:asciiTheme="minorAscii" w:hAnsiTheme="minorAscii"/>
                      <w:sz w:val="21"/>
                      <w:szCs w:val="21"/>
                    </w:rPr>
                  </w:pPr>
                  <w:r>
                    <w:rPr>
                      <w:rFonts w:hint="default" w:eastAsia="Arial" w:cs="Arial" w:asciiTheme="minorAscii" w:hAnsiTheme="minorAscii"/>
                      <w:sz w:val="21"/>
                      <w:szCs w:val="21"/>
                    </w:rPr>
                    <w:t>14.1</w:t>
                  </w:r>
                </w:p>
              </w:tc>
              <w:tc>
                <w:tcPr>
                  <w:tcW w:w="209" w:type="pct"/>
                  <w:shd w:val="clear" w:color="auto" w:fill="auto"/>
                  <w:tcMar>
                    <w:top w:w="0" w:type="dxa"/>
                    <w:left w:w="0" w:type="dxa"/>
                    <w:bottom w:w="0" w:type="dxa"/>
                    <w:right w:w="0" w:type="dxa"/>
                  </w:tcMar>
                  <w:vAlign w:val="center"/>
                </w:tcPr>
                <w:p w14:paraId="3558F8BE">
                  <w:pPr>
                    <w:jc w:val="center"/>
                    <w:rPr>
                      <w:rFonts w:hint="default" w:asciiTheme="minorAscii" w:hAnsiTheme="minorAscii"/>
                      <w:sz w:val="21"/>
                      <w:szCs w:val="21"/>
                    </w:rPr>
                  </w:pPr>
                  <w:r>
                    <w:rPr>
                      <w:rFonts w:hint="default" w:eastAsia="Arial" w:cs="Arial" w:asciiTheme="minorAscii" w:hAnsiTheme="minorAscii"/>
                      <w:sz w:val="21"/>
                      <w:szCs w:val="21"/>
                    </w:rPr>
                    <w:t>111.2</w:t>
                  </w:r>
                </w:p>
              </w:tc>
              <w:tc>
                <w:tcPr>
                  <w:tcW w:w="146" w:type="pct"/>
                  <w:shd w:val="clear" w:color="auto" w:fill="auto"/>
                  <w:tcMar>
                    <w:top w:w="0" w:type="dxa"/>
                    <w:left w:w="0" w:type="dxa"/>
                    <w:bottom w:w="0" w:type="dxa"/>
                    <w:right w:w="0" w:type="dxa"/>
                  </w:tcMar>
                  <w:vAlign w:val="center"/>
                </w:tcPr>
                <w:p w14:paraId="5D3A1553">
                  <w:pPr>
                    <w:jc w:val="center"/>
                    <w:rPr>
                      <w:rFonts w:hint="default" w:asciiTheme="minorAscii" w:hAnsiTheme="minorAscii"/>
                      <w:sz w:val="21"/>
                      <w:szCs w:val="21"/>
                    </w:rPr>
                  </w:pPr>
                  <w:r>
                    <w:rPr>
                      <w:rFonts w:hint="default" w:eastAsia="Arial" w:cs="Arial" w:asciiTheme="minorAscii" w:hAnsiTheme="minorAscii"/>
                      <w:sz w:val="21"/>
                      <w:szCs w:val="21"/>
                    </w:rPr>
                    <w:t>-0.1</w:t>
                  </w:r>
                </w:p>
              </w:tc>
              <w:tc>
                <w:tcPr>
                  <w:tcW w:w="157" w:type="pct"/>
                  <w:shd w:val="clear" w:color="auto" w:fill="auto"/>
                  <w:tcMar>
                    <w:top w:w="0" w:type="dxa"/>
                    <w:left w:w="0" w:type="dxa"/>
                    <w:bottom w:w="0" w:type="dxa"/>
                    <w:right w:w="0" w:type="dxa"/>
                  </w:tcMar>
                  <w:vAlign w:val="center"/>
                </w:tcPr>
                <w:p w14:paraId="0450F7D5">
                  <w:pPr>
                    <w:jc w:val="center"/>
                    <w:rPr>
                      <w:rFonts w:hint="default" w:asciiTheme="minorAscii" w:hAnsiTheme="minorAscii"/>
                      <w:sz w:val="21"/>
                      <w:szCs w:val="21"/>
                    </w:rPr>
                  </w:pPr>
                  <w:r>
                    <w:rPr>
                      <w:rFonts w:hint="default" w:eastAsia="Arial" w:cs="Arial" w:asciiTheme="minorAscii" w:hAnsiTheme="minorAscii"/>
                      <w:sz w:val="21"/>
                      <w:szCs w:val="21"/>
                    </w:rPr>
                    <w:t>27.5</w:t>
                  </w:r>
                </w:p>
              </w:tc>
              <w:tc>
                <w:tcPr>
                  <w:tcW w:w="158" w:type="pct"/>
                  <w:shd w:val="clear" w:color="auto" w:fill="auto"/>
                  <w:tcMar>
                    <w:top w:w="0" w:type="dxa"/>
                    <w:left w:w="0" w:type="dxa"/>
                    <w:bottom w:w="0" w:type="dxa"/>
                    <w:right w:w="0" w:type="dxa"/>
                  </w:tcMar>
                  <w:vAlign w:val="center"/>
                </w:tcPr>
                <w:p w14:paraId="59F64BAC">
                  <w:pPr>
                    <w:jc w:val="center"/>
                    <w:rPr>
                      <w:rFonts w:hint="default" w:asciiTheme="minorAscii" w:hAnsiTheme="minorAscii"/>
                      <w:sz w:val="21"/>
                      <w:szCs w:val="21"/>
                    </w:rPr>
                  </w:pPr>
                  <w:r>
                    <w:rPr>
                      <w:rFonts w:hint="default" w:eastAsia="Arial" w:cs="Arial" w:asciiTheme="minorAscii" w:hAnsiTheme="minorAscii"/>
                      <w:sz w:val="21"/>
                      <w:szCs w:val="21"/>
                    </w:rPr>
                    <w:t>14.9</w:t>
                  </w:r>
                </w:p>
              </w:tc>
              <w:tc>
                <w:tcPr>
                  <w:tcW w:w="157" w:type="pct"/>
                  <w:shd w:val="clear" w:color="auto" w:fill="auto"/>
                  <w:tcMar>
                    <w:top w:w="0" w:type="dxa"/>
                    <w:left w:w="0" w:type="dxa"/>
                    <w:bottom w:w="0" w:type="dxa"/>
                    <w:right w:w="0" w:type="dxa"/>
                  </w:tcMar>
                  <w:vAlign w:val="center"/>
                </w:tcPr>
                <w:p w14:paraId="1A8AF256">
                  <w:pPr>
                    <w:jc w:val="center"/>
                    <w:rPr>
                      <w:rFonts w:hint="default" w:asciiTheme="minorAscii" w:hAnsiTheme="minorAscii"/>
                      <w:sz w:val="21"/>
                      <w:szCs w:val="21"/>
                    </w:rPr>
                  </w:pPr>
                  <w:r>
                    <w:rPr>
                      <w:rFonts w:hint="default" w:eastAsia="Arial" w:cs="Arial" w:asciiTheme="minorAscii" w:hAnsiTheme="minorAscii"/>
                      <w:sz w:val="21"/>
                      <w:szCs w:val="21"/>
                    </w:rPr>
                    <w:t>3.2</w:t>
                  </w:r>
                </w:p>
              </w:tc>
              <w:tc>
                <w:tcPr>
                  <w:tcW w:w="157" w:type="pct"/>
                  <w:shd w:val="clear" w:color="auto" w:fill="auto"/>
                  <w:tcMar>
                    <w:top w:w="0" w:type="dxa"/>
                    <w:left w:w="0" w:type="dxa"/>
                    <w:bottom w:w="0" w:type="dxa"/>
                    <w:right w:w="0" w:type="dxa"/>
                  </w:tcMar>
                  <w:vAlign w:val="center"/>
                </w:tcPr>
                <w:p w14:paraId="46488AC9">
                  <w:pPr>
                    <w:jc w:val="center"/>
                    <w:rPr>
                      <w:rFonts w:hint="default" w:asciiTheme="minorAscii" w:hAnsiTheme="minorAscii"/>
                      <w:sz w:val="21"/>
                      <w:szCs w:val="21"/>
                    </w:rPr>
                  </w:pPr>
                  <w:r>
                    <w:rPr>
                      <w:rFonts w:hint="default" w:eastAsia="Arial" w:cs="Arial" w:asciiTheme="minorAscii" w:hAnsiTheme="minorAscii"/>
                      <w:sz w:val="21"/>
                      <w:szCs w:val="21"/>
                    </w:rPr>
                    <w:t>22.7</w:t>
                  </w:r>
                </w:p>
              </w:tc>
              <w:tc>
                <w:tcPr>
                  <w:tcW w:w="160" w:type="pct"/>
                  <w:shd w:val="clear" w:color="auto" w:fill="auto"/>
                  <w:tcMar>
                    <w:top w:w="0" w:type="dxa"/>
                    <w:left w:w="0" w:type="dxa"/>
                    <w:bottom w:w="0" w:type="dxa"/>
                    <w:right w:w="0" w:type="dxa"/>
                  </w:tcMar>
                  <w:vAlign w:val="center"/>
                </w:tcPr>
                <w:p w14:paraId="5D0DE679">
                  <w:pPr>
                    <w:jc w:val="center"/>
                    <w:rPr>
                      <w:rFonts w:hint="default" w:asciiTheme="minorAscii" w:hAnsiTheme="minorAscii"/>
                      <w:sz w:val="21"/>
                      <w:szCs w:val="21"/>
                    </w:rPr>
                  </w:pPr>
                  <w:r>
                    <w:rPr>
                      <w:rFonts w:hint="default" w:eastAsia="Arial" w:cs="Arial" w:asciiTheme="minorAscii" w:hAnsiTheme="minorAscii"/>
                      <w:sz w:val="21"/>
                      <w:szCs w:val="21"/>
                    </w:rPr>
                    <w:t>72.7</w:t>
                  </w:r>
                </w:p>
              </w:tc>
              <w:tc>
                <w:tcPr>
                  <w:tcW w:w="160" w:type="pct"/>
                  <w:shd w:val="clear" w:color="auto" w:fill="auto"/>
                  <w:tcMar>
                    <w:top w:w="0" w:type="dxa"/>
                    <w:left w:w="0" w:type="dxa"/>
                    <w:bottom w:w="0" w:type="dxa"/>
                    <w:right w:w="0" w:type="dxa"/>
                  </w:tcMar>
                  <w:vAlign w:val="center"/>
                </w:tcPr>
                <w:p w14:paraId="7D6A2D06">
                  <w:pPr>
                    <w:jc w:val="center"/>
                    <w:rPr>
                      <w:rFonts w:hint="default" w:asciiTheme="minorAscii" w:hAnsiTheme="minorAscii"/>
                      <w:sz w:val="21"/>
                      <w:szCs w:val="21"/>
                    </w:rPr>
                  </w:pPr>
                  <w:r>
                    <w:rPr>
                      <w:rFonts w:hint="default" w:eastAsia="Arial" w:cs="Arial" w:asciiTheme="minorAscii" w:hAnsiTheme="minorAscii"/>
                      <w:sz w:val="21"/>
                      <w:szCs w:val="21"/>
                    </w:rPr>
                    <w:t>72.7</w:t>
                  </w:r>
                </w:p>
              </w:tc>
              <w:tc>
                <w:tcPr>
                  <w:tcW w:w="160" w:type="pct"/>
                  <w:shd w:val="clear" w:color="auto" w:fill="auto"/>
                  <w:tcMar>
                    <w:top w:w="0" w:type="dxa"/>
                    <w:left w:w="0" w:type="dxa"/>
                    <w:bottom w:w="0" w:type="dxa"/>
                    <w:right w:w="0" w:type="dxa"/>
                  </w:tcMar>
                  <w:vAlign w:val="center"/>
                </w:tcPr>
                <w:p w14:paraId="0B36D5E8">
                  <w:pPr>
                    <w:jc w:val="center"/>
                    <w:rPr>
                      <w:rFonts w:hint="default" w:asciiTheme="minorAscii" w:hAnsiTheme="minorAscii"/>
                      <w:sz w:val="21"/>
                      <w:szCs w:val="21"/>
                    </w:rPr>
                  </w:pPr>
                  <w:r>
                    <w:rPr>
                      <w:rFonts w:hint="default" w:eastAsia="Arial" w:cs="Arial" w:asciiTheme="minorAscii" w:hAnsiTheme="minorAscii"/>
                      <w:sz w:val="21"/>
                      <w:szCs w:val="21"/>
                    </w:rPr>
                    <w:t>73.0</w:t>
                  </w:r>
                </w:p>
              </w:tc>
              <w:tc>
                <w:tcPr>
                  <w:tcW w:w="160" w:type="pct"/>
                  <w:shd w:val="clear" w:color="auto" w:fill="auto"/>
                  <w:tcMar>
                    <w:top w:w="0" w:type="dxa"/>
                    <w:left w:w="0" w:type="dxa"/>
                    <w:bottom w:w="0" w:type="dxa"/>
                    <w:right w:w="0" w:type="dxa"/>
                  </w:tcMar>
                  <w:vAlign w:val="center"/>
                </w:tcPr>
                <w:p w14:paraId="7A5B099D">
                  <w:pPr>
                    <w:jc w:val="center"/>
                    <w:rPr>
                      <w:rFonts w:hint="default" w:asciiTheme="minorAscii" w:hAnsiTheme="minorAscii"/>
                      <w:sz w:val="21"/>
                      <w:szCs w:val="21"/>
                    </w:rPr>
                  </w:pPr>
                  <w:r>
                    <w:rPr>
                      <w:rFonts w:hint="default" w:eastAsia="Arial" w:cs="Arial" w:asciiTheme="minorAscii" w:hAnsiTheme="minorAscii"/>
                      <w:sz w:val="21"/>
                      <w:szCs w:val="21"/>
                    </w:rPr>
                    <w:t>72.7</w:t>
                  </w:r>
                </w:p>
              </w:tc>
              <w:tc>
                <w:tcPr>
                  <w:tcW w:w="227" w:type="pct"/>
                  <w:shd w:val="clear" w:color="auto" w:fill="auto"/>
                  <w:tcMar>
                    <w:top w:w="0" w:type="dxa"/>
                    <w:left w:w="0" w:type="dxa"/>
                    <w:bottom w:w="0" w:type="dxa"/>
                    <w:right w:w="0" w:type="dxa"/>
                  </w:tcMar>
                  <w:vAlign w:val="center"/>
                </w:tcPr>
                <w:p w14:paraId="7DBE73F9">
                  <w:pPr>
                    <w:jc w:val="center"/>
                    <w:rPr>
                      <w:rFonts w:hint="default" w:asciiTheme="minorAscii" w:hAnsiTheme="minorAscii"/>
                      <w:sz w:val="21"/>
                      <w:szCs w:val="21"/>
                    </w:rPr>
                  </w:pPr>
                  <w:r>
                    <w:rPr>
                      <w:rFonts w:hint="default" w:eastAsia="Arial" w:cs="Arial" w:asciiTheme="minorAscii" w:hAnsiTheme="minorAscii"/>
                      <w:sz w:val="21"/>
                      <w:szCs w:val="21"/>
                    </w:rPr>
                    <w:t>24.0</w:t>
                  </w:r>
                </w:p>
              </w:tc>
              <w:tc>
                <w:tcPr>
                  <w:tcW w:w="169" w:type="pct"/>
                  <w:shd w:val="clear" w:color="auto" w:fill="auto"/>
                  <w:tcMar>
                    <w:top w:w="0" w:type="dxa"/>
                    <w:left w:w="0" w:type="dxa"/>
                    <w:bottom w:w="0" w:type="dxa"/>
                    <w:right w:w="0" w:type="dxa"/>
                  </w:tcMar>
                  <w:vAlign w:val="center"/>
                </w:tcPr>
                <w:p w14:paraId="78F9EB0C">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697ABE63">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00CCA379">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27A0B7B8">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47" w:type="pct"/>
                  <w:shd w:val="clear" w:color="auto" w:fill="auto"/>
                  <w:tcMar>
                    <w:top w:w="0" w:type="dxa"/>
                    <w:left w:w="0" w:type="dxa"/>
                    <w:bottom w:w="0" w:type="dxa"/>
                    <w:right w:w="0" w:type="dxa"/>
                  </w:tcMar>
                  <w:vAlign w:val="center"/>
                </w:tcPr>
                <w:p w14:paraId="49EE1A03">
                  <w:pPr>
                    <w:jc w:val="center"/>
                    <w:rPr>
                      <w:rFonts w:hint="default" w:asciiTheme="minorAscii" w:hAnsiTheme="minorAscii"/>
                      <w:sz w:val="21"/>
                      <w:szCs w:val="21"/>
                    </w:rPr>
                  </w:pPr>
                  <w:r>
                    <w:rPr>
                      <w:rFonts w:hint="default" w:eastAsia="Arial" w:cs="Arial" w:asciiTheme="minorAscii" w:hAnsiTheme="minorAscii"/>
                      <w:sz w:val="21"/>
                      <w:szCs w:val="21"/>
                    </w:rPr>
                    <w:t>46.7</w:t>
                  </w:r>
                </w:p>
              </w:tc>
              <w:tc>
                <w:tcPr>
                  <w:tcW w:w="147" w:type="pct"/>
                  <w:shd w:val="clear" w:color="auto" w:fill="auto"/>
                  <w:tcMar>
                    <w:top w:w="0" w:type="dxa"/>
                    <w:left w:w="0" w:type="dxa"/>
                    <w:bottom w:w="0" w:type="dxa"/>
                    <w:right w:w="0" w:type="dxa"/>
                  </w:tcMar>
                  <w:vAlign w:val="center"/>
                </w:tcPr>
                <w:p w14:paraId="0D2FCBFF">
                  <w:pPr>
                    <w:jc w:val="center"/>
                    <w:rPr>
                      <w:rFonts w:hint="default" w:asciiTheme="minorAscii" w:hAnsiTheme="minorAscii"/>
                      <w:sz w:val="21"/>
                      <w:szCs w:val="21"/>
                    </w:rPr>
                  </w:pPr>
                  <w:r>
                    <w:rPr>
                      <w:rFonts w:hint="default" w:eastAsia="Arial" w:cs="Arial" w:asciiTheme="minorAscii" w:hAnsiTheme="minorAscii"/>
                      <w:sz w:val="21"/>
                      <w:szCs w:val="21"/>
                    </w:rPr>
                    <w:t>46.7</w:t>
                  </w:r>
                </w:p>
              </w:tc>
              <w:tc>
                <w:tcPr>
                  <w:tcW w:w="147" w:type="pct"/>
                  <w:shd w:val="clear" w:color="auto" w:fill="auto"/>
                  <w:tcMar>
                    <w:top w:w="0" w:type="dxa"/>
                    <w:left w:w="0" w:type="dxa"/>
                    <w:bottom w:w="0" w:type="dxa"/>
                    <w:right w:w="0" w:type="dxa"/>
                  </w:tcMar>
                  <w:vAlign w:val="center"/>
                </w:tcPr>
                <w:p w14:paraId="5039A3BE">
                  <w:pPr>
                    <w:jc w:val="center"/>
                    <w:rPr>
                      <w:rFonts w:hint="default" w:asciiTheme="minorAscii" w:hAnsiTheme="minorAscii"/>
                      <w:sz w:val="21"/>
                      <w:szCs w:val="21"/>
                    </w:rPr>
                  </w:pPr>
                  <w:r>
                    <w:rPr>
                      <w:rFonts w:hint="default" w:eastAsia="Arial" w:cs="Arial" w:asciiTheme="minorAscii" w:hAnsiTheme="minorAscii"/>
                      <w:sz w:val="21"/>
                      <w:szCs w:val="21"/>
                    </w:rPr>
                    <w:t>47.0</w:t>
                  </w:r>
                </w:p>
              </w:tc>
              <w:tc>
                <w:tcPr>
                  <w:tcW w:w="147" w:type="pct"/>
                  <w:shd w:val="clear" w:color="auto" w:fill="auto"/>
                  <w:tcMar>
                    <w:top w:w="0" w:type="dxa"/>
                    <w:left w:w="0" w:type="dxa"/>
                    <w:bottom w:w="0" w:type="dxa"/>
                    <w:right w:w="0" w:type="dxa"/>
                  </w:tcMar>
                  <w:vAlign w:val="center"/>
                </w:tcPr>
                <w:p w14:paraId="7C64E412">
                  <w:pPr>
                    <w:jc w:val="center"/>
                    <w:rPr>
                      <w:rFonts w:hint="default" w:asciiTheme="minorAscii" w:hAnsiTheme="minorAscii"/>
                      <w:sz w:val="21"/>
                      <w:szCs w:val="21"/>
                    </w:rPr>
                  </w:pPr>
                  <w:r>
                    <w:rPr>
                      <w:rFonts w:hint="default" w:eastAsia="Arial" w:cs="Arial" w:asciiTheme="minorAscii" w:hAnsiTheme="minorAscii"/>
                      <w:sz w:val="21"/>
                      <w:szCs w:val="21"/>
                    </w:rPr>
                    <w:t>46.7</w:t>
                  </w:r>
                </w:p>
              </w:tc>
              <w:tc>
                <w:tcPr>
                  <w:tcW w:w="189" w:type="pct"/>
                  <w:shd w:val="clear" w:color="auto" w:fill="auto"/>
                  <w:tcMar>
                    <w:top w:w="0" w:type="dxa"/>
                    <w:left w:w="0" w:type="dxa"/>
                    <w:bottom w:w="0" w:type="dxa"/>
                    <w:right w:w="0" w:type="dxa"/>
                  </w:tcMar>
                  <w:vAlign w:val="center"/>
                </w:tcPr>
                <w:p w14:paraId="35E7C52E">
                  <w:pPr>
                    <w:jc w:val="center"/>
                    <w:rPr>
                      <w:rFonts w:hint="default" w:asciiTheme="minorAscii" w:hAnsiTheme="minorAscii"/>
                      <w:sz w:val="21"/>
                      <w:szCs w:val="21"/>
                    </w:rPr>
                  </w:pPr>
                  <w:r>
                    <w:rPr>
                      <w:rFonts w:hint="default" w:eastAsia="Arial" w:cs="Arial" w:asciiTheme="minorAscii" w:hAnsiTheme="minorAscii"/>
                      <w:sz w:val="21"/>
                      <w:szCs w:val="21"/>
                    </w:rPr>
                    <w:t>1</w:t>
                  </w:r>
                </w:p>
              </w:tc>
            </w:tr>
            <w:tr w14:paraId="7BCC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85" w:type="pct"/>
                  <w:shd w:val="clear" w:color="auto" w:fill="auto"/>
                  <w:tcMar>
                    <w:top w:w="0" w:type="dxa"/>
                    <w:left w:w="0" w:type="dxa"/>
                    <w:bottom w:w="0" w:type="dxa"/>
                    <w:right w:w="0" w:type="dxa"/>
                  </w:tcMar>
                  <w:vAlign w:val="center"/>
                </w:tcPr>
                <w:p w14:paraId="41133E17">
                  <w:pPr>
                    <w:jc w:val="center"/>
                    <w:rPr>
                      <w:rFonts w:hint="default" w:asciiTheme="minorAscii" w:hAnsiTheme="minorAscii"/>
                      <w:sz w:val="21"/>
                      <w:szCs w:val="21"/>
                    </w:rPr>
                  </w:pPr>
                  <w:r>
                    <w:rPr>
                      <w:rFonts w:hint="default" w:eastAsia="Arial" w:cs="Arial" w:asciiTheme="minorAscii" w:hAnsiTheme="minorAscii"/>
                      <w:sz w:val="21"/>
                      <w:szCs w:val="21"/>
                    </w:rPr>
                    <w:t>8</w:t>
                  </w:r>
                </w:p>
              </w:tc>
              <w:tc>
                <w:tcPr>
                  <w:tcW w:w="248" w:type="pct"/>
                  <w:vMerge w:val="continue"/>
                  <w:shd w:val="clear" w:color="auto" w:fill="auto"/>
                  <w:tcMar>
                    <w:top w:w="0" w:type="dxa"/>
                    <w:left w:w="0" w:type="dxa"/>
                    <w:bottom w:w="0" w:type="dxa"/>
                    <w:right w:w="0" w:type="dxa"/>
                  </w:tcMar>
                  <w:vAlign w:val="center"/>
                </w:tcPr>
                <w:p w14:paraId="2CBFAF89">
                  <w:pPr>
                    <w:jc w:val="center"/>
                    <w:rPr>
                      <w:rFonts w:hint="default" w:asciiTheme="minorAscii" w:hAnsiTheme="minorAscii"/>
                      <w:sz w:val="21"/>
                      <w:szCs w:val="21"/>
                    </w:rPr>
                  </w:pPr>
                </w:p>
              </w:tc>
              <w:tc>
                <w:tcPr>
                  <w:tcW w:w="290" w:type="pct"/>
                  <w:shd w:val="clear" w:color="auto" w:fill="auto"/>
                  <w:tcMar>
                    <w:top w:w="0" w:type="dxa"/>
                    <w:left w:w="0" w:type="dxa"/>
                    <w:bottom w:w="0" w:type="dxa"/>
                    <w:right w:w="0" w:type="dxa"/>
                  </w:tcMar>
                  <w:vAlign w:val="center"/>
                </w:tcPr>
                <w:p w14:paraId="640AFBC8">
                  <w:pPr>
                    <w:jc w:val="center"/>
                    <w:rPr>
                      <w:rFonts w:hint="default" w:asciiTheme="minorAscii" w:hAnsiTheme="minorAscii"/>
                      <w:sz w:val="21"/>
                      <w:szCs w:val="21"/>
                    </w:rPr>
                  </w:pPr>
                  <w:r>
                    <w:rPr>
                      <w:rFonts w:hint="default" w:eastAsia="Arial" w:cs="Arial" w:asciiTheme="minorAscii" w:hAnsiTheme="minorAscii"/>
                      <w:sz w:val="21"/>
                      <w:szCs w:val="21"/>
                    </w:rPr>
                    <w:t>硝化液回流泵</w:t>
                  </w:r>
                </w:p>
              </w:tc>
              <w:tc>
                <w:tcPr>
                  <w:tcW w:w="185" w:type="pct"/>
                  <w:shd w:val="clear" w:color="auto" w:fill="auto"/>
                  <w:tcMar>
                    <w:top w:w="0" w:type="dxa"/>
                    <w:left w:w="0" w:type="dxa"/>
                    <w:bottom w:w="0" w:type="dxa"/>
                    <w:right w:w="0" w:type="dxa"/>
                  </w:tcMar>
                  <w:vAlign w:val="center"/>
                </w:tcPr>
                <w:p w14:paraId="3C2A1A98">
                  <w:pPr>
                    <w:jc w:val="center"/>
                    <w:rPr>
                      <w:rFonts w:hint="eastAsia" w:eastAsia="宋体" w:asciiTheme="minorAscii" w:hAnsiTheme="minorAscii"/>
                      <w:sz w:val="21"/>
                      <w:szCs w:val="21"/>
                      <w:lang w:val="en-US" w:eastAsia="zh-CN"/>
                    </w:rPr>
                  </w:pPr>
                  <w:r>
                    <w:rPr>
                      <w:rFonts w:hint="eastAsia" w:asciiTheme="minorAscii" w:hAnsiTheme="minorAscii"/>
                      <w:sz w:val="21"/>
                      <w:szCs w:val="21"/>
                      <w:lang w:val="en-US" w:eastAsia="zh-CN"/>
                    </w:rPr>
                    <w:t>/</w:t>
                  </w:r>
                </w:p>
              </w:tc>
              <w:tc>
                <w:tcPr>
                  <w:tcW w:w="301" w:type="pct"/>
                  <w:shd w:val="clear" w:color="auto" w:fill="auto"/>
                  <w:tcMar>
                    <w:top w:w="0" w:type="dxa"/>
                    <w:left w:w="0" w:type="dxa"/>
                    <w:bottom w:w="0" w:type="dxa"/>
                    <w:right w:w="0" w:type="dxa"/>
                  </w:tcMar>
                  <w:vAlign w:val="center"/>
                </w:tcPr>
                <w:p w14:paraId="27BE4700">
                  <w:pPr>
                    <w:jc w:val="center"/>
                    <w:rPr>
                      <w:rFonts w:hint="default" w:asciiTheme="minorAscii" w:hAnsiTheme="minorAscii"/>
                      <w:sz w:val="21"/>
                      <w:szCs w:val="21"/>
                    </w:rPr>
                  </w:pPr>
                  <w:r>
                    <w:rPr>
                      <w:rFonts w:hint="default" w:eastAsia="Arial" w:cs="Arial" w:asciiTheme="minorAscii" w:hAnsiTheme="minorAscii"/>
                      <w:sz w:val="21"/>
                      <w:szCs w:val="21"/>
                    </w:rPr>
                    <w:t>90</w:t>
                  </w:r>
                </w:p>
              </w:tc>
              <w:tc>
                <w:tcPr>
                  <w:tcW w:w="312" w:type="pct"/>
                  <w:vMerge w:val="continue"/>
                  <w:shd w:val="clear" w:color="auto" w:fill="auto"/>
                  <w:tcMar>
                    <w:top w:w="0" w:type="dxa"/>
                    <w:left w:w="0" w:type="dxa"/>
                    <w:bottom w:w="0" w:type="dxa"/>
                    <w:right w:w="0" w:type="dxa"/>
                  </w:tcMar>
                  <w:vAlign w:val="center"/>
                </w:tcPr>
                <w:p w14:paraId="1A88219F">
                  <w:pPr>
                    <w:jc w:val="center"/>
                    <w:rPr>
                      <w:rFonts w:hint="default" w:asciiTheme="minorAscii" w:hAnsiTheme="minorAscii"/>
                      <w:sz w:val="21"/>
                      <w:szCs w:val="21"/>
                    </w:rPr>
                  </w:pPr>
                </w:p>
              </w:tc>
              <w:tc>
                <w:tcPr>
                  <w:tcW w:w="163" w:type="pct"/>
                  <w:shd w:val="clear" w:color="auto" w:fill="auto"/>
                  <w:tcMar>
                    <w:top w:w="0" w:type="dxa"/>
                    <w:left w:w="0" w:type="dxa"/>
                    <w:bottom w:w="0" w:type="dxa"/>
                    <w:right w:w="0" w:type="dxa"/>
                  </w:tcMar>
                  <w:vAlign w:val="center"/>
                </w:tcPr>
                <w:p w14:paraId="5DE40929">
                  <w:pPr>
                    <w:jc w:val="center"/>
                    <w:rPr>
                      <w:rFonts w:hint="default" w:asciiTheme="minorAscii" w:hAnsiTheme="minorAscii"/>
                      <w:sz w:val="21"/>
                      <w:szCs w:val="21"/>
                    </w:rPr>
                  </w:pPr>
                  <w:r>
                    <w:rPr>
                      <w:rFonts w:hint="default" w:eastAsia="Arial" w:cs="Arial" w:asciiTheme="minorAscii" w:hAnsiTheme="minorAscii"/>
                      <w:sz w:val="21"/>
                      <w:szCs w:val="21"/>
                    </w:rPr>
                    <w:t>24.7</w:t>
                  </w:r>
                </w:p>
              </w:tc>
              <w:tc>
                <w:tcPr>
                  <w:tcW w:w="209" w:type="pct"/>
                  <w:shd w:val="clear" w:color="auto" w:fill="auto"/>
                  <w:tcMar>
                    <w:top w:w="0" w:type="dxa"/>
                    <w:left w:w="0" w:type="dxa"/>
                    <w:bottom w:w="0" w:type="dxa"/>
                    <w:right w:w="0" w:type="dxa"/>
                  </w:tcMar>
                  <w:vAlign w:val="center"/>
                </w:tcPr>
                <w:p w14:paraId="12423390">
                  <w:pPr>
                    <w:jc w:val="center"/>
                    <w:rPr>
                      <w:rFonts w:hint="default" w:asciiTheme="minorAscii" w:hAnsiTheme="minorAscii"/>
                      <w:sz w:val="21"/>
                      <w:szCs w:val="21"/>
                    </w:rPr>
                  </w:pPr>
                  <w:r>
                    <w:rPr>
                      <w:rFonts w:hint="default" w:eastAsia="Arial" w:cs="Arial" w:asciiTheme="minorAscii" w:hAnsiTheme="minorAscii"/>
                      <w:sz w:val="21"/>
                      <w:szCs w:val="21"/>
                    </w:rPr>
                    <w:t>116.1</w:t>
                  </w:r>
                </w:p>
              </w:tc>
              <w:tc>
                <w:tcPr>
                  <w:tcW w:w="146" w:type="pct"/>
                  <w:shd w:val="clear" w:color="auto" w:fill="auto"/>
                  <w:tcMar>
                    <w:top w:w="0" w:type="dxa"/>
                    <w:left w:w="0" w:type="dxa"/>
                    <w:bottom w:w="0" w:type="dxa"/>
                    <w:right w:w="0" w:type="dxa"/>
                  </w:tcMar>
                  <w:vAlign w:val="center"/>
                </w:tcPr>
                <w:p w14:paraId="37DC7D1E">
                  <w:pPr>
                    <w:jc w:val="center"/>
                    <w:rPr>
                      <w:rFonts w:hint="default" w:asciiTheme="minorAscii" w:hAnsiTheme="minorAscii"/>
                      <w:sz w:val="21"/>
                      <w:szCs w:val="21"/>
                    </w:rPr>
                  </w:pPr>
                  <w:r>
                    <w:rPr>
                      <w:rFonts w:hint="default" w:eastAsia="Arial" w:cs="Arial" w:asciiTheme="minorAscii" w:hAnsiTheme="minorAscii"/>
                      <w:sz w:val="21"/>
                      <w:szCs w:val="21"/>
                    </w:rPr>
                    <w:t>-0.5</w:t>
                  </w:r>
                </w:p>
              </w:tc>
              <w:tc>
                <w:tcPr>
                  <w:tcW w:w="157" w:type="pct"/>
                  <w:shd w:val="clear" w:color="auto" w:fill="auto"/>
                  <w:tcMar>
                    <w:top w:w="0" w:type="dxa"/>
                    <w:left w:w="0" w:type="dxa"/>
                    <w:bottom w:w="0" w:type="dxa"/>
                    <w:right w:w="0" w:type="dxa"/>
                  </w:tcMar>
                  <w:vAlign w:val="center"/>
                </w:tcPr>
                <w:p w14:paraId="697B65FC">
                  <w:pPr>
                    <w:jc w:val="center"/>
                    <w:rPr>
                      <w:rFonts w:hint="default" w:asciiTheme="minorAscii" w:hAnsiTheme="minorAscii"/>
                      <w:sz w:val="21"/>
                      <w:szCs w:val="21"/>
                    </w:rPr>
                  </w:pPr>
                  <w:r>
                    <w:rPr>
                      <w:rFonts w:hint="default" w:eastAsia="Arial" w:cs="Arial" w:asciiTheme="minorAscii" w:hAnsiTheme="minorAscii"/>
                      <w:sz w:val="21"/>
                      <w:szCs w:val="21"/>
                    </w:rPr>
                    <w:t>15.8</w:t>
                  </w:r>
                </w:p>
              </w:tc>
              <w:tc>
                <w:tcPr>
                  <w:tcW w:w="158" w:type="pct"/>
                  <w:shd w:val="clear" w:color="auto" w:fill="auto"/>
                  <w:tcMar>
                    <w:top w:w="0" w:type="dxa"/>
                    <w:left w:w="0" w:type="dxa"/>
                    <w:bottom w:w="0" w:type="dxa"/>
                    <w:right w:w="0" w:type="dxa"/>
                  </w:tcMar>
                  <w:vAlign w:val="center"/>
                </w:tcPr>
                <w:p w14:paraId="55BAF6B6">
                  <w:pPr>
                    <w:jc w:val="center"/>
                    <w:rPr>
                      <w:rFonts w:hint="default" w:asciiTheme="minorAscii" w:hAnsiTheme="minorAscii"/>
                      <w:sz w:val="21"/>
                      <w:szCs w:val="21"/>
                    </w:rPr>
                  </w:pPr>
                  <w:r>
                    <w:rPr>
                      <w:rFonts w:hint="default" w:eastAsia="Arial" w:cs="Arial" w:asciiTheme="minorAscii" w:hAnsiTheme="minorAscii"/>
                      <w:sz w:val="21"/>
                      <w:szCs w:val="21"/>
                    </w:rPr>
                    <w:t>14.0</w:t>
                  </w:r>
                </w:p>
              </w:tc>
              <w:tc>
                <w:tcPr>
                  <w:tcW w:w="157" w:type="pct"/>
                  <w:shd w:val="clear" w:color="auto" w:fill="auto"/>
                  <w:tcMar>
                    <w:top w:w="0" w:type="dxa"/>
                    <w:left w:w="0" w:type="dxa"/>
                    <w:bottom w:w="0" w:type="dxa"/>
                    <w:right w:w="0" w:type="dxa"/>
                  </w:tcMar>
                  <w:vAlign w:val="center"/>
                </w:tcPr>
                <w:p w14:paraId="2B468078">
                  <w:pPr>
                    <w:jc w:val="center"/>
                    <w:rPr>
                      <w:rFonts w:hint="default" w:asciiTheme="minorAscii" w:hAnsiTheme="minorAscii"/>
                      <w:sz w:val="21"/>
                      <w:szCs w:val="21"/>
                    </w:rPr>
                  </w:pPr>
                  <w:r>
                    <w:rPr>
                      <w:rFonts w:hint="default" w:eastAsia="Arial" w:cs="Arial" w:asciiTheme="minorAscii" w:hAnsiTheme="minorAscii"/>
                      <w:sz w:val="21"/>
                      <w:szCs w:val="21"/>
                    </w:rPr>
                    <w:t>14.9</w:t>
                  </w:r>
                </w:p>
              </w:tc>
              <w:tc>
                <w:tcPr>
                  <w:tcW w:w="157" w:type="pct"/>
                  <w:shd w:val="clear" w:color="auto" w:fill="auto"/>
                  <w:tcMar>
                    <w:top w:w="0" w:type="dxa"/>
                    <w:left w:w="0" w:type="dxa"/>
                    <w:bottom w:w="0" w:type="dxa"/>
                    <w:right w:w="0" w:type="dxa"/>
                  </w:tcMar>
                  <w:vAlign w:val="center"/>
                </w:tcPr>
                <w:p w14:paraId="4AAA4DE5">
                  <w:pPr>
                    <w:jc w:val="center"/>
                    <w:rPr>
                      <w:rFonts w:hint="default" w:asciiTheme="minorAscii" w:hAnsiTheme="minorAscii"/>
                      <w:sz w:val="21"/>
                      <w:szCs w:val="21"/>
                    </w:rPr>
                  </w:pPr>
                  <w:r>
                    <w:rPr>
                      <w:rFonts w:hint="default" w:eastAsia="Arial" w:cs="Arial" w:asciiTheme="minorAscii" w:hAnsiTheme="minorAscii"/>
                      <w:sz w:val="21"/>
                      <w:szCs w:val="21"/>
                    </w:rPr>
                    <w:t>22.9</w:t>
                  </w:r>
                </w:p>
              </w:tc>
              <w:tc>
                <w:tcPr>
                  <w:tcW w:w="160" w:type="pct"/>
                  <w:shd w:val="clear" w:color="auto" w:fill="auto"/>
                  <w:tcMar>
                    <w:top w:w="0" w:type="dxa"/>
                    <w:left w:w="0" w:type="dxa"/>
                    <w:bottom w:w="0" w:type="dxa"/>
                    <w:right w:w="0" w:type="dxa"/>
                  </w:tcMar>
                  <w:vAlign w:val="center"/>
                </w:tcPr>
                <w:p w14:paraId="7E1D835E">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160" w:type="pct"/>
                  <w:shd w:val="clear" w:color="auto" w:fill="auto"/>
                  <w:tcMar>
                    <w:top w:w="0" w:type="dxa"/>
                    <w:left w:w="0" w:type="dxa"/>
                    <w:bottom w:w="0" w:type="dxa"/>
                    <w:right w:w="0" w:type="dxa"/>
                  </w:tcMar>
                  <w:vAlign w:val="center"/>
                </w:tcPr>
                <w:p w14:paraId="6AB1C1D3">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160" w:type="pct"/>
                  <w:shd w:val="clear" w:color="auto" w:fill="auto"/>
                  <w:tcMar>
                    <w:top w:w="0" w:type="dxa"/>
                    <w:left w:w="0" w:type="dxa"/>
                    <w:bottom w:w="0" w:type="dxa"/>
                    <w:right w:w="0" w:type="dxa"/>
                  </w:tcMar>
                  <w:vAlign w:val="center"/>
                </w:tcPr>
                <w:p w14:paraId="6E3865F7">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160" w:type="pct"/>
                  <w:shd w:val="clear" w:color="auto" w:fill="auto"/>
                  <w:tcMar>
                    <w:top w:w="0" w:type="dxa"/>
                    <w:left w:w="0" w:type="dxa"/>
                    <w:bottom w:w="0" w:type="dxa"/>
                    <w:right w:w="0" w:type="dxa"/>
                  </w:tcMar>
                  <w:vAlign w:val="center"/>
                </w:tcPr>
                <w:p w14:paraId="758F824D">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227" w:type="pct"/>
                  <w:shd w:val="clear" w:color="auto" w:fill="auto"/>
                  <w:tcMar>
                    <w:top w:w="0" w:type="dxa"/>
                    <w:left w:w="0" w:type="dxa"/>
                    <w:bottom w:w="0" w:type="dxa"/>
                    <w:right w:w="0" w:type="dxa"/>
                  </w:tcMar>
                  <w:vAlign w:val="center"/>
                </w:tcPr>
                <w:p w14:paraId="1BE733AE">
                  <w:pPr>
                    <w:jc w:val="center"/>
                    <w:rPr>
                      <w:rFonts w:hint="default" w:asciiTheme="minorAscii" w:hAnsiTheme="minorAscii"/>
                      <w:sz w:val="21"/>
                      <w:szCs w:val="21"/>
                    </w:rPr>
                  </w:pPr>
                  <w:r>
                    <w:rPr>
                      <w:rFonts w:hint="default" w:eastAsia="Arial" w:cs="Arial" w:asciiTheme="minorAscii" w:hAnsiTheme="minorAscii"/>
                      <w:sz w:val="21"/>
                      <w:szCs w:val="21"/>
                    </w:rPr>
                    <w:t>24.0</w:t>
                  </w:r>
                </w:p>
              </w:tc>
              <w:tc>
                <w:tcPr>
                  <w:tcW w:w="169" w:type="pct"/>
                  <w:shd w:val="clear" w:color="auto" w:fill="auto"/>
                  <w:tcMar>
                    <w:top w:w="0" w:type="dxa"/>
                    <w:left w:w="0" w:type="dxa"/>
                    <w:bottom w:w="0" w:type="dxa"/>
                    <w:right w:w="0" w:type="dxa"/>
                  </w:tcMar>
                  <w:vAlign w:val="center"/>
                </w:tcPr>
                <w:p w14:paraId="61BD2562">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455F0BF0">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5DE34494">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7F35911D">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47" w:type="pct"/>
                  <w:shd w:val="clear" w:color="auto" w:fill="auto"/>
                  <w:tcMar>
                    <w:top w:w="0" w:type="dxa"/>
                    <w:left w:w="0" w:type="dxa"/>
                    <w:bottom w:w="0" w:type="dxa"/>
                    <w:right w:w="0" w:type="dxa"/>
                  </w:tcMar>
                  <w:vAlign w:val="center"/>
                </w:tcPr>
                <w:p w14:paraId="09C22E43">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47" w:type="pct"/>
                  <w:shd w:val="clear" w:color="auto" w:fill="auto"/>
                  <w:tcMar>
                    <w:top w:w="0" w:type="dxa"/>
                    <w:left w:w="0" w:type="dxa"/>
                    <w:bottom w:w="0" w:type="dxa"/>
                    <w:right w:w="0" w:type="dxa"/>
                  </w:tcMar>
                  <w:vAlign w:val="center"/>
                </w:tcPr>
                <w:p w14:paraId="56D6314B">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47" w:type="pct"/>
                  <w:shd w:val="clear" w:color="auto" w:fill="auto"/>
                  <w:tcMar>
                    <w:top w:w="0" w:type="dxa"/>
                    <w:left w:w="0" w:type="dxa"/>
                    <w:bottom w:w="0" w:type="dxa"/>
                    <w:right w:w="0" w:type="dxa"/>
                  </w:tcMar>
                  <w:vAlign w:val="center"/>
                </w:tcPr>
                <w:p w14:paraId="29768426">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47" w:type="pct"/>
                  <w:shd w:val="clear" w:color="auto" w:fill="auto"/>
                  <w:tcMar>
                    <w:top w:w="0" w:type="dxa"/>
                    <w:left w:w="0" w:type="dxa"/>
                    <w:bottom w:w="0" w:type="dxa"/>
                    <w:right w:w="0" w:type="dxa"/>
                  </w:tcMar>
                  <w:vAlign w:val="center"/>
                </w:tcPr>
                <w:p w14:paraId="308DE6BF">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89" w:type="pct"/>
                  <w:shd w:val="clear" w:color="auto" w:fill="auto"/>
                  <w:tcMar>
                    <w:top w:w="0" w:type="dxa"/>
                    <w:left w:w="0" w:type="dxa"/>
                    <w:bottom w:w="0" w:type="dxa"/>
                    <w:right w:w="0" w:type="dxa"/>
                  </w:tcMar>
                  <w:vAlign w:val="center"/>
                </w:tcPr>
                <w:p w14:paraId="77392761">
                  <w:pPr>
                    <w:jc w:val="center"/>
                    <w:rPr>
                      <w:rFonts w:hint="default" w:asciiTheme="minorAscii" w:hAnsiTheme="minorAscii"/>
                      <w:sz w:val="21"/>
                      <w:szCs w:val="21"/>
                    </w:rPr>
                  </w:pPr>
                  <w:r>
                    <w:rPr>
                      <w:rFonts w:hint="default" w:eastAsia="Arial" w:cs="Arial" w:asciiTheme="minorAscii" w:hAnsiTheme="minorAscii"/>
                      <w:sz w:val="21"/>
                      <w:szCs w:val="21"/>
                    </w:rPr>
                    <w:t>1</w:t>
                  </w:r>
                </w:p>
              </w:tc>
            </w:tr>
            <w:tr w14:paraId="5A2A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5" w:type="pct"/>
                  <w:shd w:val="clear" w:color="auto" w:fill="auto"/>
                  <w:tcMar>
                    <w:top w:w="0" w:type="dxa"/>
                    <w:left w:w="0" w:type="dxa"/>
                    <w:bottom w:w="0" w:type="dxa"/>
                    <w:right w:w="0" w:type="dxa"/>
                  </w:tcMar>
                  <w:vAlign w:val="center"/>
                </w:tcPr>
                <w:p w14:paraId="7460490D">
                  <w:pPr>
                    <w:jc w:val="center"/>
                    <w:rPr>
                      <w:rFonts w:hint="default" w:asciiTheme="minorAscii" w:hAnsiTheme="minorAscii"/>
                      <w:sz w:val="21"/>
                      <w:szCs w:val="21"/>
                    </w:rPr>
                  </w:pPr>
                  <w:r>
                    <w:rPr>
                      <w:rFonts w:hint="default" w:eastAsia="Arial" w:cs="Arial" w:asciiTheme="minorAscii" w:hAnsiTheme="minorAscii"/>
                      <w:sz w:val="21"/>
                      <w:szCs w:val="21"/>
                    </w:rPr>
                    <w:t>9</w:t>
                  </w:r>
                </w:p>
              </w:tc>
              <w:tc>
                <w:tcPr>
                  <w:tcW w:w="248" w:type="pct"/>
                  <w:vMerge w:val="continue"/>
                  <w:shd w:val="clear" w:color="auto" w:fill="auto"/>
                  <w:tcMar>
                    <w:top w:w="0" w:type="dxa"/>
                    <w:left w:w="0" w:type="dxa"/>
                    <w:bottom w:w="0" w:type="dxa"/>
                    <w:right w:w="0" w:type="dxa"/>
                  </w:tcMar>
                  <w:vAlign w:val="center"/>
                </w:tcPr>
                <w:p w14:paraId="6B194157">
                  <w:pPr>
                    <w:jc w:val="center"/>
                    <w:rPr>
                      <w:rFonts w:hint="default" w:asciiTheme="minorAscii" w:hAnsiTheme="minorAscii"/>
                      <w:sz w:val="21"/>
                      <w:szCs w:val="21"/>
                    </w:rPr>
                  </w:pPr>
                </w:p>
              </w:tc>
              <w:tc>
                <w:tcPr>
                  <w:tcW w:w="290" w:type="pct"/>
                  <w:shd w:val="clear" w:color="auto" w:fill="auto"/>
                  <w:tcMar>
                    <w:top w:w="0" w:type="dxa"/>
                    <w:left w:w="0" w:type="dxa"/>
                    <w:bottom w:w="0" w:type="dxa"/>
                    <w:right w:w="0" w:type="dxa"/>
                  </w:tcMar>
                  <w:vAlign w:val="center"/>
                </w:tcPr>
                <w:p w14:paraId="3E046B2F">
                  <w:pPr>
                    <w:jc w:val="center"/>
                    <w:rPr>
                      <w:rFonts w:hint="default" w:asciiTheme="minorAscii" w:hAnsiTheme="minorAscii"/>
                      <w:sz w:val="21"/>
                      <w:szCs w:val="21"/>
                    </w:rPr>
                  </w:pPr>
                  <w:r>
                    <w:rPr>
                      <w:rFonts w:hint="default" w:eastAsia="Arial" w:cs="Arial" w:asciiTheme="minorAscii" w:hAnsiTheme="minorAscii"/>
                      <w:sz w:val="21"/>
                      <w:szCs w:val="21"/>
                    </w:rPr>
                    <w:t>沉淀池刮泥机</w:t>
                  </w:r>
                </w:p>
              </w:tc>
              <w:tc>
                <w:tcPr>
                  <w:tcW w:w="185" w:type="pct"/>
                  <w:shd w:val="clear" w:color="auto" w:fill="auto"/>
                  <w:tcMar>
                    <w:top w:w="0" w:type="dxa"/>
                    <w:left w:w="0" w:type="dxa"/>
                    <w:bottom w:w="0" w:type="dxa"/>
                    <w:right w:w="0" w:type="dxa"/>
                  </w:tcMar>
                  <w:vAlign w:val="center"/>
                </w:tcPr>
                <w:p w14:paraId="3782AA93">
                  <w:pPr>
                    <w:jc w:val="center"/>
                    <w:rPr>
                      <w:rFonts w:hint="eastAsia" w:eastAsia="宋体" w:asciiTheme="minorAscii" w:hAnsiTheme="minorAscii"/>
                      <w:sz w:val="21"/>
                      <w:szCs w:val="21"/>
                      <w:lang w:val="en-US" w:eastAsia="zh-CN"/>
                    </w:rPr>
                  </w:pPr>
                  <w:r>
                    <w:rPr>
                      <w:rFonts w:hint="eastAsia" w:asciiTheme="minorAscii" w:hAnsiTheme="minorAscii"/>
                      <w:sz w:val="21"/>
                      <w:szCs w:val="21"/>
                      <w:lang w:val="en-US" w:eastAsia="zh-CN"/>
                    </w:rPr>
                    <w:t>/</w:t>
                  </w:r>
                </w:p>
              </w:tc>
              <w:tc>
                <w:tcPr>
                  <w:tcW w:w="301" w:type="pct"/>
                  <w:shd w:val="clear" w:color="auto" w:fill="auto"/>
                  <w:tcMar>
                    <w:top w:w="0" w:type="dxa"/>
                    <w:left w:w="0" w:type="dxa"/>
                    <w:bottom w:w="0" w:type="dxa"/>
                    <w:right w:w="0" w:type="dxa"/>
                  </w:tcMar>
                  <w:vAlign w:val="center"/>
                </w:tcPr>
                <w:p w14:paraId="2E604F96">
                  <w:pPr>
                    <w:jc w:val="center"/>
                    <w:rPr>
                      <w:rFonts w:hint="default" w:asciiTheme="minorAscii" w:hAnsiTheme="minorAscii"/>
                      <w:sz w:val="21"/>
                      <w:szCs w:val="21"/>
                    </w:rPr>
                  </w:pPr>
                  <w:r>
                    <w:rPr>
                      <w:rFonts w:hint="default" w:eastAsia="Arial" w:cs="Arial" w:asciiTheme="minorAscii" w:hAnsiTheme="minorAscii"/>
                      <w:sz w:val="21"/>
                      <w:szCs w:val="21"/>
                    </w:rPr>
                    <w:t>80</w:t>
                  </w:r>
                </w:p>
              </w:tc>
              <w:tc>
                <w:tcPr>
                  <w:tcW w:w="312" w:type="pct"/>
                  <w:vMerge w:val="continue"/>
                  <w:shd w:val="clear" w:color="auto" w:fill="auto"/>
                  <w:tcMar>
                    <w:top w:w="0" w:type="dxa"/>
                    <w:left w:w="0" w:type="dxa"/>
                    <w:bottom w:w="0" w:type="dxa"/>
                    <w:right w:w="0" w:type="dxa"/>
                  </w:tcMar>
                  <w:vAlign w:val="center"/>
                </w:tcPr>
                <w:p w14:paraId="534A1E74">
                  <w:pPr>
                    <w:jc w:val="center"/>
                    <w:rPr>
                      <w:rFonts w:hint="default" w:asciiTheme="minorAscii" w:hAnsiTheme="minorAscii"/>
                      <w:sz w:val="21"/>
                      <w:szCs w:val="21"/>
                    </w:rPr>
                  </w:pPr>
                </w:p>
              </w:tc>
              <w:tc>
                <w:tcPr>
                  <w:tcW w:w="163" w:type="pct"/>
                  <w:shd w:val="clear" w:color="auto" w:fill="auto"/>
                  <w:tcMar>
                    <w:top w:w="0" w:type="dxa"/>
                    <w:left w:w="0" w:type="dxa"/>
                    <w:bottom w:w="0" w:type="dxa"/>
                    <w:right w:w="0" w:type="dxa"/>
                  </w:tcMar>
                  <w:vAlign w:val="center"/>
                </w:tcPr>
                <w:p w14:paraId="46D0F3A5">
                  <w:pPr>
                    <w:jc w:val="center"/>
                    <w:rPr>
                      <w:rFonts w:hint="default" w:asciiTheme="minorAscii" w:hAnsiTheme="minorAscii"/>
                      <w:sz w:val="21"/>
                      <w:szCs w:val="21"/>
                    </w:rPr>
                  </w:pPr>
                  <w:r>
                    <w:rPr>
                      <w:rFonts w:hint="default" w:eastAsia="Arial" w:cs="Arial" w:asciiTheme="minorAscii" w:hAnsiTheme="minorAscii"/>
                      <w:sz w:val="21"/>
                      <w:szCs w:val="21"/>
                    </w:rPr>
                    <w:t>25.2</w:t>
                  </w:r>
                </w:p>
              </w:tc>
              <w:tc>
                <w:tcPr>
                  <w:tcW w:w="209" w:type="pct"/>
                  <w:shd w:val="clear" w:color="auto" w:fill="auto"/>
                  <w:tcMar>
                    <w:top w:w="0" w:type="dxa"/>
                    <w:left w:w="0" w:type="dxa"/>
                    <w:bottom w:w="0" w:type="dxa"/>
                    <w:right w:w="0" w:type="dxa"/>
                  </w:tcMar>
                  <w:vAlign w:val="center"/>
                </w:tcPr>
                <w:p w14:paraId="3018F81E">
                  <w:pPr>
                    <w:jc w:val="center"/>
                    <w:rPr>
                      <w:rFonts w:hint="default" w:asciiTheme="minorAscii" w:hAnsiTheme="minorAscii"/>
                      <w:sz w:val="21"/>
                      <w:szCs w:val="21"/>
                    </w:rPr>
                  </w:pPr>
                  <w:r>
                    <w:rPr>
                      <w:rFonts w:hint="default" w:eastAsia="Arial" w:cs="Arial" w:asciiTheme="minorAscii" w:hAnsiTheme="minorAscii"/>
                      <w:sz w:val="21"/>
                      <w:szCs w:val="21"/>
                    </w:rPr>
                    <w:t>121.4</w:t>
                  </w:r>
                </w:p>
              </w:tc>
              <w:tc>
                <w:tcPr>
                  <w:tcW w:w="146" w:type="pct"/>
                  <w:shd w:val="clear" w:color="auto" w:fill="auto"/>
                  <w:tcMar>
                    <w:top w:w="0" w:type="dxa"/>
                    <w:left w:w="0" w:type="dxa"/>
                    <w:bottom w:w="0" w:type="dxa"/>
                    <w:right w:w="0" w:type="dxa"/>
                  </w:tcMar>
                  <w:vAlign w:val="center"/>
                </w:tcPr>
                <w:p w14:paraId="475D13F0">
                  <w:pPr>
                    <w:jc w:val="center"/>
                    <w:rPr>
                      <w:rFonts w:hint="default" w:asciiTheme="minorAscii" w:hAnsiTheme="minorAscii"/>
                      <w:sz w:val="21"/>
                      <w:szCs w:val="21"/>
                    </w:rPr>
                  </w:pPr>
                  <w:r>
                    <w:rPr>
                      <w:rFonts w:hint="default" w:eastAsia="Arial" w:cs="Arial" w:asciiTheme="minorAscii" w:hAnsiTheme="minorAscii"/>
                      <w:sz w:val="21"/>
                      <w:szCs w:val="21"/>
                    </w:rPr>
                    <w:t>1.2</w:t>
                  </w:r>
                </w:p>
              </w:tc>
              <w:tc>
                <w:tcPr>
                  <w:tcW w:w="157" w:type="pct"/>
                  <w:shd w:val="clear" w:color="auto" w:fill="auto"/>
                  <w:tcMar>
                    <w:top w:w="0" w:type="dxa"/>
                    <w:left w:w="0" w:type="dxa"/>
                    <w:bottom w:w="0" w:type="dxa"/>
                    <w:right w:w="0" w:type="dxa"/>
                  </w:tcMar>
                  <w:vAlign w:val="center"/>
                </w:tcPr>
                <w:p w14:paraId="6037D842">
                  <w:pPr>
                    <w:jc w:val="center"/>
                    <w:rPr>
                      <w:rFonts w:hint="default" w:asciiTheme="minorAscii" w:hAnsiTheme="minorAscii"/>
                      <w:sz w:val="21"/>
                      <w:szCs w:val="21"/>
                    </w:rPr>
                  </w:pPr>
                  <w:r>
                    <w:rPr>
                      <w:rFonts w:hint="default" w:eastAsia="Arial" w:cs="Arial" w:asciiTheme="minorAscii" w:hAnsiTheme="minorAscii"/>
                      <w:sz w:val="21"/>
                      <w:szCs w:val="21"/>
                    </w:rPr>
                    <w:t>13.0</w:t>
                  </w:r>
                </w:p>
              </w:tc>
              <w:tc>
                <w:tcPr>
                  <w:tcW w:w="158" w:type="pct"/>
                  <w:shd w:val="clear" w:color="auto" w:fill="auto"/>
                  <w:tcMar>
                    <w:top w:w="0" w:type="dxa"/>
                    <w:left w:w="0" w:type="dxa"/>
                    <w:bottom w:w="0" w:type="dxa"/>
                    <w:right w:w="0" w:type="dxa"/>
                  </w:tcMar>
                  <w:vAlign w:val="center"/>
                </w:tcPr>
                <w:p w14:paraId="41CC175F">
                  <w:pPr>
                    <w:jc w:val="center"/>
                    <w:rPr>
                      <w:rFonts w:hint="default" w:asciiTheme="minorAscii" w:hAnsiTheme="minorAscii"/>
                      <w:sz w:val="21"/>
                      <w:szCs w:val="21"/>
                    </w:rPr>
                  </w:pPr>
                  <w:r>
                    <w:rPr>
                      <w:rFonts w:hint="default" w:eastAsia="Arial" w:cs="Arial" w:asciiTheme="minorAscii" w:hAnsiTheme="minorAscii"/>
                      <w:sz w:val="21"/>
                      <w:szCs w:val="21"/>
                    </w:rPr>
                    <w:t>18.4</w:t>
                  </w:r>
                </w:p>
              </w:tc>
              <w:tc>
                <w:tcPr>
                  <w:tcW w:w="157" w:type="pct"/>
                  <w:shd w:val="clear" w:color="auto" w:fill="auto"/>
                  <w:tcMar>
                    <w:top w:w="0" w:type="dxa"/>
                    <w:left w:w="0" w:type="dxa"/>
                    <w:bottom w:w="0" w:type="dxa"/>
                    <w:right w:w="0" w:type="dxa"/>
                  </w:tcMar>
                  <w:vAlign w:val="center"/>
                </w:tcPr>
                <w:p w14:paraId="45034ECC">
                  <w:pPr>
                    <w:jc w:val="center"/>
                    <w:rPr>
                      <w:rFonts w:hint="default" w:asciiTheme="minorAscii" w:hAnsiTheme="minorAscii"/>
                      <w:sz w:val="21"/>
                      <w:szCs w:val="21"/>
                    </w:rPr>
                  </w:pPr>
                  <w:r>
                    <w:rPr>
                      <w:rFonts w:hint="default" w:eastAsia="Arial" w:cs="Arial" w:asciiTheme="minorAscii" w:hAnsiTheme="minorAscii"/>
                      <w:sz w:val="21"/>
                      <w:szCs w:val="21"/>
                    </w:rPr>
                    <w:t>17.5</w:t>
                  </w:r>
                </w:p>
              </w:tc>
              <w:tc>
                <w:tcPr>
                  <w:tcW w:w="157" w:type="pct"/>
                  <w:shd w:val="clear" w:color="auto" w:fill="auto"/>
                  <w:tcMar>
                    <w:top w:w="0" w:type="dxa"/>
                    <w:left w:w="0" w:type="dxa"/>
                    <w:bottom w:w="0" w:type="dxa"/>
                    <w:right w:w="0" w:type="dxa"/>
                  </w:tcMar>
                  <w:vAlign w:val="center"/>
                </w:tcPr>
                <w:p w14:paraId="69630010">
                  <w:pPr>
                    <w:jc w:val="center"/>
                    <w:rPr>
                      <w:rFonts w:hint="default" w:asciiTheme="minorAscii" w:hAnsiTheme="minorAscii"/>
                      <w:sz w:val="21"/>
                      <w:szCs w:val="21"/>
                    </w:rPr>
                  </w:pPr>
                  <w:r>
                    <w:rPr>
                      <w:rFonts w:hint="default" w:eastAsia="Arial" w:cs="Arial" w:asciiTheme="minorAscii" w:hAnsiTheme="minorAscii"/>
                      <w:sz w:val="21"/>
                      <w:szCs w:val="21"/>
                    </w:rPr>
                    <w:t>18.3</w:t>
                  </w:r>
                </w:p>
              </w:tc>
              <w:tc>
                <w:tcPr>
                  <w:tcW w:w="160" w:type="pct"/>
                  <w:shd w:val="clear" w:color="auto" w:fill="auto"/>
                  <w:tcMar>
                    <w:top w:w="0" w:type="dxa"/>
                    <w:left w:w="0" w:type="dxa"/>
                    <w:bottom w:w="0" w:type="dxa"/>
                    <w:right w:w="0" w:type="dxa"/>
                  </w:tcMar>
                  <w:vAlign w:val="center"/>
                </w:tcPr>
                <w:p w14:paraId="2AA29466">
                  <w:pPr>
                    <w:jc w:val="center"/>
                    <w:rPr>
                      <w:rFonts w:hint="default" w:asciiTheme="minorAscii" w:hAnsiTheme="minorAscii"/>
                      <w:sz w:val="21"/>
                      <w:szCs w:val="21"/>
                    </w:rPr>
                  </w:pPr>
                  <w:r>
                    <w:rPr>
                      <w:rFonts w:hint="default" w:eastAsia="Arial" w:cs="Arial" w:asciiTheme="minorAscii" w:hAnsiTheme="minorAscii"/>
                      <w:sz w:val="21"/>
                      <w:szCs w:val="21"/>
                    </w:rPr>
                    <w:t>69.7</w:t>
                  </w:r>
                </w:p>
              </w:tc>
              <w:tc>
                <w:tcPr>
                  <w:tcW w:w="160" w:type="pct"/>
                  <w:shd w:val="clear" w:color="auto" w:fill="auto"/>
                  <w:tcMar>
                    <w:top w:w="0" w:type="dxa"/>
                    <w:left w:w="0" w:type="dxa"/>
                    <w:bottom w:w="0" w:type="dxa"/>
                    <w:right w:w="0" w:type="dxa"/>
                  </w:tcMar>
                  <w:vAlign w:val="center"/>
                </w:tcPr>
                <w:p w14:paraId="267B9248">
                  <w:pPr>
                    <w:jc w:val="center"/>
                    <w:rPr>
                      <w:rFonts w:hint="default" w:asciiTheme="minorAscii" w:hAnsiTheme="minorAscii"/>
                      <w:sz w:val="21"/>
                      <w:szCs w:val="21"/>
                    </w:rPr>
                  </w:pPr>
                  <w:r>
                    <w:rPr>
                      <w:rFonts w:hint="default" w:eastAsia="Arial" w:cs="Arial" w:asciiTheme="minorAscii" w:hAnsiTheme="minorAscii"/>
                      <w:sz w:val="21"/>
                      <w:szCs w:val="21"/>
                    </w:rPr>
                    <w:t>69.7</w:t>
                  </w:r>
                </w:p>
              </w:tc>
              <w:tc>
                <w:tcPr>
                  <w:tcW w:w="160" w:type="pct"/>
                  <w:shd w:val="clear" w:color="auto" w:fill="auto"/>
                  <w:tcMar>
                    <w:top w:w="0" w:type="dxa"/>
                    <w:left w:w="0" w:type="dxa"/>
                    <w:bottom w:w="0" w:type="dxa"/>
                    <w:right w:w="0" w:type="dxa"/>
                  </w:tcMar>
                  <w:vAlign w:val="center"/>
                </w:tcPr>
                <w:p w14:paraId="0702EAFC">
                  <w:pPr>
                    <w:jc w:val="center"/>
                    <w:rPr>
                      <w:rFonts w:hint="default" w:asciiTheme="minorAscii" w:hAnsiTheme="minorAscii"/>
                      <w:sz w:val="21"/>
                      <w:szCs w:val="21"/>
                    </w:rPr>
                  </w:pPr>
                  <w:r>
                    <w:rPr>
                      <w:rFonts w:hint="default" w:eastAsia="Arial" w:cs="Arial" w:asciiTheme="minorAscii" w:hAnsiTheme="minorAscii"/>
                      <w:sz w:val="21"/>
                      <w:szCs w:val="21"/>
                    </w:rPr>
                    <w:t>69.7</w:t>
                  </w:r>
                </w:p>
              </w:tc>
              <w:tc>
                <w:tcPr>
                  <w:tcW w:w="160" w:type="pct"/>
                  <w:shd w:val="clear" w:color="auto" w:fill="auto"/>
                  <w:tcMar>
                    <w:top w:w="0" w:type="dxa"/>
                    <w:left w:w="0" w:type="dxa"/>
                    <w:bottom w:w="0" w:type="dxa"/>
                    <w:right w:w="0" w:type="dxa"/>
                  </w:tcMar>
                  <w:vAlign w:val="center"/>
                </w:tcPr>
                <w:p w14:paraId="209BC89A">
                  <w:pPr>
                    <w:jc w:val="center"/>
                    <w:rPr>
                      <w:rFonts w:hint="default" w:asciiTheme="minorAscii" w:hAnsiTheme="minorAscii"/>
                      <w:sz w:val="21"/>
                      <w:szCs w:val="21"/>
                    </w:rPr>
                  </w:pPr>
                  <w:r>
                    <w:rPr>
                      <w:rFonts w:hint="default" w:eastAsia="Arial" w:cs="Arial" w:asciiTheme="minorAscii" w:hAnsiTheme="minorAscii"/>
                      <w:sz w:val="21"/>
                      <w:szCs w:val="21"/>
                    </w:rPr>
                    <w:t>69.7</w:t>
                  </w:r>
                </w:p>
              </w:tc>
              <w:tc>
                <w:tcPr>
                  <w:tcW w:w="227" w:type="pct"/>
                  <w:shd w:val="clear" w:color="auto" w:fill="auto"/>
                  <w:tcMar>
                    <w:top w:w="0" w:type="dxa"/>
                    <w:left w:w="0" w:type="dxa"/>
                    <w:bottom w:w="0" w:type="dxa"/>
                    <w:right w:w="0" w:type="dxa"/>
                  </w:tcMar>
                  <w:vAlign w:val="center"/>
                </w:tcPr>
                <w:p w14:paraId="406E0448">
                  <w:pPr>
                    <w:jc w:val="center"/>
                    <w:rPr>
                      <w:rFonts w:hint="default" w:asciiTheme="minorAscii" w:hAnsiTheme="minorAscii"/>
                      <w:sz w:val="21"/>
                      <w:szCs w:val="21"/>
                    </w:rPr>
                  </w:pPr>
                  <w:r>
                    <w:rPr>
                      <w:rFonts w:hint="default" w:eastAsia="Arial" w:cs="Arial" w:asciiTheme="minorAscii" w:hAnsiTheme="minorAscii"/>
                      <w:sz w:val="21"/>
                      <w:szCs w:val="21"/>
                    </w:rPr>
                    <w:t>24.0</w:t>
                  </w:r>
                </w:p>
              </w:tc>
              <w:tc>
                <w:tcPr>
                  <w:tcW w:w="169" w:type="pct"/>
                  <w:shd w:val="clear" w:color="auto" w:fill="auto"/>
                  <w:tcMar>
                    <w:top w:w="0" w:type="dxa"/>
                    <w:left w:w="0" w:type="dxa"/>
                    <w:bottom w:w="0" w:type="dxa"/>
                    <w:right w:w="0" w:type="dxa"/>
                  </w:tcMar>
                  <w:vAlign w:val="center"/>
                </w:tcPr>
                <w:p w14:paraId="74C3BC37">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228C9174">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718C7BB5">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2783170E">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47" w:type="pct"/>
                  <w:shd w:val="clear" w:color="auto" w:fill="auto"/>
                  <w:tcMar>
                    <w:top w:w="0" w:type="dxa"/>
                    <w:left w:w="0" w:type="dxa"/>
                    <w:bottom w:w="0" w:type="dxa"/>
                    <w:right w:w="0" w:type="dxa"/>
                  </w:tcMar>
                  <w:vAlign w:val="center"/>
                </w:tcPr>
                <w:p w14:paraId="71369177">
                  <w:pPr>
                    <w:jc w:val="center"/>
                    <w:rPr>
                      <w:rFonts w:hint="default" w:asciiTheme="minorAscii" w:hAnsiTheme="minorAscii"/>
                      <w:sz w:val="21"/>
                      <w:szCs w:val="21"/>
                    </w:rPr>
                  </w:pPr>
                  <w:r>
                    <w:rPr>
                      <w:rFonts w:hint="default" w:eastAsia="Arial" w:cs="Arial" w:asciiTheme="minorAscii" w:hAnsiTheme="minorAscii"/>
                      <w:sz w:val="21"/>
                      <w:szCs w:val="21"/>
                    </w:rPr>
                    <w:t>43.7</w:t>
                  </w:r>
                </w:p>
              </w:tc>
              <w:tc>
                <w:tcPr>
                  <w:tcW w:w="147" w:type="pct"/>
                  <w:shd w:val="clear" w:color="auto" w:fill="auto"/>
                  <w:tcMar>
                    <w:top w:w="0" w:type="dxa"/>
                    <w:left w:w="0" w:type="dxa"/>
                    <w:bottom w:w="0" w:type="dxa"/>
                    <w:right w:w="0" w:type="dxa"/>
                  </w:tcMar>
                  <w:vAlign w:val="center"/>
                </w:tcPr>
                <w:p w14:paraId="6D601426">
                  <w:pPr>
                    <w:jc w:val="center"/>
                    <w:rPr>
                      <w:rFonts w:hint="default" w:asciiTheme="minorAscii" w:hAnsiTheme="minorAscii"/>
                      <w:sz w:val="21"/>
                      <w:szCs w:val="21"/>
                    </w:rPr>
                  </w:pPr>
                  <w:r>
                    <w:rPr>
                      <w:rFonts w:hint="default" w:eastAsia="Arial" w:cs="Arial" w:asciiTheme="minorAscii" w:hAnsiTheme="minorAscii"/>
                      <w:sz w:val="21"/>
                      <w:szCs w:val="21"/>
                    </w:rPr>
                    <w:t>43.7</w:t>
                  </w:r>
                </w:p>
              </w:tc>
              <w:tc>
                <w:tcPr>
                  <w:tcW w:w="147" w:type="pct"/>
                  <w:shd w:val="clear" w:color="auto" w:fill="auto"/>
                  <w:tcMar>
                    <w:top w:w="0" w:type="dxa"/>
                    <w:left w:w="0" w:type="dxa"/>
                    <w:bottom w:w="0" w:type="dxa"/>
                    <w:right w:w="0" w:type="dxa"/>
                  </w:tcMar>
                  <w:vAlign w:val="center"/>
                </w:tcPr>
                <w:p w14:paraId="6503B941">
                  <w:pPr>
                    <w:jc w:val="center"/>
                    <w:rPr>
                      <w:rFonts w:hint="default" w:asciiTheme="minorAscii" w:hAnsiTheme="minorAscii"/>
                      <w:sz w:val="21"/>
                      <w:szCs w:val="21"/>
                    </w:rPr>
                  </w:pPr>
                  <w:r>
                    <w:rPr>
                      <w:rFonts w:hint="default" w:eastAsia="Arial" w:cs="Arial" w:asciiTheme="minorAscii" w:hAnsiTheme="minorAscii"/>
                      <w:sz w:val="21"/>
                      <w:szCs w:val="21"/>
                    </w:rPr>
                    <w:t>43.7</w:t>
                  </w:r>
                </w:p>
              </w:tc>
              <w:tc>
                <w:tcPr>
                  <w:tcW w:w="147" w:type="pct"/>
                  <w:shd w:val="clear" w:color="auto" w:fill="auto"/>
                  <w:tcMar>
                    <w:top w:w="0" w:type="dxa"/>
                    <w:left w:w="0" w:type="dxa"/>
                    <w:bottom w:w="0" w:type="dxa"/>
                    <w:right w:w="0" w:type="dxa"/>
                  </w:tcMar>
                  <w:vAlign w:val="center"/>
                </w:tcPr>
                <w:p w14:paraId="42E4C27B">
                  <w:pPr>
                    <w:jc w:val="center"/>
                    <w:rPr>
                      <w:rFonts w:hint="default" w:asciiTheme="minorAscii" w:hAnsiTheme="minorAscii"/>
                      <w:sz w:val="21"/>
                      <w:szCs w:val="21"/>
                    </w:rPr>
                  </w:pPr>
                  <w:r>
                    <w:rPr>
                      <w:rFonts w:hint="default" w:eastAsia="Arial" w:cs="Arial" w:asciiTheme="minorAscii" w:hAnsiTheme="minorAscii"/>
                      <w:sz w:val="21"/>
                      <w:szCs w:val="21"/>
                    </w:rPr>
                    <w:t>43.7</w:t>
                  </w:r>
                </w:p>
              </w:tc>
              <w:tc>
                <w:tcPr>
                  <w:tcW w:w="189" w:type="pct"/>
                  <w:shd w:val="clear" w:color="auto" w:fill="auto"/>
                  <w:tcMar>
                    <w:top w:w="0" w:type="dxa"/>
                    <w:left w:w="0" w:type="dxa"/>
                    <w:bottom w:w="0" w:type="dxa"/>
                    <w:right w:w="0" w:type="dxa"/>
                  </w:tcMar>
                  <w:vAlign w:val="center"/>
                </w:tcPr>
                <w:p w14:paraId="5AA7C21E">
                  <w:pPr>
                    <w:jc w:val="center"/>
                    <w:rPr>
                      <w:rFonts w:hint="default" w:asciiTheme="minorAscii" w:hAnsiTheme="minorAscii"/>
                      <w:sz w:val="21"/>
                      <w:szCs w:val="21"/>
                    </w:rPr>
                  </w:pPr>
                  <w:r>
                    <w:rPr>
                      <w:rFonts w:hint="default" w:eastAsia="Arial" w:cs="Arial" w:asciiTheme="minorAscii" w:hAnsiTheme="minorAscii"/>
                      <w:sz w:val="21"/>
                      <w:szCs w:val="21"/>
                    </w:rPr>
                    <w:t>1</w:t>
                  </w:r>
                </w:p>
              </w:tc>
            </w:tr>
            <w:tr w14:paraId="7E56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85" w:type="pct"/>
                  <w:shd w:val="clear" w:color="auto" w:fill="auto"/>
                  <w:tcMar>
                    <w:top w:w="0" w:type="dxa"/>
                    <w:left w:w="0" w:type="dxa"/>
                    <w:bottom w:w="0" w:type="dxa"/>
                    <w:right w:w="0" w:type="dxa"/>
                  </w:tcMar>
                  <w:vAlign w:val="center"/>
                </w:tcPr>
                <w:p w14:paraId="5B1632E5">
                  <w:pPr>
                    <w:jc w:val="center"/>
                    <w:rPr>
                      <w:rFonts w:hint="default" w:asciiTheme="minorAscii" w:hAnsiTheme="minorAscii"/>
                      <w:sz w:val="21"/>
                      <w:szCs w:val="21"/>
                    </w:rPr>
                  </w:pPr>
                  <w:r>
                    <w:rPr>
                      <w:rFonts w:hint="default" w:eastAsia="Arial" w:cs="Arial" w:asciiTheme="minorAscii" w:hAnsiTheme="minorAscii"/>
                      <w:sz w:val="21"/>
                      <w:szCs w:val="21"/>
                    </w:rPr>
                    <w:t>10</w:t>
                  </w:r>
                </w:p>
              </w:tc>
              <w:tc>
                <w:tcPr>
                  <w:tcW w:w="248" w:type="pct"/>
                  <w:vMerge w:val="continue"/>
                  <w:shd w:val="clear" w:color="auto" w:fill="auto"/>
                  <w:tcMar>
                    <w:top w:w="0" w:type="dxa"/>
                    <w:left w:w="0" w:type="dxa"/>
                    <w:bottom w:w="0" w:type="dxa"/>
                    <w:right w:w="0" w:type="dxa"/>
                  </w:tcMar>
                  <w:vAlign w:val="center"/>
                </w:tcPr>
                <w:p w14:paraId="75D94FCD">
                  <w:pPr>
                    <w:jc w:val="center"/>
                    <w:rPr>
                      <w:rFonts w:hint="default" w:asciiTheme="minorAscii" w:hAnsiTheme="minorAscii"/>
                      <w:sz w:val="21"/>
                      <w:szCs w:val="21"/>
                    </w:rPr>
                  </w:pPr>
                </w:p>
              </w:tc>
              <w:tc>
                <w:tcPr>
                  <w:tcW w:w="290" w:type="pct"/>
                  <w:shd w:val="clear" w:color="auto" w:fill="auto"/>
                  <w:tcMar>
                    <w:top w:w="0" w:type="dxa"/>
                    <w:left w:w="0" w:type="dxa"/>
                    <w:bottom w:w="0" w:type="dxa"/>
                    <w:right w:w="0" w:type="dxa"/>
                  </w:tcMar>
                  <w:vAlign w:val="center"/>
                </w:tcPr>
                <w:p w14:paraId="55F164C9">
                  <w:pPr>
                    <w:jc w:val="center"/>
                    <w:rPr>
                      <w:rFonts w:hint="default" w:asciiTheme="minorAscii" w:hAnsiTheme="minorAscii"/>
                      <w:sz w:val="21"/>
                      <w:szCs w:val="21"/>
                    </w:rPr>
                  </w:pPr>
                  <w:r>
                    <w:rPr>
                      <w:rFonts w:hint="default" w:eastAsia="Arial" w:cs="Arial" w:asciiTheme="minorAscii" w:hAnsiTheme="minorAscii"/>
                      <w:sz w:val="21"/>
                      <w:szCs w:val="21"/>
                    </w:rPr>
                    <w:t>过滤器反洗泵</w:t>
                  </w:r>
                </w:p>
              </w:tc>
              <w:tc>
                <w:tcPr>
                  <w:tcW w:w="185" w:type="pct"/>
                  <w:shd w:val="clear" w:color="auto" w:fill="auto"/>
                  <w:tcMar>
                    <w:top w:w="0" w:type="dxa"/>
                    <w:left w:w="0" w:type="dxa"/>
                    <w:bottom w:w="0" w:type="dxa"/>
                    <w:right w:w="0" w:type="dxa"/>
                  </w:tcMar>
                  <w:vAlign w:val="center"/>
                </w:tcPr>
                <w:p w14:paraId="349D1F3F">
                  <w:pPr>
                    <w:jc w:val="center"/>
                    <w:rPr>
                      <w:rFonts w:hint="eastAsia" w:eastAsia="宋体" w:asciiTheme="minorAscii" w:hAnsiTheme="minorAscii"/>
                      <w:sz w:val="21"/>
                      <w:szCs w:val="21"/>
                      <w:lang w:val="en-US" w:eastAsia="zh-CN"/>
                    </w:rPr>
                  </w:pPr>
                  <w:r>
                    <w:rPr>
                      <w:rFonts w:hint="eastAsia" w:asciiTheme="minorAscii" w:hAnsiTheme="minorAscii"/>
                      <w:sz w:val="21"/>
                      <w:szCs w:val="21"/>
                      <w:lang w:val="en-US" w:eastAsia="zh-CN"/>
                    </w:rPr>
                    <w:t>/</w:t>
                  </w:r>
                </w:p>
              </w:tc>
              <w:tc>
                <w:tcPr>
                  <w:tcW w:w="301" w:type="pct"/>
                  <w:shd w:val="clear" w:color="auto" w:fill="auto"/>
                  <w:tcMar>
                    <w:top w:w="0" w:type="dxa"/>
                    <w:left w:w="0" w:type="dxa"/>
                    <w:bottom w:w="0" w:type="dxa"/>
                    <w:right w:w="0" w:type="dxa"/>
                  </w:tcMar>
                  <w:vAlign w:val="center"/>
                </w:tcPr>
                <w:p w14:paraId="14A159DB">
                  <w:pPr>
                    <w:jc w:val="center"/>
                    <w:rPr>
                      <w:rFonts w:hint="default" w:asciiTheme="minorAscii" w:hAnsiTheme="minorAscii"/>
                      <w:sz w:val="21"/>
                      <w:szCs w:val="21"/>
                    </w:rPr>
                  </w:pPr>
                  <w:r>
                    <w:rPr>
                      <w:rFonts w:hint="default" w:eastAsia="Arial" w:cs="Arial" w:asciiTheme="minorAscii" w:hAnsiTheme="minorAscii"/>
                      <w:sz w:val="21"/>
                      <w:szCs w:val="21"/>
                    </w:rPr>
                    <w:t>90</w:t>
                  </w:r>
                </w:p>
              </w:tc>
              <w:tc>
                <w:tcPr>
                  <w:tcW w:w="312" w:type="pct"/>
                  <w:vMerge w:val="continue"/>
                  <w:shd w:val="clear" w:color="auto" w:fill="auto"/>
                  <w:tcMar>
                    <w:top w:w="0" w:type="dxa"/>
                    <w:left w:w="0" w:type="dxa"/>
                    <w:bottom w:w="0" w:type="dxa"/>
                    <w:right w:w="0" w:type="dxa"/>
                  </w:tcMar>
                  <w:vAlign w:val="center"/>
                </w:tcPr>
                <w:p w14:paraId="18349735">
                  <w:pPr>
                    <w:jc w:val="center"/>
                    <w:rPr>
                      <w:rFonts w:hint="default" w:asciiTheme="minorAscii" w:hAnsiTheme="minorAscii"/>
                      <w:sz w:val="21"/>
                      <w:szCs w:val="21"/>
                    </w:rPr>
                  </w:pPr>
                </w:p>
              </w:tc>
              <w:tc>
                <w:tcPr>
                  <w:tcW w:w="163" w:type="pct"/>
                  <w:shd w:val="clear" w:color="auto" w:fill="auto"/>
                  <w:tcMar>
                    <w:top w:w="0" w:type="dxa"/>
                    <w:left w:w="0" w:type="dxa"/>
                    <w:bottom w:w="0" w:type="dxa"/>
                    <w:right w:w="0" w:type="dxa"/>
                  </w:tcMar>
                  <w:vAlign w:val="center"/>
                </w:tcPr>
                <w:p w14:paraId="10EEBE6A">
                  <w:pPr>
                    <w:jc w:val="center"/>
                    <w:rPr>
                      <w:rFonts w:hint="default" w:asciiTheme="minorAscii" w:hAnsiTheme="minorAscii"/>
                      <w:sz w:val="21"/>
                      <w:szCs w:val="21"/>
                    </w:rPr>
                  </w:pPr>
                  <w:r>
                    <w:rPr>
                      <w:rFonts w:hint="default" w:eastAsia="Arial" w:cs="Arial" w:asciiTheme="minorAscii" w:hAnsiTheme="minorAscii"/>
                      <w:sz w:val="21"/>
                      <w:szCs w:val="21"/>
                    </w:rPr>
                    <w:t>29.2</w:t>
                  </w:r>
                </w:p>
              </w:tc>
              <w:tc>
                <w:tcPr>
                  <w:tcW w:w="209" w:type="pct"/>
                  <w:shd w:val="clear" w:color="auto" w:fill="auto"/>
                  <w:tcMar>
                    <w:top w:w="0" w:type="dxa"/>
                    <w:left w:w="0" w:type="dxa"/>
                    <w:bottom w:w="0" w:type="dxa"/>
                    <w:right w:w="0" w:type="dxa"/>
                  </w:tcMar>
                  <w:vAlign w:val="center"/>
                </w:tcPr>
                <w:p w14:paraId="1FAD4A33">
                  <w:pPr>
                    <w:jc w:val="center"/>
                    <w:rPr>
                      <w:rFonts w:hint="default" w:asciiTheme="minorAscii" w:hAnsiTheme="minorAscii"/>
                      <w:sz w:val="21"/>
                      <w:szCs w:val="21"/>
                    </w:rPr>
                  </w:pPr>
                  <w:r>
                    <w:rPr>
                      <w:rFonts w:hint="default" w:eastAsia="Arial" w:cs="Arial" w:asciiTheme="minorAscii" w:hAnsiTheme="minorAscii"/>
                      <w:sz w:val="21"/>
                      <w:szCs w:val="21"/>
                    </w:rPr>
                    <w:t>115.6</w:t>
                  </w:r>
                </w:p>
              </w:tc>
              <w:tc>
                <w:tcPr>
                  <w:tcW w:w="146" w:type="pct"/>
                  <w:shd w:val="clear" w:color="auto" w:fill="auto"/>
                  <w:tcMar>
                    <w:top w:w="0" w:type="dxa"/>
                    <w:left w:w="0" w:type="dxa"/>
                    <w:bottom w:w="0" w:type="dxa"/>
                    <w:right w:w="0" w:type="dxa"/>
                  </w:tcMar>
                  <w:vAlign w:val="center"/>
                </w:tcPr>
                <w:p w14:paraId="09A82711">
                  <w:pPr>
                    <w:jc w:val="center"/>
                    <w:rPr>
                      <w:rFonts w:hint="default" w:asciiTheme="minorAscii" w:hAnsiTheme="minorAscii"/>
                      <w:sz w:val="21"/>
                      <w:szCs w:val="21"/>
                    </w:rPr>
                  </w:pPr>
                  <w:r>
                    <w:rPr>
                      <w:rFonts w:hint="default" w:eastAsia="Arial" w:cs="Arial" w:asciiTheme="minorAscii" w:hAnsiTheme="minorAscii"/>
                      <w:sz w:val="21"/>
                      <w:szCs w:val="21"/>
                    </w:rPr>
                    <w:t>-0.5</w:t>
                  </w:r>
                </w:p>
              </w:tc>
              <w:tc>
                <w:tcPr>
                  <w:tcW w:w="157" w:type="pct"/>
                  <w:shd w:val="clear" w:color="auto" w:fill="auto"/>
                  <w:tcMar>
                    <w:top w:w="0" w:type="dxa"/>
                    <w:left w:w="0" w:type="dxa"/>
                    <w:bottom w:w="0" w:type="dxa"/>
                    <w:right w:w="0" w:type="dxa"/>
                  </w:tcMar>
                  <w:vAlign w:val="center"/>
                </w:tcPr>
                <w:p w14:paraId="57FA8762">
                  <w:pPr>
                    <w:jc w:val="center"/>
                    <w:rPr>
                      <w:rFonts w:hint="default" w:asciiTheme="minorAscii" w:hAnsiTheme="minorAscii"/>
                      <w:sz w:val="21"/>
                      <w:szCs w:val="21"/>
                    </w:rPr>
                  </w:pPr>
                  <w:r>
                    <w:rPr>
                      <w:rFonts w:hint="default" w:eastAsia="Arial" w:cs="Arial" w:asciiTheme="minorAscii" w:hAnsiTheme="minorAscii"/>
                      <w:sz w:val="21"/>
                      <w:szCs w:val="21"/>
                    </w:rPr>
                    <w:t>12.0</w:t>
                  </w:r>
                </w:p>
              </w:tc>
              <w:tc>
                <w:tcPr>
                  <w:tcW w:w="158" w:type="pct"/>
                  <w:shd w:val="clear" w:color="auto" w:fill="auto"/>
                  <w:tcMar>
                    <w:top w:w="0" w:type="dxa"/>
                    <w:left w:w="0" w:type="dxa"/>
                    <w:bottom w:w="0" w:type="dxa"/>
                    <w:right w:w="0" w:type="dxa"/>
                  </w:tcMar>
                  <w:vAlign w:val="center"/>
                </w:tcPr>
                <w:p w14:paraId="08A48157">
                  <w:pPr>
                    <w:jc w:val="center"/>
                    <w:rPr>
                      <w:rFonts w:hint="default" w:asciiTheme="minorAscii" w:hAnsiTheme="minorAscii"/>
                      <w:sz w:val="21"/>
                      <w:szCs w:val="21"/>
                    </w:rPr>
                  </w:pPr>
                  <w:r>
                    <w:rPr>
                      <w:rFonts w:hint="default" w:eastAsia="Arial" w:cs="Arial" w:asciiTheme="minorAscii" w:hAnsiTheme="minorAscii"/>
                      <w:sz w:val="21"/>
                      <w:szCs w:val="21"/>
                    </w:rPr>
                    <w:t>11.4</w:t>
                  </w:r>
                </w:p>
              </w:tc>
              <w:tc>
                <w:tcPr>
                  <w:tcW w:w="157" w:type="pct"/>
                  <w:shd w:val="clear" w:color="auto" w:fill="auto"/>
                  <w:tcMar>
                    <w:top w:w="0" w:type="dxa"/>
                    <w:left w:w="0" w:type="dxa"/>
                    <w:bottom w:w="0" w:type="dxa"/>
                    <w:right w:w="0" w:type="dxa"/>
                  </w:tcMar>
                  <w:vAlign w:val="center"/>
                </w:tcPr>
                <w:p w14:paraId="085AA64F">
                  <w:pPr>
                    <w:jc w:val="center"/>
                    <w:rPr>
                      <w:rFonts w:hint="default" w:asciiTheme="minorAscii" w:hAnsiTheme="minorAscii"/>
                      <w:sz w:val="21"/>
                      <w:szCs w:val="21"/>
                    </w:rPr>
                  </w:pPr>
                  <w:r>
                    <w:rPr>
                      <w:rFonts w:hint="default" w:eastAsia="Arial" w:cs="Arial" w:asciiTheme="minorAscii" w:hAnsiTheme="minorAscii"/>
                      <w:sz w:val="21"/>
                      <w:szCs w:val="21"/>
                    </w:rPr>
                    <w:t>18.8</w:t>
                  </w:r>
                </w:p>
              </w:tc>
              <w:tc>
                <w:tcPr>
                  <w:tcW w:w="157" w:type="pct"/>
                  <w:shd w:val="clear" w:color="auto" w:fill="auto"/>
                  <w:tcMar>
                    <w:top w:w="0" w:type="dxa"/>
                    <w:left w:w="0" w:type="dxa"/>
                    <w:bottom w:w="0" w:type="dxa"/>
                    <w:right w:w="0" w:type="dxa"/>
                  </w:tcMar>
                  <w:vAlign w:val="center"/>
                </w:tcPr>
                <w:p w14:paraId="19075F55">
                  <w:pPr>
                    <w:jc w:val="center"/>
                    <w:rPr>
                      <w:rFonts w:hint="default" w:asciiTheme="minorAscii" w:hAnsiTheme="minorAscii"/>
                      <w:sz w:val="21"/>
                      <w:szCs w:val="21"/>
                    </w:rPr>
                  </w:pPr>
                  <w:r>
                    <w:rPr>
                      <w:rFonts w:hint="default" w:eastAsia="Arial" w:cs="Arial" w:asciiTheme="minorAscii" w:hAnsiTheme="minorAscii"/>
                      <w:sz w:val="21"/>
                      <w:szCs w:val="21"/>
                    </w:rPr>
                    <w:t>25.3</w:t>
                  </w:r>
                </w:p>
              </w:tc>
              <w:tc>
                <w:tcPr>
                  <w:tcW w:w="160" w:type="pct"/>
                  <w:shd w:val="clear" w:color="auto" w:fill="auto"/>
                  <w:tcMar>
                    <w:top w:w="0" w:type="dxa"/>
                    <w:left w:w="0" w:type="dxa"/>
                    <w:bottom w:w="0" w:type="dxa"/>
                    <w:right w:w="0" w:type="dxa"/>
                  </w:tcMar>
                  <w:vAlign w:val="center"/>
                </w:tcPr>
                <w:p w14:paraId="64213D19">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160" w:type="pct"/>
                  <w:shd w:val="clear" w:color="auto" w:fill="auto"/>
                  <w:tcMar>
                    <w:top w:w="0" w:type="dxa"/>
                    <w:left w:w="0" w:type="dxa"/>
                    <w:bottom w:w="0" w:type="dxa"/>
                    <w:right w:w="0" w:type="dxa"/>
                  </w:tcMar>
                  <w:vAlign w:val="center"/>
                </w:tcPr>
                <w:p w14:paraId="03D096FC">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160" w:type="pct"/>
                  <w:shd w:val="clear" w:color="auto" w:fill="auto"/>
                  <w:tcMar>
                    <w:top w:w="0" w:type="dxa"/>
                    <w:left w:w="0" w:type="dxa"/>
                    <w:bottom w:w="0" w:type="dxa"/>
                    <w:right w:w="0" w:type="dxa"/>
                  </w:tcMar>
                  <w:vAlign w:val="center"/>
                </w:tcPr>
                <w:p w14:paraId="01170EF8">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160" w:type="pct"/>
                  <w:shd w:val="clear" w:color="auto" w:fill="auto"/>
                  <w:tcMar>
                    <w:top w:w="0" w:type="dxa"/>
                    <w:left w:w="0" w:type="dxa"/>
                    <w:bottom w:w="0" w:type="dxa"/>
                    <w:right w:w="0" w:type="dxa"/>
                  </w:tcMar>
                  <w:vAlign w:val="center"/>
                </w:tcPr>
                <w:p w14:paraId="46F3C587">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227" w:type="pct"/>
                  <w:shd w:val="clear" w:color="auto" w:fill="auto"/>
                  <w:tcMar>
                    <w:top w:w="0" w:type="dxa"/>
                    <w:left w:w="0" w:type="dxa"/>
                    <w:bottom w:w="0" w:type="dxa"/>
                    <w:right w:w="0" w:type="dxa"/>
                  </w:tcMar>
                  <w:vAlign w:val="center"/>
                </w:tcPr>
                <w:p w14:paraId="28A01FCA">
                  <w:pPr>
                    <w:jc w:val="center"/>
                    <w:rPr>
                      <w:rFonts w:hint="default" w:asciiTheme="minorAscii" w:hAnsiTheme="minorAscii"/>
                      <w:sz w:val="21"/>
                      <w:szCs w:val="21"/>
                    </w:rPr>
                  </w:pPr>
                  <w:r>
                    <w:rPr>
                      <w:rFonts w:hint="default" w:eastAsia="Arial" w:cs="Arial" w:asciiTheme="minorAscii" w:hAnsiTheme="minorAscii"/>
                      <w:sz w:val="21"/>
                      <w:szCs w:val="21"/>
                    </w:rPr>
                    <w:t>24.0</w:t>
                  </w:r>
                </w:p>
              </w:tc>
              <w:tc>
                <w:tcPr>
                  <w:tcW w:w="169" w:type="pct"/>
                  <w:shd w:val="clear" w:color="auto" w:fill="auto"/>
                  <w:tcMar>
                    <w:top w:w="0" w:type="dxa"/>
                    <w:left w:w="0" w:type="dxa"/>
                    <w:bottom w:w="0" w:type="dxa"/>
                    <w:right w:w="0" w:type="dxa"/>
                  </w:tcMar>
                  <w:vAlign w:val="center"/>
                </w:tcPr>
                <w:p w14:paraId="06A88040">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066CDB1D">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092D1759">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24117819">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47" w:type="pct"/>
                  <w:shd w:val="clear" w:color="auto" w:fill="auto"/>
                  <w:tcMar>
                    <w:top w:w="0" w:type="dxa"/>
                    <w:left w:w="0" w:type="dxa"/>
                    <w:bottom w:w="0" w:type="dxa"/>
                    <w:right w:w="0" w:type="dxa"/>
                  </w:tcMar>
                  <w:vAlign w:val="center"/>
                </w:tcPr>
                <w:p w14:paraId="779C3FE0">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47" w:type="pct"/>
                  <w:shd w:val="clear" w:color="auto" w:fill="auto"/>
                  <w:tcMar>
                    <w:top w:w="0" w:type="dxa"/>
                    <w:left w:w="0" w:type="dxa"/>
                    <w:bottom w:w="0" w:type="dxa"/>
                    <w:right w:w="0" w:type="dxa"/>
                  </w:tcMar>
                  <w:vAlign w:val="center"/>
                </w:tcPr>
                <w:p w14:paraId="0FE9530B">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47" w:type="pct"/>
                  <w:shd w:val="clear" w:color="auto" w:fill="auto"/>
                  <w:tcMar>
                    <w:top w:w="0" w:type="dxa"/>
                    <w:left w:w="0" w:type="dxa"/>
                    <w:bottom w:w="0" w:type="dxa"/>
                    <w:right w:w="0" w:type="dxa"/>
                  </w:tcMar>
                  <w:vAlign w:val="center"/>
                </w:tcPr>
                <w:p w14:paraId="2457A189">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47" w:type="pct"/>
                  <w:shd w:val="clear" w:color="auto" w:fill="auto"/>
                  <w:tcMar>
                    <w:top w:w="0" w:type="dxa"/>
                    <w:left w:w="0" w:type="dxa"/>
                    <w:bottom w:w="0" w:type="dxa"/>
                    <w:right w:w="0" w:type="dxa"/>
                  </w:tcMar>
                  <w:vAlign w:val="center"/>
                </w:tcPr>
                <w:p w14:paraId="5C5F6B53">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89" w:type="pct"/>
                  <w:shd w:val="clear" w:color="auto" w:fill="auto"/>
                  <w:tcMar>
                    <w:top w:w="0" w:type="dxa"/>
                    <w:left w:w="0" w:type="dxa"/>
                    <w:bottom w:w="0" w:type="dxa"/>
                    <w:right w:w="0" w:type="dxa"/>
                  </w:tcMar>
                  <w:vAlign w:val="center"/>
                </w:tcPr>
                <w:p w14:paraId="5C3806B7">
                  <w:pPr>
                    <w:jc w:val="center"/>
                    <w:rPr>
                      <w:rFonts w:hint="default" w:asciiTheme="minorAscii" w:hAnsiTheme="minorAscii"/>
                      <w:sz w:val="21"/>
                      <w:szCs w:val="21"/>
                    </w:rPr>
                  </w:pPr>
                  <w:r>
                    <w:rPr>
                      <w:rFonts w:hint="default" w:eastAsia="Arial" w:cs="Arial" w:asciiTheme="minorAscii" w:hAnsiTheme="minorAscii"/>
                      <w:sz w:val="21"/>
                      <w:szCs w:val="21"/>
                    </w:rPr>
                    <w:t>1</w:t>
                  </w:r>
                </w:p>
              </w:tc>
            </w:tr>
            <w:tr w14:paraId="2B3B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5" w:type="pct"/>
                  <w:shd w:val="clear" w:color="auto" w:fill="auto"/>
                  <w:tcMar>
                    <w:top w:w="0" w:type="dxa"/>
                    <w:left w:w="0" w:type="dxa"/>
                    <w:bottom w:w="0" w:type="dxa"/>
                    <w:right w:w="0" w:type="dxa"/>
                  </w:tcMar>
                  <w:vAlign w:val="center"/>
                </w:tcPr>
                <w:p w14:paraId="0C798678">
                  <w:pPr>
                    <w:jc w:val="center"/>
                    <w:rPr>
                      <w:rFonts w:hint="default" w:asciiTheme="minorAscii" w:hAnsiTheme="minorAscii"/>
                      <w:sz w:val="21"/>
                      <w:szCs w:val="21"/>
                    </w:rPr>
                  </w:pPr>
                  <w:r>
                    <w:rPr>
                      <w:rFonts w:hint="default" w:eastAsia="Arial" w:cs="Arial" w:asciiTheme="minorAscii" w:hAnsiTheme="minorAscii"/>
                      <w:sz w:val="21"/>
                      <w:szCs w:val="21"/>
                    </w:rPr>
                    <w:t>11</w:t>
                  </w:r>
                </w:p>
              </w:tc>
              <w:tc>
                <w:tcPr>
                  <w:tcW w:w="248" w:type="pct"/>
                  <w:vMerge w:val="continue"/>
                  <w:shd w:val="clear" w:color="auto" w:fill="auto"/>
                  <w:tcMar>
                    <w:top w:w="0" w:type="dxa"/>
                    <w:left w:w="0" w:type="dxa"/>
                    <w:bottom w:w="0" w:type="dxa"/>
                    <w:right w:w="0" w:type="dxa"/>
                  </w:tcMar>
                  <w:vAlign w:val="center"/>
                </w:tcPr>
                <w:p w14:paraId="26435294">
                  <w:pPr>
                    <w:jc w:val="center"/>
                    <w:rPr>
                      <w:rFonts w:hint="default" w:asciiTheme="minorAscii" w:hAnsiTheme="minorAscii"/>
                      <w:sz w:val="21"/>
                      <w:szCs w:val="21"/>
                    </w:rPr>
                  </w:pPr>
                </w:p>
              </w:tc>
              <w:tc>
                <w:tcPr>
                  <w:tcW w:w="290" w:type="pct"/>
                  <w:shd w:val="clear" w:color="auto" w:fill="auto"/>
                  <w:tcMar>
                    <w:top w:w="0" w:type="dxa"/>
                    <w:left w:w="0" w:type="dxa"/>
                    <w:bottom w:w="0" w:type="dxa"/>
                    <w:right w:w="0" w:type="dxa"/>
                  </w:tcMar>
                  <w:vAlign w:val="center"/>
                </w:tcPr>
                <w:p w14:paraId="4813C1F7">
                  <w:pPr>
                    <w:jc w:val="center"/>
                    <w:rPr>
                      <w:rFonts w:hint="default" w:asciiTheme="minorAscii" w:hAnsiTheme="minorAscii"/>
                      <w:sz w:val="21"/>
                      <w:szCs w:val="21"/>
                    </w:rPr>
                  </w:pPr>
                  <w:r>
                    <w:rPr>
                      <w:rFonts w:hint="default" w:eastAsia="Arial" w:cs="Arial" w:asciiTheme="minorAscii" w:hAnsiTheme="minorAscii"/>
                      <w:sz w:val="21"/>
                      <w:szCs w:val="21"/>
                    </w:rPr>
                    <w:t>出水提升泵</w:t>
                  </w:r>
                </w:p>
              </w:tc>
              <w:tc>
                <w:tcPr>
                  <w:tcW w:w="185" w:type="pct"/>
                  <w:shd w:val="clear" w:color="auto" w:fill="auto"/>
                  <w:tcMar>
                    <w:top w:w="0" w:type="dxa"/>
                    <w:left w:w="0" w:type="dxa"/>
                    <w:bottom w:w="0" w:type="dxa"/>
                    <w:right w:w="0" w:type="dxa"/>
                  </w:tcMar>
                  <w:vAlign w:val="center"/>
                </w:tcPr>
                <w:p w14:paraId="2F73FB01">
                  <w:pPr>
                    <w:jc w:val="center"/>
                    <w:rPr>
                      <w:rFonts w:hint="eastAsia" w:eastAsia="宋体" w:asciiTheme="minorAscii" w:hAnsiTheme="minorAscii"/>
                      <w:sz w:val="21"/>
                      <w:szCs w:val="21"/>
                      <w:lang w:val="en-US" w:eastAsia="zh-CN"/>
                    </w:rPr>
                  </w:pPr>
                  <w:r>
                    <w:rPr>
                      <w:rFonts w:hint="eastAsia" w:asciiTheme="minorAscii" w:hAnsiTheme="minorAscii"/>
                      <w:sz w:val="21"/>
                      <w:szCs w:val="21"/>
                      <w:lang w:val="en-US" w:eastAsia="zh-CN"/>
                    </w:rPr>
                    <w:t>/</w:t>
                  </w:r>
                </w:p>
              </w:tc>
              <w:tc>
                <w:tcPr>
                  <w:tcW w:w="301" w:type="pct"/>
                  <w:shd w:val="clear" w:color="auto" w:fill="auto"/>
                  <w:tcMar>
                    <w:top w:w="0" w:type="dxa"/>
                    <w:left w:w="0" w:type="dxa"/>
                    <w:bottom w:w="0" w:type="dxa"/>
                    <w:right w:w="0" w:type="dxa"/>
                  </w:tcMar>
                  <w:vAlign w:val="center"/>
                </w:tcPr>
                <w:p w14:paraId="2B5E6B22">
                  <w:pPr>
                    <w:jc w:val="center"/>
                    <w:rPr>
                      <w:rFonts w:hint="default" w:asciiTheme="minorAscii" w:hAnsiTheme="minorAscii"/>
                      <w:sz w:val="21"/>
                      <w:szCs w:val="21"/>
                    </w:rPr>
                  </w:pPr>
                  <w:r>
                    <w:rPr>
                      <w:rFonts w:hint="default" w:eastAsia="Arial" w:cs="Arial" w:asciiTheme="minorAscii" w:hAnsiTheme="minorAscii"/>
                      <w:sz w:val="21"/>
                      <w:szCs w:val="21"/>
                    </w:rPr>
                    <w:t>90</w:t>
                  </w:r>
                </w:p>
              </w:tc>
              <w:tc>
                <w:tcPr>
                  <w:tcW w:w="312" w:type="pct"/>
                  <w:vMerge w:val="continue"/>
                  <w:shd w:val="clear" w:color="auto" w:fill="auto"/>
                  <w:tcMar>
                    <w:top w:w="0" w:type="dxa"/>
                    <w:left w:w="0" w:type="dxa"/>
                    <w:bottom w:w="0" w:type="dxa"/>
                    <w:right w:w="0" w:type="dxa"/>
                  </w:tcMar>
                  <w:vAlign w:val="center"/>
                </w:tcPr>
                <w:p w14:paraId="2110713A">
                  <w:pPr>
                    <w:jc w:val="center"/>
                    <w:rPr>
                      <w:rFonts w:hint="default" w:asciiTheme="minorAscii" w:hAnsiTheme="minorAscii"/>
                      <w:sz w:val="21"/>
                      <w:szCs w:val="21"/>
                    </w:rPr>
                  </w:pPr>
                </w:p>
              </w:tc>
              <w:tc>
                <w:tcPr>
                  <w:tcW w:w="163" w:type="pct"/>
                  <w:shd w:val="clear" w:color="auto" w:fill="auto"/>
                  <w:tcMar>
                    <w:top w:w="0" w:type="dxa"/>
                    <w:left w:w="0" w:type="dxa"/>
                    <w:bottom w:w="0" w:type="dxa"/>
                    <w:right w:w="0" w:type="dxa"/>
                  </w:tcMar>
                  <w:vAlign w:val="center"/>
                </w:tcPr>
                <w:p w14:paraId="6EAEB817">
                  <w:pPr>
                    <w:jc w:val="center"/>
                    <w:rPr>
                      <w:rFonts w:hint="default" w:asciiTheme="minorAscii" w:hAnsiTheme="minorAscii"/>
                      <w:sz w:val="21"/>
                      <w:szCs w:val="21"/>
                    </w:rPr>
                  </w:pPr>
                  <w:r>
                    <w:rPr>
                      <w:rFonts w:hint="default" w:eastAsia="Arial" w:cs="Arial" w:asciiTheme="minorAscii" w:hAnsiTheme="minorAscii"/>
                      <w:sz w:val="21"/>
                      <w:szCs w:val="21"/>
                    </w:rPr>
                    <w:t>33.2</w:t>
                  </w:r>
                </w:p>
              </w:tc>
              <w:tc>
                <w:tcPr>
                  <w:tcW w:w="209" w:type="pct"/>
                  <w:shd w:val="clear" w:color="auto" w:fill="auto"/>
                  <w:tcMar>
                    <w:top w:w="0" w:type="dxa"/>
                    <w:left w:w="0" w:type="dxa"/>
                    <w:bottom w:w="0" w:type="dxa"/>
                    <w:right w:w="0" w:type="dxa"/>
                  </w:tcMar>
                  <w:vAlign w:val="center"/>
                </w:tcPr>
                <w:p w14:paraId="292E8FCE">
                  <w:pPr>
                    <w:jc w:val="center"/>
                    <w:rPr>
                      <w:rFonts w:hint="default" w:asciiTheme="minorAscii" w:hAnsiTheme="minorAscii"/>
                      <w:sz w:val="21"/>
                      <w:szCs w:val="21"/>
                    </w:rPr>
                  </w:pPr>
                  <w:r>
                    <w:rPr>
                      <w:rFonts w:hint="default" w:eastAsia="Arial" w:cs="Arial" w:asciiTheme="minorAscii" w:hAnsiTheme="minorAscii"/>
                      <w:sz w:val="21"/>
                      <w:szCs w:val="21"/>
                    </w:rPr>
                    <w:t>124.5</w:t>
                  </w:r>
                </w:p>
              </w:tc>
              <w:tc>
                <w:tcPr>
                  <w:tcW w:w="146" w:type="pct"/>
                  <w:shd w:val="clear" w:color="auto" w:fill="auto"/>
                  <w:tcMar>
                    <w:top w:w="0" w:type="dxa"/>
                    <w:left w:w="0" w:type="dxa"/>
                    <w:bottom w:w="0" w:type="dxa"/>
                    <w:right w:w="0" w:type="dxa"/>
                  </w:tcMar>
                  <w:vAlign w:val="center"/>
                </w:tcPr>
                <w:p w14:paraId="3F93F208">
                  <w:pPr>
                    <w:jc w:val="center"/>
                    <w:rPr>
                      <w:rFonts w:hint="default" w:asciiTheme="minorAscii" w:hAnsiTheme="minorAscii"/>
                      <w:sz w:val="21"/>
                      <w:szCs w:val="21"/>
                    </w:rPr>
                  </w:pPr>
                  <w:r>
                    <w:rPr>
                      <w:rFonts w:hint="default" w:eastAsia="Arial" w:cs="Arial" w:asciiTheme="minorAscii" w:hAnsiTheme="minorAscii"/>
                      <w:sz w:val="21"/>
                      <w:szCs w:val="21"/>
                    </w:rPr>
                    <w:t>-0.5</w:t>
                  </w:r>
                </w:p>
              </w:tc>
              <w:tc>
                <w:tcPr>
                  <w:tcW w:w="157" w:type="pct"/>
                  <w:shd w:val="clear" w:color="auto" w:fill="auto"/>
                  <w:tcMar>
                    <w:top w:w="0" w:type="dxa"/>
                    <w:left w:w="0" w:type="dxa"/>
                    <w:bottom w:w="0" w:type="dxa"/>
                    <w:right w:w="0" w:type="dxa"/>
                  </w:tcMar>
                  <w:vAlign w:val="center"/>
                </w:tcPr>
                <w:p w14:paraId="5D3AAAEA">
                  <w:pPr>
                    <w:jc w:val="center"/>
                    <w:rPr>
                      <w:rFonts w:hint="default" w:asciiTheme="minorAscii" w:hAnsiTheme="minorAscii"/>
                      <w:sz w:val="21"/>
                      <w:szCs w:val="21"/>
                    </w:rPr>
                  </w:pPr>
                  <w:r>
                    <w:rPr>
                      <w:rFonts w:hint="default" w:eastAsia="Arial" w:cs="Arial" w:asciiTheme="minorAscii" w:hAnsiTheme="minorAscii"/>
                      <w:sz w:val="21"/>
                      <w:szCs w:val="21"/>
                    </w:rPr>
                    <w:t>4.4</w:t>
                  </w:r>
                </w:p>
              </w:tc>
              <w:tc>
                <w:tcPr>
                  <w:tcW w:w="158" w:type="pct"/>
                  <w:shd w:val="clear" w:color="auto" w:fill="auto"/>
                  <w:tcMar>
                    <w:top w:w="0" w:type="dxa"/>
                    <w:left w:w="0" w:type="dxa"/>
                    <w:bottom w:w="0" w:type="dxa"/>
                    <w:right w:w="0" w:type="dxa"/>
                  </w:tcMar>
                  <w:vAlign w:val="center"/>
                </w:tcPr>
                <w:p w14:paraId="1C9B051D">
                  <w:pPr>
                    <w:jc w:val="center"/>
                    <w:rPr>
                      <w:rFonts w:hint="default" w:asciiTheme="minorAscii" w:hAnsiTheme="minorAscii"/>
                      <w:sz w:val="21"/>
                      <w:szCs w:val="21"/>
                    </w:rPr>
                  </w:pPr>
                  <w:r>
                    <w:rPr>
                      <w:rFonts w:hint="default" w:eastAsia="Arial" w:cs="Arial" w:asciiTheme="minorAscii" w:hAnsiTheme="minorAscii"/>
                      <w:sz w:val="21"/>
                      <w:szCs w:val="21"/>
                    </w:rPr>
                    <w:t>17.1</w:t>
                  </w:r>
                </w:p>
              </w:tc>
              <w:tc>
                <w:tcPr>
                  <w:tcW w:w="157" w:type="pct"/>
                  <w:shd w:val="clear" w:color="auto" w:fill="auto"/>
                  <w:tcMar>
                    <w:top w:w="0" w:type="dxa"/>
                    <w:left w:w="0" w:type="dxa"/>
                    <w:bottom w:w="0" w:type="dxa"/>
                    <w:right w:w="0" w:type="dxa"/>
                  </w:tcMar>
                  <w:vAlign w:val="center"/>
                </w:tcPr>
                <w:p w14:paraId="4516237D">
                  <w:pPr>
                    <w:jc w:val="center"/>
                    <w:rPr>
                      <w:rFonts w:hint="default" w:asciiTheme="minorAscii" w:hAnsiTheme="minorAscii"/>
                      <w:sz w:val="21"/>
                      <w:szCs w:val="21"/>
                    </w:rPr>
                  </w:pPr>
                  <w:r>
                    <w:rPr>
                      <w:rFonts w:hint="default" w:eastAsia="Arial" w:cs="Arial" w:asciiTheme="minorAscii" w:hAnsiTheme="minorAscii"/>
                      <w:sz w:val="21"/>
                      <w:szCs w:val="21"/>
                    </w:rPr>
                    <w:t>26.1</w:t>
                  </w:r>
                </w:p>
              </w:tc>
              <w:tc>
                <w:tcPr>
                  <w:tcW w:w="157" w:type="pct"/>
                  <w:shd w:val="clear" w:color="auto" w:fill="auto"/>
                  <w:tcMar>
                    <w:top w:w="0" w:type="dxa"/>
                    <w:left w:w="0" w:type="dxa"/>
                    <w:bottom w:w="0" w:type="dxa"/>
                    <w:right w:w="0" w:type="dxa"/>
                  </w:tcMar>
                  <w:vAlign w:val="center"/>
                </w:tcPr>
                <w:p w14:paraId="1B32E16B">
                  <w:pPr>
                    <w:jc w:val="center"/>
                    <w:rPr>
                      <w:rFonts w:hint="default" w:asciiTheme="minorAscii" w:hAnsiTheme="minorAscii"/>
                      <w:sz w:val="21"/>
                      <w:szCs w:val="21"/>
                    </w:rPr>
                  </w:pPr>
                  <w:r>
                    <w:rPr>
                      <w:rFonts w:hint="default" w:eastAsia="Arial" w:cs="Arial" w:asciiTheme="minorAscii" w:hAnsiTheme="minorAscii"/>
                      <w:sz w:val="21"/>
                      <w:szCs w:val="21"/>
                    </w:rPr>
                    <w:t>19.0</w:t>
                  </w:r>
                </w:p>
              </w:tc>
              <w:tc>
                <w:tcPr>
                  <w:tcW w:w="160" w:type="pct"/>
                  <w:shd w:val="clear" w:color="auto" w:fill="auto"/>
                  <w:tcMar>
                    <w:top w:w="0" w:type="dxa"/>
                    <w:left w:w="0" w:type="dxa"/>
                    <w:bottom w:w="0" w:type="dxa"/>
                    <w:right w:w="0" w:type="dxa"/>
                  </w:tcMar>
                  <w:vAlign w:val="center"/>
                </w:tcPr>
                <w:p w14:paraId="15C60D9D">
                  <w:pPr>
                    <w:jc w:val="center"/>
                    <w:rPr>
                      <w:rFonts w:hint="default" w:asciiTheme="minorAscii" w:hAnsiTheme="minorAscii"/>
                      <w:sz w:val="21"/>
                      <w:szCs w:val="21"/>
                    </w:rPr>
                  </w:pPr>
                  <w:r>
                    <w:rPr>
                      <w:rFonts w:hint="default" w:eastAsia="Arial" w:cs="Arial" w:asciiTheme="minorAscii" w:hAnsiTheme="minorAscii"/>
                      <w:sz w:val="21"/>
                      <w:szCs w:val="21"/>
                    </w:rPr>
                    <w:t>79.9</w:t>
                  </w:r>
                </w:p>
              </w:tc>
              <w:tc>
                <w:tcPr>
                  <w:tcW w:w="160" w:type="pct"/>
                  <w:shd w:val="clear" w:color="auto" w:fill="auto"/>
                  <w:tcMar>
                    <w:top w:w="0" w:type="dxa"/>
                    <w:left w:w="0" w:type="dxa"/>
                    <w:bottom w:w="0" w:type="dxa"/>
                    <w:right w:w="0" w:type="dxa"/>
                  </w:tcMar>
                  <w:vAlign w:val="center"/>
                </w:tcPr>
                <w:p w14:paraId="2346E15A">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160" w:type="pct"/>
                  <w:shd w:val="clear" w:color="auto" w:fill="auto"/>
                  <w:tcMar>
                    <w:top w:w="0" w:type="dxa"/>
                    <w:left w:w="0" w:type="dxa"/>
                    <w:bottom w:w="0" w:type="dxa"/>
                    <w:right w:w="0" w:type="dxa"/>
                  </w:tcMar>
                  <w:vAlign w:val="center"/>
                </w:tcPr>
                <w:p w14:paraId="3D3294F7">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160" w:type="pct"/>
                  <w:shd w:val="clear" w:color="auto" w:fill="auto"/>
                  <w:tcMar>
                    <w:top w:w="0" w:type="dxa"/>
                    <w:left w:w="0" w:type="dxa"/>
                    <w:bottom w:w="0" w:type="dxa"/>
                    <w:right w:w="0" w:type="dxa"/>
                  </w:tcMar>
                  <w:vAlign w:val="center"/>
                </w:tcPr>
                <w:p w14:paraId="3DFA52BD">
                  <w:pPr>
                    <w:jc w:val="center"/>
                    <w:rPr>
                      <w:rFonts w:hint="default" w:asciiTheme="minorAscii" w:hAnsiTheme="minorAscii"/>
                      <w:sz w:val="21"/>
                      <w:szCs w:val="21"/>
                    </w:rPr>
                  </w:pPr>
                  <w:r>
                    <w:rPr>
                      <w:rFonts w:hint="default" w:eastAsia="Arial" w:cs="Arial" w:asciiTheme="minorAscii" w:hAnsiTheme="minorAscii"/>
                      <w:sz w:val="21"/>
                      <w:szCs w:val="21"/>
                    </w:rPr>
                    <w:t>79.7</w:t>
                  </w:r>
                </w:p>
              </w:tc>
              <w:tc>
                <w:tcPr>
                  <w:tcW w:w="227" w:type="pct"/>
                  <w:shd w:val="clear" w:color="auto" w:fill="auto"/>
                  <w:tcMar>
                    <w:top w:w="0" w:type="dxa"/>
                    <w:left w:w="0" w:type="dxa"/>
                    <w:bottom w:w="0" w:type="dxa"/>
                    <w:right w:w="0" w:type="dxa"/>
                  </w:tcMar>
                  <w:vAlign w:val="center"/>
                </w:tcPr>
                <w:p w14:paraId="202FE1B8">
                  <w:pPr>
                    <w:jc w:val="center"/>
                    <w:rPr>
                      <w:rFonts w:hint="default" w:asciiTheme="minorAscii" w:hAnsiTheme="minorAscii"/>
                      <w:sz w:val="21"/>
                      <w:szCs w:val="21"/>
                    </w:rPr>
                  </w:pPr>
                  <w:r>
                    <w:rPr>
                      <w:rFonts w:hint="default" w:eastAsia="Arial" w:cs="Arial" w:asciiTheme="minorAscii" w:hAnsiTheme="minorAscii"/>
                      <w:sz w:val="21"/>
                      <w:szCs w:val="21"/>
                    </w:rPr>
                    <w:t>24.0</w:t>
                  </w:r>
                </w:p>
              </w:tc>
              <w:tc>
                <w:tcPr>
                  <w:tcW w:w="169" w:type="pct"/>
                  <w:shd w:val="clear" w:color="auto" w:fill="auto"/>
                  <w:tcMar>
                    <w:top w:w="0" w:type="dxa"/>
                    <w:left w:w="0" w:type="dxa"/>
                    <w:bottom w:w="0" w:type="dxa"/>
                    <w:right w:w="0" w:type="dxa"/>
                  </w:tcMar>
                  <w:vAlign w:val="center"/>
                </w:tcPr>
                <w:p w14:paraId="2F5EE2D8">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7CD9F74F">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176B98C2">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7E963E87">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47" w:type="pct"/>
                  <w:shd w:val="clear" w:color="auto" w:fill="auto"/>
                  <w:tcMar>
                    <w:top w:w="0" w:type="dxa"/>
                    <w:left w:w="0" w:type="dxa"/>
                    <w:bottom w:w="0" w:type="dxa"/>
                    <w:right w:w="0" w:type="dxa"/>
                  </w:tcMar>
                  <w:vAlign w:val="center"/>
                </w:tcPr>
                <w:p w14:paraId="367368D9">
                  <w:pPr>
                    <w:jc w:val="center"/>
                    <w:rPr>
                      <w:rFonts w:hint="default" w:asciiTheme="minorAscii" w:hAnsiTheme="minorAscii"/>
                      <w:sz w:val="21"/>
                      <w:szCs w:val="21"/>
                    </w:rPr>
                  </w:pPr>
                  <w:r>
                    <w:rPr>
                      <w:rFonts w:hint="default" w:eastAsia="Arial" w:cs="Arial" w:asciiTheme="minorAscii" w:hAnsiTheme="minorAscii"/>
                      <w:sz w:val="21"/>
                      <w:szCs w:val="21"/>
                    </w:rPr>
                    <w:t>53.9</w:t>
                  </w:r>
                </w:p>
              </w:tc>
              <w:tc>
                <w:tcPr>
                  <w:tcW w:w="147" w:type="pct"/>
                  <w:shd w:val="clear" w:color="auto" w:fill="auto"/>
                  <w:tcMar>
                    <w:top w:w="0" w:type="dxa"/>
                    <w:left w:w="0" w:type="dxa"/>
                    <w:bottom w:w="0" w:type="dxa"/>
                    <w:right w:w="0" w:type="dxa"/>
                  </w:tcMar>
                  <w:vAlign w:val="center"/>
                </w:tcPr>
                <w:p w14:paraId="14F44703">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47" w:type="pct"/>
                  <w:shd w:val="clear" w:color="auto" w:fill="auto"/>
                  <w:tcMar>
                    <w:top w:w="0" w:type="dxa"/>
                    <w:left w:w="0" w:type="dxa"/>
                    <w:bottom w:w="0" w:type="dxa"/>
                    <w:right w:w="0" w:type="dxa"/>
                  </w:tcMar>
                  <w:vAlign w:val="center"/>
                </w:tcPr>
                <w:p w14:paraId="7503F856">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47" w:type="pct"/>
                  <w:shd w:val="clear" w:color="auto" w:fill="auto"/>
                  <w:tcMar>
                    <w:top w:w="0" w:type="dxa"/>
                    <w:left w:w="0" w:type="dxa"/>
                    <w:bottom w:w="0" w:type="dxa"/>
                    <w:right w:w="0" w:type="dxa"/>
                  </w:tcMar>
                  <w:vAlign w:val="center"/>
                </w:tcPr>
                <w:p w14:paraId="1F647F62">
                  <w:pPr>
                    <w:jc w:val="center"/>
                    <w:rPr>
                      <w:rFonts w:hint="default" w:asciiTheme="minorAscii" w:hAnsiTheme="minorAscii"/>
                      <w:sz w:val="21"/>
                      <w:szCs w:val="21"/>
                    </w:rPr>
                  </w:pPr>
                  <w:r>
                    <w:rPr>
                      <w:rFonts w:hint="default" w:eastAsia="Arial" w:cs="Arial" w:asciiTheme="minorAscii" w:hAnsiTheme="minorAscii"/>
                      <w:sz w:val="21"/>
                      <w:szCs w:val="21"/>
                    </w:rPr>
                    <w:t>53.7</w:t>
                  </w:r>
                </w:p>
              </w:tc>
              <w:tc>
                <w:tcPr>
                  <w:tcW w:w="189" w:type="pct"/>
                  <w:shd w:val="clear" w:color="auto" w:fill="auto"/>
                  <w:tcMar>
                    <w:top w:w="0" w:type="dxa"/>
                    <w:left w:w="0" w:type="dxa"/>
                    <w:bottom w:w="0" w:type="dxa"/>
                    <w:right w:w="0" w:type="dxa"/>
                  </w:tcMar>
                  <w:vAlign w:val="center"/>
                </w:tcPr>
                <w:p w14:paraId="40A0FC42">
                  <w:pPr>
                    <w:jc w:val="center"/>
                    <w:rPr>
                      <w:rFonts w:hint="default" w:asciiTheme="minorAscii" w:hAnsiTheme="minorAscii"/>
                      <w:sz w:val="21"/>
                      <w:szCs w:val="21"/>
                    </w:rPr>
                  </w:pPr>
                  <w:r>
                    <w:rPr>
                      <w:rFonts w:hint="default" w:eastAsia="Arial" w:cs="Arial" w:asciiTheme="minorAscii" w:hAnsiTheme="minorAscii"/>
                      <w:sz w:val="21"/>
                      <w:szCs w:val="21"/>
                    </w:rPr>
                    <w:t>1</w:t>
                  </w:r>
                </w:p>
              </w:tc>
            </w:tr>
            <w:tr w14:paraId="633E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5" w:type="pct"/>
                  <w:shd w:val="clear" w:color="auto" w:fill="auto"/>
                  <w:tcMar>
                    <w:top w:w="0" w:type="dxa"/>
                    <w:left w:w="0" w:type="dxa"/>
                    <w:bottom w:w="0" w:type="dxa"/>
                    <w:right w:w="0" w:type="dxa"/>
                  </w:tcMar>
                  <w:vAlign w:val="center"/>
                </w:tcPr>
                <w:p w14:paraId="1E5CC17D">
                  <w:pPr>
                    <w:jc w:val="center"/>
                    <w:rPr>
                      <w:rFonts w:hint="default" w:asciiTheme="minorAscii" w:hAnsiTheme="minorAscii"/>
                      <w:sz w:val="21"/>
                      <w:szCs w:val="21"/>
                    </w:rPr>
                  </w:pPr>
                  <w:r>
                    <w:rPr>
                      <w:rFonts w:hint="default" w:eastAsia="Arial" w:cs="Arial" w:asciiTheme="minorAscii" w:hAnsiTheme="minorAscii"/>
                      <w:sz w:val="21"/>
                      <w:szCs w:val="21"/>
                    </w:rPr>
                    <w:t>12</w:t>
                  </w:r>
                </w:p>
              </w:tc>
              <w:tc>
                <w:tcPr>
                  <w:tcW w:w="248" w:type="pct"/>
                  <w:vMerge w:val="continue"/>
                  <w:shd w:val="clear" w:color="auto" w:fill="auto"/>
                  <w:tcMar>
                    <w:top w:w="0" w:type="dxa"/>
                    <w:left w:w="0" w:type="dxa"/>
                    <w:bottom w:w="0" w:type="dxa"/>
                    <w:right w:w="0" w:type="dxa"/>
                  </w:tcMar>
                  <w:vAlign w:val="center"/>
                </w:tcPr>
                <w:p w14:paraId="31F7ED9A">
                  <w:pPr>
                    <w:jc w:val="center"/>
                    <w:rPr>
                      <w:rFonts w:hint="default" w:asciiTheme="minorAscii" w:hAnsiTheme="minorAscii"/>
                      <w:sz w:val="21"/>
                      <w:szCs w:val="21"/>
                    </w:rPr>
                  </w:pPr>
                </w:p>
              </w:tc>
              <w:tc>
                <w:tcPr>
                  <w:tcW w:w="290" w:type="pct"/>
                  <w:shd w:val="clear" w:color="auto" w:fill="auto"/>
                  <w:tcMar>
                    <w:top w:w="0" w:type="dxa"/>
                    <w:left w:w="0" w:type="dxa"/>
                    <w:bottom w:w="0" w:type="dxa"/>
                    <w:right w:w="0" w:type="dxa"/>
                  </w:tcMar>
                  <w:vAlign w:val="center"/>
                </w:tcPr>
                <w:p w14:paraId="63CF45FB">
                  <w:pPr>
                    <w:jc w:val="center"/>
                    <w:rPr>
                      <w:rFonts w:hint="default" w:asciiTheme="minorAscii" w:hAnsiTheme="minorAscii"/>
                      <w:sz w:val="21"/>
                      <w:szCs w:val="21"/>
                    </w:rPr>
                  </w:pPr>
                  <w:r>
                    <w:rPr>
                      <w:rFonts w:hint="default" w:eastAsia="Arial" w:cs="Arial" w:asciiTheme="minorAscii" w:hAnsiTheme="minorAscii"/>
                      <w:sz w:val="21"/>
                      <w:szCs w:val="21"/>
                    </w:rPr>
                    <w:t>板框压滤机</w:t>
                  </w:r>
                </w:p>
              </w:tc>
              <w:tc>
                <w:tcPr>
                  <w:tcW w:w="185" w:type="pct"/>
                  <w:shd w:val="clear" w:color="auto" w:fill="auto"/>
                  <w:tcMar>
                    <w:top w:w="0" w:type="dxa"/>
                    <w:left w:w="0" w:type="dxa"/>
                    <w:bottom w:w="0" w:type="dxa"/>
                    <w:right w:w="0" w:type="dxa"/>
                  </w:tcMar>
                  <w:vAlign w:val="center"/>
                </w:tcPr>
                <w:p w14:paraId="36A73B80">
                  <w:pPr>
                    <w:jc w:val="center"/>
                    <w:rPr>
                      <w:rFonts w:hint="eastAsia" w:eastAsia="宋体" w:asciiTheme="minorAscii" w:hAnsiTheme="minorAscii"/>
                      <w:sz w:val="21"/>
                      <w:szCs w:val="21"/>
                      <w:lang w:val="en-US" w:eastAsia="zh-CN"/>
                    </w:rPr>
                  </w:pPr>
                  <w:r>
                    <w:rPr>
                      <w:rFonts w:hint="eastAsia" w:asciiTheme="minorAscii" w:hAnsiTheme="minorAscii"/>
                      <w:sz w:val="21"/>
                      <w:szCs w:val="21"/>
                      <w:lang w:val="en-US" w:eastAsia="zh-CN"/>
                    </w:rPr>
                    <w:t>/</w:t>
                  </w:r>
                </w:p>
              </w:tc>
              <w:tc>
                <w:tcPr>
                  <w:tcW w:w="301" w:type="pct"/>
                  <w:shd w:val="clear" w:color="auto" w:fill="auto"/>
                  <w:tcMar>
                    <w:top w:w="0" w:type="dxa"/>
                    <w:left w:w="0" w:type="dxa"/>
                    <w:bottom w:w="0" w:type="dxa"/>
                    <w:right w:w="0" w:type="dxa"/>
                  </w:tcMar>
                  <w:vAlign w:val="center"/>
                </w:tcPr>
                <w:p w14:paraId="5796A0E3">
                  <w:pPr>
                    <w:jc w:val="center"/>
                    <w:rPr>
                      <w:rFonts w:hint="default" w:asciiTheme="minorAscii" w:hAnsiTheme="minorAscii"/>
                      <w:sz w:val="21"/>
                      <w:szCs w:val="21"/>
                    </w:rPr>
                  </w:pPr>
                  <w:r>
                    <w:rPr>
                      <w:rFonts w:hint="default" w:eastAsia="Arial" w:cs="Arial" w:asciiTheme="minorAscii" w:hAnsiTheme="minorAscii"/>
                      <w:sz w:val="21"/>
                      <w:szCs w:val="21"/>
                    </w:rPr>
                    <w:t>95</w:t>
                  </w:r>
                </w:p>
              </w:tc>
              <w:tc>
                <w:tcPr>
                  <w:tcW w:w="312" w:type="pct"/>
                  <w:vMerge w:val="continue"/>
                  <w:shd w:val="clear" w:color="auto" w:fill="auto"/>
                  <w:tcMar>
                    <w:top w:w="0" w:type="dxa"/>
                    <w:left w:w="0" w:type="dxa"/>
                    <w:bottom w:w="0" w:type="dxa"/>
                    <w:right w:w="0" w:type="dxa"/>
                  </w:tcMar>
                  <w:vAlign w:val="center"/>
                </w:tcPr>
                <w:p w14:paraId="0C573B50">
                  <w:pPr>
                    <w:jc w:val="center"/>
                    <w:rPr>
                      <w:rFonts w:hint="default" w:asciiTheme="minorAscii" w:hAnsiTheme="minorAscii"/>
                      <w:sz w:val="21"/>
                      <w:szCs w:val="21"/>
                    </w:rPr>
                  </w:pPr>
                </w:p>
              </w:tc>
              <w:tc>
                <w:tcPr>
                  <w:tcW w:w="163" w:type="pct"/>
                  <w:shd w:val="clear" w:color="auto" w:fill="auto"/>
                  <w:tcMar>
                    <w:top w:w="0" w:type="dxa"/>
                    <w:left w:w="0" w:type="dxa"/>
                    <w:bottom w:w="0" w:type="dxa"/>
                    <w:right w:w="0" w:type="dxa"/>
                  </w:tcMar>
                  <w:vAlign w:val="center"/>
                </w:tcPr>
                <w:p w14:paraId="0D280566">
                  <w:pPr>
                    <w:jc w:val="center"/>
                    <w:rPr>
                      <w:rFonts w:hint="default" w:asciiTheme="minorAscii" w:hAnsiTheme="minorAscii"/>
                      <w:sz w:val="21"/>
                      <w:szCs w:val="21"/>
                    </w:rPr>
                  </w:pPr>
                  <w:r>
                    <w:rPr>
                      <w:rFonts w:hint="default" w:eastAsia="Arial" w:cs="Arial" w:asciiTheme="minorAscii" w:hAnsiTheme="minorAscii"/>
                      <w:sz w:val="21"/>
                      <w:szCs w:val="21"/>
                    </w:rPr>
                    <w:t>37.1</w:t>
                  </w:r>
                </w:p>
              </w:tc>
              <w:tc>
                <w:tcPr>
                  <w:tcW w:w="209" w:type="pct"/>
                  <w:shd w:val="clear" w:color="auto" w:fill="auto"/>
                  <w:tcMar>
                    <w:top w:w="0" w:type="dxa"/>
                    <w:left w:w="0" w:type="dxa"/>
                    <w:bottom w:w="0" w:type="dxa"/>
                    <w:right w:w="0" w:type="dxa"/>
                  </w:tcMar>
                  <w:vAlign w:val="center"/>
                </w:tcPr>
                <w:p w14:paraId="45D5A981">
                  <w:pPr>
                    <w:jc w:val="center"/>
                    <w:rPr>
                      <w:rFonts w:hint="default" w:asciiTheme="minorAscii" w:hAnsiTheme="minorAscii"/>
                      <w:sz w:val="21"/>
                      <w:szCs w:val="21"/>
                    </w:rPr>
                  </w:pPr>
                  <w:r>
                    <w:rPr>
                      <w:rFonts w:hint="default" w:eastAsia="Arial" w:cs="Arial" w:asciiTheme="minorAscii" w:hAnsiTheme="minorAscii"/>
                      <w:sz w:val="21"/>
                      <w:szCs w:val="21"/>
                    </w:rPr>
                    <w:t>118.7</w:t>
                  </w:r>
                </w:p>
              </w:tc>
              <w:tc>
                <w:tcPr>
                  <w:tcW w:w="146" w:type="pct"/>
                  <w:shd w:val="clear" w:color="auto" w:fill="auto"/>
                  <w:tcMar>
                    <w:top w:w="0" w:type="dxa"/>
                    <w:left w:w="0" w:type="dxa"/>
                    <w:bottom w:w="0" w:type="dxa"/>
                    <w:right w:w="0" w:type="dxa"/>
                  </w:tcMar>
                  <w:vAlign w:val="center"/>
                </w:tcPr>
                <w:p w14:paraId="07C2D4AC">
                  <w:pPr>
                    <w:jc w:val="center"/>
                    <w:rPr>
                      <w:rFonts w:hint="default" w:asciiTheme="minorAscii" w:hAnsiTheme="minorAscii"/>
                      <w:sz w:val="21"/>
                      <w:szCs w:val="21"/>
                    </w:rPr>
                  </w:pPr>
                  <w:r>
                    <w:rPr>
                      <w:rFonts w:hint="default" w:eastAsia="Arial" w:cs="Arial" w:asciiTheme="minorAscii" w:hAnsiTheme="minorAscii"/>
                      <w:sz w:val="21"/>
                      <w:szCs w:val="21"/>
                    </w:rPr>
                    <w:t>1.2</w:t>
                  </w:r>
                </w:p>
              </w:tc>
              <w:tc>
                <w:tcPr>
                  <w:tcW w:w="157" w:type="pct"/>
                  <w:shd w:val="clear" w:color="auto" w:fill="auto"/>
                  <w:tcMar>
                    <w:top w:w="0" w:type="dxa"/>
                    <w:left w:w="0" w:type="dxa"/>
                    <w:bottom w:w="0" w:type="dxa"/>
                    <w:right w:w="0" w:type="dxa"/>
                  </w:tcMar>
                  <w:vAlign w:val="center"/>
                </w:tcPr>
                <w:p w14:paraId="0A7919C0">
                  <w:pPr>
                    <w:jc w:val="center"/>
                    <w:rPr>
                      <w:rFonts w:hint="default" w:asciiTheme="minorAscii" w:hAnsiTheme="minorAscii"/>
                      <w:sz w:val="21"/>
                      <w:szCs w:val="21"/>
                    </w:rPr>
                  </w:pPr>
                  <w:r>
                    <w:rPr>
                      <w:rFonts w:hint="default" w:eastAsia="Arial" w:cs="Arial" w:asciiTheme="minorAscii" w:hAnsiTheme="minorAscii"/>
                      <w:sz w:val="21"/>
                      <w:szCs w:val="21"/>
                    </w:rPr>
                    <w:t>3.6</w:t>
                  </w:r>
                </w:p>
              </w:tc>
              <w:tc>
                <w:tcPr>
                  <w:tcW w:w="158" w:type="pct"/>
                  <w:shd w:val="clear" w:color="auto" w:fill="auto"/>
                  <w:tcMar>
                    <w:top w:w="0" w:type="dxa"/>
                    <w:left w:w="0" w:type="dxa"/>
                    <w:bottom w:w="0" w:type="dxa"/>
                    <w:right w:w="0" w:type="dxa"/>
                  </w:tcMar>
                  <w:vAlign w:val="center"/>
                </w:tcPr>
                <w:p w14:paraId="5BEB5976">
                  <w:pPr>
                    <w:jc w:val="center"/>
                    <w:rPr>
                      <w:rFonts w:hint="default" w:asciiTheme="minorAscii" w:hAnsiTheme="minorAscii"/>
                      <w:sz w:val="21"/>
                      <w:szCs w:val="21"/>
                    </w:rPr>
                  </w:pPr>
                  <w:r>
                    <w:rPr>
                      <w:rFonts w:hint="default" w:eastAsia="Arial" w:cs="Arial" w:asciiTheme="minorAscii" w:hAnsiTheme="minorAscii"/>
                      <w:sz w:val="21"/>
                      <w:szCs w:val="21"/>
                    </w:rPr>
                    <w:t>10.2</w:t>
                  </w:r>
                </w:p>
              </w:tc>
              <w:tc>
                <w:tcPr>
                  <w:tcW w:w="157" w:type="pct"/>
                  <w:shd w:val="clear" w:color="auto" w:fill="auto"/>
                  <w:tcMar>
                    <w:top w:w="0" w:type="dxa"/>
                    <w:left w:w="0" w:type="dxa"/>
                    <w:bottom w:w="0" w:type="dxa"/>
                    <w:right w:w="0" w:type="dxa"/>
                  </w:tcMar>
                  <w:vAlign w:val="center"/>
                </w:tcPr>
                <w:p w14:paraId="2B8C412C">
                  <w:pPr>
                    <w:jc w:val="center"/>
                    <w:rPr>
                      <w:rFonts w:hint="default" w:asciiTheme="minorAscii" w:hAnsiTheme="minorAscii"/>
                      <w:sz w:val="21"/>
                      <w:szCs w:val="21"/>
                    </w:rPr>
                  </w:pPr>
                  <w:r>
                    <w:rPr>
                      <w:rFonts w:hint="default" w:eastAsia="Arial" w:cs="Arial" w:asciiTheme="minorAscii" w:hAnsiTheme="minorAscii"/>
                      <w:sz w:val="21"/>
                      <w:szCs w:val="21"/>
                    </w:rPr>
                    <w:t>27.3</w:t>
                  </w:r>
                </w:p>
              </w:tc>
              <w:tc>
                <w:tcPr>
                  <w:tcW w:w="157" w:type="pct"/>
                  <w:shd w:val="clear" w:color="auto" w:fill="auto"/>
                  <w:tcMar>
                    <w:top w:w="0" w:type="dxa"/>
                    <w:left w:w="0" w:type="dxa"/>
                    <w:bottom w:w="0" w:type="dxa"/>
                    <w:right w:w="0" w:type="dxa"/>
                  </w:tcMar>
                  <w:vAlign w:val="center"/>
                </w:tcPr>
                <w:p w14:paraId="14556A8C">
                  <w:pPr>
                    <w:jc w:val="center"/>
                    <w:rPr>
                      <w:rFonts w:hint="default" w:asciiTheme="minorAscii" w:hAnsiTheme="minorAscii"/>
                      <w:sz w:val="21"/>
                      <w:szCs w:val="21"/>
                    </w:rPr>
                  </w:pPr>
                  <w:r>
                    <w:rPr>
                      <w:rFonts w:hint="default" w:eastAsia="Arial" w:cs="Arial" w:asciiTheme="minorAscii" w:hAnsiTheme="minorAscii"/>
                      <w:sz w:val="21"/>
                      <w:szCs w:val="21"/>
                    </w:rPr>
                    <w:t>25.9</w:t>
                  </w:r>
                </w:p>
              </w:tc>
              <w:tc>
                <w:tcPr>
                  <w:tcW w:w="160" w:type="pct"/>
                  <w:shd w:val="clear" w:color="auto" w:fill="auto"/>
                  <w:tcMar>
                    <w:top w:w="0" w:type="dxa"/>
                    <w:left w:w="0" w:type="dxa"/>
                    <w:bottom w:w="0" w:type="dxa"/>
                    <w:right w:w="0" w:type="dxa"/>
                  </w:tcMar>
                  <w:vAlign w:val="center"/>
                </w:tcPr>
                <w:p w14:paraId="700C878E">
                  <w:pPr>
                    <w:jc w:val="center"/>
                    <w:rPr>
                      <w:rFonts w:hint="default" w:asciiTheme="minorAscii" w:hAnsiTheme="minorAscii"/>
                      <w:sz w:val="21"/>
                      <w:szCs w:val="21"/>
                    </w:rPr>
                  </w:pPr>
                  <w:r>
                    <w:rPr>
                      <w:rFonts w:hint="default" w:eastAsia="Arial" w:cs="Arial" w:asciiTheme="minorAscii" w:hAnsiTheme="minorAscii"/>
                      <w:sz w:val="21"/>
                      <w:szCs w:val="21"/>
                    </w:rPr>
                    <w:t>85.0</w:t>
                  </w:r>
                </w:p>
              </w:tc>
              <w:tc>
                <w:tcPr>
                  <w:tcW w:w="160" w:type="pct"/>
                  <w:shd w:val="clear" w:color="auto" w:fill="auto"/>
                  <w:tcMar>
                    <w:top w:w="0" w:type="dxa"/>
                    <w:left w:w="0" w:type="dxa"/>
                    <w:bottom w:w="0" w:type="dxa"/>
                    <w:right w:w="0" w:type="dxa"/>
                  </w:tcMar>
                  <w:vAlign w:val="center"/>
                </w:tcPr>
                <w:p w14:paraId="2C4C06C9">
                  <w:pPr>
                    <w:jc w:val="center"/>
                    <w:rPr>
                      <w:rFonts w:hint="default" w:asciiTheme="minorAscii" w:hAnsiTheme="minorAscii"/>
                      <w:sz w:val="21"/>
                      <w:szCs w:val="21"/>
                    </w:rPr>
                  </w:pPr>
                  <w:r>
                    <w:rPr>
                      <w:rFonts w:hint="default" w:eastAsia="Arial" w:cs="Arial" w:asciiTheme="minorAscii" w:hAnsiTheme="minorAscii"/>
                      <w:sz w:val="21"/>
                      <w:szCs w:val="21"/>
                    </w:rPr>
                    <w:t>84.7</w:t>
                  </w:r>
                </w:p>
              </w:tc>
              <w:tc>
                <w:tcPr>
                  <w:tcW w:w="160" w:type="pct"/>
                  <w:shd w:val="clear" w:color="auto" w:fill="auto"/>
                  <w:tcMar>
                    <w:top w:w="0" w:type="dxa"/>
                    <w:left w:w="0" w:type="dxa"/>
                    <w:bottom w:w="0" w:type="dxa"/>
                    <w:right w:w="0" w:type="dxa"/>
                  </w:tcMar>
                  <w:vAlign w:val="center"/>
                </w:tcPr>
                <w:p w14:paraId="0960CBA1">
                  <w:pPr>
                    <w:jc w:val="center"/>
                    <w:rPr>
                      <w:rFonts w:hint="default" w:asciiTheme="minorAscii" w:hAnsiTheme="minorAscii"/>
                      <w:sz w:val="21"/>
                      <w:szCs w:val="21"/>
                    </w:rPr>
                  </w:pPr>
                  <w:r>
                    <w:rPr>
                      <w:rFonts w:hint="default" w:eastAsia="Arial" w:cs="Arial" w:asciiTheme="minorAscii" w:hAnsiTheme="minorAscii"/>
                      <w:sz w:val="21"/>
                      <w:szCs w:val="21"/>
                    </w:rPr>
                    <w:t>84.7</w:t>
                  </w:r>
                </w:p>
              </w:tc>
              <w:tc>
                <w:tcPr>
                  <w:tcW w:w="160" w:type="pct"/>
                  <w:shd w:val="clear" w:color="auto" w:fill="auto"/>
                  <w:tcMar>
                    <w:top w:w="0" w:type="dxa"/>
                    <w:left w:w="0" w:type="dxa"/>
                    <w:bottom w:w="0" w:type="dxa"/>
                    <w:right w:w="0" w:type="dxa"/>
                  </w:tcMar>
                  <w:vAlign w:val="center"/>
                </w:tcPr>
                <w:p w14:paraId="10A707A2">
                  <w:pPr>
                    <w:jc w:val="center"/>
                    <w:rPr>
                      <w:rFonts w:hint="default" w:asciiTheme="minorAscii" w:hAnsiTheme="minorAscii"/>
                      <w:sz w:val="21"/>
                      <w:szCs w:val="21"/>
                    </w:rPr>
                  </w:pPr>
                  <w:r>
                    <w:rPr>
                      <w:rFonts w:hint="default" w:eastAsia="Arial" w:cs="Arial" w:asciiTheme="minorAscii" w:hAnsiTheme="minorAscii"/>
                      <w:sz w:val="21"/>
                      <w:szCs w:val="21"/>
                    </w:rPr>
                    <w:t>84.7</w:t>
                  </w:r>
                </w:p>
              </w:tc>
              <w:tc>
                <w:tcPr>
                  <w:tcW w:w="227" w:type="pct"/>
                  <w:shd w:val="clear" w:color="auto" w:fill="auto"/>
                  <w:tcMar>
                    <w:top w:w="0" w:type="dxa"/>
                    <w:left w:w="0" w:type="dxa"/>
                    <w:bottom w:w="0" w:type="dxa"/>
                    <w:right w:w="0" w:type="dxa"/>
                  </w:tcMar>
                  <w:vAlign w:val="center"/>
                </w:tcPr>
                <w:p w14:paraId="44ADD45B">
                  <w:pPr>
                    <w:jc w:val="center"/>
                    <w:rPr>
                      <w:rFonts w:hint="default" w:asciiTheme="minorAscii" w:hAnsiTheme="minorAscii"/>
                      <w:sz w:val="21"/>
                      <w:szCs w:val="21"/>
                    </w:rPr>
                  </w:pPr>
                  <w:r>
                    <w:rPr>
                      <w:rFonts w:hint="default" w:eastAsia="Arial" w:cs="Arial" w:asciiTheme="minorAscii" w:hAnsiTheme="minorAscii"/>
                      <w:sz w:val="21"/>
                      <w:szCs w:val="21"/>
                    </w:rPr>
                    <w:t>24.0</w:t>
                  </w:r>
                </w:p>
              </w:tc>
              <w:tc>
                <w:tcPr>
                  <w:tcW w:w="169" w:type="pct"/>
                  <w:shd w:val="clear" w:color="auto" w:fill="auto"/>
                  <w:tcMar>
                    <w:top w:w="0" w:type="dxa"/>
                    <w:left w:w="0" w:type="dxa"/>
                    <w:bottom w:w="0" w:type="dxa"/>
                    <w:right w:w="0" w:type="dxa"/>
                  </w:tcMar>
                  <w:vAlign w:val="center"/>
                </w:tcPr>
                <w:p w14:paraId="08182402">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753B936B">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0DC71480">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69" w:type="pct"/>
                  <w:shd w:val="clear" w:color="auto" w:fill="auto"/>
                  <w:tcMar>
                    <w:top w:w="0" w:type="dxa"/>
                    <w:left w:w="0" w:type="dxa"/>
                    <w:bottom w:w="0" w:type="dxa"/>
                    <w:right w:w="0" w:type="dxa"/>
                  </w:tcMar>
                  <w:vAlign w:val="center"/>
                </w:tcPr>
                <w:p w14:paraId="37D7E805">
                  <w:pPr>
                    <w:jc w:val="center"/>
                    <w:rPr>
                      <w:rFonts w:hint="default" w:asciiTheme="minorAscii" w:hAnsiTheme="minorAscii"/>
                      <w:sz w:val="21"/>
                      <w:szCs w:val="21"/>
                    </w:rPr>
                  </w:pPr>
                  <w:r>
                    <w:rPr>
                      <w:rFonts w:hint="default" w:eastAsia="Arial" w:cs="Arial" w:asciiTheme="minorAscii" w:hAnsiTheme="minorAscii"/>
                      <w:sz w:val="21"/>
                      <w:szCs w:val="21"/>
                    </w:rPr>
                    <w:t>26.0</w:t>
                  </w:r>
                </w:p>
              </w:tc>
              <w:tc>
                <w:tcPr>
                  <w:tcW w:w="147" w:type="pct"/>
                  <w:shd w:val="clear" w:color="auto" w:fill="auto"/>
                  <w:tcMar>
                    <w:top w:w="0" w:type="dxa"/>
                    <w:left w:w="0" w:type="dxa"/>
                    <w:bottom w:w="0" w:type="dxa"/>
                    <w:right w:w="0" w:type="dxa"/>
                  </w:tcMar>
                  <w:vAlign w:val="center"/>
                </w:tcPr>
                <w:p w14:paraId="0140439E">
                  <w:pPr>
                    <w:jc w:val="center"/>
                    <w:rPr>
                      <w:rFonts w:hint="default" w:asciiTheme="minorAscii" w:hAnsiTheme="minorAscii"/>
                      <w:sz w:val="21"/>
                      <w:szCs w:val="21"/>
                    </w:rPr>
                  </w:pPr>
                  <w:r>
                    <w:rPr>
                      <w:rFonts w:hint="default" w:eastAsia="Arial" w:cs="Arial" w:asciiTheme="minorAscii" w:hAnsiTheme="minorAscii"/>
                      <w:sz w:val="21"/>
                      <w:szCs w:val="21"/>
                    </w:rPr>
                    <w:t>59.0</w:t>
                  </w:r>
                </w:p>
              </w:tc>
              <w:tc>
                <w:tcPr>
                  <w:tcW w:w="147" w:type="pct"/>
                  <w:shd w:val="clear" w:color="auto" w:fill="auto"/>
                  <w:tcMar>
                    <w:top w:w="0" w:type="dxa"/>
                    <w:left w:w="0" w:type="dxa"/>
                    <w:bottom w:w="0" w:type="dxa"/>
                    <w:right w:w="0" w:type="dxa"/>
                  </w:tcMar>
                  <w:vAlign w:val="center"/>
                </w:tcPr>
                <w:p w14:paraId="307A191C">
                  <w:pPr>
                    <w:jc w:val="center"/>
                    <w:rPr>
                      <w:rFonts w:hint="default" w:asciiTheme="minorAscii" w:hAnsiTheme="minorAscii"/>
                      <w:sz w:val="21"/>
                      <w:szCs w:val="21"/>
                    </w:rPr>
                  </w:pPr>
                  <w:r>
                    <w:rPr>
                      <w:rFonts w:hint="default" w:eastAsia="Arial" w:cs="Arial" w:asciiTheme="minorAscii" w:hAnsiTheme="minorAscii"/>
                      <w:sz w:val="21"/>
                      <w:szCs w:val="21"/>
                    </w:rPr>
                    <w:t>58.7</w:t>
                  </w:r>
                </w:p>
              </w:tc>
              <w:tc>
                <w:tcPr>
                  <w:tcW w:w="147" w:type="pct"/>
                  <w:shd w:val="clear" w:color="auto" w:fill="auto"/>
                  <w:tcMar>
                    <w:top w:w="0" w:type="dxa"/>
                    <w:left w:w="0" w:type="dxa"/>
                    <w:bottom w:w="0" w:type="dxa"/>
                    <w:right w:w="0" w:type="dxa"/>
                  </w:tcMar>
                  <w:vAlign w:val="center"/>
                </w:tcPr>
                <w:p w14:paraId="2228C8EF">
                  <w:pPr>
                    <w:jc w:val="center"/>
                    <w:rPr>
                      <w:rFonts w:hint="default" w:asciiTheme="minorAscii" w:hAnsiTheme="minorAscii"/>
                      <w:sz w:val="21"/>
                      <w:szCs w:val="21"/>
                    </w:rPr>
                  </w:pPr>
                  <w:r>
                    <w:rPr>
                      <w:rFonts w:hint="default" w:eastAsia="Arial" w:cs="Arial" w:asciiTheme="minorAscii" w:hAnsiTheme="minorAscii"/>
                      <w:sz w:val="21"/>
                      <w:szCs w:val="21"/>
                    </w:rPr>
                    <w:t>58.7</w:t>
                  </w:r>
                </w:p>
              </w:tc>
              <w:tc>
                <w:tcPr>
                  <w:tcW w:w="147" w:type="pct"/>
                  <w:shd w:val="clear" w:color="auto" w:fill="auto"/>
                  <w:tcMar>
                    <w:top w:w="0" w:type="dxa"/>
                    <w:left w:w="0" w:type="dxa"/>
                    <w:bottom w:w="0" w:type="dxa"/>
                    <w:right w:w="0" w:type="dxa"/>
                  </w:tcMar>
                  <w:vAlign w:val="center"/>
                </w:tcPr>
                <w:p w14:paraId="00CE1553">
                  <w:pPr>
                    <w:jc w:val="center"/>
                    <w:rPr>
                      <w:rFonts w:hint="default" w:asciiTheme="minorAscii" w:hAnsiTheme="minorAscii"/>
                      <w:sz w:val="21"/>
                      <w:szCs w:val="21"/>
                    </w:rPr>
                  </w:pPr>
                  <w:r>
                    <w:rPr>
                      <w:rFonts w:hint="default" w:eastAsia="Arial" w:cs="Arial" w:asciiTheme="minorAscii" w:hAnsiTheme="minorAscii"/>
                      <w:sz w:val="21"/>
                      <w:szCs w:val="21"/>
                    </w:rPr>
                    <w:t>58.7</w:t>
                  </w:r>
                </w:p>
              </w:tc>
              <w:tc>
                <w:tcPr>
                  <w:tcW w:w="189" w:type="pct"/>
                  <w:shd w:val="clear" w:color="auto" w:fill="auto"/>
                  <w:tcMar>
                    <w:top w:w="0" w:type="dxa"/>
                    <w:left w:w="0" w:type="dxa"/>
                    <w:bottom w:w="0" w:type="dxa"/>
                    <w:right w:w="0" w:type="dxa"/>
                  </w:tcMar>
                  <w:vAlign w:val="center"/>
                </w:tcPr>
                <w:p w14:paraId="1B4E523C">
                  <w:pPr>
                    <w:jc w:val="center"/>
                    <w:rPr>
                      <w:rFonts w:hint="default" w:asciiTheme="minorAscii" w:hAnsiTheme="minorAscii"/>
                      <w:sz w:val="21"/>
                      <w:szCs w:val="21"/>
                    </w:rPr>
                  </w:pPr>
                  <w:r>
                    <w:rPr>
                      <w:rFonts w:hint="default" w:eastAsia="Arial" w:cs="Arial" w:asciiTheme="minorAscii" w:hAnsiTheme="minorAscii"/>
                      <w:sz w:val="21"/>
                      <w:szCs w:val="21"/>
                    </w:rPr>
                    <w:t>1</w:t>
                  </w:r>
                </w:p>
              </w:tc>
            </w:tr>
          </w:tbl>
          <w:p w14:paraId="032E46FE">
            <w:pPr>
              <w:adjustRightInd w:val="0"/>
              <w:snapToGrid w:val="0"/>
              <w:spacing w:line="360" w:lineRule="auto"/>
              <w:rPr>
                <w:rFonts w:hint="eastAsia" w:ascii="宋体" w:cs="宋体"/>
                <w:b/>
                <w:kern w:val="0"/>
                <w:sz w:val="28"/>
                <w:szCs w:val="28"/>
                <w:vertAlign w:val="baseline"/>
              </w:rPr>
            </w:pPr>
            <w:r>
              <w:rPr>
                <w:rFonts w:hint="default" w:ascii="Times New Roman" w:hAnsi="Times New Roman" w:cs="Times New Roman" w:eastAsiaTheme="minorEastAsia"/>
                <w:b w:val="0"/>
                <w:bCs/>
                <w:sz w:val="21"/>
                <w:szCs w:val="21"/>
                <w:lang w:val="en-US" w:eastAsia="zh-CN"/>
              </w:rPr>
              <w:t>表中坐标以厂界中心（</w:t>
            </w:r>
            <w:bookmarkStart w:id="24" w:name="PO_7"/>
            <w:r>
              <w:rPr>
                <w:rFonts w:hint="default" w:ascii="Times New Roman" w:hAnsi="Times New Roman" w:cs="Times New Roman" w:eastAsiaTheme="minorEastAsia"/>
                <w:b w:val="0"/>
                <w:bCs/>
                <w:sz w:val="21"/>
                <w:szCs w:val="21"/>
                <w:lang w:val="en-US" w:eastAsia="zh-CN"/>
              </w:rPr>
              <w:t>86.6113663,42.038719</w:t>
            </w:r>
            <w:bookmarkEnd w:id="24"/>
            <w:r>
              <w:rPr>
                <w:rFonts w:hint="default" w:ascii="Times New Roman" w:hAnsi="Times New Roman" w:cs="Times New Roman" w:eastAsiaTheme="minorEastAsia"/>
                <w:b w:val="0"/>
                <w:bCs/>
                <w:sz w:val="21"/>
                <w:szCs w:val="21"/>
                <w:lang w:val="en-US" w:eastAsia="zh-CN"/>
              </w:rPr>
              <w:t>）为坐标原点，正东向为X轴正方向，正北向为Y轴正方向</w:t>
            </w:r>
          </w:p>
          <w:p w14:paraId="7B9DE75E">
            <w:pPr>
              <w:adjustRightInd w:val="0"/>
              <w:snapToGrid w:val="0"/>
              <w:spacing w:line="360" w:lineRule="auto"/>
              <w:rPr>
                <w:rFonts w:hint="eastAsia" w:ascii="宋体" w:cs="宋体"/>
                <w:b/>
                <w:kern w:val="0"/>
                <w:sz w:val="28"/>
                <w:szCs w:val="28"/>
                <w:vertAlign w:val="baseline"/>
              </w:rPr>
            </w:pPr>
          </w:p>
          <w:p w14:paraId="42796ED1">
            <w:pPr>
              <w:adjustRightInd w:val="0"/>
              <w:snapToGrid w:val="0"/>
              <w:spacing w:line="360" w:lineRule="auto"/>
              <w:rPr>
                <w:rFonts w:hint="eastAsia" w:ascii="宋体" w:cs="宋体"/>
                <w:b/>
                <w:kern w:val="0"/>
                <w:sz w:val="28"/>
                <w:szCs w:val="28"/>
                <w:vertAlign w:val="baseline"/>
              </w:rPr>
            </w:pPr>
          </w:p>
          <w:p w14:paraId="786586C7">
            <w:pPr>
              <w:adjustRightInd w:val="0"/>
              <w:snapToGrid w:val="0"/>
              <w:spacing w:line="360" w:lineRule="auto"/>
              <w:rPr>
                <w:rFonts w:hint="eastAsia" w:ascii="宋体" w:cs="宋体"/>
                <w:b/>
                <w:kern w:val="0"/>
                <w:sz w:val="28"/>
                <w:szCs w:val="28"/>
                <w:vertAlign w:val="baseline"/>
              </w:rPr>
            </w:pPr>
          </w:p>
          <w:p w14:paraId="4605ED4E">
            <w:pPr>
              <w:adjustRightInd w:val="0"/>
              <w:snapToGrid w:val="0"/>
              <w:spacing w:line="360" w:lineRule="auto"/>
              <w:rPr>
                <w:rFonts w:hint="eastAsia" w:ascii="宋体" w:cs="宋体"/>
                <w:b/>
                <w:kern w:val="0"/>
                <w:sz w:val="28"/>
                <w:szCs w:val="28"/>
                <w:vertAlign w:val="baseline"/>
              </w:rPr>
            </w:pPr>
          </w:p>
          <w:p w14:paraId="29CEEF34">
            <w:pPr>
              <w:adjustRightInd w:val="0"/>
              <w:snapToGrid w:val="0"/>
              <w:spacing w:line="360" w:lineRule="auto"/>
              <w:rPr>
                <w:rFonts w:hint="eastAsia" w:ascii="宋体" w:cs="宋体"/>
                <w:b/>
                <w:kern w:val="0"/>
                <w:sz w:val="28"/>
                <w:szCs w:val="28"/>
                <w:vertAlign w:val="baseline"/>
              </w:rPr>
            </w:pPr>
          </w:p>
          <w:p w14:paraId="7ED7D44A">
            <w:pPr>
              <w:adjustRightInd w:val="0"/>
              <w:snapToGrid w:val="0"/>
              <w:spacing w:line="360" w:lineRule="auto"/>
              <w:rPr>
                <w:rFonts w:hint="eastAsia" w:ascii="宋体" w:cs="宋体"/>
                <w:b/>
                <w:kern w:val="0"/>
                <w:sz w:val="28"/>
                <w:szCs w:val="28"/>
                <w:vertAlign w:val="baseline"/>
              </w:rPr>
            </w:pPr>
          </w:p>
          <w:p w14:paraId="265A8C22">
            <w:pPr>
              <w:adjustRightInd w:val="0"/>
              <w:snapToGrid w:val="0"/>
              <w:spacing w:line="360" w:lineRule="auto"/>
              <w:rPr>
                <w:rFonts w:hint="eastAsia" w:ascii="宋体" w:cs="宋体"/>
                <w:b/>
                <w:kern w:val="0"/>
                <w:sz w:val="28"/>
                <w:szCs w:val="28"/>
                <w:vertAlign w:val="baseline"/>
              </w:rPr>
            </w:pPr>
          </w:p>
          <w:p w14:paraId="2AFF8277">
            <w:pPr>
              <w:adjustRightInd w:val="0"/>
              <w:snapToGrid w:val="0"/>
              <w:spacing w:line="360" w:lineRule="auto"/>
              <w:rPr>
                <w:rFonts w:hint="eastAsia" w:ascii="宋体" w:cs="宋体"/>
                <w:b/>
                <w:kern w:val="0"/>
                <w:sz w:val="28"/>
                <w:szCs w:val="28"/>
                <w:vertAlign w:val="baseline"/>
              </w:rPr>
            </w:pPr>
          </w:p>
          <w:p w14:paraId="16BB4505">
            <w:pPr>
              <w:adjustRightInd w:val="0"/>
              <w:snapToGrid w:val="0"/>
              <w:spacing w:line="360" w:lineRule="auto"/>
              <w:rPr>
                <w:rFonts w:hint="eastAsia" w:ascii="宋体" w:cs="宋体"/>
                <w:b/>
                <w:kern w:val="0"/>
                <w:sz w:val="28"/>
                <w:szCs w:val="28"/>
                <w:vertAlign w:val="baseline"/>
              </w:rPr>
            </w:pPr>
          </w:p>
          <w:p w14:paraId="4D4E9626">
            <w:pPr>
              <w:adjustRightInd w:val="0"/>
              <w:snapToGrid w:val="0"/>
              <w:spacing w:line="360" w:lineRule="auto"/>
              <w:rPr>
                <w:rFonts w:hint="eastAsia" w:ascii="宋体" w:cs="宋体"/>
                <w:b/>
                <w:kern w:val="0"/>
                <w:sz w:val="28"/>
                <w:szCs w:val="28"/>
                <w:vertAlign w:val="baseline"/>
              </w:rPr>
            </w:pPr>
          </w:p>
          <w:p w14:paraId="3C1959C0">
            <w:pPr>
              <w:adjustRightInd w:val="0"/>
              <w:snapToGrid w:val="0"/>
              <w:spacing w:line="360" w:lineRule="auto"/>
              <w:rPr>
                <w:rFonts w:hint="eastAsia" w:ascii="宋体" w:cs="宋体"/>
                <w:b/>
                <w:kern w:val="0"/>
                <w:sz w:val="28"/>
                <w:szCs w:val="28"/>
                <w:vertAlign w:val="baseline"/>
              </w:rPr>
            </w:pPr>
          </w:p>
          <w:p w14:paraId="7E9FB364">
            <w:pPr>
              <w:adjustRightInd w:val="0"/>
              <w:snapToGrid w:val="0"/>
              <w:spacing w:line="360" w:lineRule="auto"/>
              <w:rPr>
                <w:rFonts w:hint="eastAsia" w:ascii="宋体" w:cs="宋体"/>
                <w:b/>
                <w:kern w:val="0"/>
                <w:sz w:val="28"/>
                <w:szCs w:val="28"/>
                <w:vertAlign w:val="baseline"/>
              </w:rPr>
            </w:pPr>
          </w:p>
          <w:p w14:paraId="0D9723FA">
            <w:pPr>
              <w:adjustRightInd w:val="0"/>
              <w:snapToGrid w:val="0"/>
              <w:spacing w:line="360" w:lineRule="auto"/>
              <w:rPr>
                <w:rFonts w:hint="eastAsia" w:ascii="宋体" w:cs="宋体"/>
                <w:b/>
                <w:kern w:val="0"/>
                <w:sz w:val="28"/>
                <w:szCs w:val="28"/>
                <w:vertAlign w:val="baseline"/>
              </w:rPr>
            </w:pPr>
          </w:p>
        </w:tc>
      </w:tr>
    </w:tbl>
    <w:p w14:paraId="7C9C021D">
      <w:pPr>
        <w:adjustRightInd w:val="0"/>
        <w:snapToGrid w:val="0"/>
        <w:spacing w:line="360" w:lineRule="auto"/>
        <w:rPr>
          <w:rFonts w:hint="eastAsia" w:ascii="宋体" w:cs="宋体"/>
          <w:b/>
          <w:kern w:val="0"/>
          <w:sz w:val="28"/>
          <w:szCs w:val="28"/>
        </w:rPr>
        <w:sectPr>
          <w:pgSz w:w="16840" w:h="11907" w:orient="landscape"/>
          <w:pgMar w:top="1531" w:right="1701" w:bottom="1531" w:left="2127" w:header="851" w:footer="851" w:gutter="0"/>
          <w:pgBorders>
            <w:top w:val="none" w:sz="0" w:space="0"/>
            <w:left w:val="none" w:sz="0" w:space="0"/>
            <w:bottom w:val="none" w:sz="0" w:space="0"/>
            <w:right w:val="none" w:sz="0" w:space="0"/>
          </w:pgBorders>
          <w:cols w:space="720" w:num="1"/>
          <w:docGrid w:linePitch="312" w:charSpace="0"/>
        </w:sect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5"/>
        <w:gridCol w:w="8646"/>
      </w:tblGrid>
      <w:tr w14:paraId="261E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dxa"/>
          </w:tcPr>
          <w:p w14:paraId="149BA088">
            <w:pPr>
              <w:adjustRightInd w:val="0"/>
              <w:snapToGrid w:val="0"/>
              <w:spacing w:line="360" w:lineRule="auto"/>
              <w:rPr>
                <w:rFonts w:hint="eastAsia" w:ascii="宋体" w:cs="宋体"/>
                <w:b/>
                <w:kern w:val="0"/>
                <w:sz w:val="28"/>
                <w:szCs w:val="28"/>
                <w:vertAlign w:val="baseline"/>
              </w:rPr>
            </w:pPr>
          </w:p>
        </w:tc>
        <w:tc>
          <w:tcPr>
            <w:tcW w:w="8646" w:type="dxa"/>
          </w:tcPr>
          <w:p w14:paraId="2B1BCA61">
            <w:pPr>
              <w:adjustRightInd w:val="0"/>
              <w:snapToGrid w:val="0"/>
              <w:spacing w:line="360" w:lineRule="auto"/>
              <w:ind w:firstLine="480" w:firstLineChars="200"/>
              <w:rPr>
                <w:rFonts w:hint="default" w:ascii="Calibri" w:hAnsi="Calibri" w:cs="Calibri"/>
                <w:color w:val="auto"/>
                <w:sz w:val="24"/>
                <w:szCs w:val="24"/>
              </w:rPr>
            </w:pPr>
            <w:r>
              <w:rPr>
                <w:rFonts w:hint="default" w:ascii="Calibri" w:hAnsi="Calibri" w:cs="Calibri"/>
                <w:color w:val="auto"/>
                <w:sz w:val="24"/>
                <w:szCs w:val="24"/>
              </w:rPr>
              <w:t>（3）预测结果</w:t>
            </w:r>
          </w:p>
          <w:p w14:paraId="41EDCF88">
            <w:pPr>
              <w:pStyle w:val="58"/>
              <w:snapToGrid w:val="0"/>
              <w:spacing w:line="360" w:lineRule="auto"/>
              <w:ind w:firstLine="480" w:firstLineChars="200"/>
              <w:rPr>
                <w:rFonts w:hint="default" w:ascii="Calibri" w:hAnsi="Calibri" w:cs="Calibri"/>
                <w:color w:val="auto"/>
                <w:kern w:val="2"/>
                <w:sz w:val="24"/>
                <w:szCs w:val="24"/>
              </w:rPr>
            </w:pPr>
            <w:r>
              <w:rPr>
                <w:rFonts w:hint="default" w:ascii="Calibri" w:hAnsi="Calibri" w:cs="Calibri"/>
                <w:color w:val="auto"/>
                <w:kern w:val="2"/>
                <w:sz w:val="24"/>
                <w:szCs w:val="24"/>
              </w:rPr>
              <w:t>根据预测模式计算出各噪声源传播至厂界的总声压级，结果见表</w:t>
            </w:r>
            <w:r>
              <w:rPr>
                <w:rFonts w:hint="default" w:ascii="Calibri" w:hAnsi="Calibri" w:cs="Calibri"/>
                <w:color w:val="auto"/>
                <w:kern w:val="2"/>
                <w:sz w:val="24"/>
                <w:szCs w:val="24"/>
                <w:lang w:val="en-US" w:eastAsia="zh-CN"/>
              </w:rPr>
              <w:t>4-</w:t>
            </w:r>
            <w:r>
              <w:rPr>
                <w:rFonts w:hint="eastAsia" w:ascii="Calibri" w:hAnsi="Calibri" w:cs="Calibri"/>
                <w:color w:val="auto"/>
                <w:kern w:val="2"/>
                <w:sz w:val="24"/>
                <w:szCs w:val="24"/>
                <w:lang w:val="en-US" w:eastAsia="zh-CN"/>
              </w:rPr>
              <w:t>13。</w:t>
            </w:r>
          </w:p>
          <w:p w14:paraId="40D03287">
            <w:pPr>
              <w:snapToGrid w:val="0"/>
              <w:jc w:val="center"/>
              <w:rPr>
                <w:rFonts w:hint="eastAsia" w:ascii="宋体" w:hAnsi="宋体" w:cs="宋体"/>
                <w:b/>
                <w:color w:val="auto"/>
                <w:sz w:val="24"/>
              </w:rPr>
            </w:pPr>
            <w:r>
              <w:rPr>
                <w:rFonts w:hint="eastAsia" w:ascii="宋体" w:hAnsi="宋体" w:cs="宋体"/>
                <w:b/>
                <w:color w:val="auto"/>
                <w:sz w:val="24"/>
              </w:rPr>
              <w:t>表</w:t>
            </w:r>
            <w:r>
              <w:rPr>
                <w:rFonts w:hint="eastAsia" w:ascii="宋体" w:hAnsi="宋体" w:cs="宋体"/>
                <w:b/>
                <w:color w:val="auto"/>
                <w:sz w:val="24"/>
                <w:lang w:val="en-US" w:eastAsia="zh-CN"/>
              </w:rPr>
              <w:t>4-13</w:t>
            </w:r>
            <w:r>
              <w:rPr>
                <w:rFonts w:hint="eastAsia" w:ascii="宋体" w:hAnsi="宋体" w:cs="宋体"/>
                <w:b/>
                <w:color w:val="auto"/>
                <w:sz w:val="24"/>
              </w:rPr>
              <w:t xml:space="preserve">   厂界噪声预测结果与达标分析表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01"/>
              <w:gridCol w:w="803"/>
              <w:gridCol w:w="803"/>
              <w:gridCol w:w="803"/>
              <w:gridCol w:w="993"/>
              <w:gridCol w:w="1417"/>
              <w:gridCol w:w="1418"/>
              <w:gridCol w:w="1188"/>
            </w:tblGrid>
            <w:tr w14:paraId="3893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0" w:hRule="exact"/>
                <w:jc w:val="center"/>
              </w:trPr>
              <w:tc>
                <w:tcPr>
                  <w:tcW w:w="1101" w:type="dxa"/>
                  <w:vMerge w:val="restart"/>
                  <w:shd w:val="clear" w:color="auto" w:fill="auto"/>
                  <w:vAlign w:val="center"/>
                </w:tcPr>
                <w:p w14:paraId="5869FD64">
                  <w:pPr>
                    <w:jc w:val="center"/>
                    <w:rPr>
                      <w:rFonts w:hint="default" w:cs="Times New Roman" w:asciiTheme="minorAscii" w:hAnsiTheme="minorAscii" w:eastAsiaTheme="minorEastAsia"/>
                      <w:b/>
                      <w:bCs w:val="0"/>
                      <w:sz w:val="21"/>
                      <w:szCs w:val="21"/>
                    </w:rPr>
                  </w:pPr>
                  <w:r>
                    <w:rPr>
                      <w:rFonts w:hint="default" w:cs="Times New Roman" w:asciiTheme="minorAscii" w:hAnsiTheme="minorAscii" w:eastAsiaTheme="minorEastAsia"/>
                      <w:b/>
                      <w:bCs w:val="0"/>
                      <w:sz w:val="21"/>
                      <w:szCs w:val="21"/>
                    </w:rPr>
                    <w:t>预测方位</w:t>
                  </w:r>
                </w:p>
              </w:tc>
              <w:tc>
                <w:tcPr>
                  <w:tcW w:w="2409" w:type="dxa"/>
                  <w:gridSpan w:val="3"/>
                  <w:shd w:val="clear" w:color="auto" w:fill="auto"/>
                  <w:vAlign w:val="center"/>
                </w:tcPr>
                <w:p w14:paraId="3D730E98">
                  <w:pPr>
                    <w:jc w:val="center"/>
                    <w:rPr>
                      <w:rFonts w:hint="default" w:cs="Times New Roman" w:asciiTheme="minorAscii" w:hAnsiTheme="minorAscii" w:eastAsiaTheme="minorEastAsia"/>
                      <w:b/>
                      <w:bCs w:val="0"/>
                      <w:sz w:val="21"/>
                      <w:szCs w:val="21"/>
                    </w:rPr>
                  </w:pPr>
                  <w:r>
                    <w:rPr>
                      <w:rFonts w:hint="default" w:cs="Times New Roman" w:asciiTheme="minorAscii" w:hAnsiTheme="minorAscii" w:eastAsiaTheme="minorEastAsia"/>
                      <w:b/>
                      <w:bCs w:val="0"/>
                      <w:sz w:val="21"/>
                      <w:szCs w:val="21"/>
                      <w:lang w:val="en-US" w:eastAsia="zh-CN"/>
                    </w:rPr>
                    <w:t>最大值点</w:t>
                  </w:r>
                  <w:r>
                    <w:rPr>
                      <w:rFonts w:hint="default" w:cs="Times New Roman" w:asciiTheme="minorAscii" w:hAnsiTheme="minorAscii" w:eastAsiaTheme="minorEastAsia"/>
                      <w:b/>
                      <w:bCs w:val="0"/>
                      <w:sz w:val="21"/>
                      <w:szCs w:val="21"/>
                    </w:rPr>
                    <w:t>空间相对位置/m</w:t>
                  </w:r>
                </w:p>
              </w:tc>
              <w:tc>
                <w:tcPr>
                  <w:tcW w:w="993" w:type="dxa"/>
                  <w:vMerge w:val="restart"/>
                  <w:shd w:val="clear" w:color="auto" w:fill="auto"/>
                  <w:vAlign w:val="center"/>
                </w:tcPr>
                <w:p w14:paraId="0D49BA37">
                  <w:pPr>
                    <w:jc w:val="center"/>
                    <w:rPr>
                      <w:rFonts w:hint="default" w:cs="Times New Roman" w:asciiTheme="minorAscii" w:hAnsiTheme="minorAscii" w:eastAsiaTheme="minorEastAsia"/>
                      <w:b/>
                      <w:bCs w:val="0"/>
                      <w:sz w:val="21"/>
                      <w:szCs w:val="21"/>
                    </w:rPr>
                  </w:pPr>
                  <w:r>
                    <w:rPr>
                      <w:rFonts w:hint="default" w:cs="Times New Roman" w:asciiTheme="minorAscii" w:hAnsiTheme="minorAscii" w:eastAsiaTheme="minorEastAsia"/>
                      <w:b/>
                      <w:bCs w:val="0"/>
                      <w:sz w:val="21"/>
                      <w:szCs w:val="21"/>
                    </w:rPr>
                    <w:t>时段</w:t>
                  </w:r>
                </w:p>
              </w:tc>
              <w:tc>
                <w:tcPr>
                  <w:tcW w:w="1417" w:type="dxa"/>
                  <w:vMerge w:val="restart"/>
                  <w:shd w:val="clear" w:color="auto" w:fill="auto"/>
                  <w:vAlign w:val="center"/>
                </w:tcPr>
                <w:p w14:paraId="5DF6713E">
                  <w:pPr>
                    <w:jc w:val="center"/>
                    <w:rPr>
                      <w:rFonts w:hint="default" w:cs="Times New Roman" w:asciiTheme="minorAscii" w:hAnsiTheme="minorAscii" w:eastAsiaTheme="minorEastAsia"/>
                      <w:b/>
                      <w:bCs w:val="0"/>
                      <w:sz w:val="21"/>
                      <w:szCs w:val="21"/>
                    </w:rPr>
                  </w:pPr>
                  <w:r>
                    <w:rPr>
                      <w:rFonts w:hint="default" w:cs="Times New Roman" w:asciiTheme="minorAscii" w:hAnsiTheme="minorAscii" w:eastAsiaTheme="minorEastAsia"/>
                      <w:b/>
                      <w:bCs w:val="0"/>
                      <w:sz w:val="21"/>
                      <w:szCs w:val="21"/>
                    </w:rPr>
                    <w:t>贡献值（dB(A)）</w:t>
                  </w:r>
                </w:p>
              </w:tc>
              <w:tc>
                <w:tcPr>
                  <w:tcW w:w="1418" w:type="dxa"/>
                  <w:vMerge w:val="restart"/>
                  <w:shd w:val="clear" w:color="auto" w:fill="auto"/>
                  <w:vAlign w:val="center"/>
                </w:tcPr>
                <w:p w14:paraId="262B515D">
                  <w:pPr>
                    <w:jc w:val="center"/>
                    <w:rPr>
                      <w:rFonts w:hint="default" w:cs="Times New Roman" w:asciiTheme="minorAscii" w:hAnsiTheme="minorAscii" w:eastAsiaTheme="minorEastAsia"/>
                      <w:b/>
                      <w:bCs w:val="0"/>
                      <w:sz w:val="21"/>
                      <w:szCs w:val="21"/>
                    </w:rPr>
                  </w:pPr>
                  <w:r>
                    <w:rPr>
                      <w:rFonts w:hint="default" w:cs="Times New Roman" w:asciiTheme="minorAscii" w:hAnsiTheme="minorAscii" w:eastAsiaTheme="minorEastAsia"/>
                      <w:b/>
                      <w:bCs w:val="0"/>
                      <w:sz w:val="21"/>
                      <w:szCs w:val="21"/>
                    </w:rPr>
                    <w:t>标准限值</w:t>
                  </w:r>
                  <w:r>
                    <w:rPr>
                      <w:rFonts w:hint="eastAsia" w:cs="Times New Roman" w:asciiTheme="minorAscii" w:hAnsiTheme="minorAscii" w:eastAsiaTheme="minorEastAsia"/>
                      <w:b/>
                      <w:bCs w:val="0"/>
                      <w:sz w:val="21"/>
                      <w:szCs w:val="21"/>
                      <w:lang w:eastAsia="zh-CN"/>
                    </w:rPr>
                    <w:t>（</w:t>
                  </w:r>
                  <w:r>
                    <w:rPr>
                      <w:rFonts w:hint="default" w:cs="Times New Roman" w:asciiTheme="minorAscii" w:hAnsiTheme="minorAscii" w:eastAsiaTheme="minorEastAsia"/>
                      <w:b/>
                      <w:bCs w:val="0"/>
                      <w:sz w:val="21"/>
                      <w:szCs w:val="21"/>
                    </w:rPr>
                    <w:t>dB(A)）</w:t>
                  </w:r>
                </w:p>
              </w:tc>
              <w:tc>
                <w:tcPr>
                  <w:tcW w:w="1188" w:type="dxa"/>
                  <w:vMerge w:val="restart"/>
                  <w:shd w:val="clear" w:color="auto" w:fill="auto"/>
                  <w:vAlign w:val="center"/>
                </w:tcPr>
                <w:p w14:paraId="05D6EB87">
                  <w:pPr>
                    <w:jc w:val="center"/>
                    <w:rPr>
                      <w:rFonts w:hint="default" w:cs="Times New Roman" w:asciiTheme="minorAscii" w:hAnsiTheme="minorAscii" w:eastAsiaTheme="minorEastAsia"/>
                      <w:b/>
                      <w:bCs w:val="0"/>
                      <w:sz w:val="21"/>
                      <w:szCs w:val="21"/>
                    </w:rPr>
                  </w:pPr>
                  <w:r>
                    <w:rPr>
                      <w:rFonts w:hint="default" w:cs="Times New Roman" w:asciiTheme="minorAscii" w:hAnsiTheme="minorAscii" w:eastAsiaTheme="minorEastAsia"/>
                      <w:b/>
                      <w:bCs w:val="0"/>
                      <w:sz w:val="21"/>
                      <w:szCs w:val="21"/>
                    </w:rPr>
                    <w:t>达标情况</w:t>
                  </w:r>
                </w:p>
              </w:tc>
            </w:tr>
            <w:tr w14:paraId="513F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atLeast"/>
                <w:jc w:val="center"/>
              </w:trPr>
              <w:tc>
                <w:tcPr>
                  <w:tcW w:w="1101" w:type="dxa"/>
                  <w:vMerge w:val="continue"/>
                  <w:shd w:val="clear" w:color="auto" w:fill="auto"/>
                  <w:vAlign w:val="center"/>
                </w:tcPr>
                <w:p w14:paraId="723E73D7">
                  <w:pPr>
                    <w:jc w:val="center"/>
                    <w:rPr>
                      <w:rFonts w:hint="default" w:cs="Times New Roman" w:asciiTheme="minorAscii" w:hAnsiTheme="minorAscii" w:eastAsiaTheme="minorEastAsia"/>
                      <w:b w:val="0"/>
                      <w:bCs/>
                      <w:sz w:val="21"/>
                      <w:szCs w:val="21"/>
                    </w:rPr>
                  </w:pPr>
                </w:p>
              </w:tc>
              <w:tc>
                <w:tcPr>
                  <w:tcW w:w="803" w:type="dxa"/>
                  <w:shd w:val="clear" w:color="auto" w:fill="auto"/>
                  <w:vAlign w:val="center"/>
                </w:tcPr>
                <w:p w14:paraId="6DC00C6E">
                  <w:pPr>
                    <w:jc w:val="center"/>
                    <w:rPr>
                      <w:rFonts w:hint="default" w:cs="Times New Roman" w:asciiTheme="minorAscii" w:hAnsiTheme="minorAscii" w:eastAsiaTheme="minorEastAsia"/>
                      <w:b w:val="0"/>
                      <w:bCs/>
                      <w:sz w:val="21"/>
                      <w:szCs w:val="21"/>
                    </w:rPr>
                  </w:pPr>
                  <w:r>
                    <w:rPr>
                      <w:rFonts w:hint="default" w:cs="Times New Roman" w:asciiTheme="minorAscii" w:hAnsiTheme="minorAscii" w:eastAsiaTheme="minorEastAsia"/>
                      <w:b w:val="0"/>
                      <w:bCs/>
                      <w:sz w:val="21"/>
                      <w:szCs w:val="21"/>
                    </w:rPr>
                    <w:t>X</w:t>
                  </w:r>
                </w:p>
              </w:tc>
              <w:tc>
                <w:tcPr>
                  <w:tcW w:w="803" w:type="dxa"/>
                  <w:shd w:val="clear" w:color="auto" w:fill="auto"/>
                  <w:vAlign w:val="center"/>
                </w:tcPr>
                <w:p w14:paraId="6DE85341">
                  <w:pPr>
                    <w:jc w:val="center"/>
                    <w:rPr>
                      <w:rFonts w:hint="default" w:cs="Times New Roman" w:asciiTheme="minorAscii" w:hAnsiTheme="minorAscii" w:eastAsiaTheme="minorEastAsia"/>
                      <w:b w:val="0"/>
                      <w:bCs/>
                      <w:sz w:val="21"/>
                      <w:szCs w:val="21"/>
                    </w:rPr>
                  </w:pPr>
                  <w:r>
                    <w:rPr>
                      <w:rFonts w:hint="default" w:cs="Times New Roman" w:asciiTheme="minorAscii" w:hAnsiTheme="minorAscii" w:eastAsiaTheme="minorEastAsia"/>
                      <w:b w:val="0"/>
                      <w:bCs/>
                      <w:sz w:val="21"/>
                      <w:szCs w:val="21"/>
                    </w:rPr>
                    <w:t>Y</w:t>
                  </w:r>
                </w:p>
              </w:tc>
              <w:tc>
                <w:tcPr>
                  <w:tcW w:w="803" w:type="dxa"/>
                  <w:shd w:val="clear" w:color="auto" w:fill="auto"/>
                  <w:vAlign w:val="center"/>
                </w:tcPr>
                <w:p w14:paraId="020A293E">
                  <w:pPr>
                    <w:jc w:val="center"/>
                    <w:rPr>
                      <w:rFonts w:hint="default" w:cs="Times New Roman" w:asciiTheme="minorAscii" w:hAnsiTheme="minorAscii" w:eastAsiaTheme="minorEastAsia"/>
                      <w:b w:val="0"/>
                      <w:bCs/>
                      <w:sz w:val="21"/>
                      <w:szCs w:val="21"/>
                    </w:rPr>
                  </w:pPr>
                  <w:r>
                    <w:rPr>
                      <w:rFonts w:hint="default" w:cs="Times New Roman" w:asciiTheme="minorAscii" w:hAnsiTheme="minorAscii" w:eastAsiaTheme="minorEastAsia"/>
                      <w:b w:val="0"/>
                      <w:bCs/>
                      <w:sz w:val="21"/>
                      <w:szCs w:val="21"/>
                    </w:rPr>
                    <w:t>Z</w:t>
                  </w:r>
                </w:p>
              </w:tc>
              <w:tc>
                <w:tcPr>
                  <w:tcW w:w="993" w:type="dxa"/>
                  <w:vMerge w:val="continue"/>
                  <w:shd w:val="clear" w:color="auto" w:fill="auto"/>
                  <w:vAlign w:val="center"/>
                </w:tcPr>
                <w:p w14:paraId="6C6049A1">
                  <w:pPr>
                    <w:jc w:val="center"/>
                    <w:rPr>
                      <w:rFonts w:hint="default" w:cs="Times New Roman" w:asciiTheme="minorAscii" w:hAnsiTheme="minorAscii" w:eastAsiaTheme="minorEastAsia"/>
                      <w:b w:val="0"/>
                      <w:bCs/>
                      <w:sz w:val="21"/>
                      <w:szCs w:val="21"/>
                    </w:rPr>
                  </w:pPr>
                </w:p>
              </w:tc>
              <w:tc>
                <w:tcPr>
                  <w:tcW w:w="1417" w:type="dxa"/>
                  <w:vMerge w:val="continue"/>
                  <w:shd w:val="clear" w:color="auto" w:fill="auto"/>
                  <w:vAlign w:val="center"/>
                </w:tcPr>
                <w:p w14:paraId="1C769F0C">
                  <w:pPr>
                    <w:jc w:val="center"/>
                    <w:rPr>
                      <w:rFonts w:hint="default" w:cs="Times New Roman" w:asciiTheme="minorAscii" w:hAnsiTheme="minorAscii" w:eastAsiaTheme="minorEastAsia"/>
                      <w:b w:val="0"/>
                      <w:bCs/>
                      <w:sz w:val="21"/>
                      <w:szCs w:val="21"/>
                    </w:rPr>
                  </w:pPr>
                </w:p>
              </w:tc>
              <w:tc>
                <w:tcPr>
                  <w:tcW w:w="1418" w:type="dxa"/>
                  <w:vMerge w:val="continue"/>
                  <w:shd w:val="clear" w:color="auto" w:fill="auto"/>
                  <w:vAlign w:val="center"/>
                </w:tcPr>
                <w:p w14:paraId="37F8AE16">
                  <w:pPr>
                    <w:jc w:val="center"/>
                    <w:rPr>
                      <w:rFonts w:hint="default" w:cs="Times New Roman" w:asciiTheme="minorAscii" w:hAnsiTheme="minorAscii" w:eastAsiaTheme="minorEastAsia"/>
                      <w:b w:val="0"/>
                      <w:bCs/>
                      <w:sz w:val="21"/>
                      <w:szCs w:val="21"/>
                    </w:rPr>
                  </w:pPr>
                </w:p>
              </w:tc>
              <w:tc>
                <w:tcPr>
                  <w:tcW w:w="1188" w:type="dxa"/>
                  <w:vMerge w:val="continue"/>
                  <w:shd w:val="clear" w:color="auto" w:fill="auto"/>
                  <w:vAlign w:val="center"/>
                </w:tcPr>
                <w:p w14:paraId="688384F4">
                  <w:pPr>
                    <w:jc w:val="center"/>
                    <w:rPr>
                      <w:rFonts w:hint="default" w:cs="Times New Roman" w:asciiTheme="minorAscii" w:hAnsiTheme="minorAscii" w:eastAsiaTheme="minorEastAsia"/>
                      <w:b w:val="0"/>
                      <w:bCs/>
                      <w:sz w:val="21"/>
                      <w:szCs w:val="21"/>
                    </w:rPr>
                  </w:pPr>
                </w:p>
              </w:tc>
            </w:tr>
            <w:tr w14:paraId="6557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1101" w:type="dxa"/>
                  <w:vMerge w:val="restart"/>
                  <w:shd w:val="clear" w:color="auto" w:fill="auto"/>
                  <w:vAlign w:val="center"/>
                </w:tcPr>
                <w:p w14:paraId="3F1BE996">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东侧</w:t>
                  </w:r>
                </w:p>
              </w:tc>
              <w:tc>
                <w:tcPr>
                  <w:tcW w:w="803" w:type="dxa"/>
                  <w:shd w:val="clear" w:color="auto" w:fill="auto"/>
                  <w:vAlign w:val="center"/>
                </w:tcPr>
                <w:p w14:paraId="3BCE5A71">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109.2</w:t>
                  </w:r>
                </w:p>
              </w:tc>
              <w:tc>
                <w:tcPr>
                  <w:tcW w:w="803" w:type="dxa"/>
                  <w:shd w:val="clear" w:color="auto" w:fill="auto"/>
                  <w:vAlign w:val="center"/>
                </w:tcPr>
                <w:p w14:paraId="532C73A8">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164.5</w:t>
                  </w:r>
                </w:p>
              </w:tc>
              <w:tc>
                <w:tcPr>
                  <w:tcW w:w="803" w:type="dxa"/>
                  <w:shd w:val="clear" w:color="auto" w:fill="auto"/>
                  <w:vAlign w:val="center"/>
                </w:tcPr>
                <w:p w14:paraId="4FA6CF4E">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1.2</w:t>
                  </w:r>
                </w:p>
              </w:tc>
              <w:tc>
                <w:tcPr>
                  <w:tcW w:w="993" w:type="dxa"/>
                  <w:shd w:val="clear" w:color="auto" w:fill="auto"/>
                  <w:vAlign w:val="center"/>
                </w:tcPr>
                <w:p w14:paraId="6D9F19E4">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昼间</w:t>
                  </w:r>
                </w:p>
              </w:tc>
              <w:tc>
                <w:tcPr>
                  <w:tcW w:w="1417" w:type="dxa"/>
                  <w:shd w:val="clear" w:color="auto" w:fill="auto"/>
                  <w:vAlign w:val="center"/>
                </w:tcPr>
                <w:p w14:paraId="2E0D4D8D">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37.2</w:t>
                  </w:r>
                </w:p>
              </w:tc>
              <w:tc>
                <w:tcPr>
                  <w:tcW w:w="1418" w:type="dxa"/>
                  <w:shd w:val="clear" w:color="auto" w:fill="auto"/>
                  <w:vAlign w:val="center"/>
                </w:tcPr>
                <w:p w14:paraId="562036B0">
                  <w:pPr>
                    <w:jc w:val="center"/>
                    <w:rPr>
                      <w:rFonts w:hint="default" w:eastAsia="宋体" w:asciiTheme="minorAscii" w:hAnsiTheme="minorAscii"/>
                      <w:b w:val="0"/>
                      <w:bCs/>
                      <w:sz w:val="21"/>
                      <w:szCs w:val="21"/>
                      <w:lang w:val="en-US" w:eastAsia="zh-CN"/>
                    </w:rPr>
                  </w:pPr>
                  <w:r>
                    <w:rPr>
                      <w:rFonts w:hint="eastAsia" w:eastAsia="宋体" w:cs="Arial" w:asciiTheme="minorAscii" w:hAnsiTheme="minorAscii"/>
                      <w:b w:val="0"/>
                      <w:bCs/>
                      <w:sz w:val="21"/>
                      <w:szCs w:val="21"/>
                      <w:lang w:val="en-US" w:eastAsia="zh-CN"/>
                    </w:rPr>
                    <w:t>60</w:t>
                  </w:r>
                </w:p>
              </w:tc>
              <w:tc>
                <w:tcPr>
                  <w:tcW w:w="1188" w:type="dxa"/>
                  <w:shd w:val="clear" w:color="auto" w:fill="auto"/>
                  <w:vAlign w:val="center"/>
                </w:tcPr>
                <w:p w14:paraId="5E42B7F6">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达标</w:t>
                  </w:r>
                </w:p>
              </w:tc>
            </w:tr>
            <w:tr w14:paraId="2526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1101" w:type="dxa"/>
                  <w:vMerge w:val="continue"/>
                  <w:shd w:val="clear" w:color="auto" w:fill="auto"/>
                  <w:vAlign w:val="center"/>
                </w:tcPr>
                <w:p w14:paraId="6518F460">
                  <w:pPr>
                    <w:jc w:val="center"/>
                    <w:rPr>
                      <w:rFonts w:hint="default" w:asciiTheme="minorAscii" w:hAnsiTheme="minorAscii"/>
                      <w:b w:val="0"/>
                      <w:bCs/>
                      <w:sz w:val="21"/>
                      <w:szCs w:val="21"/>
                    </w:rPr>
                  </w:pPr>
                </w:p>
              </w:tc>
              <w:tc>
                <w:tcPr>
                  <w:tcW w:w="803" w:type="dxa"/>
                  <w:shd w:val="clear" w:color="auto" w:fill="auto"/>
                  <w:vAlign w:val="center"/>
                </w:tcPr>
                <w:p w14:paraId="580781A0">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109.2</w:t>
                  </w:r>
                </w:p>
              </w:tc>
              <w:tc>
                <w:tcPr>
                  <w:tcW w:w="803" w:type="dxa"/>
                  <w:shd w:val="clear" w:color="auto" w:fill="auto"/>
                  <w:vAlign w:val="center"/>
                </w:tcPr>
                <w:p w14:paraId="75526A83">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164.5</w:t>
                  </w:r>
                </w:p>
              </w:tc>
              <w:tc>
                <w:tcPr>
                  <w:tcW w:w="803" w:type="dxa"/>
                  <w:shd w:val="clear" w:color="auto" w:fill="auto"/>
                  <w:vAlign w:val="center"/>
                </w:tcPr>
                <w:p w14:paraId="7CA35617">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1.2</w:t>
                  </w:r>
                </w:p>
              </w:tc>
              <w:tc>
                <w:tcPr>
                  <w:tcW w:w="993" w:type="dxa"/>
                  <w:shd w:val="clear" w:color="auto" w:fill="auto"/>
                  <w:vAlign w:val="center"/>
                </w:tcPr>
                <w:p w14:paraId="421DBA63">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夜间</w:t>
                  </w:r>
                </w:p>
              </w:tc>
              <w:tc>
                <w:tcPr>
                  <w:tcW w:w="1417" w:type="dxa"/>
                  <w:shd w:val="clear" w:color="auto" w:fill="auto"/>
                  <w:vAlign w:val="center"/>
                </w:tcPr>
                <w:p w14:paraId="15292007">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37.2</w:t>
                  </w:r>
                </w:p>
              </w:tc>
              <w:tc>
                <w:tcPr>
                  <w:tcW w:w="1418" w:type="dxa"/>
                  <w:shd w:val="clear" w:color="auto" w:fill="auto"/>
                  <w:vAlign w:val="center"/>
                </w:tcPr>
                <w:p w14:paraId="49F4D2B2">
                  <w:pPr>
                    <w:jc w:val="center"/>
                    <w:rPr>
                      <w:rFonts w:hint="default" w:eastAsia="宋体" w:asciiTheme="minorAscii" w:hAnsiTheme="minorAscii"/>
                      <w:b w:val="0"/>
                      <w:bCs/>
                      <w:sz w:val="21"/>
                      <w:szCs w:val="21"/>
                      <w:lang w:val="en-US" w:eastAsia="zh-CN"/>
                    </w:rPr>
                  </w:pPr>
                  <w:r>
                    <w:rPr>
                      <w:rFonts w:hint="eastAsia" w:eastAsia="宋体" w:cs="Arial" w:asciiTheme="minorAscii" w:hAnsiTheme="minorAscii"/>
                      <w:b w:val="0"/>
                      <w:bCs/>
                      <w:sz w:val="21"/>
                      <w:szCs w:val="21"/>
                      <w:lang w:val="en-US" w:eastAsia="zh-CN"/>
                    </w:rPr>
                    <w:t>50</w:t>
                  </w:r>
                </w:p>
              </w:tc>
              <w:tc>
                <w:tcPr>
                  <w:tcW w:w="1188" w:type="dxa"/>
                  <w:shd w:val="clear" w:color="auto" w:fill="auto"/>
                  <w:vAlign w:val="center"/>
                </w:tcPr>
                <w:p w14:paraId="5D2C93D6">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达标</w:t>
                  </w:r>
                </w:p>
              </w:tc>
            </w:tr>
            <w:tr w14:paraId="0D0F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1101" w:type="dxa"/>
                  <w:vMerge w:val="restart"/>
                  <w:shd w:val="clear" w:color="auto" w:fill="auto"/>
                  <w:vAlign w:val="center"/>
                </w:tcPr>
                <w:p w14:paraId="15B22D68">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南侧</w:t>
                  </w:r>
                </w:p>
              </w:tc>
              <w:tc>
                <w:tcPr>
                  <w:tcW w:w="803" w:type="dxa"/>
                  <w:shd w:val="clear" w:color="auto" w:fill="auto"/>
                  <w:vAlign w:val="center"/>
                </w:tcPr>
                <w:p w14:paraId="278D2F4D">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86.6</w:t>
                  </w:r>
                </w:p>
              </w:tc>
              <w:tc>
                <w:tcPr>
                  <w:tcW w:w="803" w:type="dxa"/>
                  <w:shd w:val="clear" w:color="auto" w:fill="auto"/>
                  <w:vAlign w:val="center"/>
                </w:tcPr>
                <w:p w14:paraId="76BCC8DE">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-455</w:t>
                  </w:r>
                </w:p>
              </w:tc>
              <w:tc>
                <w:tcPr>
                  <w:tcW w:w="803" w:type="dxa"/>
                  <w:shd w:val="clear" w:color="auto" w:fill="auto"/>
                  <w:vAlign w:val="center"/>
                </w:tcPr>
                <w:p w14:paraId="10C9190C">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1.2</w:t>
                  </w:r>
                </w:p>
              </w:tc>
              <w:tc>
                <w:tcPr>
                  <w:tcW w:w="993" w:type="dxa"/>
                  <w:shd w:val="clear" w:color="auto" w:fill="auto"/>
                  <w:vAlign w:val="center"/>
                </w:tcPr>
                <w:p w14:paraId="2385D143">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昼间</w:t>
                  </w:r>
                </w:p>
              </w:tc>
              <w:tc>
                <w:tcPr>
                  <w:tcW w:w="1417" w:type="dxa"/>
                  <w:shd w:val="clear" w:color="auto" w:fill="auto"/>
                  <w:vAlign w:val="center"/>
                </w:tcPr>
                <w:p w14:paraId="5661203A">
                  <w:pPr>
                    <w:jc w:val="center"/>
                    <w:rPr>
                      <w:rFonts w:hint="default" w:eastAsia="宋体" w:asciiTheme="minorAscii" w:hAnsiTheme="minorAscii"/>
                      <w:b w:val="0"/>
                      <w:bCs/>
                      <w:sz w:val="21"/>
                      <w:szCs w:val="21"/>
                      <w:lang w:val="en-US" w:eastAsia="zh-CN"/>
                    </w:rPr>
                  </w:pPr>
                  <w:r>
                    <w:rPr>
                      <w:rFonts w:hint="eastAsia" w:eastAsia="宋体" w:cs="Arial" w:asciiTheme="minorAscii" w:hAnsiTheme="minorAscii"/>
                      <w:b w:val="0"/>
                      <w:bCs/>
                      <w:sz w:val="21"/>
                      <w:szCs w:val="21"/>
                      <w:lang w:val="en-US" w:eastAsia="zh-CN"/>
                    </w:rPr>
                    <w:t>32.5</w:t>
                  </w:r>
                </w:p>
              </w:tc>
              <w:tc>
                <w:tcPr>
                  <w:tcW w:w="1418" w:type="dxa"/>
                  <w:shd w:val="clear" w:color="auto" w:fill="auto"/>
                  <w:vAlign w:val="center"/>
                </w:tcPr>
                <w:p w14:paraId="5EC4F888">
                  <w:pPr>
                    <w:jc w:val="center"/>
                    <w:rPr>
                      <w:rFonts w:hint="default" w:asciiTheme="minorAscii" w:hAnsiTheme="minorAscii"/>
                      <w:b w:val="0"/>
                      <w:bCs/>
                      <w:sz w:val="21"/>
                      <w:szCs w:val="21"/>
                    </w:rPr>
                  </w:pPr>
                  <w:r>
                    <w:rPr>
                      <w:rFonts w:hint="eastAsia" w:eastAsia="宋体" w:cs="Arial" w:asciiTheme="minorAscii" w:hAnsiTheme="minorAscii"/>
                      <w:b w:val="0"/>
                      <w:bCs/>
                      <w:sz w:val="21"/>
                      <w:szCs w:val="21"/>
                      <w:lang w:val="en-US" w:eastAsia="zh-CN"/>
                    </w:rPr>
                    <w:t>60</w:t>
                  </w:r>
                </w:p>
              </w:tc>
              <w:tc>
                <w:tcPr>
                  <w:tcW w:w="1188" w:type="dxa"/>
                  <w:shd w:val="clear" w:color="auto" w:fill="auto"/>
                  <w:vAlign w:val="center"/>
                </w:tcPr>
                <w:p w14:paraId="298B7711">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达标</w:t>
                  </w:r>
                </w:p>
              </w:tc>
            </w:tr>
            <w:tr w14:paraId="5E9F7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1101" w:type="dxa"/>
                  <w:vMerge w:val="continue"/>
                  <w:shd w:val="clear" w:color="auto" w:fill="auto"/>
                  <w:vAlign w:val="center"/>
                </w:tcPr>
                <w:p w14:paraId="52BECD1D">
                  <w:pPr>
                    <w:jc w:val="center"/>
                    <w:rPr>
                      <w:rFonts w:hint="default" w:asciiTheme="minorAscii" w:hAnsiTheme="minorAscii"/>
                      <w:b w:val="0"/>
                      <w:bCs/>
                      <w:sz w:val="21"/>
                      <w:szCs w:val="21"/>
                    </w:rPr>
                  </w:pPr>
                </w:p>
              </w:tc>
              <w:tc>
                <w:tcPr>
                  <w:tcW w:w="803" w:type="dxa"/>
                  <w:shd w:val="clear" w:color="auto" w:fill="auto"/>
                  <w:vAlign w:val="center"/>
                </w:tcPr>
                <w:p w14:paraId="7246ACFC">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86.6</w:t>
                  </w:r>
                </w:p>
              </w:tc>
              <w:tc>
                <w:tcPr>
                  <w:tcW w:w="803" w:type="dxa"/>
                  <w:shd w:val="clear" w:color="auto" w:fill="auto"/>
                  <w:vAlign w:val="center"/>
                </w:tcPr>
                <w:p w14:paraId="2F0B164E">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-455</w:t>
                  </w:r>
                </w:p>
              </w:tc>
              <w:tc>
                <w:tcPr>
                  <w:tcW w:w="803" w:type="dxa"/>
                  <w:shd w:val="clear" w:color="auto" w:fill="auto"/>
                  <w:vAlign w:val="center"/>
                </w:tcPr>
                <w:p w14:paraId="625ABC32">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1.2</w:t>
                  </w:r>
                </w:p>
              </w:tc>
              <w:tc>
                <w:tcPr>
                  <w:tcW w:w="993" w:type="dxa"/>
                  <w:shd w:val="clear" w:color="auto" w:fill="auto"/>
                  <w:vAlign w:val="center"/>
                </w:tcPr>
                <w:p w14:paraId="505AC30E">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夜间</w:t>
                  </w:r>
                </w:p>
              </w:tc>
              <w:tc>
                <w:tcPr>
                  <w:tcW w:w="1417" w:type="dxa"/>
                  <w:shd w:val="clear" w:color="auto" w:fill="auto"/>
                  <w:vAlign w:val="center"/>
                </w:tcPr>
                <w:p w14:paraId="41887E12">
                  <w:pPr>
                    <w:jc w:val="center"/>
                    <w:rPr>
                      <w:rFonts w:hint="default" w:eastAsia="宋体" w:asciiTheme="minorAscii" w:hAnsiTheme="minorAscii"/>
                      <w:b w:val="0"/>
                      <w:bCs/>
                      <w:sz w:val="21"/>
                      <w:szCs w:val="21"/>
                      <w:lang w:val="en-US" w:eastAsia="zh-CN"/>
                    </w:rPr>
                  </w:pPr>
                  <w:r>
                    <w:rPr>
                      <w:rFonts w:hint="eastAsia" w:asciiTheme="minorAscii" w:hAnsiTheme="minorAscii"/>
                      <w:b w:val="0"/>
                      <w:bCs/>
                      <w:sz w:val="21"/>
                      <w:szCs w:val="21"/>
                      <w:lang w:val="en-US" w:eastAsia="zh-CN"/>
                    </w:rPr>
                    <w:t>32.5</w:t>
                  </w:r>
                </w:p>
              </w:tc>
              <w:tc>
                <w:tcPr>
                  <w:tcW w:w="1418" w:type="dxa"/>
                  <w:shd w:val="clear" w:color="auto" w:fill="auto"/>
                  <w:vAlign w:val="center"/>
                </w:tcPr>
                <w:p w14:paraId="1D501052">
                  <w:pPr>
                    <w:jc w:val="center"/>
                    <w:rPr>
                      <w:rFonts w:hint="default" w:asciiTheme="minorAscii" w:hAnsiTheme="minorAscii"/>
                      <w:b w:val="0"/>
                      <w:bCs/>
                      <w:sz w:val="21"/>
                      <w:szCs w:val="21"/>
                    </w:rPr>
                  </w:pPr>
                  <w:r>
                    <w:rPr>
                      <w:rFonts w:hint="eastAsia" w:eastAsia="宋体" w:cs="Arial" w:asciiTheme="minorAscii" w:hAnsiTheme="minorAscii"/>
                      <w:b w:val="0"/>
                      <w:bCs/>
                      <w:sz w:val="21"/>
                      <w:szCs w:val="21"/>
                      <w:lang w:val="en-US" w:eastAsia="zh-CN"/>
                    </w:rPr>
                    <w:t>50</w:t>
                  </w:r>
                </w:p>
              </w:tc>
              <w:tc>
                <w:tcPr>
                  <w:tcW w:w="1188" w:type="dxa"/>
                  <w:shd w:val="clear" w:color="auto" w:fill="auto"/>
                  <w:vAlign w:val="center"/>
                </w:tcPr>
                <w:p w14:paraId="3E3D2744">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达标</w:t>
                  </w:r>
                </w:p>
              </w:tc>
            </w:tr>
            <w:tr w14:paraId="5F7D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1101" w:type="dxa"/>
                  <w:vMerge w:val="restart"/>
                  <w:shd w:val="clear" w:color="auto" w:fill="auto"/>
                  <w:vAlign w:val="center"/>
                </w:tcPr>
                <w:p w14:paraId="06997CC1">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西侧</w:t>
                  </w:r>
                </w:p>
              </w:tc>
              <w:tc>
                <w:tcPr>
                  <w:tcW w:w="803" w:type="dxa"/>
                  <w:shd w:val="clear" w:color="auto" w:fill="auto"/>
                  <w:vAlign w:val="center"/>
                </w:tcPr>
                <w:p w14:paraId="63B0CCDD">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0.3</w:t>
                  </w:r>
                </w:p>
              </w:tc>
              <w:tc>
                <w:tcPr>
                  <w:tcW w:w="803" w:type="dxa"/>
                  <w:shd w:val="clear" w:color="auto" w:fill="auto"/>
                  <w:vAlign w:val="center"/>
                </w:tcPr>
                <w:p w14:paraId="09D5FE68">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-1.8</w:t>
                  </w:r>
                </w:p>
              </w:tc>
              <w:tc>
                <w:tcPr>
                  <w:tcW w:w="803" w:type="dxa"/>
                  <w:shd w:val="clear" w:color="auto" w:fill="auto"/>
                  <w:vAlign w:val="center"/>
                </w:tcPr>
                <w:p w14:paraId="25768E5B">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1.2</w:t>
                  </w:r>
                </w:p>
              </w:tc>
              <w:tc>
                <w:tcPr>
                  <w:tcW w:w="993" w:type="dxa"/>
                  <w:shd w:val="clear" w:color="auto" w:fill="auto"/>
                  <w:vAlign w:val="center"/>
                </w:tcPr>
                <w:p w14:paraId="62912A7D">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昼间</w:t>
                  </w:r>
                </w:p>
              </w:tc>
              <w:tc>
                <w:tcPr>
                  <w:tcW w:w="1417" w:type="dxa"/>
                  <w:shd w:val="clear" w:color="auto" w:fill="auto"/>
                  <w:vAlign w:val="center"/>
                </w:tcPr>
                <w:p w14:paraId="0222E293">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31.1</w:t>
                  </w:r>
                </w:p>
              </w:tc>
              <w:tc>
                <w:tcPr>
                  <w:tcW w:w="1418" w:type="dxa"/>
                  <w:shd w:val="clear" w:color="auto" w:fill="auto"/>
                  <w:vAlign w:val="center"/>
                </w:tcPr>
                <w:p w14:paraId="1CC99584">
                  <w:pPr>
                    <w:jc w:val="center"/>
                    <w:rPr>
                      <w:rFonts w:hint="default" w:asciiTheme="minorAscii" w:hAnsiTheme="minorAscii"/>
                      <w:b w:val="0"/>
                      <w:bCs/>
                      <w:sz w:val="21"/>
                      <w:szCs w:val="21"/>
                    </w:rPr>
                  </w:pPr>
                  <w:r>
                    <w:rPr>
                      <w:rFonts w:hint="eastAsia" w:eastAsia="宋体" w:cs="Arial" w:asciiTheme="minorAscii" w:hAnsiTheme="minorAscii"/>
                      <w:b w:val="0"/>
                      <w:bCs/>
                      <w:sz w:val="21"/>
                      <w:szCs w:val="21"/>
                      <w:lang w:val="en-US" w:eastAsia="zh-CN"/>
                    </w:rPr>
                    <w:t>60</w:t>
                  </w:r>
                </w:p>
              </w:tc>
              <w:tc>
                <w:tcPr>
                  <w:tcW w:w="1188" w:type="dxa"/>
                  <w:shd w:val="clear" w:color="auto" w:fill="auto"/>
                  <w:vAlign w:val="center"/>
                </w:tcPr>
                <w:p w14:paraId="2DA916A1">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达标</w:t>
                  </w:r>
                </w:p>
              </w:tc>
            </w:tr>
            <w:tr w14:paraId="74187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1101" w:type="dxa"/>
                  <w:vMerge w:val="continue"/>
                  <w:shd w:val="clear" w:color="auto" w:fill="auto"/>
                  <w:vAlign w:val="center"/>
                </w:tcPr>
                <w:p w14:paraId="7DA376E2">
                  <w:pPr>
                    <w:jc w:val="center"/>
                    <w:rPr>
                      <w:rFonts w:hint="default" w:asciiTheme="minorAscii" w:hAnsiTheme="minorAscii"/>
                      <w:b w:val="0"/>
                      <w:bCs/>
                      <w:sz w:val="21"/>
                      <w:szCs w:val="21"/>
                    </w:rPr>
                  </w:pPr>
                </w:p>
              </w:tc>
              <w:tc>
                <w:tcPr>
                  <w:tcW w:w="803" w:type="dxa"/>
                  <w:shd w:val="clear" w:color="auto" w:fill="auto"/>
                  <w:vAlign w:val="center"/>
                </w:tcPr>
                <w:p w14:paraId="1FCC3EF5">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0.3</w:t>
                  </w:r>
                </w:p>
              </w:tc>
              <w:tc>
                <w:tcPr>
                  <w:tcW w:w="803" w:type="dxa"/>
                  <w:shd w:val="clear" w:color="auto" w:fill="auto"/>
                  <w:vAlign w:val="center"/>
                </w:tcPr>
                <w:p w14:paraId="04C53AD9">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-1.8</w:t>
                  </w:r>
                </w:p>
              </w:tc>
              <w:tc>
                <w:tcPr>
                  <w:tcW w:w="803" w:type="dxa"/>
                  <w:shd w:val="clear" w:color="auto" w:fill="auto"/>
                  <w:vAlign w:val="center"/>
                </w:tcPr>
                <w:p w14:paraId="26FA0463">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1.2</w:t>
                  </w:r>
                </w:p>
              </w:tc>
              <w:tc>
                <w:tcPr>
                  <w:tcW w:w="993" w:type="dxa"/>
                  <w:shd w:val="clear" w:color="auto" w:fill="auto"/>
                  <w:vAlign w:val="center"/>
                </w:tcPr>
                <w:p w14:paraId="7B33510C">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夜间</w:t>
                  </w:r>
                </w:p>
              </w:tc>
              <w:tc>
                <w:tcPr>
                  <w:tcW w:w="1417" w:type="dxa"/>
                  <w:shd w:val="clear" w:color="auto" w:fill="auto"/>
                  <w:vAlign w:val="center"/>
                </w:tcPr>
                <w:p w14:paraId="67EF49B4">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31.1</w:t>
                  </w:r>
                </w:p>
              </w:tc>
              <w:tc>
                <w:tcPr>
                  <w:tcW w:w="1418" w:type="dxa"/>
                  <w:shd w:val="clear" w:color="auto" w:fill="auto"/>
                  <w:vAlign w:val="center"/>
                </w:tcPr>
                <w:p w14:paraId="1EB0638B">
                  <w:pPr>
                    <w:jc w:val="center"/>
                    <w:rPr>
                      <w:rFonts w:hint="default" w:asciiTheme="minorAscii" w:hAnsiTheme="minorAscii"/>
                      <w:b w:val="0"/>
                      <w:bCs/>
                      <w:sz w:val="21"/>
                      <w:szCs w:val="21"/>
                    </w:rPr>
                  </w:pPr>
                  <w:r>
                    <w:rPr>
                      <w:rFonts w:hint="eastAsia" w:eastAsia="宋体" w:cs="Arial" w:asciiTheme="minorAscii" w:hAnsiTheme="minorAscii"/>
                      <w:b w:val="0"/>
                      <w:bCs/>
                      <w:sz w:val="21"/>
                      <w:szCs w:val="21"/>
                      <w:lang w:val="en-US" w:eastAsia="zh-CN"/>
                    </w:rPr>
                    <w:t>50</w:t>
                  </w:r>
                </w:p>
              </w:tc>
              <w:tc>
                <w:tcPr>
                  <w:tcW w:w="1188" w:type="dxa"/>
                  <w:shd w:val="clear" w:color="auto" w:fill="auto"/>
                  <w:vAlign w:val="center"/>
                </w:tcPr>
                <w:p w14:paraId="7E40ECAD">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达标</w:t>
                  </w:r>
                </w:p>
              </w:tc>
            </w:tr>
            <w:tr w14:paraId="41873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1101" w:type="dxa"/>
                  <w:vMerge w:val="restart"/>
                  <w:shd w:val="clear" w:color="auto" w:fill="auto"/>
                  <w:vAlign w:val="center"/>
                </w:tcPr>
                <w:p w14:paraId="54818AF0">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北侧</w:t>
                  </w:r>
                </w:p>
              </w:tc>
              <w:tc>
                <w:tcPr>
                  <w:tcW w:w="803" w:type="dxa"/>
                  <w:shd w:val="clear" w:color="auto" w:fill="auto"/>
                  <w:vAlign w:val="center"/>
                </w:tcPr>
                <w:p w14:paraId="157FF765">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-11.3</w:t>
                  </w:r>
                </w:p>
              </w:tc>
              <w:tc>
                <w:tcPr>
                  <w:tcW w:w="803" w:type="dxa"/>
                  <w:shd w:val="clear" w:color="auto" w:fill="auto"/>
                  <w:vAlign w:val="center"/>
                </w:tcPr>
                <w:p w14:paraId="59A111D2">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110.4</w:t>
                  </w:r>
                </w:p>
              </w:tc>
              <w:tc>
                <w:tcPr>
                  <w:tcW w:w="803" w:type="dxa"/>
                  <w:shd w:val="clear" w:color="auto" w:fill="auto"/>
                  <w:vAlign w:val="center"/>
                </w:tcPr>
                <w:p w14:paraId="558F5312">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1.2</w:t>
                  </w:r>
                </w:p>
              </w:tc>
              <w:tc>
                <w:tcPr>
                  <w:tcW w:w="993" w:type="dxa"/>
                  <w:shd w:val="clear" w:color="auto" w:fill="auto"/>
                  <w:vAlign w:val="center"/>
                </w:tcPr>
                <w:p w14:paraId="660621EF">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昼间</w:t>
                  </w:r>
                </w:p>
              </w:tc>
              <w:tc>
                <w:tcPr>
                  <w:tcW w:w="1417" w:type="dxa"/>
                  <w:shd w:val="clear" w:color="auto" w:fill="auto"/>
                  <w:vAlign w:val="center"/>
                </w:tcPr>
                <w:p w14:paraId="01B88018">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47.3</w:t>
                  </w:r>
                </w:p>
              </w:tc>
              <w:tc>
                <w:tcPr>
                  <w:tcW w:w="1418" w:type="dxa"/>
                  <w:shd w:val="clear" w:color="auto" w:fill="auto"/>
                  <w:vAlign w:val="center"/>
                </w:tcPr>
                <w:p w14:paraId="6BA321B6">
                  <w:pPr>
                    <w:jc w:val="center"/>
                    <w:rPr>
                      <w:rFonts w:hint="default" w:asciiTheme="minorAscii" w:hAnsiTheme="minorAscii"/>
                      <w:b w:val="0"/>
                      <w:bCs/>
                      <w:sz w:val="21"/>
                      <w:szCs w:val="21"/>
                    </w:rPr>
                  </w:pPr>
                  <w:r>
                    <w:rPr>
                      <w:rFonts w:hint="eastAsia" w:eastAsia="宋体" w:cs="Arial" w:asciiTheme="minorAscii" w:hAnsiTheme="minorAscii"/>
                      <w:b w:val="0"/>
                      <w:bCs/>
                      <w:sz w:val="21"/>
                      <w:szCs w:val="21"/>
                      <w:lang w:val="en-US" w:eastAsia="zh-CN"/>
                    </w:rPr>
                    <w:t>60</w:t>
                  </w:r>
                </w:p>
              </w:tc>
              <w:tc>
                <w:tcPr>
                  <w:tcW w:w="1188" w:type="dxa"/>
                  <w:shd w:val="clear" w:color="auto" w:fill="auto"/>
                  <w:vAlign w:val="center"/>
                </w:tcPr>
                <w:p w14:paraId="3E05F622">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达标</w:t>
                  </w:r>
                </w:p>
              </w:tc>
            </w:tr>
            <w:tr w14:paraId="405E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exact"/>
                <w:jc w:val="center"/>
              </w:trPr>
              <w:tc>
                <w:tcPr>
                  <w:tcW w:w="1101" w:type="dxa"/>
                  <w:vMerge w:val="continue"/>
                  <w:shd w:val="clear" w:color="auto" w:fill="auto"/>
                  <w:vAlign w:val="center"/>
                </w:tcPr>
                <w:p w14:paraId="26FDB07C">
                  <w:pPr>
                    <w:jc w:val="center"/>
                    <w:rPr>
                      <w:rFonts w:hint="default" w:asciiTheme="minorAscii" w:hAnsiTheme="minorAscii"/>
                      <w:b w:val="0"/>
                      <w:bCs/>
                      <w:sz w:val="21"/>
                      <w:szCs w:val="21"/>
                    </w:rPr>
                  </w:pPr>
                </w:p>
              </w:tc>
              <w:tc>
                <w:tcPr>
                  <w:tcW w:w="803" w:type="dxa"/>
                  <w:shd w:val="clear" w:color="auto" w:fill="auto"/>
                  <w:vAlign w:val="center"/>
                </w:tcPr>
                <w:p w14:paraId="583E4876">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-11.3</w:t>
                  </w:r>
                </w:p>
              </w:tc>
              <w:tc>
                <w:tcPr>
                  <w:tcW w:w="803" w:type="dxa"/>
                  <w:shd w:val="clear" w:color="auto" w:fill="auto"/>
                  <w:vAlign w:val="center"/>
                </w:tcPr>
                <w:p w14:paraId="2FB60689">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110.4</w:t>
                  </w:r>
                </w:p>
              </w:tc>
              <w:tc>
                <w:tcPr>
                  <w:tcW w:w="803" w:type="dxa"/>
                  <w:shd w:val="clear" w:color="auto" w:fill="auto"/>
                  <w:vAlign w:val="center"/>
                </w:tcPr>
                <w:p w14:paraId="342388E2">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1.2</w:t>
                  </w:r>
                </w:p>
              </w:tc>
              <w:tc>
                <w:tcPr>
                  <w:tcW w:w="993" w:type="dxa"/>
                  <w:shd w:val="clear" w:color="auto" w:fill="auto"/>
                  <w:vAlign w:val="center"/>
                </w:tcPr>
                <w:p w14:paraId="3045D6D9">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夜间</w:t>
                  </w:r>
                </w:p>
              </w:tc>
              <w:tc>
                <w:tcPr>
                  <w:tcW w:w="1417" w:type="dxa"/>
                  <w:shd w:val="clear" w:color="auto" w:fill="auto"/>
                  <w:vAlign w:val="center"/>
                </w:tcPr>
                <w:p w14:paraId="77DD2087">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47.3</w:t>
                  </w:r>
                </w:p>
              </w:tc>
              <w:tc>
                <w:tcPr>
                  <w:tcW w:w="1418" w:type="dxa"/>
                  <w:shd w:val="clear" w:color="auto" w:fill="auto"/>
                  <w:vAlign w:val="center"/>
                </w:tcPr>
                <w:p w14:paraId="0023F994">
                  <w:pPr>
                    <w:jc w:val="center"/>
                    <w:rPr>
                      <w:rFonts w:hint="default" w:asciiTheme="minorAscii" w:hAnsiTheme="minorAscii"/>
                      <w:b w:val="0"/>
                      <w:bCs/>
                      <w:sz w:val="21"/>
                      <w:szCs w:val="21"/>
                    </w:rPr>
                  </w:pPr>
                  <w:r>
                    <w:rPr>
                      <w:rFonts w:hint="eastAsia" w:eastAsia="宋体" w:cs="Arial" w:asciiTheme="minorAscii" w:hAnsiTheme="minorAscii"/>
                      <w:b w:val="0"/>
                      <w:bCs/>
                      <w:sz w:val="21"/>
                      <w:szCs w:val="21"/>
                      <w:lang w:val="en-US" w:eastAsia="zh-CN"/>
                    </w:rPr>
                    <w:t>50</w:t>
                  </w:r>
                </w:p>
              </w:tc>
              <w:tc>
                <w:tcPr>
                  <w:tcW w:w="1188" w:type="dxa"/>
                  <w:shd w:val="clear" w:color="auto" w:fill="auto"/>
                  <w:vAlign w:val="center"/>
                </w:tcPr>
                <w:p w14:paraId="62DED5F1">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达标</w:t>
                  </w:r>
                </w:p>
              </w:tc>
            </w:tr>
          </w:tbl>
          <w:p w14:paraId="5F0BED7F">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rFonts w:hint="default" w:ascii="Calibri" w:hAnsi="Calibri" w:cs="Calibri"/>
                <w:kern w:val="0"/>
                <w:sz w:val="24"/>
                <w:szCs w:val="24"/>
              </w:rPr>
            </w:pPr>
            <w:r>
              <w:rPr>
                <w:rFonts w:hint="default" w:ascii="Calibri" w:hAnsi="Calibri" w:eastAsia="宋体" w:cs="Calibri"/>
                <w:sz w:val="24"/>
                <w:szCs w:val="24"/>
              </w:rPr>
              <w:t>表中坐标以厂界中心（86.6113663,42.038719）为坐标原点，正东向为X轴正方向，正北向为Y轴正方向。</w:t>
            </w:r>
          </w:p>
          <w:p w14:paraId="35C5085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Calibri" w:hAnsi="Calibri" w:cs="Calibri"/>
                <w:kern w:val="0"/>
                <w:sz w:val="24"/>
                <w:szCs w:val="24"/>
              </w:rPr>
            </w:pPr>
            <w:r>
              <w:rPr>
                <w:rFonts w:hint="default" w:ascii="Calibri" w:hAnsi="Calibri" w:cs="Calibri"/>
                <w:kern w:val="0"/>
                <w:sz w:val="24"/>
                <w:szCs w:val="24"/>
              </w:rPr>
              <w:t>由上表可知，正常工况下，项目厂界噪声满足《工业企业厂界环境噪声排放标准》（GB12348—2008）</w:t>
            </w:r>
            <w:r>
              <w:rPr>
                <w:rFonts w:hint="eastAsia" w:ascii="Calibri" w:hAnsi="Calibri" w:cs="Calibri"/>
                <w:kern w:val="0"/>
                <w:sz w:val="24"/>
                <w:szCs w:val="24"/>
                <w:lang w:val="en-US" w:eastAsia="zh-CN"/>
              </w:rPr>
              <w:t>2</w:t>
            </w:r>
            <w:r>
              <w:rPr>
                <w:rFonts w:hint="default" w:ascii="Calibri" w:hAnsi="Calibri" w:cs="Calibri"/>
                <w:kern w:val="0"/>
                <w:sz w:val="24"/>
                <w:szCs w:val="24"/>
              </w:rPr>
              <w:t>类标准。</w:t>
            </w:r>
          </w:p>
          <w:p w14:paraId="3B48B3ED">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sz w:val="24"/>
              </w:rPr>
            </w:pPr>
            <w:r>
              <w:rPr>
                <w:rFonts w:hint="default" w:ascii="Calibri" w:hAnsi="Calibri" w:eastAsia="宋体" w:cs="Calibri"/>
                <w:sz w:val="24"/>
                <w:szCs w:val="24"/>
              </w:rPr>
              <w:t>为了进一步减少本项目噪声对周围声环境的影响，本项目</w:t>
            </w:r>
            <w:r>
              <w:rPr>
                <w:rFonts w:hint="eastAsia" w:ascii="Times New Roman" w:hAnsi="Times New Roman" w:eastAsia="宋体" w:cs="Times New Roman"/>
                <w:sz w:val="24"/>
              </w:rPr>
              <w:t>拟采取下述噪声防治措施：</w:t>
            </w:r>
          </w:p>
          <w:p w14:paraId="7DC93E65">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rPr>
              <w:fldChar w:fldCharType="begin"/>
            </w:r>
            <w:r>
              <w:rPr>
                <w:rFonts w:hint="eastAsia" w:ascii="Times New Roman" w:hAnsi="Times New Roman" w:eastAsia="宋体" w:cs="Times New Roman"/>
                <w:sz w:val="24"/>
              </w:rPr>
              <w:instrText xml:space="preserve"> = 1 \* GB3 \* MERGEFORMAT </w:instrText>
            </w:r>
            <w:r>
              <w:rPr>
                <w:rFonts w:hint="eastAsia" w:ascii="Times New Roman" w:hAnsi="Times New Roman" w:eastAsia="宋体" w:cs="Times New Roman"/>
                <w:sz w:val="24"/>
              </w:rPr>
              <w:fldChar w:fldCharType="separate"/>
            </w:r>
            <w:r>
              <w:rPr>
                <w:rFonts w:hint="eastAsia" w:ascii="Times New Roman" w:hAnsi="Times New Roman" w:eastAsia="宋体" w:cs="Times New Roman"/>
                <w:sz w:val="24"/>
              </w:rPr>
              <w:t>①</w:t>
            </w:r>
            <w:r>
              <w:rPr>
                <w:rFonts w:hint="eastAsia" w:ascii="Times New Roman" w:hAnsi="Times New Roman" w:eastAsia="宋体" w:cs="Times New Roman"/>
                <w:sz w:val="24"/>
              </w:rPr>
              <w:fldChar w:fldCharType="end"/>
            </w:r>
            <w:r>
              <w:rPr>
                <w:rFonts w:hint="eastAsia" w:ascii="Times New Roman" w:hAnsi="Times New Roman" w:eastAsia="宋体" w:cs="Times New Roman"/>
                <w:sz w:val="24"/>
              </w:rPr>
              <w:t>选用技术先进、低噪声机械设备；合理布局，使高噪声设备尽量远离厂界</w:t>
            </w:r>
            <w:r>
              <w:rPr>
                <w:rFonts w:hint="eastAsia" w:ascii="Times New Roman" w:hAnsi="Times New Roman" w:cs="Times New Roman"/>
                <w:sz w:val="24"/>
                <w:lang w:eastAsia="zh-CN"/>
              </w:rPr>
              <w:t>。</w:t>
            </w:r>
          </w:p>
          <w:p w14:paraId="08854F14">
            <w:pPr>
              <w:keepNext w:val="0"/>
              <w:keepLines w:val="0"/>
              <w:pageBreakBefore w:val="0"/>
              <w:widowControl w:val="0"/>
              <w:kinsoku/>
              <w:wordWrap/>
              <w:overflowPunct/>
              <w:topLinePunct w:val="0"/>
              <w:autoSpaceDE/>
              <w:autoSpaceDN/>
              <w:bidi w:val="0"/>
              <w:spacing w:line="360" w:lineRule="auto"/>
              <w:ind w:firstLine="480" w:firstLineChars="200"/>
              <w:textAlignment w:val="auto"/>
              <w:rPr>
                <w:b/>
                <w:bCs/>
                <w:sz w:val="24"/>
                <w:lang w:val="en-US" w:eastAsia="zh-CN"/>
              </w:rPr>
            </w:pPr>
            <w:r>
              <w:rPr>
                <w:kern w:val="24"/>
                <w:sz w:val="24"/>
              </w:rPr>
              <w:t>②在设备运行时，加强设备的维修与日常保养，使之正常运转，特别是对高噪声设备</w:t>
            </w:r>
            <w:r>
              <w:rPr>
                <w:rFonts w:hint="eastAsia"/>
                <w:kern w:val="24"/>
                <w:sz w:val="24"/>
                <w:lang w:val="en-US" w:eastAsia="zh-CN"/>
              </w:rPr>
              <w:t>需</w:t>
            </w:r>
            <w:r>
              <w:rPr>
                <w:kern w:val="24"/>
                <w:sz w:val="24"/>
              </w:rPr>
              <w:t>经常定期</w:t>
            </w:r>
            <w:r>
              <w:rPr>
                <w:rFonts w:hint="eastAsia"/>
                <w:kern w:val="24"/>
                <w:sz w:val="24"/>
                <w:lang w:eastAsia="zh-CN"/>
              </w:rPr>
              <w:t>地</w:t>
            </w:r>
            <w:r>
              <w:rPr>
                <w:kern w:val="24"/>
                <w:sz w:val="24"/>
              </w:rPr>
              <w:t>进行检修</w:t>
            </w:r>
            <w:r>
              <w:rPr>
                <w:sz w:val="24"/>
                <w:lang w:val="en-US" w:eastAsia="zh-CN"/>
              </w:rPr>
              <w:t>。</w:t>
            </w:r>
          </w:p>
          <w:p w14:paraId="2A6AD701">
            <w:pPr>
              <w:spacing w:line="360" w:lineRule="auto"/>
              <w:ind w:firstLine="482" w:firstLineChars="200"/>
              <w:rPr>
                <w:rFonts w:hint="eastAsia"/>
                <w:b/>
                <w:bCs/>
                <w:sz w:val="24"/>
              </w:rPr>
            </w:pPr>
            <w:r>
              <w:rPr>
                <w:rFonts w:hint="eastAsia"/>
                <w:b/>
                <w:bCs/>
                <w:sz w:val="24"/>
                <w:lang w:val="en-US" w:eastAsia="zh-CN"/>
              </w:rPr>
              <w:t>3.2</w:t>
            </w:r>
            <w:r>
              <w:rPr>
                <w:rFonts w:hint="eastAsia"/>
                <w:b/>
                <w:bCs/>
                <w:sz w:val="24"/>
              </w:rPr>
              <w:t>监测要求</w:t>
            </w:r>
          </w:p>
          <w:p w14:paraId="01BE3495">
            <w:pPr>
              <w:spacing w:line="360" w:lineRule="auto"/>
              <w:ind w:firstLine="480" w:firstLineChars="200"/>
              <w:rPr>
                <w:sz w:val="24"/>
              </w:rPr>
            </w:pPr>
            <w:r>
              <w:rPr>
                <w:rFonts w:hint="eastAsia"/>
                <w:sz w:val="24"/>
              </w:rPr>
              <w:t>参照《排污单位自行监测技术指南 总则》（HJ819-2017）的相关要求，本项目噪声监测计划见下表。</w:t>
            </w:r>
          </w:p>
          <w:p w14:paraId="0D12C788">
            <w:pPr>
              <w:spacing w:line="480" w:lineRule="exact"/>
              <w:jc w:val="center"/>
              <w:rPr>
                <w:b/>
                <w:bCs/>
                <w:sz w:val="24"/>
              </w:rPr>
            </w:pPr>
            <w:r>
              <w:rPr>
                <w:b/>
                <w:bCs/>
                <w:sz w:val="24"/>
              </w:rPr>
              <w:t>表</w:t>
            </w:r>
            <w:r>
              <w:rPr>
                <w:rFonts w:hint="eastAsia"/>
                <w:b/>
                <w:bCs/>
                <w:sz w:val="24"/>
                <w:lang w:val="en-US" w:eastAsia="zh-CN"/>
              </w:rPr>
              <w:t>4-14</w:t>
            </w:r>
            <w:r>
              <w:rPr>
                <w:rFonts w:hint="eastAsia"/>
                <w:b/>
                <w:bCs/>
                <w:sz w:val="24"/>
              </w:rPr>
              <w:t xml:space="preserve">  </w:t>
            </w:r>
            <w:r>
              <w:rPr>
                <w:b/>
                <w:bCs/>
                <w:sz w:val="24"/>
              </w:rPr>
              <w:t xml:space="preserve"> </w:t>
            </w:r>
            <w:r>
              <w:rPr>
                <w:rFonts w:hint="eastAsia"/>
                <w:b/>
                <w:bCs/>
                <w:sz w:val="24"/>
              </w:rPr>
              <w:t>噪声</w:t>
            </w:r>
            <w:r>
              <w:rPr>
                <w:b/>
                <w:bCs/>
                <w:sz w:val="24"/>
              </w:rPr>
              <w:t>环境监测计划</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4"/>
              <w:gridCol w:w="1906"/>
              <w:gridCol w:w="1448"/>
              <w:gridCol w:w="3159"/>
            </w:tblGrid>
            <w:tr w14:paraId="51AC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pct"/>
                  <w:noWrap w:val="0"/>
                  <w:vAlign w:val="center"/>
                </w:tcPr>
                <w:p w14:paraId="12D2EA22">
                  <w:pPr>
                    <w:jc w:val="center"/>
                    <w:rPr>
                      <w:szCs w:val="21"/>
                    </w:rPr>
                  </w:pPr>
                  <w:r>
                    <w:rPr>
                      <w:rFonts w:hint="eastAsia"/>
                      <w:szCs w:val="21"/>
                    </w:rPr>
                    <w:t>监测点位</w:t>
                  </w:r>
                </w:p>
              </w:tc>
              <w:tc>
                <w:tcPr>
                  <w:tcW w:w="1132" w:type="pct"/>
                  <w:noWrap w:val="0"/>
                  <w:vAlign w:val="center"/>
                </w:tcPr>
                <w:p w14:paraId="122F2B43">
                  <w:pPr>
                    <w:jc w:val="center"/>
                    <w:rPr>
                      <w:szCs w:val="21"/>
                    </w:rPr>
                  </w:pPr>
                  <w:r>
                    <w:rPr>
                      <w:rFonts w:hint="eastAsia"/>
                      <w:szCs w:val="21"/>
                    </w:rPr>
                    <w:t>监测项目</w:t>
                  </w:r>
                </w:p>
              </w:tc>
              <w:tc>
                <w:tcPr>
                  <w:tcW w:w="860" w:type="pct"/>
                  <w:noWrap w:val="0"/>
                  <w:vAlign w:val="center"/>
                </w:tcPr>
                <w:p w14:paraId="6CB5A2AB">
                  <w:pPr>
                    <w:jc w:val="center"/>
                    <w:rPr>
                      <w:szCs w:val="21"/>
                    </w:rPr>
                  </w:pPr>
                  <w:r>
                    <w:rPr>
                      <w:szCs w:val="21"/>
                    </w:rPr>
                    <w:t>监测频次</w:t>
                  </w:r>
                </w:p>
              </w:tc>
              <w:tc>
                <w:tcPr>
                  <w:tcW w:w="1876" w:type="pct"/>
                  <w:noWrap w:val="0"/>
                  <w:vAlign w:val="center"/>
                </w:tcPr>
                <w:p w14:paraId="7B7A6294">
                  <w:pPr>
                    <w:jc w:val="center"/>
                    <w:rPr>
                      <w:szCs w:val="21"/>
                    </w:rPr>
                  </w:pPr>
                  <w:r>
                    <w:rPr>
                      <w:szCs w:val="21"/>
                    </w:rPr>
                    <w:t>执行标准</w:t>
                  </w:r>
                </w:p>
              </w:tc>
            </w:tr>
            <w:tr w14:paraId="72D6C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pct"/>
                  <w:noWrap w:val="0"/>
                  <w:vAlign w:val="center"/>
                </w:tcPr>
                <w:p w14:paraId="7F146346">
                  <w:pPr>
                    <w:jc w:val="center"/>
                    <w:rPr>
                      <w:szCs w:val="21"/>
                    </w:rPr>
                  </w:pPr>
                  <w:r>
                    <w:rPr>
                      <w:rFonts w:hint="eastAsia"/>
                      <w:szCs w:val="21"/>
                    </w:rPr>
                    <w:t>四周厂界外1米</w:t>
                  </w:r>
                </w:p>
              </w:tc>
              <w:tc>
                <w:tcPr>
                  <w:tcW w:w="1132" w:type="pct"/>
                  <w:noWrap w:val="0"/>
                  <w:vAlign w:val="center"/>
                </w:tcPr>
                <w:p w14:paraId="4D5BB4DB">
                  <w:pPr>
                    <w:jc w:val="center"/>
                    <w:rPr>
                      <w:szCs w:val="21"/>
                    </w:rPr>
                  </w:pPr>
                  <w:r>
                    <w:rPr>
                      <w:rFonts w:hint="eastAsia"/>
                      <w:szCs w:val="21"/>
                    </w:rPr>
                    <w:t>连续等效A声级</w:t>
                  </w:r>
                </w:p>
              </w:tc>
              <w:tc>
                <w:tcPr>
                  <w:tcW w:w="860" w:type="pct"/>
                  <w:noWrap w:val="0"/>
                  <w:vAlign w:val="center"/>
                </w:tcPr>
                <w:p w14:paraId="2B9F61E7">
                  <w:pPr>
                    <w:jc w:val="center"/>
                    <w:rPr>
                      <w:rFonts w:hint="eastAsia"/>
                      <w:szCs w:val="21"/>
                    </w:rPr>
                  </w:pPr>
                  <w:r>
                    <w:rPr>
                      <w:szCs w:val="21"/>
                    </w:rPr>
                    <w:t>1次/</w:t>
                  </w:r>
                  <w:r>
                    <w:rPr>
                      <w:rFonts w:hint="eastAsia"/>
                      <w:szCs w:val="21"/>
                    </w:rPr>
                    <w:t>季度，昼夜各监测1次</w:t>
                  </w:r>
                </w:p>
              </w:tc>
              <w:tc>
                <w:tcPr>
                  <w:tcW w:w="1876" w:type="pct"/>
                  <w:noWrap w:val="0"/>
                  <w:vAlign w:val="center"/>
                </w:tcPr>
                <w:p w14:paraId="0E2426DB">
                  <w:pPr>
                    <w:jc w:val="center"/>
                    <w:rPr>
                      <w:szCs w:val="21"/>
                    </w:rPr>
                  </w:pPr>
                  <w:r>
                    <w:rPr>
                      <w:kern w:val="0"/>
                      <w:szCs w:val="21"/>
                    </w:rPr>
                    <w:t>《工业企业厂界环境噪声排放标准》（GB12348-2008）中</w:t>
                  </w:r>
                  <w:r>
                    <w:rPr>
                      <w:rFonts w:hint="eastAsia"/>
                      <w:kern w:val="0"/>
                      <w:szCs w:val="21"/>
                    </w:rPr>
                    <w:t>2</w:t>
                  </w:r>
                  <w:r>
                    <w:rPr>
                      <w:kern w:val="0"/>
                      <w:szCs w:val="21"/>
                    </w:rPr>
                    <w:t>类标准</w:t>
                  </w:r>
                </w:p>
              </w:tc>
            </w:tr>
          </w:tbl>
          <w:p w14:paraId="21A93C5C">
            <w:pPr>
              <w:spacing w:line="360" w:lineRule="auto"/>
              <w:rPr>
                <w:b/>
                <w:sz w:val="24"/>
              </w:rPr>
            </w:pPr>
            <w:r>
              <w:rPr>
                <w:rFonts w:hint="eastAsia" w:ascii="宋体" w:hAnsi="宋体" w:cs="宋体"/>
                <w:b/>
                <w:sz w:val="24"/>
              </w:rPr>
              <w:t>（</w:t>
            </w:r>
            <w:r>
              <w:rPr>
                <w:b/>
                <w:sz w:val="24"/>
              </w:rPr>
              <w:t>四）运营期固体废物环境影响和保护措施</w:t>
            </w:r>
          </w:p>
          <w:p w14:paraId="148B3690">
            <w:pPr>
              <w:widowControl/>
              <w:spacing w:line="360" w:lineRule="auto"/>
              <w:ind w:firstLine="482" w:firstLineChars="200"/>
              <w:jc w:val="left"/>
              <w:rPr>
                <w:b/>
                <w:bCs/>
                <w:sz w:val="24"/>
              </w:rPr>
            </w:pPr>
            <w:r>
              <w:rPr>
                <w:rFonts w:hint="eastAsia"/>
                <w:b/>
                <w:bCs/>
                <w:sz w:val="24"/>
                <w:lang w:eastAsia="zh-CN"/>
              </w:rPr>
              <w:t>1.</w:t>
            </w:r>
            <w:r>
              <w:rPr>
                <w:b/>
                <w:bCs/>
                <w:sz w:val="24"/>
              </w:rPr>
              <w:t>固体废物产生情况和处置情况</w:t>
            </w:r>
          </w:p>
          <w:p w14:paraId="301EED53">
            <w:pPr>
              <w:numPr>
                <w:ilvl w:val="0"/>
                <w:numId w:val="0"/>
              </w:numPr>
              <w:spacing w:line="360" w:lineRule="auto"/>
              <w:ind w:firstLine="480" w:firstLineChars="200"/>
              <w:jc w:val="left"/>
              <w:rPr>
                <w:rFonts w:hint="eastAsia"/>
                <w:sz w:val="24"/>
              </w:rPr>
            </w:pPr>
            <w:r>
              <w:rPr>
                <w:rFonts w:hint="eastAsia" w:ascii="Times New Roman" w:hAnsi="Times New Roman" w:eastAsia="宋体" w:cs="Times New Roman"/>
                <w:kern w:val="2"/>
                <w:sz w:val="24"/>
                <w:szCs w:val="24"/>
                <w:lang w:val="en-US" w:eastAsia="zh-CN" w:bidi="ar-SA"/>
              </w:rPr>
              <w:t>（1）</w:t>
            </w:r>
            <w:r>
              <w:rPr>
                <w:rFonts w:hint="eastAsia"/>
                <w:sz w:val="24"/>
              </w:rPr>
              <w:t>栅渣</w:t>
            </w:r>
          </w:p>
          <w:p w14:paraId="484BCB9D">
            <w:pPr>
              <w:spacing w:line="360" w:lineRule="auto"/>
              <w:ind w:firstLine="480" w:firstLineChars="200"/>
              <w:jc w:val="left"/>
              <w:rPr>
                <w:rFonts w:hint="eastAsia"/>
                <w:sz w:val="24"/>
              </w:rPr>
            </w:pPr>
            <w:r>
              <w:rPr>
                <w:rFonts w:hint="eastAsia"/>
                <w:sz w:val="24"/>
              </w:rPr>
              <w:t>本项目细格栅会拦截一部分栅渣，参考《城市污水处理厂进水量变化系数与栅渣调查分析》，城市污水厂栅渣发生量一般为0.05-0.1m</w:t>
            </w:r>
            <w:r>
              <w:rPr>
                <w:rFonts w:hint="eastAsia"/>
                <w:sz w:val="24"/>
                <w:vertAlign w:val="superscript"/>
              </w:rPr>
              <w:t>3</w:t>
            </w:r>
            <w:r>
              <w:rPr>
                <w:rFonts w:hint="eastAsia"/>
                <w:sz w:val="24"/>
              </w:rPr>
              <w:t>/1000m</w:t>
            </w:r>
            <w:r>
              <w:rPr>
                <w:rFonts w:hint="eastAsia"/>
                <w:sz w:val="24"/>
                <w:vertAlign w:val="superscript"/>
              </w:rPr>
              <w:t>3</w:t>
            </w:r>
            <w:r>
              <w:rPr>
                <w:rFonts w:hint="eastAsia"/>
                <w:sz w:val="24"/>
              </w:rPr>
              <w:t>·d（本环评取0.</w:t>
            </w:r>
            <w:r>
              <w:rPr>
                <w:rFonts w:hint="eastAsia"/>
                <w:sz w:val="24"/>
                <w:lang w:val="en-US" w:eastAsia="zh-CN"/>
              </w:rPr>
              <w:t>1t</w:t>
            </w:r>
            <w:r>
              <w:rPr>
                <w:rFonts w:hint="eastAsia"/>
                <w:sz w:val="24"/>
              </w:rPr>
              <w:t>/1000m</w:t>
            </w:r>
            <w:r>
              <w:rPr>
                <w:rFonts w:hint="eastAsia"/>
                <w:sz w:val="24"/>
                <w:vertAlign w:val="superscript"/>
              </w:rPr>
              <w:t>3</w:t>
            </w:r>
            <w:r>
              <w:rPr>
                <w:rFonts w:hint="eastAsia"/>
                <w:sz w:val="24"/>
              </w:rPr>
              <w:t>·d），本项目处理规模</w:t>
            </w:r>
            <w:r>
              <w:rPr>
                <w:rFonts w:hint="eastAsia"/>
                <w:sz w:val="24"/>
                <w:lang w:val="en-US" w:eastAsia="zh-CN"/>
              </w:rPr>
              <w:t>10</w:t>
            </w:r>
            <w:r>
              <w:rPr>
                <w:rFonts w:hint="eastAsia"/>
                <w:sz w:val="24"/>
              </w:rPr>
              <w:t>00m</w:t>
            </w:r>
            <w:r>
              <w:rPr>
                <w:rFonts w:hint="eastAsia"/>
                <w:sz w:val="24"/>
                <w:vertAlign w:val="superscript"/>
              </w:rPr>
              <w:t>3</w:t>
            </w:r>
            <w:r>
              <w:rPr>
                <w:rFonts w:hint="eastAsia"/>
                <w:sz w:val="24"/>
              </w:rPr>
              <w:t>/d，则本项目栅渣产生量</w:t>
            </w:r>
            <w:r>
              <w:rPr>
                <w:rFonts w:hint="eastAsia"/>
                <w:sz w:val="24"/>
                <w:lang w:val="en-US" w:eastAsia="zh-CN"/>
              </w:rPr>
              <w:t>100t</w:t>
            </w:r>
            <w:r>
              <w:rPr>
                <w:rFonts w:hint="eastAsia"/>
                <w:sz w:val="24"/>
              </w:rPr>
              <w:t>/a，集中收集后统一运至垃圾填埋场卫生填埋。</w:t>
            </w:r>
          </w:p>
          <w:p w14:paraId="07E97BF3">
            <w:pPr>
              <w:numPr>
                <w:ilvl w:val="0"/>
                <w:numId w:val="0"/>
              </w:numPr>
              <w:spacing w:line="360" w:lineRule="auto"/>
              <w:ind w:firstLine="480" w:firstLineChars="200"/>
              <w:jc w:val="left"/>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w:t>
            </w:r>
            <w:r>
              <w:rPr>
                <w:rFonts w:hint="eastAsia" w:cs="Times New Roman"/>
                <w:kern w:val="2"/>
                <w:sz w:val="24"/>
                <w:szCs w:val="24"/>
                <w:lang w:val="en-US" w:eastAsia="zh-CN" w:bidi="ar-SA"/>
              </w:rPr>
              <w:t>浮油、</w:t>
            </w:r>
            <w:r>
              <w:rPr>
                <w:rFonts w:hint="eastAsia" w:ascii="Times New Roman" w:hAnsi="Times New Roman" w:eastAsia="宋体" w:cs="Times New Roman"/>
                <w:kern w:val="2"/>
                <w:sz w:val="24"/>
                <w:szCs w:val="24"/>
                <w:lang w:val="en-US" w:eastAsia="zh-CN" w:bidi="ar-SA"/>
              </w:rPr>
              <w:t>浮渣</w:t>
            </w:r>
          </w:p>
          <w:p w14:paraId="599BC30C">
            <w:pPr>
              <w:numPr>
                <w:ilvl w:val="0"/>
                <w:numId w:val="0"/>
              </w:numPr>
              <w:spacing w:line="360" w:lineRule="auto"/>
              <w:ind w:firstLine="480" w:firstLineChars="200"/>
              <w:jc w:val="left"/>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项目隔油沉淀池、气浮机运行过程中会产生一定量的</w:t>
            </w:r>
            <w:r>
              <w:rPr>
                <w:rFonts w:hint="eastAsia" w:cs="Times New Roman"/>
                <w:kern w:val="2"/>
                <w:sz w:val="24"/>
                <w:szCs w:val="24"/>
                <w:lang w:val="en-US" w:eastAsia="zh-CN" w:bidi="ar-SA"/>
              </w:rPr>
              <w:t>浮油、</w:t>
            </w:r>
            <w:r>
              <w:rPr>
                <w:rFonts w:hint="eastAsia" w:ascii="Times New Roman" w:hAnsi="Times New Roman" w:eastAsia="宋体" w:cs="Times New Roman"/>
                <w:kern w:val="2"/>
                <w:sz w:val="24"/>
                <w:szCs w:val="24"/>
                <w:lang w:val="en-US" w:eastAsia="zh-CN" w:bidi="ar-SA"/>
              </w:rPr>
              <w:t>浮渣，主要成分为油脂及部分悬浮物。根据建设单位资料提供，</w:t>
            </w:r>
            <w:r>
              <w:rPr>
                <w:rFonts w:hint="eastAsia" w:cs="Times New Roman"/>
                <w:kern w:val="2"/>
                <w:sz w:val="24"/>
                <w:szCs w:val="24"/>
                <w:lang w:val="en-US" w:eastAsia="zh-CN" w:bidi="ar-SA"/>
              </w:rPr>
              <w:t>浮油、</w:t>
            </w:r>
            <w:r>
              <w:rPr>
                <w:rFonts w:hint="eastAsia" w:ascii="Times New Roman" w:hAnsi="Times New Roman" w:eastAsia="宋体" w:cs="Times New Roman"/>
                <w:kern w:val="2"/>
                <w:sz w:val="24"/>
                <w:szCs w:val="24"/>
                <w:lang w:val="en-US" w:eastAsia="zh-CN" w:bidi="ar-SA"/>
              </w:rPr>
              <w:t>浮渣产生量为30t/a。浮渣经收集后，与栅渣一并清运至垃圾填埋场进行卫生填埋处置。</w:t>
            </w:r>
          </w:p>
          <w:p w14:paraId="2809E3F2">
            <w:pPr>
              <w:numPr>
                <w:ilvl w:val="0"/>
                <w:numId w:val="0"/>
              </w:numPr>
              <w:spacing w:line="360" w:lineRule="auto"/>
              <w:ind w:firstLine="480" w:firstLineChars="200"/>
              <w:jc w:val="left"/>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（3）</w:t>
            </w:r>
            <w:r>
              <w:rPr>
                <w:rFonts w:hint="eastAsia" w:ascii="Times New Roman" w:hAnsi="Times New Roman" w:eastAsia="宋体" w:cs="Times New Roman"/>
                <w:sz w:val="24"/>
              </w:rPr>
              <w:t>污泥</w:t>
            </w:r>
          </w:p>
          <w:p w14:paraId="05F39354">
            <w:pPr>
              <w:numPr>
                <w:ilvl w:val="0"/>
                <w:numId w:val="0"/>
              </w:numPr>
              <w:spacing w:line="360" w:lineRule="auto"/>
              <w:ind w:firstLine="480" w:firstLineChars="200"/>
              <w:jc w:val="left"/>
              <w:rPr>
                <w:rFonts w:hint="eastAsia" w:ascii="Times New Roman" w:hAnsi="Times New Roman" w:eastAsia="宋体" w:cs="Times New Roman"/>
                <w:sz w:val="24"/>
                <w:lang w:eastAsia="zh-CN"/>
              </w:rPr>
            </w:pPr>
            <w:r>
              <w:rPr>
                <w:rFonts w:hint="eastAsia" w:ascii="Times New Roman" w:hAnsi="Times New Roman" w:eastAsia="宋体" w:cs="Times New Roman"/>
                <w:kern w:val="2"/>
                <w:sz w:val="24"/>
                <w:szCs w:val="24"/>
                <w:lang w:val="en-US" w:eastAsia="zh-CN" w:bidi="ar-SA"/>
              </w:rPr>
              <w:t>本项目污水处理过程中，生化处理单元、沉淀池等会产生污泥，</w:t>
            </w:r>
            <w:r>
              <w:rPr>
                <w:rFonts w:hint="eastAsia" w:ascii="Times New Roman" w:hAnsi="Times New Roman" w:eastAsia="宋体" w:cs="Times New Roman"/>
                <w:sz w:val="24"/>
              </w:rPr>
              <w:t>根据《排污许可证申请与核发技术规范水处理（试行）》（HJ978-2018）中关于污泥产生量的核算公式</w:t>
            </w:r>
            <w:r>
              <w:rPr>
                <w:rFonts w:hint="eastAsia" w:ascii="Times New Roman" w:hAnsi="Times New Roman" w:eastAsia="宋体" w:cs="Times New Roman"/>
                <w:sz w:val="24"/>
                <w:lang w:eastAsia="zh-CN"/>
              </w:rPr>
              <w:t>：</w:t>
            </w:r>
          </w:p>
          <w:p w14:paraId="67DC6EC4">
            <w:pPr>
              <w:ind w:left="0" w:leftChars="0" w:firstLine="0" w:firstLineChars="0"/>
              <w:rPr>
                <w:rFonts w:ascii="Calibri" w:hAnsi="Calibri" w:cs="Calibri"/>
                <w:szCs w:val="24"/>
              </w:rPr>
            </w:pPr>
            <w:r>
              <w:drawing>
                <wp:inline distT="0" distB="0" distL="114300" distR="114300">
                  <wp:extent cx="5270500" cy="1060450"/>
                  <wp:effectExtent l="0" t="0" r="6350" b="635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9"/>
                          <a:stretch>
                            <a:fillRect/>
                          </a:stretch>
                        </pic:blipFill>
                        <pic:spPr>
                          <a:xfrm>
                            <a:off x="0" y="0"/>
                            <a:ext cx="5270500" cy="1060450"/>
                          </a:xfrm>
                          <a:prstGeom prst="rect">
                            <a:avLst/>
                          </a:prstGeom>
                          <a:noFill/>
                          <a:ln>
                            <a:noFill/>
                          </a:ln>
                        </pic:spPr>
                      </pic:pic>
                    </a:graphicData>
                  </a:graphic>
                </wp:inline>
              </w:drawing>
            </w:r>
          </w:p>
          <w:p w14:paraId="07CCAE4A">
            <w:pPr>
              <w:numPr>
                <w:ilvl w:val="0"/>
                <w:numId w:val="0"/>
              </w:numPr>
              <w:spacing w:line="360" w:lineRule="auto"/>
              <w:ind w:firstLine="480" w:firstLineChars="200"/>
              <w:jc w:val="left"/>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kern w:val="2"/>
                <w:sz w:val="24"/>
                <w:szCs w:val="24"/>
                <w:lang w:val="en-US" w:eastAsia="zh-CN" w:bidi="ar-SA"/>
              </w:rPr>
              <w:t>则本项目干泥产生量为0.34t/d（124.1t/a），折算成60%含水率的湿污泥产量为310.25t/a，脱水后的污泥送至污泥车间暂存，剩余40%的上清液、滤液回到污水处理系统处理，不外排。本项目污泥属于工业污水处理污泥，需按规范开展鉴别，若鉴别属于一般工业固体废物，浸出毒性满足《生活垃圾填埋场污染控制标准》（GB 16889-2024）入场要求，方可送入生活垃圾填埋场独立分区填埋；若鉴别为危险废物，则交由有资质单位处置</w:t>
            </w:r>
            <w:r>
              <w:rPr>
                <w:rFonts w:hint="eastAsia" w:ascii="Times New Roman" w:hAnsi="Times New Roman" w:eastAsia="宋体" w:cs="Times New Roman"/>
                <w:color w:val="auto"/>
                <w:kern w:val="2"/>
                <w:sz w:val="24"/>
                <w:szCs w:val="24"/>
                <w:lang w:val="en-US" w:eastAsia="zh-CN" w:bidi="ar-SA"/>
              </w:rPr>
              <w:t>。</w:t>
            </w:r>
          </w:p>
          <w:p w14:paraId="3590B86E">
            <w:pPr>
              <w:spacing w:line="360" w:lineRule="auto"/>
              <w:ind w:firstLine="480" w:firstLineChars="200"/>
              <w:rPr>
                <w:rFonts w:hint="default" w:eastAsia="宋体"/>
                <w:sz w:val="24"/>
                <w:lang w:val="en-US" w:eastAsia="zh-CN"/>
              </w:rPr>
            </w:pPr>
            <w:r>
              <w:rPr>
                <w:rFonts w:hint="eastAsia"/>
                <w:sz w:val="24"/>
              </w:rPr>
              <w:t>（</w:t>
            </w:r>
            <w:r>
              <w:rPr>
                <w:rFonts w:hint="eastAsia"/>
                <w:sz w:val="24"/>
                <w:lang w:val="en-US" w:eastAsia="zh-CN"/>
              </w:rPr>
              <w:t>4</w:t>
            </w:r>
            <w:r>
              <w:rPr>
                <w:rFonts w:hint="eastAsia"/>
                <w:sz w:val="24"/>
              </w:rPr>
              <w:t>）</w:t>
            </w:r>
            <w:r>
              <w:rPr>
                <w:rFonts w:hint="eastAsia"/>
                <w:sz w:val="24"/>
                <w:lang w:val="en-US" w:eastAsia="zh-CN"/>
              </w:rPr>
              <w:t>废包装材料</w:t>
            </w:r>
          </w:p>
          <w:p w14:paraId="5A1A39D1">
            <w:pPr>
              <w:spacing w:line="360" w:lineRule="auto"/>
              <w:ind w:firstLine="480" w:firstLineChars="200"/>
              <w:rPr>
                <w:rFonts w:hint="eastAsia" w:eastAsia="宋体"/>
                <w:sz w:val="24"/>
                <w:lang w:val="en-US" w:eastAsia="zh-CN"/>
              </w:rPr>
            </w:pPr>
            <w:r>
              <w:rPr>
                <w:rFonts w:hint="eastAsia"/>
                <w:sz w:val="24"/>
              </w:rPr>
              <w:t>根据原辅材料消耗情况，本项目PAM、PAC使用会产生废包装材料，项目运行期产生废包装袋约</w:t>
            </w:r>
            <w:r>
              <w:rPr>
                <w:rFonts w:hint="eastAsia"/>
                <w:sz w:val="24"/>
                <w:lang w:val="en-US" w:eastAsia="zh-CN"/>
              </w:rPr>
              <w:t>370</w:t>
            </w:r>
            <w:r>
              <w:rPr>
                <w:rFonts w:hint="eastAsia"/>
                <w:sz w:val="24"/>
              </w:rPr>
              <w:t>0个，每个包装袋以0.1kg计，废包装袋产生量约为</w:t>
            </w:r>
            <w:r>
              <w:rPr>
                <w:rFonts w:hint="eastAsia"/>
                <w:sz w:val="24"/>
                <w:lang w:val="en-US" w:eastAsia="zh-CN"/>
              </w:rPr>
              <w:t>0.37</w:t>
            </w:r>
            <w:r>
              <w:rPr>
                <w:rFonts w:hint="eastAsia"/>
                <w:sz w:val="24"/>
              </w:rPr>
              <w:t>t/a，定期外售</w:t>
            </w:r>
            <w:r>
              <w:rPr>
                <w:rFonts w:hint="eastAsia"/>
                <w:sz w:val="24"/>
                <w:lang w:eastAsia="zh-CN"/>
              </w:rPr>
              <w:t>。</w:t>
            </w:r>
          </w:p>
          <w:p w14:paraId="68277DE0">
            <w:pPr>
              <w:spacing w:line="360" w:lineRule="auto"/>
              <w:ind w:firstLine="480" w:firstLineChars="200"/>
              <w:rPr>
                <w:rFonts w:hint="default" w:eastAsia="宋体"/>
                <w:sz w:val="24"/>
                <w:lang w:val="en-US" w:eastAsia="zh-CN"/>
              </w:rPr>
            </w:pPr>
            <w:r>
              <w:rPr>
                <w:rFonts w:hint="eastAsia"/>
                <w:sz w:val="24"/>
                <w:lang w:eastAsia="zh-CN"/>
              </w:rPr>
              <w:t>（</w:t>
            </w:r>
            <w:r>
              <w:rPr>
                <w:rFonts w:hint="eastAsia"/>
                <w:sz w:val="24"/>
                <w:lang w:val="en-US" w:eastAsia="zh-CN"/>
              </w:rPr>
              <w:t>5</w:t>
            </w:r>
            <w:r>
              <w:rPr>
                <w:rFonts w:hint="eastAsia"/>
                <w:sz w:val="24"/>
                <w:lang w:eastAsia="zh-CN"/>
              </w:rPr>
              <w:t>）</w:t>
            </w:r>
            <w:r>
              <w:rPr>
                <w:rFonts w:hint="eastAsia"/>
                <w:sz w:val="24"/>
                <w:lang w:val="en-US" w:eastAsia="zh-CN"/>
              </w:rPr>
              <w:t>废活性炭</w:t>
            </w:r>
          </w:p>
          <w:p w14:paraId="34535F28">
            <w:pPr>
              <w:spacing w:line="360" w:lineRule="auto"/>
              <w:ind w:firstLine="480" w:firstLineChars="200"/>
              <w:rPr>
                <w:color w:val="000000"/>
                <w:sz w:val="24"/>
              </w:rPr>
            </w:pPr>
            <w:r>
              <w:rPr>
                <w:rFonts w:hint="eastAsia"/>
                <w:sz w:val="24"/>
                <w:lang w:val="en-US" w:eastAsia="zh-CN"/>
              </w:rPr>
              <w:t>项目活性炭过滤罐、</w:t>
            </w:r>
            <w:r>
              <w:rPr>
                <w:rFonts w:hint="default" w:ascii="Times New Roman" w:hAnsi="Times New Roman" w:cs="Times New Roman"/>
                <w:sz w:val="24"/>
              </w:rPr>
              <w:t>活性炭吸附装置</w:t>
            </w:r>
            <w:r>
              <w:rPr>
                <w:rFonts w:hint="eastAsia" w:ascii="Times New Roman" w:hAnsi="Times New Roman" w:cs="Times New Roman"/>
                <w:sz w:val="24"/>
                <w:lang w:val="en-US" w:eastAsia="zh-CN"/>
              </w:rPr>
              <w:t>需</w:t>
            </w:r>
            <w:r>
              <w:rPr>
                <w:rFonts w:hint="default" w:ascii="Times New Roman" w:hAnsi="Times New Roman" w:cs="Times New Roman"/>
                <w:sz w:val="24"/>
              </w:rPr>
              <w:t>定期</w:t>
            </w:r>
            <w:r>
              <w:rPr>
                <w:rFonts w:hint="eastAsia" w:ascii="Times New Roman" w:hAnsi="Times New Roman" w:cs="Times New Roman"/>
                <w:sz w:val="24"/>
                <w:lang w:val="en-US" w:eastAsia="zh-CN"/>
              </w:rPr>
              <w:t>更换，</w:t>
            </w:r>
            <w:r>
              <w:rPr>
                <w:rFonts w:hint="default" w:ascii="Times New Roman" w:hAnsi="Times New Roman" w:cs="Times New Roman"/>
                <w:sz w:val="24"/>
              </w:rPr>
              <w:t>替换下来的废活性炭约为</w:t>
            </w:r>
            <w:r>
              <w:rPr>
                <w:rFonts w:hint="eastAsia" w:cs="Times New Roman"/>
                <w:sz w:val="24"/>
                <w:lang w:val="en-US" w:eastAsia="zh-CN"/>
              </w:rPr>
              <w:t>6.12</w:t>
            </w:r>
            <w:r>
              <w:rPr>
                <w:rFonts w:hint="default" w:ascii="Times New Roman" w:hAnsi="Times New Roman" w:cs="Times New Roman"/>
                <w:sz w:val="24"/>
              </w:rPr>
              <w:t>t/a</w:t>
            </w:r>
            <w:r>
              <w:rPr>
                <w:rFonts w:hint="eastAsia" w:ascii="Times New Roman" w:hAnsi="Times New Roman" w:cs="Times New Roman"/>
                <w:sz w:val="24"/>
                <w:lang w:eastAsia="zh-CN"/>
              </w:rPr>
              <w:t>，</w:t>
            </w:r>
            <w:r>
              <w:rPr>
                <w:rFonts w:hint="eastAsia"/>
                <w:sz w:val="24"/>
              </w:rPr>
              <w:t>属于危废废物，暂存于</w:t>
            </w:r>
            <w:r>
              <w:rPr>
                <w:rFonts w:hint="eastAsia"/>
                <w:sz w:val="24"/>
                <w:lang w:val="en-US" w:eastAsia="zh-CN"/>
              </w:rPr>
              <w:t>危险废物贮存库</w:t>
            </w:r>
            <w:r>
              <w:rPr>
                <w:rFonts w:hint="eastAsia"/>
                <w:sz w:val="24"/>
              </w:rPr>
              <w:t>，</w:t>
            </w:r>
            <w:r>
              <w:rPr>
                <w:rFonts w:hint="eastAsia"/>
                <w:sz w:val="24"/>
                <w:lang w:val="en-US" w:eastAsia="zh-CN"/>
              </w:rPr>
              <w:t>定期由</w:t>
            </w:r>
            <w:r>
              <w:rPr>
                <w:rFonts w:hint="eastAsia"/>
                <w:sz w:val="24"/>
              </w:rPr>
              <w:t>有资质单位回收处置。</w:t>
            </w:r>
          </w:p>
          <w:p w14:paraId="0F7C5BC0">
            <w:pPr>
              <w:spacing w:line="360" w:lineRule="auto"/>
              <w:ind w:firstLine="480" w:firstLineChars="200"/>
              <w:rPr>
                <w:rFonts w:hint="eastAsia"/>
                <w:color w:val="000000"/>
                <w:sz w:val="24"/>
                <w:lang w:eastAsia="zh-CN"/>
              </w:rPr>
            </w:pPr>
            <w:r>
              <w:rPr>
                <w:rFonts w:hint="eastAsia"/>
                <w:color w:val="000000"/>
                <w:sz w:val="24"/>
                <w:lang w:eastAsia="zh-CN"/>
              </w:rPr>
              <w:t>（</w:t>
            </w:r>
            <w:r>
              <w:rPr>
                <w:rFonts w:hint="eastAsia"/>
                <w:color w:val="000000"/>
                <w:sz w:val="24"/>
                <w:lang w:val="en-US" w:eastAsia="zh-CN"/>
              </w:rPr>
              <w:t>6</w:t>
            </w:r>
            <w:r>
              <w:rPr>
                <w:rFonts w:hint="eastAsia"/>
                <w:color w:val="000000"/>
                <w:sz w:val="24"/>
                <w:lang w:eastAsia="zh-CN"/>
              </w:rPr>
              <w:t>）</w:t>
            </w:r>
            <w:r>
              <w:rPr>
                <w:rFonts w:hint="eastAsia"/>
                <w:color w:val="000000"/>
                <w:sz w:val="24"/>
                <w:lang w:val="en-US" w:eastAsia="zh-CN"/>
              </w:rPr>
              <w:t>废包装桶</w:t>
            </w:r>
          </w:p>
          <w:p w14:paraId="249159E8">
            <w:pPr>
              <w:spacing w:line="360" w:lineRule="auto"/>
              <w:ind w:firstLine="480" w:firstLineChars="200"/>
              <w:rPr>
                <w:rFonts w:hint="eastAsia"/>
                <w:color w:val="000000"/>
                <w:sz w:val="24"/>
                <w:lang w:eastAsia="zh-CN"/>
              </w:rPr>
            </w:pPr>
            <w:r>
              <w:rPr>
                <w:rFonts w:hint="eastAsia"/>
                <w:sz w:val="24"/>
              </w:rPr>
              <w:t>根据原辅材料消耗情况，本项目</w:t>
            </w:r>
            <w:r>
              <w:rPr>
                <w:rFonts w:hint="eastAsia"/>
                <w:sz w:val="24"/>
                <w:lang w:val="en-US" w:eastAsia="zh-CN"/>
              </w:rPr>
              <w:t>氢氧化钠、次氯酸钠</w:t>
            </w:r>
            <w:r>
              <w:rPr>
                <w:rFonts w:hint="eastAsia"/>
                <w:sz w:val="24"/>
              </w:rPr>
              <w:t>使用会产生废包装</w:t>
            </w:r>
            <w:r>
              <w:rPr>
                <w:rFonts w:hint="eastAsia"/>
                <w:sz w:val="24"/>
                <w:lang w:val="en-US" w:eastAsia="zh-CN"/>
              </w:rPr>
              <w:t>桶，</w:t>
            </w:r>
            <w:r>
              <w:rPr>
                <w:rFonts w:hint="eastAsia"/>
                <w:color w:val="000000"/>
                <w:sz w:val="24"/>
                <w:lang w:eastAsia="zh-CN"/>
              </w:rPr>
              <w:t>产生量约为0.2t/a，废包装桶沾染药剂，属于危险废物，暂存于厂内危险废物贮存库，定期交由有资质单位进行处置。</w:t>
            </w:r>
          </w:p>
          <w:p w14:paraId="57C32C93">
            <w:pPr>
              <w:spacing w:line="360" w:lineRule="auto"/>
              <w:ind w:firstLine="480" w:firstLineChars="200"/>
              <w:rPr>
                <w:rFonts w:hint="eastAsia"/>
                <w:color w:val="000000"/>
                <w:sz w:val="24"/>
                <w:lang w:eastAsia="zh-CN"/>
              </w:rPr>
            </w:pPr>
            <w:r>
              <w:rPr>
                <w:rFonts w:hint="eastAsia"/>
                <w:color w:val="000000"/>
                <w:sz w:val="24"/>
                <w:lang w:eastAsia="zh-CN"/>
              </w:rPr>
              <w:t>（</w:t>
            </w:r>
            <w:r>
              <w:rPr>
                <w:rFonts w:hint="eastAsia"/>
                <w:color w:val="000000"/>
                <w:sz w:val="24"/>
                <w:lang w:val="en-US" w:eastAsia="zh-CN"/>
              </w:rPr>
              <w:t>7</w:t>
            </w:r>
            <w:r>
              <w:rPr>
                <w:rFonts w:hint="eastAsia"/>
                <w:color w:val="000000"/>
                <w:sz w:val="24"/>
                <w:lang w:eastAsia="zh-CN"/>
              </w:rPr>
              <w:t>）设备维护保养过程中产生的废润滑油、废油桶</w:t>
            </w:r>
          </w:p>
          <w:p w14:paraId="06D6C8E9">
            <w:pPr>
              <w:spacing w:line="360" w:lineRule="auto"/>
              <w:ind w:firstLine="480" w:firstLineChars="200"/>
              <w:rPr>
                <w:rFonts w:hint="eastAsia"/>
                <w:color w:val="000000"/>
                <w:sz w:val="24"/>
                <w:lang w:eastAsia="zh-CN"/>
              </w:rPr>
            </w:pPr>
            <w:r>
              <w:rPr>
                <w:rFonts w:hint="eastAsia"/>
                <w:color w:val="000000"/>
                <w:sz w:val="24"/>
                <w:lang w:eastAsia="zh-CN"/>
              </w:rPr>
              <w:t>根据《国家危险废物名录》（2025）设备维护保养过程中产生的废润滑油及废油桶均属于危险废物（HW08废矿物油与含矿物油废物 900-217-08 使用工业齿轮油进行机械设备润滑过程中产生的废润滑油，HW49其他废物中900-041-49含有或沾染毒性、感染性危险废物的废弃包装物、容器、过滤吸附介质），废润滑油为0.</w:t>
            </w:r>
            <w:r>
              <w:rPr>
                <w:rFonts w:hint="eastAsia"/>
                <w:color w:val="000000"/>
                <w:sz w:val="24"/>
                <w:lang w:val="en-US" w:eastAsia="zh-CN"/>
              </w:rPr>
              <w:t>1</w:t>
            </w:r>
            <w:r>
              <w:rPr>
                <w:rFonts w:hint="eastAsia"/>
                <w:color w:val="000000"/>
                <w:sz w:val="24"/>
                <w:lang w:eastAsia="zh-CN"/>
              </w:rPr>
              <w:t>t/a、废油桶0.01t/a。废润滑油用专用容器收集，废油桶均暂存于</w:t>
            </w:r>
            <w:r>
              <w:rPr>
                <w:rFonts w:hint="eastAsia"/>
                <w:color w:val="000000"/>
                <w:sz w:val="24"/>
                <w:lang w:val="en-US" w:eastAsia="zh-CN"/>
              </w:rPr>
              <w:t>危险废物贮存库</w:t>
            </w:r>
            <w:r>
              <w:rPr>
                <w:rFonts w:hint="eastAsia"/>
                <w:color w:val="000000"/>
                <w:sz w:val="24"/>
                <w:lang w:eastAsia="zh-CN"/>
              </w:rPr>
              <w:t>内，定期交由有资质单位处置。</w:t>
            </w:r>
          </w:p>
          <w:p w14:paraId="4BE99381">
            <w:pPr>
              <w:spacing w:line="360" w:lineRule="auto"/>
              <w:ind w:firstLine="480" w:firstLineChars="200"/>
              <w:rPr>
                <w:rFonts w:hint="eastAsia"/>
                <w:color w:val="000000"/>
                <w:sz w:val="24"/>
                <w:lang w:eastAsia="zh-CN"/>
              </w:rPr>
            </w:pPr>
            <w:r>
              <w:rPr>
                <w:rFonts w:hint="eastAsia"/>
                <w:color w:val="000000"/>
                <w:sz w:val="24"/>
                <w:lang w:eastAsia="zh-CN"/>
              </w:rPr>
              <w:t>（</w:t>
            </w:r>
            <w:r>
              <w:rPr>
                <w:rFonts w:hint="eastAsia"/>
                <w:color w:val="000000"/>
                <w:sz w:val="24"/>
                <w:lang w:val="en-US" w:eastAsia="zh-CN"/>
              </w:rPr>
              <w:t>7</w:t>
            </w:r>
            <w:r>
              <w:rPr>
                <w:rFonts w:hint="eastAsia"/>
                <w:color w:val="000000"/>
                <w:sz w:val="24"/>
                <w:lang w:eastAsia="zh-CN"/>
              </w:rPr>
              <w:t>）生活垃圾</w:t>
            </w:r>
          </w:p>
          <w:p w14:paraId="55305ED3">
            <w:pPr>
              <w:spacing w:line="360" w:lineRule="auto"/>
              <w:ind w:firstLine="480" w:firstLineChars="200"/>
              <w:rPr>
                <w:rFonts w:hint="eastAsia" w:eastAsia="宋体"/>
                <w:color w:val="000000"/>
                <w:sz w:val="24"/>
                <w:lang w:eastAsia="zh-CN"/>
              </w:rPr>
            </w:pPr>
            <w:r>
              <w:rPr>
                <w:rFonts w:hint="eastAsia"/>
                <w:color w:val="000000"/>
                <w:sz w:val="24"/>
                <w:lang w:eastAsia="zh-CN"/>
              </w:rPr>
              <w:t>项目污水处理厂劳动定员</w:t>
            </w:r>
            <w:r>
              <w:rPr>
                <w:rFonts w:hint="eastAsia"/>
                <w:color w:val="000000"/>
                <w:sz w:val="24"/>
                <w:lang w:val="en-US" w:eastAsia="zh-CN"/>
              </w:rPr>
              <w:t>3</w:t>
            </w:r>
            <w:r>
              <w:rPr>
                <w:rFonts w:hint="eastAsia"/>
                <w:color w:val="000000"/>
                <w:sz w:val="24"/>
                <w:lang w:eastAsia="zh-CN"/>
              </w:rPr>
              <w:t>人，生活垃圾产生量按0.5kg/人·d计，则员工生活垃圾产生</w:t>
            </w:r>
            <w:r>
              <w:rPr>
                <w:rFonts w:hint="eastAsia"/>
                <w:color w:val="000000"/>
                <w:sz w:val="24"/>
                <w:lang w:val="en-US" w:eastAsia="zh-CN"/>
              </w:rPr>
              <w:t>1.5</w:t>
            </w:r>
            <w:r>
              <w:rPr>
                <w:rFonts w:hint="eastAsia"/>
                <w:color w:val="000000"/>
                <w:sz w:val="24"/>
                <w:lang w:eastAsia="zh-CN"/>
              </w:rPr>
              <w:t>kg/d，按运行365天计，则员工生活垃圾产生量约</w:t>
            </w:r>
            <w:r>
              <w:rPr>
                <w:rFonts w:hint="eastAsia"/>
                <w:color w:val="000000"/>
                <w:sz w:val="24"/>
                <w:lang w:val="en-US" w:eastAsia="zh-CN"/>
              </w:rPr>
              <w:t>0.548</w:t>
            </w:r>
            <w:r>
              <w:rPr>
                <w:rFonts w:hint="eastAsia"/>
                <w:color w:val="000000"/>
                <w:sz w:val="24"/>
                <w:lang w:eastAsia="zh-CN"/>
              </w:rPr>
              <w:t>t/a，交由当地环卫部门统一收集后处置。</w:t>
            </w:r>
          </w:p>
          <w:p w14:paraId="17E06060">
            <w:pPr>
              <w:spacing w:line="360" w:lineRule="auto"/>
              <w:ind w:firstLine="480" w:firstLineChars="200"/>
              <w:rPr>
                <w:rFonts w:hint="eastAsia"/>
                <w:color w:val="000000"/>
                <w:sz w:val="24"/>
              </w:rPr>
            </w:pPr>
            <w:r>
              <w:rPr>
                <w:rFonts w:hint="eastAsia"/>
                <w:color w:val="000000"/>
                <w:sz w:val="24"/>
              </w:rPr>
              <w:t>本项目固体废弃物产生情况明细见下表：</w:t>
            </w:r>
          </w:p>
          <w:p w14:paraId="1636FA84">
            <w:pPr>
              <w:pStyle w:val="4"/>
              <w:ind w:firstLine="477" w:firstLineChars="190"/>
              <w:contextualSpacing/>
              <w:jc w:val="center"/>
              <w:rPr>
                <w:rStyle w:val="45"/>
                <w:rFonts w:hint="eastAsia"/>
                <w:szCs w:val="21"/>
              </w:rPr>
            </w:pPr>
            <w:r>
              <w:rPr>
                <w:rStyle w:val="45"/>
                <w:rFonts w:eastAsia="宋体"/>
                <w:sz w:val="24"/>
                <w:szCs w:val="24"/>
              </w:rPr>
              <w:t>表</w:t>
            </w:r>
            <w:r>
              <w:rPr>
                <w:rStyle w:val="45"/>
                <w:rFonts w:hint="eastAsia" w:eastAsia="宋体"/>
                <w:sz w:val="24"/>
                <w:szCs w:val="24"/>
                <w:lang w:val="en-US" w:eastAsia="zh-CN"/>
              </w:rPr>
              <w:t>4-15</w:t>
            </w:r>
            <w:r>
              <w:rPr>
                <w:rStyle w:val="45"/>
                <w:rFonts w:eastAsia="宋体"/>
                <w:sz w:val="24"/>
                <w:szCs w:val="24"/>
              </w:rPr>
              <w:t xml:space="preserve">   项目</w:t>
            </w:r>
            <w:r>
              <w:rPr>
                <w:rStyle w:val="45"/>
                <w:rFonts w:hint="eastAsia" w:eastAsia="宋体"/>
                <w:sz w:val="24"/>
                <w:szCs w:val="24"/>
              </w:rPr>
              <w:t>固体废物产生情况</w:t>
            </w:r>
            <w:r>
              <w:rPr>
                <w:rStyle w:val="45"/>
                <w:rFonts w:eastAsia="宋体"/>
                <w:sz w:val="24"/>
                <w:szCs w:val="24"/>
              </w:rPr>
              <w:t>明细</w:t>
            </w:r>
          </w:p>
          <w:tbl>
            <w:tblPr>
              <w:tblStyle w:val="22"/>
              <w:tblW w:w="497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99"/>
              <w:gridCol w:w="1006"/>
              <w:gridCol w:w="1001"/>
              <w:gridCol w:w="1349"/>
              <w:gridCol w:w="863"/>
              <w:gridCol w:w="695"/>
              <w:gridCol w:w="874"/>
              <w:gridCol w:w="1594"/>
            </w:tblGrid>
            <w:tr w14:paraId="53CE4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95" w:type="pct"/>
                  <w:noWrap w:val="0"/>
                  <w:vAlign w:val="center"/>
                </w:tcPr>
                <w:p w14:paraId="0A85DBDE">
                  <w:pPr>
                    <w:jc w:val="center"/>
                    <w:rPr>
                      <w:rFonts w:hint="eastAsia"/>
                      <w:szCs w:val="21"/>
                    </w:rPr>
                  </w:pPr>
                  <w:r>
                    <w:rPr>
                      <w:rFonts w:hint="eastAsia"/>
                      <w:szCs w:val="21"/>
                    </w:rPr>
                    <w:t>产生工序</w:t>
                  </w:r>
                </w:p>
              </w:tc>
              <w:tc>
                <w:tcPr>
                  <w:tcW w:w="600" w:type="pct"/>
                  <w:noWrap w:val="0"/>
                  <w:vAlign w:val="center"/>
                </w:tcPr>
                <w:p w14:paraId="42D7BDDC">
                  <w:pPr>
                    <w:jc w:val="center"/>
                    <w:rPr>
                      <w:rFonts w:hint="eastAsia"/>
                      <w:szCs w:val="21"/>
                    </w:rPr>
                  </w:pPr>
                  <w:r>
                    <w:rPr>
                      <w:rFonts w:hint="eastAsia"/>
                      <w:szCs w:val="21"/>
                    </w:rPr>
                    <w:t>名称</w:t>
                  </w:r>
                </w:p>
              </w:tc>
              <w:tc>
                <w:tcPr>
                  <w:tcW w:w="597" w:type="pct"/>
                  <w:noWrap w:val="0"/>
                  <w:vAlign w:val="center"/>
                </w:tcPr>
                <w:p w14:paraId="79E81B80">
                  <w:pPr>
                    <w:jc w:val="center"/>
                    <w:rPr>
                      <w:rFonts w:hint="eastAsia"/>
                      <w:szCs w:val="21"/>
                    </w:rPr>
                  </w:pPr>
                  <w:r>
                    <w:rPr>
                      <w:rFonts w:hint="eastAsia"/>
                      <w:szCs w:val="21"/>
                    </w:rPr>
                    <w:t>属性</w:t>
                  </w:r>
                </w:p>
              </w:tc>
              <w:tc>
                <w:tcPr>
                  <w:tcW w:w="804" w:type="pct"/>
                  <w:noWrap w:val="0"/>
                  <w:vAlign w:val="center"/>
                </w:tcPr>
                <w:p w14:paraId="774B6325">
                  <w:pPr>
                    <w:jc w:val="center"/>
                    <w:rPr>
                      <w:szCs w:val="21"/>
                    </w:rPr>
                  </w:pPr>
                  <w:r>
                    <w:rPr>
                      <w:szCs w:val="21"/>
                    </w:rPr>
                    <w:t>废物</w:t>
                  </w:r>
                  <w:r>
                    <w:rPr>
                      <w:rFonts w:hint="eastAsia"/>
                      <w:szCs w:val="21"/>
                    </w:rPr>
                    <w:t>编码</w:t>
                  </w:r>
                </w:p>
              </w:tc>
              <w:tc>
                <w:tcPr>
                  <w:tcW w:w="514" w:type="pct"/>
                  <w:noWrap w:val="0"/>
                  <w:vAlign w:val="center"/>
                </w:tcPr>
                <w:p w14:paraId="0DF6E8DE">
                  <w:pPr>
                    <w:jc w:val="center"/>
                    <w:rPr>
                      <w:rFonts w:hint="eastAsia"/>
                      <w:szCs w:val="21"/>
                    </w:rPr>
                  </w:pPr>
                  <w:r>
                    <w:rPr>
                      <w:rFonts w:hint="eastAsia"/>
                      <w:szCs w:val="21"/>
                    </w:rPr>
                    <w:t>物理性状</w:t>
                  </w:r>
                </w:p>
              </w:tc>
              <w:tc>
                <w:tcPr>
                  <w:tcW w:w="414" w:type="pct"/>
                  <w:noWrap w:val="0"/>
                  <w:vAlign w:val="center"/>
                </w:tcPr>
                <w:p w14:paraId="47BC6EBF">
                  <w:pPr>
                    <w:jc w:val="center"/>
                    <w:rPr>
                      <w:rFonts w:hint="eastAsia"/>
                      <w:szCs w:val="21"/>
                    </w:rPr>
                  </w:pPr>
                  <w:r>
                    <w:rPr>
                      <w:rFonts w:hint="eastAsia"/>
                      <w:szCs w:val="21"/>
                    </w:rPr>
                    <w:t>危险特性</w:t>
                  </w:r>
                </w:p>
              </w:tc>
              <w:tc>
                <w:tcPr>
                  <w:tcW w:w="521" w:type="pct"/>
                  <w:noWrap w:val="0"/>
                  <w:vAlign w:val="center"/>
                </w:tcPr>
                <w:p w14:paraId="751F4973">
                  <w:pPr>
                    <w:jc w:val="center"/>
                    <w:rPr>
                      <w:szCs w:val="21"/>
                    </w:rPr>
                  </w:pPr>
                  <w:r>
                    <w:rPr>
                      <w:szCs w:val="21"/>
                    </w:rPr>
                    <w:t>产生量</w:t>
                  </w:r>
                </w:p>
              </w:tc>
              <w:tc>
                <w:tcPr>
                  <w:tcW w:w="950" w:type="pct"/>
                  <w:noWrap w:val="0"/>
                  <w:vAlign w:val="center"/>
                </w:tcPr>
                <w:p w14:paraId="314797F3">
                  <w:pPr>
                    <w:jc w:val="center"/>
                    <w:rPr>
                      <w:szCs w:val="21"/>
                    </w:rPr>
                  </w:pPr>
                  <w:r>
                    <w:rPr>
                      <w:szCs w:val="21"/>
                    </w:rPr>
                    <w:t>去向</w:t>
                  </w:r>
                </w:p>
              </w:tc>
            </w:tr>
            <w:tr w14:paraId="200AA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95" w:type="pct"/>
                  <w:noWrap w:val="0"/>
                  <w:vAlign w:val="center"/>
                </w:tcPr>
                <w:p w14:paraId="4FB86EE2">
                  <w:pPr>
                    <w:jc w:val="center"/>
                    <w:rPr>
                      <w:rFonts w:hint="eastAsia" w:eastAsia="宋体"/>
                      <w:szCs w:val="21"/>
                      <w:lang w:eastAsia="zh-CN"/>
                    </w:rPr>
                  </w:pPr>
                  <w:r>
                    <w:rPr>
                      <w:rFonts w:hint="eastAsia"/>
                      <w:szCs w:val="21"/>
                      <w:lang w:val="en-US" w:eastAsia="zh-CN"/>
                    </w:rPr>
                    <w:t>格栅</w:t>
                  </w:r>
                </w:p>
              </w:tc>
              <w:tc>
                <w:tcPr>
                  <w:tcW w:w="600" w:type="pct"/>
                  <w:noWrap w:val="0"/>
                  <w:vAlign w:val="center"/>
                </w:tcPr>
                <w:p w14:paraId="0D312E94">
                  <w:pPr>
                    <w:jc w:val="center"/>
                    <w:rPr>
                      <w:rFonts w:hint="eastAsia"/>
                      <w:szCs w:val="21"/>
                    </w:rPr>
                  </w:pPr>
                  <w:r>
                    <w:rPr>
                      <w:rFonts w:hint="eastAsia"/>
                      <w:szCs w:val="21"/>
                    </w:rPr>
                    <w:t>栅渣</w:t>
                  </w:r>
                </w:p>
              </w:tc>
              <w:tc>
                <w:tcPr>
                  <w:tcW w:w="597" w:type="pct"/>
                  <w:vMerge w:val="restart"/>
                  <w:noWrap w:val="0"/>
                  <w:vAlign w:val="center"/>
                </w:tcPr>
                <w:p w14:paraId="54759D82">
                  <w:pPr>
                    <w:jc w:val="center"/>
                    <w:rPr>
                      <w:rFonts w:hint="eastAsia"/>
                      <w:szCs w:val="21"/>
                    </w:rPr>
                  </w:pPr>
                  <w:r>
                    <w:rPr>
                      <w:rFonts w:hint="eastAsia"/>
                      <w:szCs w:val="21"/>
                    </w:rPr>
                    <w:t>一般固废</w:t>
                  </w:r>
                </w:p>
              </w:tc>
              <w:tc>
                <w:tcPr>
                  <w:tcW w:w="804" w:type="pct"/>
                  <w:vMerge w:val="restart"/>
                  <w:noWrap w:val="0"/>
                  <w:vAlign w:val="center"/>
                </w:tcPr>
                <w:p w14:paraId="7C71C86E">
                  <w:pPr>
                    <w:jc w:val="center"/>
                    <w:rPr>
                      <w:rFonts w:hint="eastAsia"/>
                      <w:szCs w:val="21"/>
                    </w:rPr>
                  </w:pPr>
                  <w:r>
                    <w:rPr>
                      <w:rFonts w:hint="eastAsia"/>
                      <w:szCs w:val="21"/>
                    </w:rPr>
                    <w:t>900-099-S59</w:t>
                  </w:r>
                </w:p>
              </w:tc>
              <w:tc>
                <w:tcPr>
                  <w:tcW w:w="514" w:type="pct"/>
                  <w:noWrap w:val="0"/>
                  <w:vAlign w:val="center"/>
                </w:tcPr>
                <w:p w14:paraId="137ED472">
                  <w:pPr>
                    <w:jc w:val="center"/>
                    <w:rPr>
                      <w:rFonts w:hint="eastAsia"/>
                      <w:szCs w:val="21"/>
                    </w:rPr>
                  </w:pPr>
                  <w:r>
                    <w:rPr>
                      <w:rFonts w:hint="eastAsia"/>
                      <w:szCs w:val="21"/>
                    </w:rPr>
                    <w:t>固态</w:t>
                  </w:r>
                </w:p>
              </w:tc>
              <w:tc>
                <w:tcPr>
                  <w:tcW w:w="414" w:type="pct"/>
                  <w:vMerge w:val="restart"/>
                  <w:noWrap w:val="0"/>
                  <w:vAlign w:val="center"/>
                </w:tcPr>
                <w:p w14:paraId="5B0D564A">
                  <w:pPr>
                    <w:jc w:val="center"/>
                    <w:rPr>
                      <w:rFonts w:hint="eastAsia"/>
                      <w:szCs w:val="21"/>
                    </w:rPr>
                  </w:pPr>
                  <w:r>
                    <w:rPr>
                      <w:rFonts w:hint="eastAsia"/>
                      <w:szCs w:val="21"/>
                    </w:rPr>
                    <w:t>/</w:t>
                  </w:r>
                </w:p>
              </w:tc>
              <w:tc>
                <w:tcPr>
                  <w:tcW w:w="521" w:type="pct"/>
                  <w:noWrap w:val="0"/>
                  <w:vAlign w:val="center"/>
                </w:tcPr>
                <w:p w14:paraId="3674811B">
                  <w:pPr>
                    <w:jc w:val="center"/>
                    <w:rPr>
                      <w:szCs w:val="21"/>
                    </w:rPr>
                  </w:pPr>
                  <w:r>
                    <w:rPr>
                      <w:rFonts w:hint="eastAsia"/>
                      <w:color w:val="000000"/>
                      <w:szCs w:val="21"/>
                      <w:lang w:val="en-US" w:eastAsia="zh-CN"/>
                    </w:rPr>
                    <w:t>100t</w:t>
                  </w:r>
                  <w:r>
                    <w:rPr>
                      <w:rFonts w:hint="eastAsia"/>
                      <w:color w:val="000000"/>
                      <w:szCs w:val="21"/>
                    </w:rPr>
                    <w:t>/a</w:t>
                  </w:r>
                </w:p>
              </w:tc>
              <w:tc>
                <w:tcPr>
                  <w:tcW w:w="950" w:type="pct"/>
                  <w:vMerge w:val="restart"/>
                  <w:noWrap w:val="0"/>
                  <w:vAlign w:val="center"/>
                </w:tcPr>
                <w:p w14:paraId="2EEAF234">
                  <w:pPr>
                    <w:jc w:val="center"/>
                    <w:rPr>
                      <w:szCs w:val="21"/>
                    </w:rPr>
                  </w:pPr>
                  <w:r>
                    <w:rPr>
                      <w:rFonts w:hint="eastAsia"/>
                      <w:color w:val="000000"/>
                      <w:szCs w:val="21"/>
                    </w:rPr>
                    <w:t>妥善收集后运至垃圾填埋场卫生填埋</w:t>
                  </w:r>
                </w:p>
              </w:tc>
            </w:tr>
            <w:tr w14:paraId="357FF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95" w:type="pct"/>
                  <w:noWrap w:val="0"/>
                  <w:vAlign w:val="center"/>
                </w:tcPr>
                <w:p w14:paraId="5D58071D">
                  <w:pPr>
                    <w:jc w:val="center"/>
                    <w:rPr>
                      <w:rFonts w:hint="default"/>
                      <w:szCs w:val="21"/>
                      <w:lang w:val="en-US" w:eastAsia="zh-CN"/>
                    </w:rPr>
                  </w:pPr>
                  <w:r>
                    <w:rPr>
                      <w:rFonts w:hint="eastAsia"/>
                      <w:szCs w:val="21"/>
                      <w:lang w:val="en-US" w:eastAsia="zh-CN"/>
                    </w:rPr>
                    <w:t>隔油沉淀池、气浮机</w:t>
                  </w:r>
                </w:p>
              </w:tc>
              <w:tc>
                <w:tcPr>
                  <w:tcW w:w="600" w:type="pct"/>
                  <w:noWrap w:val="0"/>
                  <w:vAlign w:val="center"/>
                </w:tcPr>
                <w:p w14:paraId="73578ED8">
                  <w:pPr>
                    <w:jc w:val="center"/>
                    <w:rPr>
                      <w:rFonts w:hint="eastAsia" w:eastAsia="宋体"/>
                      <w:szCs w:val="21"/>
                      <w:lang w:val="en-US" w:eastAsia="zh-CN"/>
                    </w:rPr>
                  </w:pPr>
                  <w:r>
                    <w:rPr>
                      <w:rFonts w:hint="eastAsia"/>
                      <w:szCs w:val="21"/>
                      <w:lang w:val="en-US" w:eastAsia="zh-CN"/>
                    </w:rPr>
                    <w:t>浮油、浮渣</w:t>
                  </w:r>
                </w:p>
              </w:tc>
              <w:tc>
                <w:tcPr>
                  <w:tcW w:w="597" w:type="pct"/>
                  <w:vMerge w:val="continue"/>
                  <w:noWrap w:val="0"/>
                  <w:vAlign w:val="center"/>
                </w:tcPr>
                <w:p w14:paraId="2D226827">
                  <w:pPr>
                    <w:jc w:val="center"/>
                    <w:rPr>
                      <w:rFonts w:hint="eastAsia"/>
                      <w:szCs w:val="21"/>
                    </w:rPr>
                  </w:pPr>
                </w:p>
              </w:tc>
              <w:tc>
                <w:tcPr>
                  <w:tcW w:w="804" w:type="pct"/>
                  <w:vMerge w:val="continue"/>
                  <w:noWrap w:val="0"/>
                  <w:vAlign w:val="center"/>
                </w:tcPr>
                <w:p w14:paraId="6F9A650C">
                  <w:pPr>
                    <w:jc w:val="center"/>
                    <w:rPr>
                      <w:rFonts w:hint="eastAsia"/>
                      <w:szCs w:val="21"/>
                    </w:rPr>
                  </w:pPr>
                </w:p>
              </w:tc>
              <w:tc>
                <w:tcPr>
                  <w:tcW w:w="514" w:type="pct"/>
                  <w:noWrap w:val="0"/>
                  <w:vAlign w:val="center"/>
                </w:tcPr>
                <w:p w14:paraId="6BC06741">
                  <w:pPr>
                    <w:jc w:val="center"/>
                    <w:rPr>
                      <w:rFonts w:hint="eastAsia" w:eastAsia="宋体"/>
                      <w:szCs w:val="21"/>
                      <w:lang w:val="en-US" w:eastAsia="zh-CN"/>
                    </w:rPr>
                  </w:pPr>
                  <w:r>
                    <w:rPr>
                      <w:rFonts w:hint="eastAsia"/>
                      <w:szCs w:val="21"/>
                      <w:lang w:val="en-US" w:eastAsia="zh-CN"/>
                    </w:rPr>
                    <w:t>固态</w:t>
                  </w:r>
                </w:p>
              </w:tc>
              <w:tc>
                <w:tcPr>
                  <w:tcW w:w="414" w:type="pct"/>
                  <w:vMerge w:val="continue"/>
                  <w:noWrap w:val="0"/>
                  <w:vAlign w:val="center"/>
                </w:tcPr>
                <w:p w14:paraId="780CA433">
                  <w:pPr>
                    <w:jc w:val="center"/>
                    <w:rPr>
                      <w:rFonts w:hint="eastAsia"/>
                      <w:szCs w:val="21"/>
                    </w:rPr>
                  </w:pPr>
                </w:p>
              </w:tc>
              <w:tc>
                <w:tcPr>
                  <w:tcW w:w="521" w:type="pct"/>
                  <w:noWrap w:val="0"/>
                  <w:vAlign w:val="center"/>
                </w:tcPr>
                <w:p w14:paraId="7EC063A7">
                  <w:pPr>
                    <w:jc w:val="center"/>
                    <w:rPr>
                      <w:rFonts w:hint="default" w:eastAsia="宋体"/>
                      <w:color w:val="000000"/>
                      <w:szCs w:val="21"/>
                      <w:lang w:val="en-US" w:eastAsia="zh-CN"/>
                    </w:rPr>
                  </w:pPr>
                  <w:r>
                    <w:rPr>
                      <w:rFonts w:hint="eastAsia"/>
                      <w:color w:val="000000"/>
                      <w:szCs w:val="21"/>
                      <w:lang w:val="en-US" w:eastAsia="zh-CN"/>
                    </w:rPr>
                    <w:t>30t/a</w:t>
                  </w:r>
                </w:p>
              </w:tc>
              <w:tc>
                <w:tcPr>
                  <w:tcW w:w="950" w:type="pct"/>
                  <w:vMerge w:val="continue"/>
                  <w:noWrap w:val="0"/>
                  <w:vAlign w:val="center"/>
                </w:tcPr>
                <w:p w14:paraId="4E4BB059">
                  <w:pPr>
                    <w:jc w:val="center"/>
                    <w:rPr>
                      <w:rFonts w:hint="eastAsia"/>
                      <w:color w:val="000000"/>
                      <w:szCs w:val="21"/>
                    </w:rPr>
                  </w:pPr>
                </w:p>
              </w:tc>
            </w:tr>
            <w:tr w14:paraId="54BFC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95" w:type="pct"/>
                  <w:noWrap w:val="0"/>
                  <w:vAlign w:val="center"/>
                </w:tcPr>
                <w:p w14:paraId="1BD236F8">
                  <w:pPr>
                    <w:jc w:val="center"/>
                    <w:rPr>
                      <w:rFonts w:hint="default" w:eastAsia="宋体"/>
                      <w:szCs w:val="21"/>
                      <w:lang w:val="en-US" w:eastAsia="zh-CN"/>
                    </w:rPr>
                  </w:pPr>
                  <w:r>
                    <w:rPr>
                      <w:rFonts w:hint="eastAsia"/>
                      <w:szCs w:val="21"/>
                      <w:lang w:val="en-US" w:eastAsia="zh-CN"/>
                    </w:rPr>
                    <w:t>生化处理单元、沉淀池等</w:t>
                  </w:r>
                </w:p>
              </w:tc>
              <w:tc>
                <w:tcPr>
                  <w:tcW w:w="600" w:type="pct"/>
                  <w:noWrap w:val="0"/>
                  <w:vAlign w:val="center"/>
                </w:tcPr>
                <w:p w14:paraId="30636998">
                  <w:pPr>
                    <w:jc w:val="center"/>
                    <w:rPr>
                      <w:rFonts w:hint="eastAsia"/>
                      <w:szCs w:val="21"/>
                    </w:rPr>
                  </w:pPr>
                  <w:r>
                    <w:rPr>
                      <w:rFonts w:hint="eastAsia"/>
                      <w:szCs w:val="21"/>
                    </w:rPr>
                    <w:t>污泥</w:t>
                  </w:r>
                </w:p>
              </w:tc>
              <w:tc>
                <w:tcPr>
                  <w:tcW w:w="597" w:type="pct"/>
                  <w:vMerge w:val="continue"/>
                  <w:noWrap w:val="0"/>
                  <w:vAlign w:val="center"/>
                </w:tcPr>
                <w:p w14:paraId="631868ED">
                  <w:pPr>
                    <w:jc w:val="center"/>
                    <w:rPr>
                      <w:rFonts w:hint="eastAsia"/>
                      <w:szCs w:val="21"/>
                    </w:rPr>
                  </w:pPr>
                </w:p>
              </w:tc>
              <w:tc>
                <w:tcPr>
                  <w:tcW w:w="804" w:type="pct"/>
                  <w:vMerge w:val="continue"/>
                  <w:noWrap w:val="0"/>
                  <w:vAlign w:val="center"/>
                </w:tcPr>
                <w:p w14:paraId="50B3E8ED">
                  <w:pPr>
                    <w:jc w:val="center"/>
                    <w:rPr>
                      <w:szCs w:val="21"/>
                    </w:rPr>
                  </w:pPr>
                </w:p>
              </w:tc>
              <w:tc>
                <w:tcPr>
                  <w:tcW w:w="514" w:type="pct"/>
                  <w:noWrap w:val="0"/>
                  <w:vAlign w:val="center"/>
                </w:tcPr>
                <w:p w14:paraId="3D8C7583">
                  <w:pPr>
                    <w:jc w:val="center"/>
                    <w:rPr>
                      <w:rFonts w:hint="eastAsia"/>
                      <w:szCs w:val="21"/>
                    </w:rPr>
                  </w:pPr>
                  <w:r>
                    <w:rPr>
                      <w:rFonts w:hint="eastAsia"/>
                      <w:szCs w:val="21"/>
                    </w:rPr>
                    <w:t>固态</w:t>
                  </w:r>
                </w:p>
              </w:tc>
              <w:tc>
                <w:tcPr>
                  <w:tcW w:w="414" w:type="pct"/>
                  <w:vMerge w:val="continue"/>
                  <w:noWrap w:val="0"/>
                  <w:vAlign w:val="center"/>
                </w:tcPr>
                <w:p w14:paraId="6FDFEE21">
                  <w:pPr>
                    <w:jc w:val="center"/>
                    <w:rPr>
                      <w:rFonts w:hint="eastAsia"/>
                      <w:szCs w:val="21"/>
                    </w:rPr>
                  </w:pPr>
                </w:p>
              </w:tc>
              <w:tc>
                <w:tcPr>
                  <w:tcW w:w="521" w:type="pct"/>
                  <w:noWrap w:val="0"/>
                  <w:vAlign w:val="center"/>
                </w:tcPr>
                <w:p w14:paraId="1345BFA9">
                  <w:pPr>
                    <w:jc w:val="center"/>
                    <w:rPr>
                      <w:szCs w:val="21"/>
                    </w:rPr>
                  </w:pPr>
                  <w:r>
                    <w:rPr>
                      <w:rFonts w:hint="eastAsia"/>
                      <w:color w:val="000000"/>
                      <w:szCs w:val="21"/>
                      <w:lang w:val="en-US" w:eastAsia="zh-CN"/>
                    </w:rPr>
                    <w:t>310.25</w:t>
                  </w:r>
                  <w:r>
                    <w:rPr>
                      <w:rFonts w:hint="eastAsia"/>
                      <w:color w:val="000000"/>
                      <w:szCs w:val="21"/>
                    </w:rPr>
                    <w:t>t/a</w:t>
                  </w:r>
                </w:p>
              </w:tc>
              <w:tc>
                <w:tcPr>
                  <w:tcW w:w="950" w:type="pct"/>
                  <w:noWrap w:val="0"/>
                  <w:vAlign w:val="center"/>
                </w:tcPr>
                <w:p w14:paraId="0881F20F">
                  <w:pPr>
                    <w:jc w:val="center"/>
                    <w:rPr>
                      <w:szCs w:val="21"/>
                    </w:rPr>
                  </w:pPr>
                  <w:r>
                    <w:rPr>
                      <w:rFonts w:hint="eastAsia"/>
                      <w:szCs w:val="21"/>
                    </w:rPr>
                    <w:t>污泥脱水含水率达到60%以下，并开展固废危险性鉴别，若属于危险废物应交由具有危废处理资质的单位处置，若不属于危险固废的，需满足填埋场入场要求后，送至生活垃圾填埋场填埋处置</w:t>
                  </w:r>
                </w:p>
              </w:tc>
            </w:tr>
            <w:tr w14:paraId="2AF98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95" w:type="pct"/>
                  <w:noWrap w:val="0"/>
                  <w:vAlign w:val="center"/>
                </w:tcPr>
                <w:p w14:paraId="4509E68B">
                  <w:pPr>
                    <w:jc w:val="center"/>
                    <w:rPr>
                      <w:rFonts w:hint="default"/>
                      <w:szCs w:val="21"/>
                      <w:lang w:val="en-US" w:eastAsia="zh-CN"/>
                    </w:rPr>
                  </w:pPr>
                  <w:r>
                    <w:rPr>
                      <w:rFonts w:hint="eastAsia"/>
                      <w:szCs w:val="21"/>
                      <w:lang w:val="en-US" w:eastAsia="zh-CN"/>
                    </w:rPr>
                    <w:t>药剂包装袋</w:t>
                  </w:r>
                </w:p>
              </w:tc>
              <w:tc>
                <w:tcPr>
                  <w:tcW w:w="600" w:type="pct"/>
                  <w:noWrap w:val="0"/>
                  <w:vAlign w:val="center"/>
                </w:tcPr>
                <w:p w14:paraId="17DA8E62">
                  <w:pPr>
                    <w:jc w:val="center"/>
                    <w:rPr>
                      <w:rFonts w:hint="default" w:eastAsia="宋体"/>
                      <w:szCs w:val="21"/>
                      <w:lang w:val="en-US" w:eastAsia="zh-CN"/>
                    </w:rPr>
                  </w:pPr>
                  <w:r>
                    <w:rPr>
                      <w:rFonts w:hint="eastAsia"/>
                      <w:szCs w:val="21"/>
                      <w:lang w:val="en-US" w:eastAsia="zh-CN"/>
                    </w:rPr>
                    <w:t>废包装袋</w:t>
                  </w:r>
                </w:p>
              </w:tc>
              <w:tc>
                <w:tcPr>
                  <w:tcW w:w="597" w:type="pct"/>
                  <w:vMerge w:val="continue"/>
                  <w:noWrap w:val="0"/>
                  <w:vAlign w:val="center"/>
                </w:tcPr>
                <w:p w14:paraId="396FDA7C">
                  <w:pPr>
                    <w:jc w:val="center"/>
                    <w:rPr>
                      <w:rFonts w:hint="eastAsia"/>
                      <w:szCs w:val="21"/>
                    </w:rPr>
                  </w:pPr>
                </w:p>
              </w:tc>
              <w:tc>
                <w:tcPr>
                  <w:tcW w:w="804" w:type="pct"/>
                  <w:vMerge w:val="continue"/>
                  <w:noWrap w:val="0"/>
                  <w:vAlign w:val="center"/>
                </w:tcPr>
                <w:p w14:paraId="3854B82C">
                  <w:pPr>
                    <w:jc w:val="center"/>
                    <w:rPr>
                      <w:szCs w:val="21"/>
                    </w:rPr>
                  </w:pPr>
                </w:p>
              </w:tc>
              <w:tc>
                <w:tcPr>
                  <w:tcW w:w="514" w:type="pct"/>
                  <w:noWrap w:val="0"/>
                  <w:vAlign w:val="center"/>
                </w:tcPr>
                <w:p w14:paraId="1F5D868F">
                  <w:pPr>
                    <w:jc w:val="center"/>
                    <w:rPr>
                      <w:rFonts w:hint="eastAsia" w:eastAsia="宋体"/>
                      <w:szCs w:val="21"/>
                      <w:lang w:val="en-US" w:eastAsia="zh-CN"/>
                    </w:rPr>
                  </w:pPr>
                  <w:r>
                    <w:rPr>
                      <w:rFonts w:hint="eastAsia"/>
                      <w:szCs w:val="21"/>
                      <w:lang w:val="en-US" w:eastAsia="zh-CN"/>
                    </w:rPr>
                    <w:t>固态</w:t>
                  </w:r>
                </w:p>
              </w:tc>
              <w:tc>
                <w:tcPr>
                  <w:tcW w:w="414" w:type="pct"/>
                  <w:vMerge w:val="continue"/>
                  <w:noWrap w:val="0"/>
                  <w:vAlign w:val="center"/>
                </w:tcPr>
                <w:p w14:paraId="41D89052">
                  <w:pPr>
                    <w:jc w:val="center"/>
                    <w:rPr>
                      <w:rFonts w:hint="eastAsia"/>
                      <w:szCs w:val="21"/>
                    </w:rPr>
                  </w:pPr>
                </w:p>
              </w:tc>
              <w:tc>
                <w:tcPr>
                  <w:tcW w:w="521" w:type="pct"/>
                  <w:noWrap w:val="0"/>
                  <w:vAlign w:val="center"/>
                </w:tcPr>
                <w:p w14:paraId="49D2B8EA">
                  <w:pPr>
                    <w:jc w:val="center"/>
                    <w:rPr>
                      <w:rFonts w:hint="default" w:eastAsia="宋体"/>
                      <w:color w:val="000000"/>
                      <w:szCs w:val="21"/>
                      <w:lang w:val="en-US" w:eastAsia="zh-CN"/>
                    </w:rPr>
                  </w:pPr>
                  <w:r>
                    <w:rPr>
                      <w:rFonts w:hint="eastAsia"/>
                      <w:color w:val="000000"/>
                      <w:szCs w:val="21"/>
                      <w:lang w:val="en-US" w:eastAsia="zh-CN"/>
                    </w:rPr>
                    <w:t>0.37t/a</w:t>
                  </w:r>
                </w:p>
              </w:tc>
              <w:tc>
                <w:tcPr>
                  <w:tcW w:w="950" w:type="pct"/>
                  <w:noWrap w:val="0"/>
                  <w:vAlign w:val="center"/>
                </w:tcPr>
                <w:p w14:paraId="6C4899D3">
                  <w:pPr>
                    <w:jc w:val="center"/>
                    <w:rPr>
                      <w:rFonts w:hint="eastAsia" w:eastAsia="宋体"/>
                      <w:szCs w:val="21"/>
                      <w:lang w:val="en-US" w:eastAsia="zh-CN"/>
                    </w:rPr>
                  </w:pPr>
                  <w:r>
                    <w:rPr>
                      <w:rFonts w:hint="eastAsia"/>
                      <w:szCs w:val="21"/>
                      <w:lang w:val="en-US" w:eastAsia="zh-CN"/>
                    </w:rPr>
                    <w:t>外售</w:t>
                  </w:r>
                </w:p>
              </w:tc>
            </w:tr>
            <w:tr w14:paraId="1432F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95" w:type="pct"/>
                  <w:noWrap w:val="0"/>
                  <w:vAlign w:val="center"/>
                </w:tcPr>
                <w:p w14:paraId="6DA69307">
                  <w:pPr>
                    <w:jc w:val="center"/>
                    <w:rPr>
                      <w:rFonts w:hint="eastAsia"/>
                      <w:szCs w:val="21"/>
                    </w:rPr>
                  </w:pPr>
                  <w:r>
                    <w:rPr>
                      <w:rFonts w:hint="eastAsia"/>
                      <w:szCs w:val="24"/>
                      <w:lang w:val="en-US" w:eastAsia="zh-CN"/>
                    </w:rPr>
                    <w:t>活性炭过滤罐、</w:t>
                  </w:r>
                  <w:r>
                    <w:rPr>
                      <w:rFonts w:hint="eastAsia"/>
                      <w:szCs w:val="21"/>
                      <w:lang w:eastAsia="zh-CN"/>
                    </w:rPr>
                    <w:t>活性炭吸附装置</w:t>
                  </w:r>
                </w:p>
              </w:tc>
              <w:tc>
                <w:tcPr>
                  <w:tcW w:w="600" w:type="pct"/>
                  <w:noWrap w:val="0"/>
                  <w:vAlign w:val="center"/>
                </w:tcPr>
                <w:p w14:paraId="0BA1F38A">
                  <w:pPr>
                    <w:jc w:val="center"/>
                    <w:rPr>
                      <w:rFonts w:hint="eastAsia"/>
                      <w:szCs w:val="21"/>
                    </w:rPr>
                  </w:pPr>
                  <w:r>
                    <w:rPr>
                      <w:rFonts w:hint="eastAsia"/>
                      <w:szCs w:val="21"/>
                      <w:lang w:eastAsia="zh-CN"/>
                    </w:rPr>
                    <w:t>废活性炭</w:t>
                  </w:r>
                </w:p>
              </w:tc>
              <w:tc>
                <w:tcPr>
                  <w:tcW w:w="597" w:type="pct"/>
                  <w:vMerge w:val="restart"/>
                  <w:noWrap w:val="0"/>
                  <w:vAlign w:val="center"/>
                </w:tcPr>
                <w:p w14:paraId="37F59554">
                  <w:pPr>
                    <w:jc w:val="center"/>
                    <w:rPr>
                      <w:rFonts w:hint="default" w:eastAsia="宋体"/>
                      <w:szCs w:val="21"/>
                      <w:lang w:val="en-US" w:eastAsia="zh-CN"/>
                    </w:rPr>
                  </w:pPr>
                  <w:r>
                    <w:rPr>
                      <w:rFonts w:hint="eastAsia"/>
                      <w:szCs w:val="21"/>
                      <w:lang w:val="en-US" w:eastAsia="zh-CN"/>
                    </w:rPr>
                    <w:t>危险废物</w:t>
                  </w:r>
                </w:p>
              </w:tc>
              <w:tc>
                <w:tcPr>
                  <w:tcW w:w="804" w:type="pct"/>
                  <w:noWrap w:val="0"/>
                  <w:vAlign w:val="center"/>
                </w:tcPr>
                <w:p w14:paraId="3CFF59CD">
                  <w:pPr>
                    <w:jc w:val="center"/>
                    <w:rPr>
                      <w:rFonts w:hint="eastAsia"/>
                      <w:szCs w:val="21"/>
                      <w:lang w:val="en-US" w:eastAsia="zh-CN"/>
                    </w:rPr>
                  </w:pPr>
                  <w:r>
                    <w:rPr>
                      <w:rFonts w:hint="eastAsia"/>
                      <w:szCs w:val="21"/>
                      <w:lang w:val="en-US" w:eastAsia="zh-CN"/>
                    </w:rPr>
                    <w:t>HW49</w:t>
                  </w:r>
                </w:p>
                <w:p w14:paraId="0FC76DA6">
                  <w:pPr>
                    <w:jc w:val="center"/>
                    <w:rPr>
                      <w:szCs w:val="21"/>
                    </w:rPr>
                  </w:pPr>
                  <w:r>
                    <w:rPr>
                      <w:rFonts w:hint="eastAsia"/>
                      <w:szCs w:val="21"/>
                      <w:lang w:val="en-US" w:eastAsia="zh-CN"/>
                    </w:rPr>
                    <w:t>900-039-49</w:t>
                  </w:r>
                </w:p>
              </w:tc>
              <w:tc>
                <w:tcPr>
                  <w:tcW w:w="514" w:type="pct"/>
                  <w:noWrap w:val="0"/>
                  <w:vAlign w:val="center"/>
                </w:tcPr>
                <w:p w14:paraId="2E2397A5">
                  <w:pPr>
                    <w:jc w:val="center"/>
                    <w:rPr>
                      <w:rFonts w:hint="eastAsia"/>
                      <w:szCs w:val="21"/>
                    </w:rPr>
                  </w:pPr>
                  <w:r>
                    <w:rPr>
                      <w:rFonts w:hint="eastAsia"/>
                      <w:szCs w:val="21"/>
                      <w:lang w:eastAsia="zh-CN"/>
                    </w:rPr>
                    <w:t>固态</w:t>
                  </w:r>
                </w:p>
              </w:tc>
              <w:tc>
                <w:tcPr>
                  <w:tcW w:w="414" w:type="pct"/>
                  <w:noWrap w:val="0"/>
                  <w:vAlign w:val="center"/>
                </w:tcPr>
                <w:p w14:paraId="33B4AA5B">
                  <w:pPr>
                    <w:jc w:val="center"/>
                    <w:rPr>
                      <w:rFonts w:hint="eastAsia"/>
                      <w:szCs w:val="21"/>
                    </w:rPr>
                  </w:pPr>
                  <w:r>
                    <w:rPr>
                      <w:rFonts w:hint="eastAsia"/>
                      <w:szCs w:val="21"/>
                    </w:rPr>
                    <w:t>T</w:t>
                  </w:r>
                </w:p>
              </w:tc>
              <w:tc>
                <w:tcPr>
                  <w:tcW w:w="521" w:type="pct"/>
                  <w:noWrap w:val="0"/>
                  <w:vAlign w:val="center"/>
                </w:tcPr>
                <w:p w14:paraId="3AF352CC">
                  <w:pPr>
                    <w:jc w:val="center"/>
                    <w:rPr>
                      <w:szCs w:val="21"/>
                    </w:rPr>
                  </w:pPr>
                  <w:r>
                    <w:rPr>
                      <w:rFonts w:hint="eastAsia"/>
                      <w:szCs w:val="21"/>
                      <w:lang w:val="en-US" w:eastAsia="zh-CN"/>
                    </w:rPr>
                    <w:t>6.12t/a</w:t>
                  </w:r>
                </w:p>
              </w:tc>
              <w:tc>
                <w:tcPr>
                  <w:tcW w:w="950" w:type="pct"/>
                  <w:vMerge w:val="restart"/>
                  <w:noWrap w:val="0"/>
                  <w:vAlign w:val="center"/>
                </w:tcPr>
                <w:p w14:paraId="2272C955">
                  <w:pPr>
                    <w:jc w:val="center"/>
                    <w:rPr>
                      <w:szCs w:val="21"/>
                    </w:rPr>
                  </w:pPr>
                  <w:r>
                    <w:rPr>
                      <w:rFonts w:hint="eastAsia"/>
                      <w:szCs w:val="21"/>
                    </w:rPr>
                    <w:t>暂存于</w:t>
                  </w:r>
                  <w:r>
                    <w:rPr>
                      <w:rFonts w:hint="eastAsia"/>
                      <w:szCs w:val="21"/>
                      <w:lang w:eastAsia="zh-CN"/>
                    </w:rPr>
                    <w:t>危险废物贮存库</w:t>
                  </w:r>
                  <w:r>
                    <w:rPr>
                      <w:rFonts w:hint="eastAsia"/>
                      <w:szCs w:val="21"/>
                    </w:rPr>
                    <w:t>，由有资质单位回收处置</w:t>
                  </w:r>
                </w:p>
              </w:tc>
            </w:tr>
            <w:tr w14:paraId="41BFE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95" w:type="pct"/>
                  <w:noWrap w:val="0"/>
                  <w:vAlign w:val="center"/>
                </w:tcPr>
                <w:p w14:paraId="002456D8">
                  <w:pPr>
                    <w:jc w:val="center"/>
                    <w:rPr>
                      <w:rFonts w:hint="default"/>
                      <w:szCs w:val="24"/>
                      <w:lang w:val="en-US" w:eastAsia="zh-CN"/>
                    </w:rPr>
                  </w:pPr>
                  <w:r>
                    <w:rPr>
                      <w:rFonts w:hint="eastAsia"/>
                      <w:szCs w:val="24"/>
                      <w:lang w:val="en-US" w:eastAsia="zh-CN"/>
                    </w:rPr>
                    <w:t>药剂包装桶</w:t>
                  </w:r>
                </w:p>
              </w:tc>
              <w:tc>
                <w:tcPr>
                  <w:tcW w:w="600" w:type="pct"/>
                  <w:noWrap w:val="0"/>
                  <w:vAlign w:val="center"/>
                </w:tcPr>
                <w:p w14:paraId="3BA8A213">
                  <w:pPr>
                    <w:jc w:val="center"/>
                    <w:rPr>
                      <w:rFonts w:hint="default"/>
                      <w:szCs w:val="21"/>
                      <w:lang w:val="en-US" w:eastAsia="zh-CN"/>
                    </w:rPr>
                  </w:pPr>
                  <w:r>
                    <w:rPr>
                      <w:rFonts w:hint="eastAsia"/>
                      <w:szCs w:val="21"/>
                      <w:lang w:val="en-US" w:eastAsia="zh-CN"/>
                    </w:rPr>
                    <w:t>废包装桶</w:t>
                  </w:r>
                </w:p>
              </w:tc>
              <w:tc>
                <w:tcPr>
                  <w:tcW w:w="597" w:type="pct"/>
                  <w:vMerge w:val="continue"/>
                  <w:noWrap w:val="0"/>
                  <w:vAlign w:val="center"/>
                </w:tcPr>
                <w:p w14:paraId="2817DB0D">
                  <w:pPr>
                    <w:jc w:val="center"/>
                    <w:rPr>
                      <w:rFonts w:hint="eastAsia"/>
                      <w:szCs w:val="21"/>
                      <w:lang w:val="en-US" w:eastAsia="zh-CN"/>
                    </w:rPr>
                  </w:pPr>
                </w:p>
              </w:tc>
              <w:tc>
                <w:tcPr>
                  <w:tcW w:w="804" w:type="pct"/>
                  <w:noWrap w:val="0"/>
                  <w:vAlign w:val="center"/>
                </w:tcPr>
                <w:p w14:paraId="17B12AB2">
                  <w:pPr>
                    <w:pStyle w:val="56"/>
                    <w:ind w:firstLine="0" w:firstLineChars="0"/>
                    <w:rPr>
                      <w:rFonts w:hint="eastAsia" w:ascii="Calibri" w:hAnsi="Calibri" w:eastAsia="宋体" w:cs="Calibri"/>
                      <w:sz w:val="21"/>
                      <w:szCs w:val="21"/>
                      <w:lang w:val="en-US" w:eastAsia="zh-CN"/>
                    </w:rPr>
                  </w:pPr>
                  <w:r>
                    <w:rPr>
                      <w:rFonts w:hint="eastAsia" w:ascii="Calibri" w:hAnsi="Calibri" w:eastAsia="宋体" w:cs="Calibri"/>
                      <w:sz w:val="21"/>
                      <w:szCs w:val="21"/>
                      <w:lang w:val="en-US" w:eastAsia="zh-CN"/>
                    </w:rPr>
                    <w:t>HW49</w:t>
                  </w:r>
                </w:p>
                <w:p w14:paraId="23FAB4C5">
                  <w:pPr>
                    <w:pStyle w:val="56"/>
                    <w:ind w:firstLine="0" w:firstLineChars="0"/>
                    <w:rPr>
                      <w:rFonts w:hint="eastAsia"/>
                      <w:szCs w:val="21"/>
                      <w:lang w:val="en-US" w:eastAsia="zh-CN"/>
                    </w:rPr>
                  </w:pPr>
                  <w:r>
                    <w:rPr>
                      <w:rFonts w:ascii="Calibri" w:hAnsi="Calibri" w:eastAsia="Times New Roman" w:cs="Calibri"/>
                      <w:sz w:val="21"/>
                      <w:szCs w:val="21"/>
                    </w:rPr>
                    <w:t>900-041-49</w:t>
                  </w:r>
                </w:p>
              </w:tc>
              <w:tc>
                <w:tcPr>
                  <w:tcW w:w="514" w:type="pct"/>
                  <w:noWrap w:val="0"/>
                  <w:vAlign w:val="center"/>
                </w:tcPr>
                <w:p w14:paraId="6744A99E">
                  <w:pPr>
                    <w:jc w:val="center"/>
                    <w:rPr>
                      <w:rFonts w:hint="eastAsia"/>
                      <w:szCs w:val="21"/>
                      <w:lang w:eastAsia="zh-CN"/>
                    </w:rPr>
                  </w:pPr>
                  <w:r>
                    <w:rPr>
                      <w:rFonts w:hint="eastAsia" w:eastAsia="宋体"/>
                      <w:szCs w:val="21"/>
                      <w:lang w:val="en-US" w:eastAsia="zh-CN"/>
                    </w:rPr>
                    <w:t>固态</w:t>
                  </w:r>
                </w:p>
              </w:tc>
              <w:tc>
                <w:tcPr>
                  <w:tcW w:w="414" w:type="pct"/>
                  <w:noWrap w:val="0"/>
                  <w:vAlign w:val="center"/>
                </w:tcPr>
                <w:p w14:paraId="58F4E162">
                  <w:pPr>
                    <w:jc w:val="center"/>
                    <w:rPr>
                      <w:rFonts w:hint="eastAsia"/>
                      <w:szCs w:val="21"/>
                    </w:rPr>
                  </w:pPr>
                  <w:r>
                    <w:rPr>
                      <w:rFonts w:ascii="Calibri" w:hAnsi="Calibri" w:eastAsia="Times New Roman" w:cs="Calibri"/>
                      <w:sz w:val="21"/>
                      <w:szCs w:val="21"/>
                    </w:rPr>
                    <w:t>T/In</w:t>
                  </w:r>
                </w:p>
              </w:tc>
              <w:tc>
                <w:tcPr>
                  <w:tcW w:w="521" w:type="pct"/>
                  <w:noWrap w:val="0"/>
                  <w:vAlign w:val="center"/>
                </w:tcPr>
                <w:p w14:paraId="4C9B57CF">
                  <w:pPr>
                    <w:jc w:val="center"/>
                    <w:rPr>
                      <w:rFonts w:hint="default"/>
                      <w:szCs w:val="21"/>
                      <w:lang w:val="en-US" w:eastAsia="zh-CN"/>
                    </w:rPr>
                  </w:pPr>
                  <w:r>
                    <w:rPr>
                      <w:rFonts w:hint="eastAsia"/>
                      <w:szCs w:val="21"/>
                      <w:lang w:val="en-US" w:eastAsia="zh-CN"/>
                    </w:rPr>
                    <w:t>0.2t/a</w:t>
                  </w:r>
                </w:p>
              </w:tc>
              <w:tc>
                <w:tcPr>
                  <w:tcW w:w="950" w:type="pct"/>
                  <w:vMerge w:val="continue"/>
                  <w:noWrap w:val="0"/>
                  <w:vAlign w:val="center"/>
                </w:tcPr>
                <w:p w14:paraId="07CB4B8A">
                  <w:pPr>
                    <w:jc w:val="center"/>
                    <w:rPr>
                      <w:rFonts w:hint="eastAsia"/>
                      <w:szCs w:val="21"/>
                    </w:rPr>
                  </w:pPr>
                </w:p>
              </w:tc>
            </w:tr>
            <w:tr w14:paraId="3B09E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95" w:type="pct"/>
                  <w:vMerge w:val="restart"/>
                  <w:noWrap w:val="0"/>
                  <w:vAlign w:val="center"/>
                </w:tcPr>
                <w:p w14:paraId="6C15C8C4">
                  <w:pPr>
                    <w:jc w:val="center"/>
                    <w:rPr>
                      <w:rFonts w:hint="default" w:eastAsia="宋体"/>
                      <w:szCs w:val="21"/>
                      <w:lang w:val="en-US" w:eastAsia="zh-CN"/>
                    </w:rPr>
                  </w:pPr>
                  <w:r>
                    <w:rPr>
                      <w:rFonts w:hint="eastAsia" w:eastAsia="宋体"/>
                      <w:szCs w:val="21"/>
                      <w:lang w:val="en-US" w:eastAsia="zh-CN"/>
                    </w:rPr>
                    <w:t>设备维护保养</w:t>
                  </w:r>
                </w:p>
              </w:tc>
              <w:tc>
                <w:tcPr>
                  <w:tcW w:w="600" w:type="pct"/>
                  <w:noWrap w:val="0"/>
                  <w:vAlign w:val="center"/>
                </w:tcPr>
                <w:p w14:paraId="4D1A0B36">
                  <w:pPr>
                    <w:jc w:val="center"/>
                    <w:rPr>
                      <w:rFonts w:hint="eastAsia" w:eastAsia="宋体"/>
                      <w:szCs w:val="21"/>
                      <w:lang w:eastAsia="zh-CN"/>
                    </w:rPr>
                  </w:pPr>
                  <w:r>
                    <w:rPr>
                      <w:rFonts w:ascii="Calibri" w:hAnsi="Calibri" w:cs="Calibri"/>
                      <w:sz w:val="21"/>
                      <w:szCs w:val="21"/>
                      <w:lang w:eastAsia="zh-CN"/>
                    </w:rPr>
                    <w:t>废润滑油</w:t>
                  </w:r>
                </w:p>
              </w:tc>
              <w:tc>
                <w:tcPr>
                  <w:tcW w:w="597" w:type="pct"/>
                  <w:vMerge w:val="continue"/>
                  <w:noWrap w:val="0"/>
                  <w:vAlign w:val="center"/>
                </w:tcPr>
                <w:p w14:paraId="71CE5DDD">
                  <w:pPr>
                    <w:jc w:val="center"/>
                    <w:rPr>
                      <w:szCs w:val="21"/>
                    </w:rPr>
                  </w:pPr>
                </w:p>
              </w:tc>
              <w:tc>
                <w:tcPr>
                  <w:tcW w:w="804" w:type="pct"/>
                  <w:noWrap w:val="0"/>
                  <w:vAlign w:val="center"/>
                </w:tcPr>
                <w:p w14:paraId="64B807B5">
                  <w:pPr>
                    <w:pStyle w:val="56"/>
                    <w:ind w:firstLine="0" w:firstLineChars="0"/>
                    <w:rPr>
                      <w:rFonts w:hint="eastAsia" w:ascii="Calibri" w:hAnsi="Calibri" w:eastAsia="宋体" w:cs="Calibri"/>
                      <w:sz w:val="21"/>
                      <w:szCs w:val="21"/>
                      <w:lang w:val="en-US" w:eastAsia="zh-CN"/>
                    </w:rPr>
                  </w:pPr>
                  <w:r>
                    <w:rPr>
                      <w:rFonts w:hint="eastAsia" w:ascii="Calibri" w:hAnsi="Calibri" w:eastAsia="宋体" w:cs="Calibri"/>
                      <w:sz w:val="21"/>
                      <w:szCs w:val="21"/>
                      <w:lang w:val="en-US" w:eastAsia="zh-CN"/>
                    </w:rPr>
                    <w:t>HW08</w:t>
                  </w:r>
                </w:p>
                <w:p w14:paraId="70ABA239">
                  <w:pPr>
                    <w:pStyle w:val="56"/>
                    <w:ind w:firstLine="0" w:firstLineChars="0"/>
                    <w:rPr>
                      <w:rFonts w:hint="default" w:eastAsia="宋体"/>
                      <w:szCs w:val="21"/>
                      <w:lang w:val="en-US" w:eastAsia="zh-CN"/>
                    </w:rPr>
                  </w:pPr>
                  <w:r>
                    <w:rPr>
                      <w:rFonts w:ascii="Calibri" w:hAnsi="Calibri" w:eastAsia="Times New Roman" w:cs="Calibri"/>
                      <w:sz w:val="21"/>
                      <w:szCs w:val="21"/>
                    </w:rPr>
                    <w:t>900-217-08</w:t>
                  </w:r>
                </w:p>
              </w:tc>
              <w:tc>
                <w:tcPr>
                  <w:tcW w:w="514" w:type="pct"/>
                  <w:noWrap w:val="0"/>
                  <w:vAlign w:val="center"/>
                </w:tcPr>
                <w:p w14:paraId="326B6CB6">
                  <w:pPr>
                    <w:jc w:val="center"/>
                    <w:rPr>
                      <w:rFonts w:hint="default" w:eastAsia="宋体"/>
                      <w:szCs w:val="21"/>
                      <w:lang w:val="en-US" w:eastAsia="zh-CN"/>
                    </w:rPr>
                  </w:pPr>
                  <w:r>
                    <w:rPr>
                      <w:rFonts w:hint="eastAsia" w:eastAsia="宋体"/>
                      <w:szCs w:val="21"/>
                      <w:lang w:val="en-US" w:eastAsia="zh-CN"/>
                    </w:rPr>
                    <w:t>液态</w:t>
                  </w:r>
                </w:p>
              </w:tc>
              <w:tc>
                <w:tcPr>
                  <w:tcW w:w="414" w:type="pct"/>
                  <w:noWrap w:val="0"/>
                  <w:vAlign w:val="center"/>
                </w:tcPr>
                <w:p w14:paraId="01B8BE54">
                  <w:pPr>
                    <w:jc w:val="center"/>
                    <w:rPr>
                      <w:rFonts w:hint="eastAsia"/>
                      <w:szCs w:val="21"/>
                    </w:rPr>
                  </w:pPr>
                  <w:r>
                    <w:rPr>
                      <w:rFonts w:ascii="Calibri" w:hAnsi="Calibri" w:eastAsia="Times New Roman" w:cs="Calibri"/>
                      <w:sz w:val="21"/>
                      <w:szCs w:val="21"/>
                    </w:rPr>
                    <w:t>T</w:t>
                  </w:r>
                  <w:r>
                    <w:rPr>
                      <w:rFonts w:hint="eastAsia" w:ascii="Calibri" w:hAnsi="Calibri" w:eastAsia="Times New Roman" w:cs="Calibri"/>
                      <w:sz w:val="21"/>
                      <w:szCs w:val="21"/>
                      <w:lang w:eastAsia="zh-CN"/>
                    </w:rPr>
                    <w:t>/</w:t>
                  </w:r>
                  <w:r>
                    <w:rPr>
                      <w:rFonts w:ascii="Calibri" w:hAnsi="Calibri" w:eastAsia="Times New Roman" w:cs="Calibri"/>
                      <w:sz w:val="21"/>
                      <w:szCs w:val="21"/>
                    </w:rPr>
                    <w:t>I</w:t>
                  </w:r>
                </w:p>
              </w:tc>
              <w:tc>
                <w:tcPr>
                  <w:tcW w:w="521" w:type="pct"/>
                  <w:noWrap w:val="0"/>
                  <w:vAlign w:val="center"/>
                </w:tcPr>
                <w:p w14:paraId="0D562A51">
                  <w:pPr>
                    <w:jc w:val="center"/>
                    <w:rPr>
                      <w:rFonts w:hint="default" w:eastAsia="宋体"/>
                      <w:szCs w:val="21"/>
                      <w:lang w:val="en-US" w:eastAsia="zh-CN"/>
                    </w:rPr>
                  </w:pPr>
                  <w:r>
                    <w:rPr>
                      <w:rFonts w:hint="eastAsia" w:eastAsia="宋体"/>
                      <w:szCs w:val="21"/>
                      <w:lang w:val="en-US" w:eastAsia="zh-CN"/>
                    </w:rPr>
                    <w:t>0.1t/a</w:t>
                  </w:r>
                </w:p>
              </w:tc>
              <w:tc>
                <w:tcPr>
                  <w:tcW w:w="950" w:type="pct"/>
                  <w:vMerge w:val="continue"/>
                  <w:noWrap w:val="0"/>
                  <w:vAlign w:val="center"/>
                </w:tcPr>
                <w:p w14:paraId="1FAD7BED">
                  <w:pPr>
                    <w:jc w:val="center"/>
                    <w:rPr>
                      <w:rFonts w:hint="eastAsia"/>
                      <w:szCs w:val="21"/>
                    </w:rPr>
                  </w:pPr>
                </w:p>
              </w:tc>
            </w:tr>
            <w:tr w14:paraId="09D23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95" w:type="pct"/>
                  <w:vMerge w:val="continue"/>
                  <w:noWrap w:val="0"/>
                  <w:vAlign w:val="center"/>
                </w:tcPr>
                <w:p w14:paraId="0CB65A4B">
                  <w:pPr>
                    <w:jc w:val="center"/>
                    <w:rPr>
                      <w:rFonts w:hint="eastAsia" w:eastAsia="宋体"/>
                      <w:szCs w:val="21"/>
                      <w:lang w:val="en-US" w:eastAsia="zh-CN"/>
                    </w:rPr>
                  </w:pPr>
                </w:p>
              </w:tc>
              <w:tc>
                <w:tcPr>
                  <w:tcW w:w="600" w:type="pct"/>
                  <w:noWrap w:val="0"/>
                  <w:vAlign w:val="center"/>
                </w:tcPr>
                <w:p w14:paraId="70311E3B">
                  <w:pPr>
                    <w:jc w:val="center"/>
                    <w:rPr>
                      <w:rFonts w:ascii="Calibri" w:hAnsi="Calibri" w:cs="Calibri"/>
                      <w:sz w:val="21"/>
                      <w:szCs w:val="21"/>
                      <w:lang w:eastAsia="zh-CN"/>
                    </w:rPr>
                  </w:pPr>
                  <w:r>
                    <w:rPr>
                      <w:rFonts w:ascii="Calibri" w:hAnsi="Calibri" w:cs="Calibri"/>
                      <w:sz w:val="21"/>
                      <w:szCs w:val="21"/>
                      <w:lang w:eastAsia="zh-CN"/>
                    </w:rPr>
                    <w:t>废油桶</w:t>
                  </w:r>
                </w:p>
              </w:tc>
              <w:tc>
                <w:tcPr>
                  <w:tcW w:w="597" w:type="pct"/>
                  <w:vMerge w:val="continue"/>
                  <w:noWrap w:val="0"/>
                  <w:vAlign w:val="center"/>
                </w:tcPr>
                <w:p w14:paraId="4A0D6D41">
                  <w:pPr>
                    <w:jc w:val="center"/>
                    <w:rPr>
                      <w:szCs w:val="21"/>
                    </w:rPr>
                  </w:pPr>
                </w:p>
              </w:tc>
              <w:tc>
                <w:tcPr>
                  <w:tcW w:w="804" w:type="pct"/>
                  <w:noWrap w:val="0"/>
                  <w:vAlign w:val="center"/>
                </w:tcPr>
                <w:p w14:paraId="37323F31">
                  <w:pPr>
                    <w:pStyle w:val="56"/>
                    <w:ind w:firstLine="0" w:firstLineChars="0"/>
                    <w:rPr>
                      <w:rFonts w:hint="eastAsia" w:ascii="Calibri" w:hAnsi="Calibri" w:eastAsia="宋体" w:cs="Calibri"/>
                      <w:sz w:val="21"/>
                      <w:szCs w:val="21"/>
                      <w:lang w:val="en-US" w:eastAsia="zh-CN"/>
                    </w:rPr>
                  </w:pPr>
                  <w:r>
                    <w:rPr>
                      <w:rFonts w:hint="eastAsia" w:ascii="Calibri" w:hAnsi="Calibri" w:eastAsia="宋体" w:cs="Calibri"/>
                      <w:sz w:val="21"/>
                      <w:szCs w:val="21"/>
                      <w:lang w:val="en-US" w:eastAsia="zh-CN"/>
                    </w:rPr>
                    <w:t>HW49</w:t>
                  </w:r>
                </w:p>
                <w:p w14:paraId="114D51E8">
                  <w:pPr>
                    <w:pStyle w:val="56"/>
                    <w:ind w:firstLine="0" w:firstLineChars="0"/>
                    <w:rPr>
                      <w:rFonts w:hint="default" w:eastAsia="宋体"/>
                      <w:szCs w:val="21"/>
                      <w:lang w:val="en-US" w:eastAsia="zh-CN"/>
                    </w:rPr>
                  </w:pPr>
                  <w:r>
                    <w:rPr>
                      <w:rFonts w:ascii="Calibri" w:hAnsi="Calibri" w:eastAsia="Times New Roman" w:cs="Calibri"/>
                      <w:sz w:val="21"/>
                      <w:szCs w:val="21"/>
                    </w:rPr>
                    <w:t>900-041-49</w:t>
                  </w:r>
                </w:p>
              </w:tc>
              <w:tc>
                <w:tcPr>
                  <w:tcW w:w="514" w:type="pct"/>
                  <w:noWrap w:val="0"/>
                  <w:vAlign w:val="center"/>
                </w:tcPr>
                <w:p w14:paraId="0618A193">
                  <w:pPr>
                    <w:jc w:val="center"/>
                    <w:rPr>
                      <w:rFonts w:hint="default" w:eastAsia="宋体"/>
                      <w:szCs w:val="21"/>
                      <w:lang w:val="en-US" w:eastAsia="zh-CN"/>
                    </w:rPr>
                  </w:pPr>
                  <w:r>
                    <w:rPr>
                      <w:rFonts w:hint="eastAsia" w:eastAsia="宋体"/>
                      <w:szCs w:val="21"/>
                      <w:lang w:val="en-US" w:eastAsia="zh-CN"/>
                    </w:rPr>
                    <w:t>固态</w:t>
                  </w:r>
                </w:p>
              </w:tc>
              <w:tc>
                <w:tcPr>
                  <w:tcW w:w="414" w:type="pct"/>
                  <w:noWrap w:val="0"/>
                  <w:vAlign w:val="center"/>
                </w:tcPr>
                <w:p w14:paraId="401AF341">
                  <w:pPr>
                    <w:jc w:val="center"/>
                    <w:rPr>
                      <w:rFonts w:hint="eastAsia"/>
                      <w:szCs w:val="21"/>
                    </w:rPr>
                  </w:pPr>
                  <w:r>
                    <w:rPr>
                      <w:rFonts w:ascii="Calibri" w:hAnsi="Calibri" w:eastAsia="Times New Roman" w:cs="Calibri"/>
                      <w:sz w:val="21"/>
                      <w:szCs w:val="21"/>
                    </w:rPr>
                    <w:t>T/In</w:t>
                  </w:r>
                </w:p>
              </w:tc>
              <w:tc>
                <w:tcPr>
                  <w:tcW w:w="521" w:type="pct"/>
                  <w:noWrap w:val="0"/>
                  <w:vAlign w:val="center"/>
                </w:tcPr>
                <w:p w14:paraId="311C97A9">
                  <w:pPr>
                    <w:jc w:val="center"/>
                    <w:rPr>
                      <w:rFonts w:hint="default" w:eastAsia="宋体"/>
                      <w:szCs w:val="21"/>
                      <w:lang w:val="en-US" w:eastAsia="zh-CN"/>
                    </w:rPr>
                  </w:pPr>
                  <w:r>
                    <w:rPr>
                      <w:rFonts w:hint="eastAsia" w:eastAsia="宋体"/>
                      <w:szCs w:val="21"/>
                      <w:lang w:val="en-US" w:eastAsia="zh-CN"/>
                    </w:rPr>
                    <w:t>0.01t/a</w:t>
                  </w:r>
                </w:p>
              </w:tc>
              <w:tc>
                <w:tcPr>
                  <w:tcW w:w="950" w:type="pct"/>
                  <w:vMerge w:val="continue"/>
                  <w:noWrap w:val="0"/>
                  <w:vAlign w:val="center"/>
                </w:tcPr>
                <w:p w14:paraId="1E27485E">
                  <w:pPr>
                    <w:jc w:val="center"/>
                    <w:rPr>
                      <w:rFonts w:hint="eastAsia"/>
                      <w:szCs w:val="21"/>
                    </w:rPr>
                  </w:pPr>
                </w:p>
              </w:tc>
            </w:tr>
            <w:tr w14:paraId="0F5D3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95" w:type="pct"/>
                  <w:noWrap w:val="0"/>
                  <w:vAlign w:val="center"/>
                </w:tcPr>
                <w:p w14:paraId="01A11540">
                  <w:pPr>
                    <w:jc w:val="center"/>
                    <w:rPr>
                      <w:rFonts w:hint="default" w:eastAsia="宋体"/>
                      <w:szCs w:val="21"/>
                      <w:lang w:val="en-US" w:eastAsia="zh-CN"/>
                    </w:rPr>
                  </w:pPr>
                  <w:r>
                    <w:rPr>
                      <w:rFonts w:hint="eastAsia" w:eastAsia="宋体"/>
                      <w:szCs w:val="21"/>
                      <w:lang w:val="en-US" w:eastAsia="zh-CN"/>
                    </w:rPr>
                    <w:t>职工生活办公</w:t>
                  </w:r>
                </w:p>
              </w:tc>
              <w:tc>
                <w:tcPr>
                  <w:tcW w:w="600" w:type="pct"/>
                  <w:noWrap w:val="0"/>
                  <w:vAlign w:val="center"/>
                </w:tcPr>
                <w:p w14:paraId="1F3BEE56">
                  <w:pPr>
                    <w:jc w:val="center"/>
                    <w:rPr>
                      <w:rFonts w:ascii="Calibri" w:hAnsi="Calibri" w:cs="Calibri"/>
                      <w:sz w:val="21"/>
                      <w:szCs w:val="21"/>
                      <w:lang w:eastAsia="zh-CN"/>
                    </w:rPr>
                  </w:pPr>
                  <w:r>
                    <w:rPr>
                      <w:rFonts w:hint="eastAsia" w:eastAsia="宋体"/>
                      <w:szCs w:val="21"/>
                      <w:lang w:val="en-US" w:eastAsia="zh-CN"/>
                    </w:rPr>
                    <w:t>生活垃圾</w:t>
                  </w:r>
                </w:p>
              </w:tc>
              <w:tc>
                <w:tcPr>
                  <w:tcW w:w="597" w:type="pct"/>
                  <w:noWrap w:val="0"/>
                  <w:vAlign w:val="center"/>
                </w:tcPr>
                <w:p w14:paraId="1D926B03">
                  <w:pPr>
                    <w:jc w:val="center"/>
                    <w:rPr>
                      <w:rFonts w:hint="eastAsia" w:eastAsia="宋体"/>
                      <w:szCs w:val="21"/>
                      <w:lang w:val="en-US" w:eastAsia="zh-CN"/>
                    </w:rPr>
                  </w:pPr>
                  <w:r>
                    <w:rPr>
                      <w:rFonts w:hint="eastAsia"/>
                      <w:szCs w:val="21"/>
                      <w:lang w:val="en-US" w:eastAsia="zh-CN"/>
                    </w:rPr>
                    <w:t>/</w:t>
                  </w:r>
                </w:p>
              </w:tc>
              <w:tc>
                <w:tcPr>
                  <w:tcW w:w="804" w:type="pct"/>
                  <w:noWrap w:val="0"/>
                  <w:vAlign w:val="center"/>
                </w:tcPr>
                <w:p w14:paraId="4FB8FE23">
                  <w:pPr>
                    <w:pStyle w:val="56"/>
                    <w:ind w:firstLine="0" w:firstLineChars="0"/>
                    <w:rPr>
                      <w:rFonts w:hint="eastAsia" w:ascii="Calibri" w:hAnsi="Calibri" w:eastAsia="宋体" w:cs="Calibri"/>
                      <w:sz w:val="21"/>
                      <w:szCs w:val="21"/>
                      <w:lang w:val="en-US" w:eastAsia="zh-CN"/>
                    </w:rPr>
                  </w:pPr>
                  <w:r>
                    <w:rPr>
                      <w:rFonts w:hint="eastAsia" w:ascii="Calibri" w:hAnsi="Calibri" w:eastAsia="宋体" w:cs="Calibri"/>
                      <w:sz w:val="21"/>
                      <w:szCs w:val="21"/>
                      <w:lang w:val="en-US" w:eastAsia="zh-CN"/>
                    </w:rPr>
                    <w:t>无</w:t>
                  </w:r>
                </w:p>
              </w:tc>
              <w:tc>
                <w:tcPr>
                  <w:tcW w:w="514" w:type="pct"/>
                  <w:noWrap w:val="0"/>
                  <w:vAlign w:val="center"/>
                </w:tcPr>
                <w:p w14:paraId="5E21E4B0">
                  <w:pPr>
                    <w:jc w:val="center"/>
                    <w:rPr>
                      <w:rFonts w:hint="default" w:eastAsia="宋体"/>
                      <w:szCs w:val="21"/>
                      <w:lang w:val="en-US" w:eastAsia="zh-CN"/>
                    </w:rPr>
                  </w:pPr>
                  <w:r>
                    <w:rPr>
                      <w:rFonts w:hint="eastAsia" w:eastAsia="宋体"/>
                      <w:szCs w:val="21"/>
                      <w:lang w:val="en-US" w:eastAsia="zh-CN"/>
                    </w:rPr>
                    <w:t>固态</w:t>
                  </w:r>
                </w:p>
              </w:tc>
              <w:tc>
                <w:tcPr>
                  <w:tcW w:w="414" w:type="pct"/>
                  <w:noWrap w:val="0"/>
                  <w:vAlign w:val="center"/>
                </w:tcPr>
                <w:p w14:paraId="19449D35">
                  <w:pPr>
                    <w:jc w:val="center"/>
                    <w:rPr>
                      <w:rFonts w:hint="eastAsia" w:ascii="Calibri" w:hAnsi="Calibri" w:eastAsia="宋体" w:cs="Calibri"/>
                      <w:sz w:val="21"/>
                      <w:szCs w:val="21"/>
                      <w:lang w:val="en-US" w:eastAsia="zh-CN"/>
                    </w:rPr>
                  </w:pPr>
                  <w:r>
                    <w:rPr>
                      <w:rFonts w:hint="eastAsia" w:ascii="Calibri" w:hAnsi="Calibri" w:eastAsia="宋体" w:cs="Calibri"/>
                      <w:sz w:val="21"/>
                      <w:szCs w:val="21"/>
                      <w:lang w:val="en-US" w:eastAsia="zh-CN"/>
                    </w:rPr>
                    <w:t>/</w:t>
                  </w:r>
                </w:p>
              </w:tc>
              <w:tc>
                <w:tcPr>
                  <w:tcW w:w="521" w:type="pct"/>
                  <w:noWrap w:val="0"/>
                  <w:vAlign w:val="center"/>
                </w:tcPr>
                <w:p w14:paraId="1E923335">
                  <w:pPr>
                    <w:jc w:val="center"/>
                    <w:rPr>
                      <w:rFonts w:hint="default" w:eastAsia="宋体"/>
                      <w:szCs w:val="21"/>
                      <w:lang w:val="en-US" w:eastAsia="zh-CN"/>
                    </w:rPr>
                  </w:pPr>
                  <w:r>
                    <w:rPr>
                      <w:rFonts w:hint="eastAsia" w:eastAsia="宋体"/>
                      <w:szCs w:val="21"/>
                      <w:lang w:val="en-US" w:eastAsia="zh-CN"/>
                    </w:rPr>
                    <w:t>0.548t/a</w:t>
                  </w:r>
                </w:p>
              </w:tc>
              <w:tc>
                <w:tcPr>
                  <w:tcW w:w="950" w:type="pct"/>
                  <w:noWrap w:val="0"/>
                  <w:vAlign w:val="center"/>
                </w:tcPr>
                <w:p w14:paraId="18178212">
                  <w:pPr>
                    <w:jc w:val="center"/>
                    <w:rPr>
                      <w:rFonts w:hint="eastAsia"/>
                      <w:szCs w:val="21"/>
                    </w:rPr>
                  </w:pPr>
                  <w:r>
                    <w:rPr>
                      <w:rFonts w:hint="eastAsia"/>
                      <w:szCs w:val="21"/>
                    </w:rPr>
                    <w:t>环卫部门统一收集后处置</w:t>
                  </w:r>
                </w:p>
              </w:tc>
            </w:tr>
          </w:tbl>
          <w:p w14:paraId="08A4AD32">
            <w:pPr>
              <w:keepNext w:val="0"/>
              <w:keepLines w:val="0"/>
              <w:pageBreakBefore w:val="0"/>
              <w:widowControl/>
              <w:kinsoku/>
              <w:wordWrap/>
              <w:overflowPunct/>
              <w:topLinePunct w:val="0"/>
              <w:autoSpaceDE/>
              <w:autoSpaceDN/>
              <w:bidi w:val="0"/>
              <w:adjustRightInd/>
              <w:spacing w:line="360" w:lineRule="auto"/>
              <w:ind w:firstLine="482" w:firstLineChars="200"/>
              <w:jc w:val="left"/>
              <w:textAlignment w:val="auto"/>
              <w:rPr>
                <w:rFonts w:hint="eastAsia"/>
                <w:b/>
                <w:bCs/>
                <w:sz w:val="24"/>
              </w:rPr>
            </w:pPr>
            <w:r>
              <w:rPr>
                <w:rFonts w:hint="eastAsia"/>
                <w:b/>
                <w:bCs/>
                <w:sz w:val="24"/>
                <w:lang w:eastAsia="zh-CN"/>
              </w:rPr>
              <w:t>2.</w:t>
            </w:r>
            <w:r>
              <w:rPr>
                <w:rFonts w:hint="eastAsia"/>
                <w:b/>
                <w:bCs/>
                <w:sz w:val="24"/>
              </w:rPr>
              <w:t>环境管理要求</w:t>
            </w:r>
          </w:p>
          <w:p w14:paraId="7A7FE603">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（1）一般工业固废：如栅渣等临时贮存场所及贮存方式应满足《一般工业固体废物贮存和填埋污染控制标准》（GB18599-2020）</w:t>
            </w:r>
            <w:r>
              <w:rPr>
                <w:rFonts w:hint="eastAsia"/>
                <w:sz w:val="24"/>
                <w:lang w:val="en-US" w:eastAsia="zh-CN"/>
              </w:rPr>
              <w:t>相关</w:t>
            </w:r>
            <w:r>
              <w:rPr>
                <w:rFonts w:hint="eastAsia"/>
                <w:sz w:val="24"/>
              </w:rPr>
              <w:t>的要求，与危险废物、生活垃圾实行严格的分类收集、分类存放，收集后及时清运，在清运的过程中应避免沿途洒落和飘散造成环境污染，确保不产生二次污染。采取有效措施后，对周围环境影响较小。</w:t>
            </w:r>
          </w:p>
          <w:p w14:paraId="01C56601">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eastAsia="宋体"/>
                <w:sz w:val="24"/>
                <w:lang w:val="en-US" w:eastAsia="zh-CN"/>
              </w:rPr>
            </w:pPr>
            <w:r>
              <w:rPr>
                <w:rFonts w:hint="eastAsia"/>
                <w:sz w:val="24"/>
              </w:rPr>
              <w:t>（2）</w:t>
            </w:r>
            <w:r>
              <w:rPr>
                <w:rFonts w:hint="eastAsia"/>
                <w:sz w:val="24"/>
                <w:lang w:val="en-US" w:eastAsia="zh-CN"/>
              </w:rPr>
              <w:t>污泥鉴别及环境管理要求</w:t>
            </w:r>
          </w:p>
          <w:p w14:paraId="75AB9224">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eastAsia="宋体"/>
                <w:sz w:val="24"/>
                <w:lang w:eastAsia="zh-CN"/>
              </w:rPr>
            </w:pPr>
            <w:r>
              <w:rPr>
                <w:rFonts w:hint="eastAsia"/>
                <w:sz w:val="24"/>
              </w:rPr>
              <w:t>本项目污水处理站产生</w:t>
            </w:r>
            <w:r>
              <w:rPr>
                <w:rFonts w:hint="eastAsia"/>
                <w:sz w:val="24"/>
                <w:lang w:val="en-US" w:eastAsia="zh-CN"/>
              </w:rPr>
              <w:t>的</w:t>
            </w:r>
            <w:r>
              <w:rPr>
                <w:rFonts w:hint="eastAsia"/>
                <w:sz w:val="24"/>
              </w:rPr>
              <w:t>污泥，污泥的危险废物鉴别工作作为本项目竣工环境保护验收的前置条件之一。在危险废物鉴别结论尚未出具前，污泥的收集、场内贮存、</w:t>
            </w:r>
            <w:r>
              <w:rPr>
                <w:rFonts w:hint="eastAsia"/>
                <w:sz w:val="24"/>
                <w:lang w:val="en-US" w:eastAsia="zh-CN"/>
              </w:rPr>
              <w:t>场</w:t>
            </w:r>
            <w:r>
              <w:rPr>
                <w:rFonts w:hint="eastAsia"/>
                <w:sz w:val="24"/>
              </w:rPr>
              <w:t>外运输、处置全过程均严格按照危险废物管理相关要求执行；待鉴别报告出具后，若鉴别不属于危险废物，可按照一般工业固体废物相应管理要求执行；若鉴别属于危险废物，则严格按照对应危险废物类别、代码管理，委托具备相应资质单位处置</w:t>
            </w:r>
            <w:r>
              <w:rPr>
                <w:rFonts w:hint="eastAsia"/>
                <w:sz w:val="24"/>
                <w:lang w:eastAsia="zh-CN"/>
              </w:rPr>
              <w:t>。</w:t>
            </w:r>
          </w:p>
          <w:p w14:paraId="61CC6079">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eastAsia="宋体"/>
                <w:sz w:val="24"/>
                <w:lang w:eastAsia="zh-CN"/>
              </w:rPr>
            </w:pPr>
            <w:r>
              <w:rPr>
                <w:rFonts w:hint="eastAsia"/>
                <w:sz w:val="24"/>
              </w:rPr>
              <w:t>污泥环境管理相关要求如下</w:t>
            </w:r>
            <w:r>
              <w:rPr>
                <w:rFonts w:hint="eastAsia"/>
                <w:sz w:val="24"/>
                <w:lang w:eastAsia="zh-CN"/>
              </w:rPr>
              <w:t>：</w:t>
            </w:r>
          </w:p>
          <w:p w14:paraId="5D8C31CF">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①项目应按规范对产生的污泥开展相关监测，完整留存原始监测记录。</w:t>
            </w:r>
          </w:p>
          <w:p w14:paraId="190ECEC7">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②污泥脱水处理单元构筑物应密闭设置，并配套通风收集设施，减轻污泥处理过程产生的恶臭对周边环境的影响。</w:t>
            </w:r>
          </w:p>
          <w:p w14:paraId="7BEC0D7C">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③脱水后污泥外运须采用专用密闭运输车辆，车辆应做到密封防水、无破损渗漏；车辆驶离装料场地前，应对槽帮、车轮进行冲洗，严禁带泥上路、沿途遗撒泄漏；运输途中一旦发生泄漏，须第一时间开展清理处置。污泥运输应严格执行主管部门批准的运输路线、运输时间及卸纳点位要求，运输过程尽量避开居民聚居区、风景旅游区等环境敏感区域，避开交通高峰时段。</w:t>
            </w:r>
          </w:p>
          <w:p w14:paraId="4F742EB9">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（3）生活垃圾经垃圾桶收集后，交由环卫部门清运即可。</w:t>
            </w:r>
          </w:p>
          <w:p w14:paraId="573670FB">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（4）</w:t>
            </w:r>
            <w:r>
              <w:rPr>
                <w:rFonts w:hint="eastAsia"/>
                <w:sz w:val="24"/>
                <w:lang w:val="en-US" w:eastAsia="zh-CN"/>
              </w:rPr>
              <w:t>废活性炭</w:t>
            </w:r>
            <w:r>
              <w:rPr>
                <w:rFonts w:hint="eastAsia"/>
                <w:sz w:val="24"/>
              </w:rPr>
              <w:t>，设备维护保养过</w:t>
            </w:r>
            <w:r>
              <w:rPr>
                <w:rFonts w:hint="eastAsia"/>
                <w:sz w:val="24"/>
                <w:lang w:eastAsia="zh-CN"/>
              </w:rPr>
              <w:t>程中</w:t>
            </w:r>
            <w:r>
              <w:rPr>
                <w:rFonts w:hint="eastAsia"/>
                <w:sz w:val="24"/>
              </w:rPr>
              <w:t>产生的废润滑油、废油桶</w:t>
            </w:r>
            <w:r>
              <w:rPr>
                <w:rFonts w:hint="eastAsia"/>
                <w:sz w:val="24"/>
                <w:lang w:eastAsia="zh-CN"/>
              </w:rPr>
              <w:t>、</w:t>
            </w:r>
            <w:r>
              <w:rPr>
                <w:rFonts w:hint="eastAsia"/>
                <w:sz w:val="24"/>
                <w:lang w:val="en-US" w:eastAsia="zh-CN"/>
              </w:rPr>
              <w:t>废包装桶</w:t>
            </w:r>
            <w:r>
              <w:rPr>
                <w:rFonts w:hint="eastAsia"/>
                <w:sz w:val="24"/>
              </w:rPr>
              <w:t>属于危险废物，项目设置一间</w:t>
            </w:r>
            <w:r>
              <w:rPr>
                <w:rFonts w:hint="eastAsia"/>
                <w:sz w:val="24"/>
                <w:lang w:val="en-US" w:eastAsia="zh-CN"/>
              </w:rPr>
              <w:t>50</w:t>
            </w:r>
            <w:r>
              <w:rPr>
                <w:rFonts w:hint="eastAsia"/>
                <w:sz w:val="24"/>
              </w:rPr>
              <w:t>m</w:t>
            </w:r>
            <w:r>
              <w:rPr>
                <w:rFonts w:hint="eastAsia"/>
                <w:sz w:val="24"/>
                <w:vertAlign w:val="superscript"/>
                <w:lang w:val="en-US" w:eastAsia="zh-CN"/>
              </w:rPr>
              <w:t>2</w:t>
            </w:r>
            <w:r>
              <w:rPr>
                <w:rFonts w:hint="eastAsia"/>
                <w:sz w:val="24"/>
              </w:rPr>
              <w:t>的</w:t>
            </w:r>
            <w:r>
              <w:rPr>
                <w:rFonts w:hint="eastAsia"/>
                <w:sz w:val="24"/>
                <w:lang w:val="en-US" w:eastAsia="zh-CN"/>
              </w:rPr>
              <w:t>危险废物贮存库</w:t>
            </w:r>
            <w:r>
              <w:rPr>
                <w:rFonts w:hint="eastAsia"/>
                <w:sz w:val="24"/>
              </w:rPr>
              <w:t>，用于危险废物的暂存。</w:t>
            </w:r>
            <w:r>
              <w:rPr>
                <w:rFonts w:hint="eastAsia"/>
                <w:sz w:val="24"/>
                <w:lang w:val="en-US" w:eastAsia="zh-CN"/>
              </w:rPr>
              <w:t>危险废物贮存库的建设</w:t>
            </w:r>
            <w:r>
              <w:rPr>
                <w:rFonts w:hint="eastAsia"/>
                <w:sz w:val="24"/>
              </w:rPr>
              <w:t>符合《危险废物贮存污染控制标准》（GB18597-2023）的要求。</w:t>
            </w:r>
          </w:p>
          <w:p w14:paraId="7A93F29D">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本项目危废定期产生、定期转移，能够满足</w:t>
            </w:r>
            <w:r>
              <w:rPr>
                <w:rFonts w:hint="eastAsia"/>
                <w:sz w:val="24"/>
                <w:lang w:val="en-US" w:eastAsia="zh-CN"/>
              </w:rPr>
              <w:t>危险废物30</w:t>
            </w:r>
            <w:r>
              <w:rPr>
                <w:rFonts w:hint="eastAsia"/>
                <w:sz w:val="24"/>
              </w:rPr>
              <w:t>天的贮存需求。</w:t>
            </w:r>
            <w:r>
              <w:rPr>
                <w:rFonts w:hint="eastAsia"/>
                <w:sz w:val="24"/>
                <w:lang w:eastAsia="zh-CN"/>
              </w:rPr>
              <w:t>危险废物贮存库</w:t>
            </w:r>
            <w:r>
              <w:rPr>
                <w:rFonts w:hint="eastAsia"/>
                <w:sz w:val="24"/>
              </w:rPr>
              <w:t>做好防风、防雨、防晒、防渗措施，危废的暂存不会对环境空气、地表水、地下水以及土壤造成影响。</w:t>
            </w:r>
            <w:r>
              <w:rPr>
                <w:rFonts w:hint="eastAsia"/>
                <w:sz w:val="24"/>
                <w:lang w:eastAsia="zh-CN"/>
              </w:rPr>
              <w:t>危险废物贮存库</w:t>
            </w:r>
            <w:r>
              <w:rPr>
                <w:rFonts w:hint="eastAsia"/>
                <w:sz w:val="24"/>
              </w:rPr>
              <w:t>配备通讯设备、照明设施和消防设施。</w:t>
            </w:r>
          </w:p>
          <w:p w14:paraId="415B2497">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本项目危废收集时置于密闭桶内，确保车间转移至</w:t>
            </w:r>
            <w:r>
              <w:rPr>
                <w:rFonts w:hint="eastAsia"/>
                <w:sz w:val="24"/>
                <w:lang w:eastAsia="zh-CN"/>
              </w:rPr>
              <w:t>危险废物贮存库</w:t>
            </w:r>
            <w:r>
              <w:rPr>
                <w:rFonts w:hint="eastAsia"/>
                <w:sz w:val="24"/>
              </w:rPr>
              <w:t>时不会发生散落、泄漏等状况。</w:t>
            </w:r>
          </w:p>
          <w:p w14:paraId="0710EC5F">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①应当设置专用的贮存设施或场所，贮存设施或场所应遵照《危险废物贮存污染控制标准》</w:t>
            </w:r>
            <w:r>
              <w:rPr>
                <w:rFonts w:hint="eastAsia"/>
                <w:sz w:val="24"/>
                <w:lang w:eastAsia="zh-CN"/>
              </w:rPr>
              <w:t>（</w:t>
            </w:r>
            <w:r>
              <w:rPr>
                <w:rFonts w:hint="eastAsia"/>
                <w:sz w:val="24"/>
              </w:rPr>
              <w:t>GB18597-2023</w:t>
            </w:r>
            <w:r>
              <w:rPr>
                <w:rFonts w:hint="eastAsia"/>
                <w:sz w:val="24"/>
                <w:lang w:eastAsia="zh-CN"/>
              </w:rPr>
              <w:t>）</w:t>
            </w:r>
            <w:r>
              <w:rPr>
                <w:rFonts w:hint="eastAsia"/>
                <w:sz w:val="24"/>
              </w:rPr>
              <w:t>设置，贮存设施应根据危险废物的类别、数量、形态、物理化学性质和污染防治等要求设置必要的贮存分区，避免不相容的危险废物接触、混合。贮存设施或贮存分区内地面、墙面裙脚、堵截泄漏的围堰、接触危险废物的隔板和墙体等应采用坚固的材料建造，表面无裂缝。</w:t>
            </w:r>
          </w:p>
          <w:p w14:paraId="6E3A54A3">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②对危险固废储存场所应进行处理，如采用工业地坪，消除危废外泄的可能。</w:t>
            </w:r>
          </w:p>
          <w:p w14:paraId="3134125C">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③对危险废物的容器或包装物以及收集、贮存、运输、处置危险废物的设施、场所，必须设置危险废物识别标志；</w:t>
            </w:r>
          </w:p>
          <w:p w14:paraId="7E8FB81A">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④危险废物禁止混入非危险废物中贮存，禁止与旅客在同一运输工具上载运；</w:t>
            </w:r>
          </w:p>
          <w:p w14:paraId="24877602">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⑤固体废物不得在运输过程中沿途丢弃、遗撒。</w:t>
            </w:r>
          </w:p>
          <w:p w14:paraId="6A9EA92D">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⑥在包装箱外可设置醒目的危险废物标志，并用明确易懂的中文标明箱内所装为危险废物等。</w:t>
            </w:r>
          </w:p>
          <w:p w14:paraId="21C41167">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危险废物贮存库内实行分区贮存，设置独立隔挡划分贮存区域：①待鉴别污泥贮存区；②废活性炭贮存区；③</w:t>
            </w:r>
            <w:r>
              <w:rPr>
                <w:rFonts w:hint="eastAsia"/>
                <w:sz w:val="24"/>
                <w:lang w:val="en-US" w:eastAsia="zh-CN"/>
              </w:rPr>
              <w:t>废润滑油、废润滑桶；</w:t>
            </w:r>
            <w:r>
              <w:rPr>
                <w:rFonts w:hint="eastAsia"/>
                <w:sz w:val="24"/>
              </w:rPr>
              <w:t>④</w:t>
            </w:r>
            <w:r>
              <w:rPr>
                <w:rFonts w:hint="eastAsia"/>
                <w:sz w:val="24"/>
                <w:lang w:val="en-US" w:eastAsia="zh-CN"/>
              </w:rPr>
              <w:t>废包装桶</w:t>
            </w:r>
            <w:r>
              <w:rPr>
                <w:rFonts w:hint="eastAsia"/>
                <w:sz w:val="24"/>
              </w:rPr>
              <w:t>。不同类别危废分区存放，严禁混存；液态危废设置专用防渗收集托盘，防止废液渗漏漫流。</w:t>
            </w:r>
          </w:p>
          <w:p w14:paraId="0FF884A8">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eastAsia="宋体"/>
                <w:sz w:val="24"/>
                <w:lang w:eastAsia="zh-CN"/>
              </w:rPr>
            </w:pPr>
            <w:r>
              <w:rPr>
                <w:rFonts w:hint="eastAsia"/>
                <w:sz w:val="24"/>
              </w:rPr>
              <w:t>本项目</w:t>
            </w:r>
            <w:r>
              <w:rPr>
                <w:rFonts w:hint="eastAsia"/>
                <w:sz w:val="24"/>
                <w:lang w:eastAsia="zh-CN"/>
              </w:rPr>
              <w:t>危险废物贮存库</w:t>
            </w:r>
            <w:r>
              <w:rPr>
                <w:rFonts w:hint="eastAsia"/>
                <w:sz w:val="24"/>
              </w:rPr>
              <w:t>按照《危险废物贮存污染物控制标准》</w:t>
            </w:r>
            <w:r>
              <w:rPr>
                <w:rFonts w:hint="eastAsia"/>
                <w:sz w:val="24"/>
                <w:lang w:eastAsia="zh-CN"/>
              </w:rPr>
              <w:t>（</w:t>
            </w:r>
            <w:r>
              <w:rPr>
                <w:rFonts w:hint="eastAsia"/>
                <w:sz w:val="24"/>
              </w:rPr>
              <w:t>GB18597-2023</w:t>
            </w:r>
            <w:r>
              <w:rPr>
                <w:rFonts w:hint="eastAsia"/>
                <w:sz w:val="24"/>
                <w:lang w:eastAsia="zh-CN"/>
              </w:rPr>
              <w:t>）</w:t>
            </w:r>
            <w:r>
              <w:rPr>
                <w:rFonts w:hint="eastAsia"/>
                <w:sz w:val="24"/>
              </w:rPr>
              <w:t>有关要求建设。其中，防渗层为至少1m厚黏土层（渗透系数不大于10</w:t>
            </w:r>
            <w:r>
              <w:rPr>
                <w:rFonts w:hint="eastAsia"/>
                <w:sz w:val="24"/>
                <w:vertAlign w:val="superscript"/>
              </w:rPr>
              <w:t>-7</w:t>
            </w:r>
            <w:r>
              <w:rPr>
                <w:rFonts w:hint="eastAsia"/>
                <w:sz w:val="24"/>
              </w:rPr>
              <w:t>cm/s），或至少2mm厚高密度聚乙烯膜等人工防渗材料（渗透系数不大于10</w:t>
            </w:r>
            <w:r>
              <w:rPr>
                <w:rFonts w:hint="eastAsia"/>
                <w:sz w:val="24"/>
                <w:vertAlign w:val="superscript"/>
              </w:rPr>
              <w:t>-10</w:t>
            </w:r>
            <w:r>
              <w:rPr>
                <w:rFonts w:hint="eastAsia"/>
                <w:sz w:val="24"/>
              </w:rPr>
              <w:t>cm/s），或其他防渗性能等效的材料，危险废物</w:t>
            </w:r>
            <w:r>
              <w:rPr>
                <w:rFonts w:hint="eastAsia"/>
                <w:sz w:val="24"/>
                <w:lang w:val="en-US" w:eastAsia="zh-CN"/>
              </w:rPr>
              <w:t>贮存库</w:t>
            </w:r>
            <w:r>
              <w:rPr>
                <w:rFonts w:hint="eastAsia"/>
                <w:sz w:val="24"/>
              </w:rPr>
              <w:t>做到防渗漏、防流失、防扬散、防风、防雨、防晒等。库房设置防雨、防风、防晒、防泄漏措施，库内设置泄漏收集沟及收集池；危废入库采用密闭容器封装，张贴危险废物标识标签；建立完整危险废物管理台账，如实记录危废产生、入库、贮存、转运、处置信息；转运执行危险废物转移联单制度</w:t>
            </w:r>
            <w:r>
              <w:rPr>
                <w:rFonts w:hint="eastAsia"/>
                <w:sz w:val="24"/>
                <w:lang w:eastAsia="zh-CN"/>
              </w:rPr>
              <w:t>。</w:t>
            </w:r>
            <w:r>
              <w:rPr>
                <w:rFonts w:hint="eastAsia"/>
                <w:sz w:val="24"/>
              </w:rPr>
              <w:t>本项目固废经采取以上处置措施后，实现无害化，对周围环境影响较小</w:t>
            </w:r>
            <w:r>
              <w:rPr>
                <w:rFonts w:hint="eastAsia"/>
                <w:sz w:val="24"/>
                <w:lang w:eastAsia="zh-CN"/>
              </w:rPr>
              <w:t>。</w:t>
            </w:r>
          </w:p>
          <w:p w14:paraId="7B35234E">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本项目危险废物委托资质单位进行运输，在运输过程中要采用专用的车辆，按规定时间和行驶路线运输，在运输过程中应注意防渗漏、防散落，运输车辆不宜装载过满，密闭运输，严格禁止跑冒滴漏，杜绝在运输过程中造成环境的二次污染，在危险废物的运输中执行《危险废物转移</w:t>
            </w:r>
            <w:r>
              <w:rPr>
                <w:rFonts w:hint="eastAsia"/>
                <w:sz w:val="24"/>
                <w:lang w:eastAsia="zh-CN"/>
              </w:rPr>
              <w:t>管理办法》</w:t>
            </w:r>
            <w:r>
              <w:rPr>
                <w:rFonts w:hint="eastAsia"/>
                <w:sz w:val="24"/>
              </w:rPr>
              <w:t>有关的规定和要求。干化污泥应采用专用封闭运输车。采取上述措施后，污泥运输对周围环境影响较小。</w:t>
            </w:r>
          </w:p>
          <w:p w14:paraId="2341A979">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rPr>
            </w:pPr>
            <w:r>
              <w:rPr>
                <w:rFonts w:hint="eastAsia"/>
                <w:sz w:val="24"/>
              </w:rPr>
              <w:t>综上所述，</w:t>
            </w:r>
            <w:r>
              <w:rPr>
                <w:rFonts w:hint="eastAsia"/>
                <w:sz w:val="24"/>
                <w:lang w:val="en-US" w:eastAsia="zh-CN"/>
              </w:rPr>
              <w:t>废物贮存</w:t>
            </w:r>
            <w:r>
              <w:rPr>
                <w:rFonts w:hint="eastAsia"/>
                <w:sz w:val="24"/>
              </w:rPr>
              <w:t>满足《一般工业固体废物贮存和填埋污染控制标准》（GB18599-2020）、《危险废物贮存污染控制标准》（GB18597-2023）规定。不会产生二次污染，对周围环境影响较小。</w:t>
            </w:r>
          </w:p>
          <w:p w14:paraId="50AA88B5">
            <w:pPr>
              <w:spacing w:line="360" w:lineRule="auto"/>
              <w:rPr>
                <w:rFonts w:hint="eastAsia" w:ascii="宋体" w:hAnsi="宋体" w:cs="宋体"/>
                <w:b/>
                <w:sz w:val="24"/>
              </w:rPr>
            </w:pPr>
            <w:r>
              <w:rPr>
                <w:rFonts w:hint="eastAsia" w:ascii="宋体" w:hAnsi="宋体" w:cs="宋体"/>
                <w:b/>
                <w:sz w:val="24"/>
              </w:rPr>
              <w:t>（五）运营期地下水环境</w:t>
            </w:r>
            <w:r>
              <w:rPr>
                <w:rFonts w:hint="eastAsia" w:ascii="宋体" w:hAnsi="宋体" w:cs="宋体"/>
                <w:b/>
                <w:sz w:val="24"/>
                <w:lang w:eastAsia="zh-CN"/>
              </w:rPr>
              <w:t>、土壤</w:t>
            </w:r>
            <w:r>
              <w:rPr>
                <w:rFonts w:hint="eastAsia" w:ascii="宋体" w:hAnsi="宋体" w:cs="宋体"/>
                <w:b/>
                <w:sz w:val="24"/>
              </w:rPr>
              <w:t>影响分析</w:t>
            </w:r>
          </w:p>
          <w:p w14:paraId="73F4EAD5">
            <w:pPr>
              <w:spacing w:line="360" w:lineRule="auto"/>
              <w:ind w:firstLine="480" w:firstLineChars="200"/>
              <w:rPr>
                <w:rFonts w:hint="eastAsia"/>
                <w:sz w:val="24"/>
              </w:rPr>
            </w:pPr>
            <w:r>
              <w:rPr>
                <w:rFonts w:hint="eastAsia"/>
                <w:sz w:val="24"/>
              </w:rPr>
              <w:t>建设单位对</w:t>
            </w:r>
            <w:r>
              <w:rPr>
                <w:rFonts w:hint="eastAsia"/>
                <w:sz w:val="24"/>
                <w:lang w:val="en-US" w:eastAsia="zh-CN"/>
              </w:rPr>
              <w:t>污水处理站、</w:t>
            </w:r>
            <w:r>
              <w:rPr>
                <w:rFonts w:hint="eastAsia"/>
                <w:sz w:val="24"/>
              </w:rPr>
              <w:t>危险废物贮存库均做防渗防漏处理后，其废污水、危险废物正常情况下不直接下渗入地面，可杜绝地下水、土壤的污染途径。</w:t>
            </w:r>
          </w:p>
          <w:p w14:paraId="3FD74E76">
            <w:pPr>
              <w:spacing w:line="360" w:lineRule="auto"/>
              <w:ind w:firstLine="482" w:firstLineChars="200"/>
              <w:rPr>
                <w:rFonts w:hint="eastAsia"/>
                <w:b/>
                <w:bCs/>
                <w:sz w:val="24"/>
              </w:rPr>
            </w:pPr>
            <w:r>
              <w:rPr>
                <w:rFonts w:hint="eastAsia"/>
                <w:b/>
                <w:bCs/>
                <w:sz w:val="24"/>
              </w:rPr>
              <w:t>地下水、土壤污染防治措施：</w:t>
            </w:r>
          </w:p>
          <w:p w14:paraId="2EF33D66">
            <w:pPr>
              <w:spacing w:line="360" w:lineRule="auto"/>
              <w:ind w:firstLine="480" w:firstLineChars="200"/>
              <w:rPr>
                <w:rFonts w:hint="eastAsia"/>
                <w:sz w:val="24"/>
              </w:rPr>
            </w:pPr>
            <w:r>
              <w:rPr>
                <w:rFonts w:hint="eastAsia"/>
                <w:sz w:val="24"/>
                <w:lang w:val="en-US" w:eastAsia="zh-CN"/>
              </w:rPr>
              <w:t>5.</w:t>
            </w:r>
            <w:r>
              <w:rPr>
                <w:rFonts w:hint="eastAsia"/>
                <w:sz w:val="24"/>
              </w:rPr>
              <w:t>1分区控制措施</w:t>
            </w:r>
          </w:p>
          <w:p w14:paraId="73AE6CB3">
            <w:pPr>
              <w:spacing w:line="360" w:lineRule="auto"/>
              <w:ind w:firstLine="480" w:firstLineChars="200"/>
              <w:rPr>
                <w:rFonts w:hint="eastAsia"/>
                <w:sz w:val="24"/>
              </w:rPr>
            </w:pPr>
            <w:r>
              <w:rPr>
                <w:rFonts w:hint="eastAsia"/>
                <w:sz w:val="24"/>
              </w:rPr>
              <w:t>（1）分区防渗划分</w:t>
            </w:r>
          </w:p>
          <w:p w14:paraId="3C7B119E">
            <w:pPr>
              <w:spacing w:line="360" w:lineRule="auto"/>
              <w:ind w:firstLine="480" w:firstLineChars="200"/>
              <w:rPr>
                <w:rFonts w:hint="eastAsia"/>
                <w:sz w:val="24"/>
              </w:rPr>
            </w:pPr>
            <w:r>
              <w:rPr>
                <w:rFonts w:hint="eastAsia"/>
                <w:sz w:val="24"/>
              </w:rPr>
              <w:t>①重点防渗区</w:t>
            </w:r>
          </w:p>
          <w:p w14:paraId="13E79989">
            <w:pPr>
              <w:spacing w:line="360" w:lineRule="auto"/>
              <w:ind w:firstLine="480" w:firstLineChars="200"/>
              <w:rPr>
                <w:rFonts w:hint="eastAsia"/>
                <w:sz w:val="24"/>
              </w:rPr>
            </w:pPr>
            <w:r>
              <w:rPr>
                <w:rFonts w:hint="eastAsia"/>
                <w:sz w:val="24"/>
              </w:rPr>
              <w:t>本项目重点防渗区布置在污水预处理区和污水处理区的建</w:t>
            </w:r>
            <w:r>
              <w:rPr>
                <w:rFonts w:hint="eastAsia"/>
                <w:sz w:val="24"/>
                <w:lang w:eastAsia="zh-CN"/>
              </w:rPr>
              <w:t>（</w:t>
            </w:r>
            <w:r>
              <w:rPr>
                <w:rFonts w:hint="eastAsia"/>
                <w:sz w:val="24"/>
              </w:rPr>
              <w:t>构</w:t>
            </w:r>
            <w:r>
              <w:rPr>
                <w:rFonts w:hint="eastAsia"/>
                <w:sz w:val="24"/>
                <w:lang w:eastAsia="zh-CN"/>
              </w:rPr>
              <w:t>）</w:t>
            </w:r>
            <w:r>
              <w:rPr>
                <w:rFonts w:hint="eastAsia"/>
                <w:sz w:val="24"/>
              </w:rPr>
              <w:t>筑物、污泥处理区等以及危险废物</w:t>
            </w:r>
            <w:r>
              <w:rPr>
                <w:rFonts w:hint="eastAsia"/>
                <w:sz w:val="24"/>
                <w:lang w:val="en-US" w:eastAsia="zh-CN"/>
              </w:rPr>
              <w:t>贮存库</w:t>
            </w:r>
            <w:r>
              <w:rPr>
                <w:rFonts w:hint="eastAsia"/>
                <w:sz w:val="24"/>
              </w:rPr>
              <w:t>场所。重点防渗区，可采用1m厚压实粘土，内表面涂刷水泥基渗透结晶型防渗涂层（≥1.0mm），长丝无纺土工布、2mm厚HDPE防渗膜、防渗钢筋混凝土浇筑池体，C10混凝土垫层原土夯实（渗透系数不大于1.0x10</w:t>
            </w:r>
            <w:r>
              <w:rPr>
                <w:rFonts w:hint="eastAsia"/>
                <w:sz w:val="24"/>
                <w:vertAlign w:val="superscript"/>
              </w:rPr>
              <w:t>-10</w:t>
            </w:r>
            <w:r>
              <w:rPr>
                <w:rFonts w:hint="eastAsia"/>
                <w:sz w:val="24"/>
              </w:rPr>
              <w:t>cm/s）。</w:t>
            </w:r>
          </w:p>
          <w:p w14:paraId="63640CA4">
            <w:pPr>
              <w:spacing w:line="360" w:lineRule="auto"/>
              <w:ind w:firstLine="480" w:firstLineChars="200"/>
              <w:rPr>
                <w:rFonts w:hint="eastAsia"/>
                <w:sz w:val="24"/>
              </w:rPr>
            </w:pPr>
            <w:r>
              <w:rPr>
                <w:rFonts w:hint="eastAsia"/>
                <w:sz w:val="24"/>
              </w:rPr>
              <w:t>②一般防渗区</w:t>
            </w:r>
          </w:p>
          <w:p w14:paraId="6BE81AE1">
            <w:pPr>
              <w:spacing w:line="360" w:lineRule="auto"/>
              <w:ind w:firstLine="480" w:firstLineChars="200"/>
              <w:rPr>
                <w:rFonts w:hint="eastAsia"/>
                <w:sz w:val="24"/>
              </w:rPr>
            </w:pPr>
            <w:r>
              <w:rPr>
                <w:rFonts w:hint="eastAsia"/>
                <w:sz w:val="24"/>
              </w:rPr>
              <w:t>主要包括</w:t>
            </w:r>
            <w:r>
              <w:rPr>
                <w:rFonts w:hint="eastAsia"/>
                <w:sz w:val="24"/>
                <w:lang w:val="en-US" w:eastAsia="zh-CN"/>
              </w:rPr>
              <w:t>在线监测室、电控室</w:t>
            </w:r>
            <w:r>
              <w:rPr>
                <w:rFonts w:hint="eastAsia"/>
                <w:sz w:val="24"/>
              </w:rPr>
              <w:t>等，参照《一般工业固体废物贮存和填埋污染控制标准》（GB18599-2020）Ⅱ类场进行设计。一般污染区防渗要求：当天然基础层的渗透系数大于1.0×10</w:t>
            </w:r>
            <w:r>
              <w:rPr>
                <w:rFonts w:hint="eastAsia"/>
                <w:sz w:val="24"/>
                <w:vertAlign w:val="superscript"/>
              </w:rPr>
              <w:t>-7</w:t>
            </w:r>
            <w:r>
              <w:rPr>
                <w:rFonts w:hint="eastAsia"/>
                <w:sz w:val="24"/>
              </w:rPr>
              <w:t>cm/s时，应采用天然或人工材料构筑防渗层，防渗层的厚度应相当于渗透系数1.0×10</w:t>
            </w:r>
            <w:r>
              <w:rPr>
                <w:rFonts w:hint="eastAsia"/>
                <w:sz w:val="24"/>
                <w:vertAlign w:val="superscript"/>
              </w:rPr>
              <w:t>-7</w:t>
            </w:r>
            <w:r>
              <w:rPr>
                <w:rFonts w:hint="eastAsia"/>
                <w:sz w:val="24"/>
              </w:rPr>
              <w:t>cm/s和厚度1.5m的黏土层的防渗性能。</w:t>
            </w:r>
          </w:p>
          <w:p w14:paraId="67F8DCBB">
            <w:pPr>
              <w:spacing w:line="360" w:lineRule="auto"/>
              <w:ind w:firstLine="480" w:firstLineChars="200"/>
              <w:rPr>
                <w:rFonts w:hint="eastAsia"/>
                <w:sz w:val="24"/>
              </w:rPr>
            </w:pPr>
            <w:r>
              <w:rPr>
                <w:rFonts w:hint="eastAsia"/>
                <w:sz w:val="24"/>
              </w:rPr>
              <w:t>③简单污染防治区</w:t>
            </w:r>
          </w:p>
          <w:p w14:paraId="4050324B">
            <w:pPr>
              <w:spacing w:line="360" w:lineRule="auto"/>
              <w:ind w:firstLine="480" w:firstLineChars="200"/>
              <w:rPr>
                <w:rFonts w:hint="eastAsia"/>
                <w:sz w:val="24"/>
              </w:rPr>
            </w:pPr>
            <w:r>
              <w:rPr>
                <w:rFonts w:hint="eastAsia"/>
                <w:sz w:val="24"/>
              </w:rPr>
              <w:t>项目简单防渗区包括</w:t>
            </w:r>
            <w:r>
              <w:rPr>
                <w:rFonts w:hint="eastAsia"/>
                <w:sz w:val="24"/>
                <w:lang w:val="en-US" w:eastAsia="zh-CN"/>
              </w:rPr>
              <w:t>污水处理站</w:t>
            </w:r>
            <w:r>
              <w:rPr>
                <w:rFonts w:hint="eastAsia"/>
                <w:sz w:val="24"/>
              </w:rPr>
              <w:t>道路不会对地下水环境造成污染或可能产生轻微污染的其他建筑区，采取的防渗措施为一般地面硬化。</w:t>
            </w:r>
          </w:p>
          <w:p w14:paraId="6E2EF02E">
            <w:pPr>
              <w:spacing w:line="360" w:lineRule="auto"/>
              <w:ind w:firstLine="480" w:firstLineChars="200"/>
              <w:rPr>
                <w:rFonts w:hint="eastAsia"/>
                <w:sz w:val="24"/>
              </w:rPr>
            </w:pPr>
            <w:r>
              <w:rPr>
                <w:rFonts w:hint="eastAsia"/>
                <w:sz w:val="24"/>
              </w:rPr>
              <w:t>（2）其他污染防治措施</w:t>
            </w:r>
          </w:p>
          <w:p w14:paraId="1FB6FA05">
            <w:pPr>
              <w:spacing w:line="360" w:lineRule="auto"/>
              <w:ind w:firstLine="480" w:firstLineChars="200"/>
              <w:rPr>
                <w:rFonts w:hint="eastAsia"/>
                <w:sz w:val="24"/>
              </w:rPr>
            </w:pPr>
            <w:r>
              <w:rPr>
                <w:rFonts w:hint="eastAsia"/>
                <w:sz w:val="24"/>
              </w:rPr>
              <w:t>①加强管理，设置环保工作组，定期检查</w:t>
            </w:r>
            <w:r>
              <w:rPr>
                <w:rFonts w:hint="eastAsia"/>
                <w:sz w:val="24"/>
                <w:lang w:val="en-US" w:eastAsia="zh-CN"/>
              </w:rPr>
              <w:t>污水处理站</w:t>
            </w:r>
            <w:r>
              <w:rPr>
                <w:rFonts w:hint="eastAsia"/>
                <w:sz w:val="24"/>
              </w:rPr>
              <w:t>的生产运行是否规范，禁止乱倒垃圾，防止降雨淋溶产生的淋滤液下渗污染地下水。</w:t>
            </w:r>
          </w:p>
          <w:p w14:paraId="50BA73E9">
            <w:pPr>
              <w:spacing w:line="360" w:lineRule="auto"/>
              <w:ind w:firstLine="480" w:firstLineChars="200"/>
              <w:rPr>
                <w:rFonts w:hint="eastAsia"/>
                <w:sz w:val="24"/>
              </w:rPr>
            </w:pPr>
            <w:r>
              <w:rPr>
                <w:rFonts w:hint="eastAsia"/>
                <w:sz w:val="24"/>
              </w:rPr>
              <w:t>②重点防渗区的防渗使用寿命一般应在20年以上。</w:t>
            </w:r>
          </w:p>
          <w:p w14:paraId="05A148C7">
            <w:pPr>
              <w:spacing w:line="360" w:lineRule="auto"/>
              <w:ind w:firstLine="480" w:firstLineChars="200"/>
              <w:rPr>
                <w:rFonts w:hint="eastAsia"/>
                <w:sz w:val="24"/>
              </w:rPr>
            </w:pPr>
            <w:r>
              <w:rPr>
                <w:rFonts w:hint="eastAsia"/>
                <w:sz w:val="24"/>
                <w:lang w:val="en-US" w:eastAsia="zh-CN"/>
              </w:rPr>
              <w:t>5.2</w:t>
            </w:r>
            <w:r>
              <w:rPr>
                <w:rFonts w:hint="eastAsia"/>
                <w:sz w:val="24"/>
              </w:rPr>
              <w:t>跟踪监测要求</w:t>
            </w:r>
          </w:p>
          <w:p w14:paraId="3CA4C3A3">
            <w:pPr>
              <w:spacing w:line="360" w:lineRule="auto"/>
              <w:ind w:firstLine="480" w:firstLineChars="200"/>
              <w:rPr>
                <w:rFonts w:hint="eastAsia"/>
                <w:sz w:val="24"/>
              </w:rPr>
            </w:pPr>
            <w:r>
              <w:rPr>
                <w:rFonts w:hint="eastAsia"/>
                <w:sz w:val="24"/>
              </w:rPr>
              <w:t>根据项目生产特点和主要污染物的排放情况，其废水、危险废物在正常情况下不直接下渗入地面，可杜绝地下水、土壤的污染途径，故不开展地下水及土壤监测计划。</w:t>
            </w:r>
          </w:p>
          <w:p w14:paraId="4A31829F">
            <w:pPr>
              <w:spacing w:line="360" w:lineRule="auto"/>
              <w:rPr>
                <w:rFonts w:hint="eastAsia" w:ascii="宋体" w:hAnsi="宋体" w:cs="宋体"/>
                <w:b/>
                <w:sz w:val="24"/>
              </w:rPr>
            </w:pPr>
            <w:r>
              <w:rPr>
                <w:rFonts w:hint="eastAsia" w:ascii="宋体" w:hAnsi="宋体" w:cs="宋体"/>
                <w:b/>
                <w:sz w:val="24"/>
              </w:rPr>
              <w:t>（六）环境风险分析</w:t>
            </w:r>
          </w:p>
          <w:p w14:paraId="28C36C70">
            <w:pPr>
              <w:adjustRightInd w:val="0"/>
              <w:snapToGrid w:val="0"/>
              <w:spacing w:line="360" w:lineRule="auto"/>
              <w:ind w:firstLine="482" w:firstLineChars="200"/>
              <w:rPr>
                <w:b/>
                <w:bCs/>
                <w:sz w:val="24"/>
              </w:rPr>
            </w:pPr>
            <w:r>
              <w:rPr>
                <w:b/>
                <w:bCs/>
                <w:sz w:val="24"/>
              </w:rPr>
              <w:t>1 本项目</w:t>
            </w:r>
            <w:r>
              <w:rPr>
                <w:rFonts w:hint="eastAsia"/>
                <w:b/>
                <w:bCs/>
                <w:sz w:val="24"/>
              </w:rPr>
              <w:t>风险物质识别</w:t>
            </w:r>
          </w:p>
          <w:p w14:paraId="32EF0685">
            <w:pPr>
              <w:spacing w:line="360" w:lineRule="auto"/>
              <w:ind w:firstLine="480" w:firstLineChars="200"/>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按照《建设项目环境风险评价技术导则》（HJ169-2018）中附录B中的“突发环境事件风险物质及临界量表</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进行危险性识别，本项目</w:t>
            </w:r>
            <w:r>
              <w:rPr>
                <w:rFonts w:hint="eastAsia" w:ascii="Times New Roman" w:hAnsi="Times New Roman" w:eastAsia="宋体" w:cs="Times New Roman"/>
                <w:sz w:val="24"/>
                <w:lang w:val="en-US" w:eastAsia="zh-CN"/>
              </w:rPr>
              <w:t>涉及</w:t>
            </w:r>
            <w:r>
              <w:rPr>
                <w:rFonts w:hint="default" w:ascii="Times New Roman" w:hAnsi="Times New Roman" w:eastAsia="宋体" w:cs="Times New Roman"/>
                <w:sz w:val="24"/>
                <w:lang w:val="en-US" w:eastAsia="zh-CN"/>
              </w:rPr>
              <w:t>的环境风险物质主要为</w:t>
            </w:r>
            <w:r>
              <w:rPr>
                <w:rFonts w:hint="eastAsia" w:ascii="Times New Roman" w:hAnsi="Times New Roman" w:eastAsia="宋体" w:cs="Times New Roman"/>
                <w:sz w:val="24"/>
                <w:lang w:val="en-US" w:eastAsia="zh-CN"/>
              </w:rPr>
              <w:t>次氯酸钠、废润滑油。</w:t>
            </w:r>
          </w:p>
          <w:p w14:paraId="6D06AE00">
            <w:pPr>
              <w:spacing w:line="360" w:lineRule="auto"/>
              <w:ind w:firstLine="480" w:firstLineChars="200"/>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2.风险源分布</w:t>
            </w:r>
          </w:p>
          <w:p w14:paraId="19F9686B">
            <w:pPr>
              <w:spacing w:line="360" w:lineRule="auto"/>
              <w:ind w:firstLine="480" w:firstLineChars="200"/>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本项目风险源</w:t>
            </w:r>
            <w:r>
              <w:rPr>
                <w:rFonts w:hint="eastAsia" w:ascii="Times New Roman" w:hAnsi="Times New Roman" w:eastAsia="宋体" w:cs="Times New Roman"/>
                <w:sz w:val="24"/>
                <w:lang w:val="en-US" w:eastAsia="zh-CN"/>
              </w:rPr>
              <w:t>临界量</w:t>
            </w:r>
            <w:r>
              <w:rPr>
                <w:rFonts w:hint="default" w:ascii="Times New Roman" w:hAnsi="Times New Roman" w:eastAsia="宋体" w:cs="Times New Roman"/>
                <w:sz w:val="24"/>
                <w:lang w:val="en-US" w:eastAsia="zh-CN"/>
              </w:rPr>
              <w:t>情况见表4-</w:t>
            </w:r>
            <w:r>
              <w:rPr>
                <w:rFonts w:hint="eastAsia" w:cs="Times New Roman"/>
                <w:sz w:val="24"/>
                <w:lang w:val="en-US" w:eastAsia="zh-CN"/>
              </w:rPr>
              <w:t>16</w:t>
            </w:r>
            <w:r>
              <w:rPr>
                <w:rFonts w:hint="eastAsia" w:ascii="Times New Roman" w:hAnsi="Times New Roman" w:eastAsia="宋体" w:cs="Times New Roman"/>
                <w:sz w:val="24"/>
                <w:lang w:val="en-US" w:eastAsia="zh-CN"/>
              </w:rPr>
              <w:t>。</w:t>
            </w:r>
          </w:p>
          <w:p w14:paraId="7CCECAEC">
            <w:pPr>
              <w:pStyle w:val="72"/>
              <w:keepNext w:val="0"/>
              <w:keepLines w:val="0"/>
              <w:pageBreakBefore w:val="0"/>
              <w:widowControl/>
              <w:kinsoku/>
              <w:wordWrap/>
              <w:overflowPunct/>
              <w:topLinePunct w:val="0"/>
              <w:autoSpaceDE w:val="0"/>
              <w:autoSpaceDN w:val="0"/>
              <w:bidi w:val="0"/>
              <w:adjustRightInd w:val="0"/>
              <w:snapToGrid w:val="0"/>
              <w:spacing w:before="0" w:after="0" w:line="240" w:lineRule="auto"/>
              <w:ind w:right="0"/>
              <w:jc w:val="center"/>
              <w:textAlignment w:val="baseline"/>
              <w:rPr>
                <w:rFonts w:hint="default" w:ascii="Calibri" w:hAnsi="Calibri" w:cs="Calibri"/>
                <w:color w:val="auto"/>
                <w:sz w:val="24"/>
                <w:szCs w:val="24"/>
              </w:rPr>
            </w:pPr>
            <w:r>
              <w:rPr>
                <w:rFonts w:hint="default" w:ascii="Calibri" w:hAnsi="Calibri" w:cs="Calibri"/>
                <w:color w:val="auto"/>
                <w:sz w:val="24"/>
                <w:szCs w:val="24"/>
              </w:rPr>
              <w:t>表</w:t>
            </w:r>
            <w:r>
              <w:rPr>
                <w:rFonts w:hint="eastAsia" w:ascii="Calibri" w:hAnsi="Calibri" w:cs="Calibri"/>
                <w:color w:val="auto"/>
                <w:sz w:val="24"/>
                <w:szCs w:val="24"/>
                <w:lang w:val="en-US" w:eastAsia="zh-CN"/>
              </w:rPr>
              <w:t>4-16</w:t>
            </w:r>
            <w:r>
              <w:rPr>
                <w:rFonts w:hint="default" w:ascii="Calibri" w:hAnsi="Calibri" w:cs="Calibri"/>
                <w:color w:val="auto"/>
                <w:sz w:val="24"/>
                <w:szCs w:val="24"/>
              </w:rPr>
              <w:t xml:space="preserve">   危险物质及临界量比值</w:t>
            </w:r>
          </w:p>
          <w:tbl>
            <w:tblPr>
              <w:tblStyle w:val="7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5"/>
              <w:gridCol w:w="1721"/>
              <w:gridCol w:w="2041"/>
              <w:gridCol w:w="1753"/>
              <w:gridCol w:w="2177"/>
            </w:tblGrid>
            <w:tr w14:paraId="4C43A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431" w:type="pct"/>
                  <w:vAlign w:val="center"/>
                </w:tcPr>
                <w:p w14:paraId="58503B4A">
                  <w:pPr>
                    <w:pStyle w:val="56"/>
                    <w:keepNext w:val="0"/>
                    <w:keepLines w:val="0"/>
                    <w:pageBreakBefore w:val="0"/>
                    <w:kinsoku/>
                    <w:bidi w:val="0"/>
                    <w:adjustRightInd w:val="0"/>
                    <w:snapToGrid w:val="0"/>
                    <w:jc w:val="center"/>
                    <w:rPr>
                      <w:rFonts w:hint="default" w:ascii="Calibri" w:hAnsi="Calibri" w:eastAsia="宋体" w:cs="Calibri"/>
                      <w:spacing w:val="0"/>
                      <w:sz w:val="21"/>
                      <w:szCs w:val="21"/>
                    </w:rPr>
                  </w:pPr>
                  <w:r>
                    <w:rPr>
                      <w:rFonts w:hint="default" w:ascii="Calibri" w:hAnsi="Calibri" w:eastAsia="宋体" w:cs="Calibri"/>
                      <w:spacing w:val="0"/>
                      <w:sz w:val="21"/>
                      <w:szCs w:val="21"/>
                    </w:rPr>
                    <w:t>序号</w:t>
                  </w:r>
                </w:p>
              </w:tc>
              <w:tc>
                <w:tcPr>
                  <w:tcW w:w="1022" w:type="pct"/>
                  <w:vAlign w:val="center"/>
                </w:tcPr>
                <w:p w14:paraId="0D2B26CF">
                  <w:pPr>
                    <w:pStyle w:val="56"/>
                    <w:keepNext w:val="0"/>
                    <w:keepLines w:val="0"/>
                    <w:pageBreakBefore w:val="0"/>
                    <w:kinsoku/>
                    <w:bidi w:val="0"/>
                    <w:adjustRightInd w:val="0"/>
                    <w:snapToGrid w:val="0"/>
                    <w:jc w:val="center"/>
                    <w:rPr>
                      <w:rFonts w:hint="default" w:ascii="Calibri" w:hAnsi="Calibri" w:eastAsia="宋体" w:cs="Calibri"/>
                      <w:spacing w:val="0"/>
                      <w:sz w:val="21"/>
                      <w:szCs w:val="21"/>
                    </w:rPr>
                  </w:pPr>
                  <w:r>
                    <w:rPr>
                      <w:rFonts w:hint="default" w:ascii="Calibri" w:hAnsi="Calibri" w:eastAsia="宋体" w:cs="Calibri"/>
                      <w:spacing w:val="0"/>
                      <w:sz w:val="21"/>
                      <w:szCs w:val="21"/>
                    </w:rPr>
                    <w:t>危险物质名称</w:t>
                  </w:r>
                </w:p>
              </w:tc>
              <w:tc>
                <w:tcPr>
                  <w:tcW w:w="1212" w:type="pct"/>
                  <w:vAlign w:val="center"/>
                </w:tcPr>
                <w:p w14:paraId="05B42537">
                  <w:pPr>
                    <w:pStyle w:val="56"/>
                    <w:keepNext w:val="0"/>
                    <w:keepLines w:val="0"/>
                    <w:pageBreakBefore w:val="0"/>
                    <w:kinsoku/>
                    <w:bidi w:val="0"/>
                    <w:adjustRightInd w:val="0"/>
                    <w:snapToGrid w:val="0"/>
                    <w:jc w:val="center"/>
                    <w:rPr>
                      <w:rFonts w:hint="default" w:ascii="Calibri" w:hAnsi="Calibri" w:eastAsia="宋体" w:cs="Calibri"/>
                      <w:spacing w:val="0"/>
                      <w:sz w:val="21"/>
                      <w:szCs w:val="21"/>
                    </w:rPr>
                  </w:pPr>
                  <w:r>
                    <w:rPr>
                      <w:rFonts w:hint="default" w:ascii="Calibri" w:hAnsi="Calibri" w:eastAsia="宋体" w:cs="Calibri"/>
                      <w:spacing w:val="0"/>
                      <w:sz w:val="21"/>
                      <w:szCs w:val="21"/>
                    </w:rPr>
                    <w:t>最大存在总量 qn/t</w:t>
                  </w:r>
                </w:p>
              </w:tc>
              <w:tc>
                <w:tcPr>
                  <w:tcW w:w="1040" w:type="pct"/>
                  <w:vAlign w:val="center"/>
                </w:tcPr>
                <w:p w14:paraId="6790A68C">
                  <w:pPr>
                    <w:pStyle w:val="56"/>
                    <w:keepNext w:val="0"/>
                    <w:keepLines w:val="0"/>
                    <w:pageBreakBefore w:val="0"/>
                    <w:kinsoku/>
                    <w:bidi w:val="0"/>
                    <w:adjustRightInd w:val="0"/>
                    <w:snapToGrid w:val="0"/>
                    <w:jc w:val="center"/>
                    <w:rPr>
                      <w:rFonts w:hint="default" w:ascii="Calibri" w:hAnsi="Calibri" w:eastAsia="宋体" w:cs="Calibri"/>
                      <w:spacing w:val="0"/>
                      <w:sz w:val="21"/>
                      <w:szCs w:val="21"/>
                    </w:rPr>
                  </w:pPr>
                  <w:r>
                    <w:rPr>
                      <w:rFonts w:hint="default" w:ascii="Calibri" w:hAnsi="Calibri" w:eastAsia="宋体" w:cs="Calibri"/>
                      <w:spacing w:val="0"/>
                      <w:sz w:val="21"/>
                      <w:szCs w:val="21"/>
                    </w:rPr>
                    <w:t>临界量Qn/t</w:t>
                  </w:r>
                </w:p>
              </w:tc>
              <w:tc>
                <w:tcPr>
                  <w:tcW w:w="1293" w:type="pct"/>
                  <w:vAlign w:val="center"/>
                </w:tcPr>
                <w:p w14:paraId="36F1E0A6">
                  <w:pPr>
                    <w:pStyle w:val="56"/>
                    <w:keepNext w:val="0"/>
                    <w:keepLines w:val="0"/>
                    <w:pageBreakBefore w:val="0"/>
                    <w:kinsoku/>
                    <w:bidi w:val="0"/>
                    <w:adjustRightInd w:val="0"/>
                    <w:snapToGrid w:val="0"/>
                    <w:jc w:val="center"/>
                    <w:rPr>
                      <w:rFonts w:hint="default" w:ascii="Calibri" w:hAnsi="Calibri" w:eastAsia="宋体" w:cs="Calibri"/>
                      <w:spacing w:val="0"/>
                      <w:sz w:val="21"/>
                      <w:szCs w:val="21"/>
                    </w:rPr>
                  </w:pPr>
                  <w:r>
                    <w:rPr>
                      <w:rFonts w:hint="default" w:ascii="Calibri" w:hAnsi="Calibri" w:eastAsia="宋体" w:cs="Calibri"/>
                      <w:spacing w:val="0"/>
                      <w:sz w:val="21"/>
                      <w:szCs w:val="21"/>
                    </w:rPr>
                    <w:t>该种危险物质Q值</w:t>
                  </w:r>
                </w:p>
              </w:tc>
            </w:tr>
            <w:tr w14:paraId="57C0E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431" w:type="pct"/>
                  <w:vAlign w:val="center"/>
                </w:tcPr>
                <w:p w14:paraId="12298C73">
                  <w:pPr>
                    <w:pStyle w:val="56"/>
                    <w:keepNext w:val="0"/>
                    <w:keepLines w:val="0"/>
                    <w:pageBreakBefore w:val="0"/>
                    <w:kinsoku/>
                    <w:bidi w:val="0"/>
                    <w:adjustRightInd w:val="0"/>
                    <w:snapToGrid w:val="0"/>
                    <w:jc w:val="center"/>
                    <w:rPr>
                      <w:rFonts w:hint="default" w:ascii="Calibri" w:hAnsi="Calibri" w:eastAsia="宋体" w:cs="Calibri"/>
                      <w:spacing w:val="0"/>
                      <w:sz w:val="21"/>
                      <w:szCs w:val="21"/>
                      <w:lang w:val="en-US" w:eastAsia="zh-CN"/>
                    </w:rPr>
                  </w:pPr>
                  <w:r>
                    <w:rPr>
                      <w:rFonts w:hint="default" w:ascii="Calibri" w:hAnsi="Calibri" w:eastAsia="宋体" w:cs="Calibri"/>
                      <w:spacing w:val="0"/>
                      <w:sz w:val="21"/>
                      <w:szCs w:val="21"/>
                    </w:rPr>
                    <w:t>1</w:t>
                  </w:r>
                </w:p>
              </w:tc>
              <w:tc>
                <w:tcPr>
                  <w:tcW w:w="1022" w:type="pct"/>
                  <w:vAlign w:val="center"/>
                </w:tcPr>
                <w:p w14:paraId="4CA9661A">
                  <w:pPr>
                    <w:pStyle w:val="56"/>
                    <w:keepNext w:val="0"/>
                    <w:keepLines w:val="0"/>
                    <w:pageBreakBefore w:val="0"/>
                    <w:kinsoku/>
                    <w:bidi w:val="0"/>
                    <w:adjustRightInd w:val="0"/>
                    <w:snapToGrid w:val="0"/>
                    <w:jc w:val="center"/>
                    <w:rPr>
                      <w:rFonts w:hint="default" w:ascii="Calibri" w:hAnsi="Calibri" w:eastAsia="宋体" w:cs="Calibri"/>
                      <w:spacing w:val="0"/>
                      <w:sz w:val="21"/>
                      <w:szCs w:val="21"/>
                      <w:lang w:val="en-US" w:eastAsia="zh-CN"/>
                    </w:rPr>
                  </w:pPr>
                  <w:r>
                    <w:rPr>
                      <w:rFonts w:hint="eastAsia" w:ascii="Calibri" w:hAnsi="Calibri" w:cs="Calibri"/>
                      <w:spacing w:val="0"/>
                      <w:sz w:val="21"/>
                      <w:szCs w:val="21"/>
                      <w:lang w:val="en-US" w:eastAsia="zh-CN"/>
                    </w:rPr>
                    <w:t>次氯酸钠</w:t>
                  </w:r>
                </w:p>
              </w:tc>
              <w:tc>
                <w:tcPr>
                  <w:tcW w:w="1212" w:type="pct"/>
                  <w:vAlign w:val="center"/>
                </w:tcPr>
                <w:p w14:paraId="4A117031">
                  <w:pPr>
                    <w:pStyle w:val="56"/>
                    <w:keepNext w:val="0"/>
                    <w:keepLines w:val="0"/>
                    <w:pageBreakBefore w:val="0"/>
                    <w:kinsoku/>
                    <w:bidi w:val="0"/>
                    <w:adjustRightInd w:val="0"/>
                    <w:snapToGrid w:val="0"/>
                    <w:jc w:val="center"/>
                    <w:rPr>
                      <w:rFonts w:hint="default" w:ascii="Calibri" w:hAnsi="Calibri" w:eastAsia="宋体" w:cs="Calibri"/>
                      <w:spacing w:val="0"/>
                      <w:sz w:val="21"/>
                      <w:szCs w:val="21"/>
                      <w:lang w:val="en-US" w:eastAsia="zh-CN"/>
                    </w:rPr>
                  </w:pPr>
                  <w:r>
                    <w:rPr>
                      <w:rFonts w:hint="eastAsia" w:ascii="Calibri" w:hAnsi="Calibri" w:cs="Calibri"/>
                      <w:spacing w:val="0"/>
                      <w:sz w:val="21"/>
                      <w:szCs w:val="21"/>
                      <w:lang w:val="en-US" w:eastAsia="zh-CN"/>
                    </w:rPr>
                    <w:t>0.5</w:t>
                  </w:r>
                </w:p>
              </w:tc>
              <w:tc>
                <w:tcPr>
                  <w:tcW w:w="1040" w:type="pct"/>
                  <w:vAlign w:val="center"/>
                </w:tcPr>
                <w:p w14:paraId="210D13A4">
                  <w:pPr>
                    <w:pStyle w:val="56"/>
                    <w:keepNext w:val="0"/>
                    <w:keepLines w:val="0"/>
                    <w:pageBreakBefore w:val="0"/>
                    <w:kinsoku/>
                    <w:bidi w:val="0"/>
                    <w:adjustRightInd w:val="0"/>
                    <w:snapToGrid w:val="0"/>
                    <w:jc w:val="center"/>
                    <w:rPr>
                      <w:rFonts w:hint="default" w:ascii="Calibri" w:hAnsi="Calibri" w:eastAsia="宋体" w:cs="Calibri"/>
                      <w:spacing w:val="0"/>
                      <w:sz w:val="21"/>
                      <w:szCs w:val="21"/>
                      <w:lang w:val="en-US" w:eastAsia="zh-CN"/>
                    </w:rPr>
                  </w:pPr>
                  <w:r>
                    <w:rPr>
                      <w:rFonts w:hint="eastAsia" w:ascii="Calibri" w:hAnsi="Calibri" w:cs="Calibri"/>
                      <w:spacing w:val="0"/>
                      <w:sz w:val="21"/>
                      <w:szCs w:val="21"/>
                      <w:lang w:val="en-US" w:eastAsia="zh-CN"/>
                    </w:rPr>
                    <w:t>5</w:t>
                  </w:r>
                </w:p>
              </w:tc>
              <w:tc>
                <w:tcPr>
                  <w:tcW w:w="1293" w:type="pct"/>
                  <w:vAlign w:val="center"/>
                </w:tcPr>
                <w:p w14:paraId="10BD90D4">
                  <w:pPr>
                    <w:pStyle w:val="56"/>
                    <w:keepNext w:val="0"/>
                    <w:keepLines w:val="0"/>
                    <w:pageBreakBefore w:val="0"/>
                    <w:kinsoku/>
                    <w:bidi w:val="0"/>
                    <w:adjustRightInd w:val="0"/>
                    <w:snapToGrid w:val="0"/>
                    <w:jc w:val="center"/>
                    <w:rPr>
                      <w:rFonts w:hint="default" w:ascii="Calibri" w:hAnsi="Calibri" w:eastAsia="宋体" w:cs="Calibri"/>
                      <w:spacing w:val="0"/>
                      <w:sz w:val="21"/>
                      <w:szCs w:val="21"/>
                      <w:lang w:val="en-US" w:eastAsia="zh-CN"/>
                    </w:rPr>
                  </w:pPr>
                  <w:r>
                    <w:rPr>
                      <w:rFonts w:hint="default" w:ascii="Calibri" w:hAnsi="Calibri" w:eastAsia="宋体" w:cs="Calibri"/>
                      <w:spacing w:val="0"/>
                      <w:sz w:val="21"/>
                      <w:szCs w:val="21"/>
                      <w:lang w:val="en-US" w:eastAsia="zh-CN"/>
                    </w:rPr>
                    <w:t>0.1</w:t>
                  </w:r>
                </w:p>
              </w:tc>
            </w:tr>
            <w:tr w14:paraId="21C50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431" w:type="pct"/>
                  <w:vAlign w:val="center"/>
                </w:tcPr>
                <w:p w14:paraId="7E3C4367">
                  <w:pPr>
                    <w:pStyle w:val="56"/>
                    <w:keepNext w:val="0"/>
                    <w:keepLines w:val="0"/>
                    <w:pageBreakBefore w:val="0"/>
                    <w:kinsoku/>
                    <w:bidi w:val="0"/>
                    <w:adjustRightInd w:val="0"/>
                    <w:snapToGrid w:val="0"/>
                    <w:jc w:val="center"/>
                    <w:rPr>
                      <w:rFonts w:hint="default" w:ascii="Calibri" w:hAnsi="Calibri" w:eastAsia="宋体" w:cs="Calibri"/>
                      <w:spacing w:val="0"/>
                      <w:sz w:val="21"/>
                      <w:szCs w:val="21"/>
                    </w:rPr>
                  </w:pPr>
                  <w:r>
                    <w:rPr>
                      <w:rFonts w:hint="default" w:ascii="Calibri" w:hAnsi="Calibri" w:eastAsia="宋体" w:cs="Calibri"/>
                      <w:spacing w:val="0"/>
                      <w:sz w:val="21"/>
                      <w:szCs w:val="21"/>
                    </w:rPr>
                    <w:t>2</w:t>
                  </w:r>
                </w:p>
              </w:tc>
              <w:tc>
                <w:tcPr>
                  <w:tcW w:w="1022" w:type="pct"/>
                  <w:vAlign w:val="center"/>
                </w:tcPr>
                <w:p w14:paraId="68F2B9E1">
                  <w:pPr>
                    <w:pStyle w:val="56"/>
                    <w:keepNext w:val="0"/>
                    <w:keepLines w:val="0"/>
                    <w:pageBreakBefore w:val="0"/>
                    <w:kinsoku/>
                    <w:bidi w:val="0"/>
                    <w:adjustRightInd w:val="0"/>
                    <w:snapToGrid w:val="0"/>
                    <w:jc w:val="center"/>
                    <w:rPr>
                      <w:rFonts w:hint="default" w:ascii="Calibri" w:hAnsi="Calibri" w:eastAsia="宋体" w:cs="Calibri"/>
                      <w:spacing w:val="0"/>
                      <w:sz w:val="21"/>
                      <w:szCs w:val="21"/>
                      <w:lang w:val="en-US" w:eastAsia="zh-CN"/>
                    </w:rPr>
                  </w:pPr>
                  <w:r>
                    <w:rPr>
                      <w:rFonts w:hint="eastAsia" w:ascii="Calibri" w:hAnsi="Calibri" w:cs="Calibri"/>
                      <w:spacing w:val="0"/>
                      <w:sz w:val="21"/>
                      <w:szCs w:val="21"/>
                      <w:lang w:val="en-US" w:eastAsia="zh-CN"/>
                    </w:rPr>
                    <w:t>废润滑油</w:t>
                  </w:r>
                </w:p>
              </w:tc>
              <w:tc>
                <w:tcPr>
                  <w:tcW w:w="1212" w:type="pct"/>
                  <w:vAlign w:val="center"/>
                </w:tcPr>
                <w:p w14:paraId="09F7712D">
                  <w:pPr>
                    <w:pStyle w:val="56"/>
                    <w:keepNext w:val="0"/>
                    <w:keepLines w:val="0"/>
                    <w:pageBreakBefore w:val="0"/>
                    <w:kinsoku/>
                    <w:bidi w:val="0"/>
                    <w:adjustRightInd w:val="0"/>
                    <w:snapToGrid w:val="0"/>
                    <w:jc w:val="center"/>
                    <w:rPr>
                      <w:rFonts w:hint="default" w:ascii="Calibri" w:hAnsi="Calibri" w:eastAsia="宋体" w:cs="Calibri"/>
                      <w:spacing w:val="0"/>
                      <w:sz w:val="21"/>
                      <w:szCs w:val="21"/>
                      <w:lang w:val="en-US" w:eastAsia="zh-CN"/>
                    </w:rPr>
                  </w:pPr>
                  <w:r>
                    <w:rPr>
                      <w:rFonts w:hint="eastAsia" w:ascii="Calibri" w:hAnsi="Calibri" w:cs="Calibri"/>
                      <w:spacing w:val="0"/>
                      <w:sz w:val="21"/>
                      <w:szCs w:val="21"/>
                      <w:lang w:val="en-US" w:eastAsia="zh-CN"/>
                    </w:rPr>
                    <w:t>0.1</w:t>
                  </w:r>
                </w:p>
              </w:tc>
              <w:tc>
                <w:tcPr>
                  <w:tcW w:w="1040" w:type="pct"/>
                  <w:vAlign w:val="center"/>
                </w:tcPr>
                <w:p w14:paraId="74BD7C20">
                  <w:pPr>
                    <w:pStyle w:val="56"/>
                    <w:keepNext w:val="0"/>
                    <w:keepLines w:val="0"/>
                    <w:pageBreakBefore w:val="0"/>
                    <w:kinsoku/>
                    <w:bidi w:val="0"/>
                    <w:adjustRightInd w:val="0"/>
                    <w:snapToGrid w:val="0"/>
                    <w:jc w:val="center"/>
                    <w:rPr>
                      <w:rFonts w:hint="default" w:ascii="Calibri" w:hAnsi="Calibri" w:eastAsia="宋体" w:cs="Calibri"/>
                      <w:spacing w:val="0"/>
                      <w:sz w:val="21"/>
                      <w:szCs w:val="21"/>
                      <w:lang w:val="en-US" w:eastAsia="zh-CN"/>
                    </w:rPr>
                  </w:pPr>
                  <w:r>
                    <w:rPr>
                      <w:rFonts w:hint="eastAsia" w:ascii="Calibri" w:hAnsi="Calibri" w:cs="Calibri"/>
                      <w:spacing w:val="0"/>
                      <w:sz w:val="21"/>
                      <w:szCs w:val="21"/>
                      <w:lang w:val="en-US" w:eastAsia="zh-CN"/>
                    </w:rPr>
                    <w:t>2500</w:t>
                  </w:r>
                </w:p>
              </w:tc>
              <w:tc>
                <w:tcPr>
                  <w:tcW w:w="1293" w:type="pct"/>
                  <w:vAlign w:val="center"/>
                </w:tcPr>
                <w:p w14:paraId="244FBAFB">
                  <w:pPr>
                    <w:pStyle w:val="56"/>
                    <w:keepNext w:val="0"/>
                    <w:keepLines w:val="0"/>
                    <w:pageBreakBefore w:val="0"/>
                    <w:kinsoku/>
                    <w:bidi w:val="0"/>
                    <w:adjustRightInd w:val="0"/>
                    <w:snapToGrid w:val="0"/>
                    <w:jc w:val="center"/>
                    <w:rPr>
                      <w:rFonts w:hint="default" w:ascii="Calibri" w:hAnsi="Calibri" w:eastAsia="宋体" w:cs="Calibri"/>
                      <w:spacing w:val="0"/>
                      <w:sz w:val="21"/>
                      <w:szCs w:val="21"/>
                      <w:lang w:val="en-US" w:eastAsia="zh-CN"/>
                    </w:rPr>
                  </w:pPr>
                  <w:r>
                    <w:rPr>
                      <w:rFonts w:hint="default" w:ascii="Calibri" w:hAnsi="Calibri" w:eastAsia="宋体" w:cs="Calibri"/>
                      <w:spacing w:val="0"/>
                      <w:sz w:val="21"/>
                      <w:szCs w:val="21"/>
                      <w:lang w:eastAsia="zh-CN"/>
                    </w:rPr>
                    <w:t>0.</w:t>
                  </w:r>
                  <w:r>
                    <w:rPr>
                      <w:rFonts w:hint="eastAsia" w:ascii="Calibri" w:hAnsi="Calibri" w:cs="Calibri"/>
                      <w:spacing w:val="0"/>
                      <w:sz w:val="21"/>
                      <w:szCs w:val="21"/>
                      <w:lang w:val="en-US" w:eastAsia="zh-CN"/>
                    </w:rPr>
                    <w:t>00004</w:t>
                  </w:r>
                </w:p>
              </w:tc>
            </w:tr>
            <w:tr w14:paraId="2838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706" w:type="pct"/>
                  <w:gridSpan w:val="4"/>
                  <w:vAlign w:val="center"/>
                </w:tcPr>
                <w:p w14:paraId="3157D439">
                  <w:pPr>
                    <w:pStyle w:val="56"/>
                    <w:keepNext w:val="0"/>
                    <w:keepLines w:val="0"/>
                    <w:pageBreakBefore w:val="0"/>
                    <w:kinsoku/>
                    <w:bidi w:val="0"/>
                    <w:adjustRightInd w:val="0"/>
                    <w:snapToGrid w:val="0"/>
                    <w:jc w:val="center"/>
                    <w:rPr>
                      <w:rFonts w:hint="default" w:ascii="Calibri" w:hAnsi="Calibri" w:eastAsia="宋体" w:cs="Calibri"/>
                      <w:spacing w:val="0"/>
                      <w:sz w:val="21"/>
                      <w:szCs w:val="21"/>
                      <w:lang w:eastAsia="zh-CN"/>
                    </w:rPr>
                  </w:pPr>
                  <w:r>
                    <w:rPr>
                      <w:rFonts w:hint="default" w:ascii="Calibri" w:hAnsi="Calibri" w:eastAsia="宋体" w:cs="Calibri"/>
                      <w:spacing w:val="0"/>
                      <w:sz w:val="21"/>
                      <w:szCs w:val="21"/>
                    </w:rPr>
                    <w:t>项目Q值∑</w:t>
                  </w:r>
                </w:p>
              </w:tc>
              <w:tc>
                <w:tcPr>
                  <w:tcW w:w="1293" w:type="pct"/>
                  <w:vAlign w:val="center"/>
                </w:tcPr>
                <w:p w14:paraId="3D766C04">
                  <w:pPr>
                    <w:pStyle w:val="56"/>
                    <w:keepNext w:val="0"/>
                    <w:keepLines w:val="0"/>
                    <w:pageBreakBefore w:val="0"/>
                    <w:kinsoku/>
                    <w:bidi w:val="0"/>
                    <w:adjustRightInd w:val="0"/>
                    <w:snapToGrid w:val="0"/>
                    <w:jc w:val="center"/>
                    <w:rPr>
                      <w:rFonts w:hint="default" w:ascii="Calibri" w:hAnsi="Calibri" w:eastAsia="宋体" w:cs="Calibri"/>
                      <w:spacing w:val="0"/>
                      <w:sz w:val="21"/>
                      <w:szCs w:val="21"/>
                      <w:lang w:val="en-US" w:eastAsia="zh-CN"/>
                    </w:rPr>
                  </w:pPr>
                  <w:r>
                    <w:rPr>
                      <w:rFonts w:hint="eastAsia" w:ascii="Calibri" w:hAnsi="Calibri" w:cs="Calibri"/>
                      <w:spacing w:val="0"/>
                      <w:sz w:val="21"/>
                      <w:szCs w:val="21"/>
                      <w:lang w:val="en-US" w:eastAsia="zh-CN"/>
                    </w:rPr>
                    <w:t>0.10004</w:t>
                  </w:r>
                </w:p>
              </w:tc>
            </w:tr>
          </w:tbl>
          <w:p w14:paraId="06BF207F">
            <w:pPr>
              <w:snapToGrid w:val="0"/>
              <w:spacing w:line="360" w:lineRule="auto"/>
              <w:ind w:firstLine="482"/>
              <w:rPr>
                <w:rFonts w:hint="eastAsia" w:ascii="Times New Roman" w:hAnsi="Times New Roman" w:eastAsia="宋体" w:cs="Times New Roman"/>
                <w:sz w:val="24"/>
                <w:lang w:eastAsia="zh-CN"/>
              </w:rPr>
            </w:pPr>
            <w:r>
              <w:rPr>
                <w:rFonts w:ascii="Times New Roman" w:hAnsi="Times New Roman" w:eastAsia="宋体" w:cs="Times New Roman"/>
                <w:sz w:val="24"/>
              </w:rPr>
              <w:t>本项目环境风险潜势为Ⅰ，仅做简单分析</w:t>
            </w:r>
            <w:r>
              <w:rPr>
                <w:rFonts w:hint="eastAsia" w:ascii="Times New Roman" w:hAnsi="Times New Roman" w:eastAsia="宋体" w:cs="Times New Roman"/>
                <w:sz w:val="24"/>
                <w:lang w:eastAsia="zh-CN"/>
              </w:rPr>
              <w:t>。</w:t>
            </w:r>
          </w:p>
          <w:p w14:paraId="6B1D3F10">
            <w:pPr>
              <w:adjustRightInd w:val="0"/>
              <w:snapToGrid w:val="0"/>
              <w:spacing w:line="360" w:lineRule="auto"/>
              <w:ind w:firstLine="482" w:firstLineChars="200"/>
              <w:rPr>
                <w:rFonts w:hint="eastAsia"/>
                <w:b/>
                <w:sz w:val="24"/>
              </w:rPr>
            </w:pPr>
            <w:r>
              <w:rPr>
                <w:rFonts w:hint="eastAsia"/>
                <w:b/>
                <w:sz w:val="24"/>
              </w:rPr>
              <w:t>2</w:t>
            </w:r>
            <w:r>
              <w:rPr>
                <w:b/>
                <w:sz w:val="24"/>
              </w:rPr>
              <w:t xml:space="preserve"> </w:t>
            </w:r>
            <w:r>
              <w:rPr>
                <w:rFonts w:hint="eastAsia"/>
                <w:b/>
                <w:sz w:val="24"/>
              </w:rPr>
              <w:t>风险源分布</w:t>
            </w:r>
          </w:p>
          <w:p w14:paraId="6EE67E4F">
            <w:pPr>
              <w:snapToGrid w:val="0"/>
              <w:spacing w:line="360" w:lineRule="auto"/>
              <w:ind w:firstLine="482"/>
              <w:rPr>
                <w:sz w:val="24"/>
              </w:rPr>
            </w:pPr>
            <w:r>
              <w:rPr>
                <w:sz w:val="24"/>
              </w:rPr>
              <w:t>本项目</w:t>
            </w:r>
            <w:r>
              <w:rPr>
                <w:rFonts w:hint="eastAsia"/>
                <w:sz w:val="24"/>
              </w:rPr>
              <w:t>风险源为</w:t>
            </w:r>
            <w:r>
              <w:rPr>
                <w:rFonts w:hint="eastAsia"/>
                <w:sz w:val="24"/>
                <w:lang w:val="en-US" w:eastAsia="zh-CN"/>
              </w:rPr>
              <w:t>污水处理站</w:t>
            </w:r>
            <w:r>
              <w:rPr>
                <w:rFonts w:hint="eastAsia"/>
                <w:sz w:val="24"/>
              </w:rPr>
              <w:t>的污水处理单元</w:t>
            </w:r>
            <w:r>
              <w:rPr>
                <w:rFonts w:hint="eastAsia"/>
                <w:sz w:val="24"/>
                <w:lang w:eastAsia="zh-CN"/>
              </w:rPr>
              <w:t>、消毒间、</w:t>
            </w:r>
            <w:r>
              <w:rPr>
                <w:rFonts w:hint="eastAsia"/>
                <w:sz w:val="24"/>
                <w:lang w:val="en-US" w:eastAsia="zh-CN"/>
              </w:rPr>
              <w:t>危险废物贮存库</w:t>
            </w:r>
            <w:r>
              <w:rPr>
                <w:rFonts w:hint="eastAsia"/>
                <w:sz w:val="24"/>
                <w:lang w:eastAsia="zh-CN"/>
              </w:rPr>
              <w:t>等</w:t>
            </w:r>
            <w:r>
              <w:rPr>
                <w:rFonts w:hint="eastAsia"/>
                <w:sz w:val="24"/>
              </w:rPr>
              <w:t>，环境风险主要为</w:t>
            </w:r>
            <w:r>
              <w:rPr>
                <w:rFonts w:hint="eastAsia"/>
                <w:sz w:val="24"/>
                <w:lang w:val="en-US" w:eastAsia="zh-CN"/>
              </w:rPr>
              <w:t>泄漏</w:t>
            </w:r>
            <w:r>
              <w:rPr>
                <w:rFonts w:hint="eastAsia"/>
                <w:sz w:val="24"/>
              </w:rPr>
              <w:t>。</w:t>
            </w:r>
          </w:p>
          <w:p w14:paraId="7E9862F2">
            <w:pPr>
              <w:spacing w:line="360" w:lineRule="auto"/>
              <w:ind w:firstLine="482" w:firstLineChars="200"/>
              <w:rPr>
                <w:b/>
                <w:bCs/>
                <w:sz w:val="24"/>
              </w:rPr>
            </w:pPr>
            <w:r>
              <w:rPr>
                <w:rFonts w:hint="eastAsia"/>
                <w:b/>
                <w:bCs/>
                <w:sz w:val="24"/>
              </w:rPr>
              <w:t>3</w:t>
            </w:r>
            <w:r>
              <w:rPr>
                <w:b/>
                <w:bCs/>
                <w:sz w:val="24"/>
              </w:rPr>
              <w:t xml:space="preserve"> </w:t>
            </w:r>
            <w:r>
              <w:rPr>
                <w:rFonts w:hint="eastAsia"/>
                <w:b/>
                <w:bCs/>
                <w:sz w:val="24"/>
              </w:rPr>
              <w:t>环境风险源影响途径</w:t>
            </w:r>
          </w:p>
          <w:p w14:paraId="098B4E83">
            <w:pPr>
              <w:snapToGrid w:val="0"/>
              <w:spacing w:line="360" w:lineRule="auto"/>
              <w:ind w:firstLine="480"/>
              <w:rPr>
                <w:rFonts w:ascii="Arial" w:hAnsi="Arial" w:cs="Arial"/>
                <w:sz w:val="24"/>
              </w:rPr>
            </w:pPr>
            <w:r>
              <w:rPr>
                <w:rFonts w:ascii="Arial" w:hAnsi="Arial" w:cs="Arial"/>
                <w:sz w:val="24"/>
              </w:rPr>
              <w:t>污水处理</w:t>
            </w:r>
            <w:r>
              <w:rPr>
                <w:rFonts w:hint="eastAsia" w:ascii="Arial" w:hAnsi="Arial" w:cs="Arial"/>
                <w:sz w:val="24"/>
                <w:lang w:val="en-US" w:eastAsia="zh-CN"/>
              </w:rPr>
              <w:t>站</w:t>
            </w:r>
            <w:r>
              <w:rPr>
                <w:rFonts w:ascii="Arial" w:hAnsi="Arial" w:cs="Arial"/>
                <w:sz w:val="24"/>
              </w:rPr>
              <w:t>发生</w:t>
            </w:r>
            <w:r>
              <w:rPr>
                <w:rFonts w:hint="eastAsia" w:ascii="Arial" w:hAnsi="Arial" w:cs="Arial"/>
                <w:sz w:val="24"/>
              </w:rPr>
              <w:t>污水</w:t>
            </w:r>
            <w:r>
              <w:rPr>
                <w:rFonts w:hint="eastAsia" w:ascii="Arial" w:hAnsi="Arial" w:cs="Arial"/>
                <w:sz w:val="24"/>
                <w:lang w:eastAsia="zh-CN"/>
              </w:rPr>
              <w:t>泄漏</w:t>
            </w:r>
            <w:r>
              <w:rPr>
                <w:rFonts w:ascii="Arial" w:hAnsi="Arial" w:cs="Arial"/>
                <w:sz w:val="24"/>
              </w:rPr>
              <w:t>事故的原因较多</w:t>
            </w:r>
            <w:r>
              <w:rPr>
                <w:rFonts w:hint="eastAsia" w:ascii="Arial" w:hAnsi="Arial" w:cs="Arial"/>
                <w:sz w:val="24"/>
              </w:rPr>
              <w:t>，</w:t>
            </w:r>
            <w:r>
              <w:rPr>
                <w:rFonts w:ascii="Arial" w:hAnsi="Arial" w:cs="Arial"/>
                <w:sz w:val="24"/>
              </w:rPr>
              <w:t>设计、设备、管理等原因都可能导致污水处理厂运转不正常，造成事故排放的环节主要是运行过程中发生的事故，包括：</w:t>
            </w:r>
          </w:p>
          <w:p w14:paraId="3EB7D200">
            <w:pPr>
              <w:snapToGrid w:val="0"/>
              <w:spacing w:line="360" w:lineRule="auto"/>
              <w:ind w:firstLine="482"/>
              <w:rPr>
                <w:rFonts w:ascii="Arial" w:hAnsi="Arial" w:cs="Arial"/>
                <w:sz w:val="24"/>
              </w:rPr>
            </w:pPr>
            <w:r>
              <w:rPr>
                <w:rFonts w:hint="eastAsia" w:ascii="宋体" w:hAnsi="宋体" w:cs="宋体"/>
                <w:sz w:val="24"/>
              </w:rPr>
              <w:t>①</w:t>
            </w:r>
            <w:r>
              <w:rPr>
                <w:rFonts w:ascii="Arial" w:hAnsi="Arial" w:cs="Arial"/>
                <w:sz w:val="24"/>
              </w:rPr>
              <w:t>污水管网系统由于管网堵塞、破裂和接头处的破损，造成大量污水外溢，污染地表水和地下水；</w:t>
            </w:r>
          </w:p>
          <w:p w14:paraId="394C0BB3">
            <w:pPr>
              <w:snapToGrid w:val="0"/>
              <w:spacing w:line="360" w:lineRule="auto"/>
              <w:ind w:firstLine="482"/>
              <w:rPr>
                <w:rFonts w:ascii="Arial" w:hAnsi="Arial" w:cs="Arial"/>
                <w:sz w:val="24"/>
              </w:rPr>
            </w:pPr>
            <w:r>
              <w:rPr>
                <w:rFonts w:hint="eastAsia" w:ascii="宋体" w:hAnsi="宋体" w:cs="宋体"/>
                <w:sz w:val="24"/>
              </w:rPr>
              <w:t>②</w:t>
            </w:r>
            <w:r>
              <w:rPr>
                <w:rFonts w:ascii="Arial" w:hAnsi="Arial" w:cs="Arial"/>
                <w:sz w:val="24"/>
              </w:rPr>
              <w:t>污水泵站由于长时间停电或污水水泵损坏，排水不畅时易引起污水漫溢；</w:t>
            </w:r>
          </w:p>
          <w:p w14:paraId="53C6F238">
            <w:pPr>
              <w:snapToGrid w:val="0"/>
              <w:spacing w:line="360" w:lineRule="auto"/>
              <w:ind w:firstLine="482"/>
              <w:rPr>
                <w:rFonts w:ascii="Arial" w:hAnsi="Arial" w:cs="Arial"/>
                <w:sz w:val="24"/>
              </w:rPr>
            </w:pPr>
            <w:r>
              <w:rPr>
                <w:rFonts w:hint="eastAsia" w:ascii="宋体" w:hAnsi="宋体" w:cs="宋体"/>
                <w:sz w:val="24"/>
              </w:rPr>
              <w:t>③</w:t>
            </w:r>
            <w:r>
              <w:rPr>
                <w:rFonts w:ascii="Arial" w:hAnsi="Arial" w:cs="Arial"/>
                <w:sz w:val="24"/>
              </w:rPr>
              <w:t>污水处理厂由于停电、设备损坏、污水处理设施运行不正常、停工检修等造成大量污水未经处理直接排放，造成事故污染；</w:t>
            </w:r>
          </w:p>
          <w:p w14:paraId="6217B944">
            <w:pPr>
              <w:snapToGrid w:val="0"/>
              <w:spacing w:line="360" w:lineRule="auto"/>
              <w:ind w:firstLine="482"/>
              <w:rPr>
                <w:sz w:val="24"/>
              </w:rPr>
            </w:pPr>
            <w:r>
              <w:rPr>
                <w:rFonts w:hint="eastAsia" w:ascii="宋体" w:hAnsi="宋体" w:cs="宋体"/>
                <w:sz w:val="24"/>
              </w:rPr>
              <w:t>④</w:t>
            </w:r>
            <w:r>
              <w:rPr>
                <w:rFonts w:ascii="Arial" w:hAnsi="Arial" w:cs="Arial"/>
                <w:sz w:val="24"/>
              </w:rPr>
              <w:t>由于发生地震等自然灾害致使污水管道、处理构筑物损坏，污水溢流于厂区及附近地区和水域，造成严重的局部污染</w:t>
            </w:r>
            <w:r>
              <w:rPr>
                <w:sz w:val="24"/>
              </w:rPr>
              <w:t>。</w:t>
            </w:r>
          </w:p>
          <w:p w14:paraId="2E9FE4E5">
            <w:pPr>
              <w:spacing w:line="360" w:lineRule="auto"/>
              <w:ind w:firstLine="480" w:firstLineChars="200"/>
              <w:rPr>
                <w:rFonts w:hint="eastAsia"/>
                <w:sz w:val="24"/>
                <w:lang w:eastAsia="zh-CN"/>
              </w:rPr>
            </w:pPr>
            <w:r>
              <w:rPr>
                <w:rFonts w:hint="eastAsia" w:ascii="微软雅黑" w:hAnsi="微软雅黑" w:eastAsia="微软雅黑" w:cs="微软雅黑"/>
                <w:sz w:val="24"/>
              </w:rPr>
              <w:t>⑤</w:t>
            </w:r>
            <w:r>
              <w:rPr>
                <w:rFonts w:hint="eastAsia"/>
                <w:sz w:val="24"/>
              </w:rPr>
              <w:t>项目</w:t>
            </w:r>
            <w:r>
              <w:rPr>
                <w:rFonts w:hint="eastAsia"/>
                <w:sz w:val="24"/>
                <w:lang w:val="en-US" w:eastAsia="zh-CN"/>
              </w:rPr>
              <w:t>氢氧化钠、</w:t>
            </w:r>
            <w:r>
              <w:rPr>
                <w:rFonts w:hint="eastAsia"/>
                <w:sz w:val="24"/>
                <w:lang w:eastAsia="zh-CN"/>
              </w:rPr>
              <w:t>次氯酸钠</w:t>
            </w:r>
            <w:r>
              <w:rPr>
                <w:sz w:val="24"/>
              </w:rPr>
              <w:t>为</w:t>
            </w:r>
            <w:r>
              <w:rPr>
                <w:rFonts w:hint="eastAsia"/>
                <w:sz w:val="24"/>
                <w:lang w:val="en-US" w:eastAsia="zh-CN"/>
              </w:rPr>
              <w:t>桶</w:t>
            </w:r>
            <w:r>
              <w:rPr>
                <w:rFonts w:hint="eastAsia"/>
                <w:sz w:val="24"/>
                <w:lang w:eastAsia="zh-CN"/>
              </w:rPr>
              <w:t>装，由于贮存装置破裂或操作不当，造成泄漏，导致人员中毒和环境污染；在使用过程中由于操作人员失误造成次氯酸钠泄漏。</w:t>
            </w:r>
          </w:p>
          <w:p w14:paraId="7443D38D">
            <w:pPr>
              <w:spacing w:line="360" w:lineRule="auto"/>
              <w:ind w:firstLine="480" w:firstLineChars="200"/>
              <w:rPr>
                <w:rFonts w:hint="eastAsia"/>
                <w:sz w:val="24"/>
                <w:lang w:val="en-US" w:eastAsia="zh-CN"/>
              </w:rPr>
            </w:pPr>
            <w:r>
              <w:rPr>
                <w:rFonts w:hint="eastAsia" w:ascii="微软雅黑" w:hAnsi="微软雅黑" w:eastAsia="微软雅黑" w:cs="微软雅黑"/>
                <w:sz w:val="24"/>
              </w:rPr>
              <w:t>⑥</w:t>
            </w:r>
            <w:r>
              <w:rPr>
                <w:rFonts w:hint="eastAsia"/>
                <w:sz w:val="24"/>
                <w:lang w:val="en-US" w:eastAsia="zh-CN"/>
              </w:rPr>
              <w:t>废润滑油在暂存和转运过程中，若容器密封不严或发生碰撞破损，会导致废润滑油泄漏，泄漏后若未及时收集处理，可能下渗污染地下水、土壤，或随地表径流进入周边水体，造成环境污染。</w:t>
            </w:r>
          </w:p>
          <w:p w14:paraId="23CD2A04">
            <w:pPr>
              <w:spacing w:line="360" w:lineRule="auto"/>
              <w:ind w:firstLine="482" w:firstLineChars="200"/>
              <w:rPr>
                <w:b/>
                <w:bCs/>
                <w:sz w:val="24"/>
              </w:rPr>
            </w:pPr>
            <w:r>
              <w:rPr>
                <w:rFonts w:hint="eastAsia"/>
                <w:b/>
                <w:bCs/>
                <w:sz w:val="24"/>
              </w:rPr>
              <w:t>4 环境</w:t>
            </w:r>
            <w:r>
              <w:rPr>
                <w:b/>
                <w:bCs/>
                <w:sz w:val="24"/>
              </w:rPr>
              <w:t>风险防范措施</w:t>
            </w:r>
          </w:p>
          <w:p w14:paraId="6F8D8FF3">
            <w:pPr>
              <w:spacing w:line="360" w:lineRule="auto"/>
              <w:ind w:firstLine="480" w:firstLineChars="200"/>
              <w:rPr>
                <w:rFonts w:hint="default"/>
                <w:sz w:val="24"/>
                <w:lang w:val="en-US" w:eastAsia="zh-CN"/>
              </w:rPr>
            </w:pPr>
            <w:r>
              <w:rPr>
                <w:rFonts w:hint="eastAsia"/>
                <w:sz w:val="24"/>
                <w:lang w:eastAsia="zh-CN"/>
              </w:rPr>
              <w:t>（1）工程设计防范措施：①污水管网系统应选用质量合格的管材，施工时确保接口严密，定期对管网进行巡检和维护，及时发现并修复堵塞、破裂和接头破损等问题。②污水泵站应配备备用电源和备用水泵，以应对长时间停电或水泵损坏的情况，保证排水畅通。③污水处理</w:t>
            </w:r>
            <w:r>
              <w:rPr>
                <w:rFonts w:hint="eastAsia"/>
                <w:sz w:val="24"/>
                <w:lang w:val="en-US" w:eastAsia="zh-CN"/>
              </w:rPr>
              <w:t>站</w:t>
            </w:r>
            <w:r>
              <w:rPr>
                <w:rFonts w:hint="eastAsia"/>
                <w:sz w:val="24"/>
                <w:lang w:eastAsia="zh-CN"/>
              </w:rPr>
              <w:t>关键设备应设置备用，如曝气设备、污泥处理设备等，并建立完善的设备维护保养制度，定期对设备进行检查、维修和更换，确保污水处理设施正常运行。同时，制定详细的停电、设备故障等应急预案，明确应急处置流程和责任人。④在</w:t>
            </w:r>
            <w:r>
              <w:rPr>
                <w:rFonts w:hint="eastAsia"/>
                <w:sz w:val="24"/>
                <w:lang w:val="en-US" w:eastAsia="zh-CN"/>
              </w:rPr>
              <w:t>站</w:t>
            </w:r>
            <w:r>
              <w:rPr>
                <w:rFonts w:hint="eastAsia"/>
                <w:sz w:val="24"/>
                <w:lang w:eastAsia="zh-CN"/>
              </w:rPr>
              <w:t>区及处理构筑物设计中考虑抗震因素，选用抗震性能良好的材料和结构形式，提高应对自然灾害的能力。</w:t>
            </w:r>
          </w:p>
          <w:p w14:paraId="03767DCD">
            <w:pPr>
              <w:spacing w:line="360" w:lineRule="auto"/>
              <w:ind w:firstLine="480" w:firstLineChars="200"/>
              <w:rPr>
                <w:rFonts w:hint="eastAsia"/>
                <w:sz w:val="24"/>
                <w:lang w:eastAsia="zh-CN"/>
              </w:rPr>
            </w:pPr>
            <w:r>
              <w:rPr>
                <w:rFonts w:hint="eastAsia"/>
                <w:sz w:val="24"/>
                <w:lang w:eastAsia="zh-CN"/>
              </w:rPr>
              <w:t>（2）</w:t>
            </w:r>
            <w:r>
              <w:rPr>
                <w:rFonts w:hint="eastAsia"/>
                <w:sz w:val="24"/>
                <w:lang w:val="en-US" w:eastAsia="zh-CN"/>
              </w:rPr>
              <w:t>氢氧化钠、</w:t>
            </w:r>
            <w:r>
              <w:rPr>
                <w:rFonts w:hint="eastAsia"/>
                <w:sz w:val="24"/>
                <w:lang w:eastAsia="zh-CN"/>
              </w:rPr>
              <w:t>次氯酸钠贮存与采取防范措施：①</w:t>
            </w:r>
            <w:r>
              <w:rPr>
                <w:rFonts w:hint="eastAsia"/>
                <w:sz w:val="24"/>
                <w:lang w:val="en-US" w:eastAsia="zh-CN"/>
              </w:rPr>
              <w:t>氢氧化钠、</w:t>
            </w:r>
            <w:r>
              <w:rPr>
                <w:rFonts w:hint="eastAsia"/>
                <w:sz w:val="24"/>
                <w:lang w:eastAsia="zh-CN"/>
              </w:rPr>
              <w:t>次氯酸钠贮存装置应选用耐腐蚀、强度高的材质，并设置防泄漏围堰，围堰容积应能容纳最大贮存量的次氯酸钠。贮存场所应保持通风良好，远离火源和热源，设置明显的安全警示标志。②操作人员必须经过专业培训，熟悉</w:t>
            </w:r>
            <w:r>
              <w:rPr>
                <w:rFonts w:hint="eastAsia"/>
                <w:sz w:val="24"/>
                <w:lang w:val="en-US" w:eastAsia="zh-CN"/>
              </w:rPr>
              <w:t>氢氧化钠、</w:t>
            </w:r>
            <w:r>
              <w:rPr>
                <w:rFonts w:hint="eastAsia"/>
                <w:sz w:val="24"/>
                <w:lang w:eastAsia="zh-CN"/>
              </w:rPr>
              <w:t>次氯酸钠的特性和操作规程，佩戴必要的防护用品，如耐酸碱手套、护目镜等。在使用过程中，严格按照操作规程进行，避免因操作不当导致泄漏。③设置泄漏检测装置，一旦发生泄漏，能及时发出警报，并启动相应的应急处理措施。</w:t>
            </w:r>
          </w:p>
          <w:p w14:paraId="5F386AE5">
            <w:pPr>
              <w:spacing w:line="360" w:lineRule="auto"/>
              <w:ind w:firstLine="480" w:firstLineChars="200"/>
              <w:rPr>
                <w:rFonts w:hint="default"/>
                <w:sz w:val="24"/>
                <w:lang w:val="en-US" w:eastAsia="zh-CN"/>
              </w:rPr>
            </w:pPr>
            <w:r>
              <w:rPr>
                <w:rFonts w:hint="eastAsia"/>
                <w:sz w:val="24"/>
                <w:lang w:eastAsia="zh-CN"/>
              </w:rPr>
              <w:t>（</w:t>
            </w:r>
            <w:r>
              <w:rPr>
                <w:rFonts w:hint="eastAsia"/>
                <w:sz w:val="24"/>
                <w:lang w:val="en-US" w:eastAsia="zh-CN"/>
              </w:rPr>
              <w:t>3</w:t>
            </w:r>
            <w:r>
              <w:rPr>
                <w:rFonts w:hint="eastAsia"/>
                <w:sz w:val="24"/>
                <w:lang w:eastAsia="zh-CN"/>
              </w:rPr>
              <w:t>）</w:t>
            </w:r>
            <w:r>
              <w:rPr>
                <w:rFonts w:hint="eastAsia"/>
                <w:sz w:val="24"/>
                <w:lang w:val="en-US" w:eastAsia="zh-CN"/>
              </w:rPr>
              <w:t>废润滑油防范措施：废润滑油暂存于危险废物贮存库的专用防渗托盘上，存放区域设置有效容积不小于最大存放容器容积的围堰，防止泄漏油品外流，储存容器必须加盖密封，避免油品挥发泄漏。定期检查容器密封性、完好性，危险废物转移交由资质单位处置，转移过程中严格执行《危险废物转移管理办法》等相关规定，运输过程中使用专用密闭运输车辆，防止运输途中发生泄漏。日常管理中做好废润滑油产生、暂存、转移台账记录，严禁随意倾倒排放。</w:t>
            </w:r>
          </w:p>
          <w:p w14:paraId="5B4022A7">
            <w:pPr>
              <w:spacing w:line="360" w:lineRule="auto"/>
              <w:ind w:firstLine="480" w:firstLineChars="200"/>
              <w:rPr>
                <w:rFonts w:hint="eastAsia"/>
                <w:sz w:val="24"/>
                <w:lang w:eastAsia="zh-CN"/>
              </w:rPr>
            </w:pPr>
            <w:r>
              <w:rPr>
                <w:rFonts w:hint="eastAsia"/>
                <w:sz w:val="24"/>
                <w:lang w:eastAsia="zh-CN"/>
              </w:rPr>
              <w:t>（</w:t>
            </w:r>
            <w:r>
              <w:rPr>
                <w:rFonts w:hint="eastAsia"/>
                <w:sz w:val="24"/>
                <w:lang w:val="en-US" w:eastAsia="zh-CN"/>
              </w:rPr>
              <w:t>4</w:t>
            </w:r>
            <w:r>
              <w:rPr>
                <w:rFonts w:hint="eastAsia"/>
                <w:sz w:val="24"/>
                <w:lang w:eastAsia="zh-CN"/>
              </w:rPr>
              <w:t>）管理制度防范措施：①建立健全环境风险管理制度，明确各部门和人员的环境风险职责，定期组织环境风险排查和评估。②加强对员工的环境风险意识和应急处置能力培训，定期组织应急演练，提高员工应对突发环境事件的能力。③建立危险物质登记和管理制度，如实记录次氯酸钠、废润滑油等危险物质的贮存、使用和处置情况。</w:t>
            </w:r>
          </w:p>
          <w:p w14:paraId="71129F1B">
            <w:pPr>
              <w:spacing w:line="360" w:lineRule="auto"/>
              <w:ind w:firstLine="480" w:firstLineChars="200"/>
              <w:rPr>
                <w:rFonts w:hint="default"/>
                <w:sz w:val="24"/>
                <w:lang w:val="en-US" w:eastAsia="zh-CN"/>
              </w:rPr>
            </w:pPr>
            <w:r>
              <w:rPr>
                <w:rFonts w:hint="eastAsia"/>
                <w:sz w:val="24"/>
                <w:lang w:val="en-US" w:eastAsia="zh-CN"/>
              </w:rPr>
              <w:t>（5）制定风险应急措施，一旦发生物料泄漏时，及时采取措施：泄漏时，根据液体流动区域设定警戒区，消除所有火源。构筑围堤收容泄漏物。防止流出车间，用泡沫覆盖泄漏物，减少挥发。收容的泄漏物转移至专用收集器内。残液用沙土吸收，耐腐蚀容器收集后送有资质的单位处理。厂区设置必要消防设备， 加强对公司职工的教育培训，实行上岗证制度，增强职工风险意识，提高事故自救能力，制定和强化各种安全管理、安全生产的规程，减少人为风险事故的发生</w:t>
            </w:r>
          </w:p>
          <w:p w14:paraId="38736E71">
            <w:pPr>
              <w:spacing w:line="360" w:lineRule="auto"/>
              <w:ind w:firstLine="480" w:firstLineChars="200"/>
              <w:rPr>
                <w:rFonts w:hint="eastAsia"/>
                <w:sz w:val="24"/>
                <w:lang w:eastAsia="zh-CN"/>
              </w:rPr>
            </w:pPr>
            <w:r>
              <w:rPr>
                <w:rFonts w:hint="default" w:asciiTheme="minorAscii" w:hAnsiTheme="minorAscii"/>
                <w:sz w:val="24"/>
                <w:lang w:eastAsia="zh-CN"/>
              </w:rPr>
              <w:t>（</w:t>
            </w:r>
            <w:r>
              <w:rPr>
                <w:rFonts w:hint="default" w:asciiTheme="minorAscii" w:hAnsiTheme="minorAscii" w:eastAsiaTheme="minorEastAsia" w:cstheme="minorEastAsia"/>
                <w:sz w:val="24"/>
                <w:lang w:val="en-US" w:eastAsia="zh-CN"/>
              </w:rPr>
              <w:t>6</w:t>
            </w:r>
            <w:r>
              <w:rPr>
                <w:rFonts w:hint="default" w:asciiTheme="minorAscii" w:hAnsiTheme="minorAscii"/>
                <w:sz w:val="24"/>
                <w:lang w:eastAsia="zh-CN"/>
              </w:rPr>
              <w:t>）事故应急池</w:t>
            </w:r>
            <w:r>
              <w:rPr>
                <w:rFonts w:hint="eastAsia"/>
                <w:sz w:val="24"/>
                <w:lang w:eastAsia="zh-CN"/>
              </w:rPr>
              <w:t>：新建有效容积1000</w:t>
            </w:r>
            <w:r>
              <w:rPr>
                <w:rFonts w:hint="eastAsia"/>
                <w:sz w:val="24"/>
                <w:lang w:val="en-US" w:eastAsia="zh-CN"/>
              </w:rPr>
              <w:t>m</w:t>
            </w:r>
            <w:r>
              <w:rPr>
                <w:rFonts w:hint="eastAsia"/>
                <w:sz w:val="24"/>
                <w:vertAlign w:val="superscript"/>
                <w:lang w:val="en-US" w:eastAsia="zh-CN"/>
              </w:rPr>
              <w:t>3</w:t>
            </w:r>
            <w:r>
              <w:rPr>
                <w:rFonts w:hint="eastAsia"/>
                <w:sz w:val="24"/>
                <w:lang w:eastAsia="zh-CN"/>
              </w:rPr>
              <w:t>专用事故应急池，满足污水处理站 24h事故废水储存需求；本项目厂区距离开都河</w:t>
            </w:r>
            <w:r>
              <w:rPr>
                <w:rFonts w:hint="eastAsia"/>
                <w:sz w:val="24"/>
                <w:lang w:val="en-US" w:eastAsia="zh-CN"/>
              </w:rPr>
              <w:t>较近</w:t>
            </w:r>
            <w:r>
              <w:rPr>
                <w:rFonts w:hint="eastAsia"/>
                <w:sz w:val="24"/>
                <w:lang w:eastAsia="zh-CN"/>
              </w:rPr>
              <w:t>，地表水环境敏感度高，事故池日常必须保持空池状态，严禁占用事故池容积用于正常工况调蓄。当发生停电、设备故障、进水水质严重超标等非正常工况时，园区工业来水、站内事故废水通过重力导流沟、挡坎导入该事故池临时贮存；尾水输送至排碱渠前端设置紧急切断阀，事故状态下立即关闭阀门，防止事故废水、受污染汇水外流进入排碱渠、苇区，规避间接汇入开都河的环境风险。待污水处理设施故障排除、恢复正常运行并调试稳定后，再将事故池内废水分批次泵入污水处理系统处理，严禁事故池内废水直接外排至排碱渠、苇区及周边地表水体。事故池配套一用一备提升泵，池体按重点防渗区要求落实严格防渗防腐，防渗渗透系数≤10</w:t>
            </w:r>
            <w:r>
              <w:rPr>
                <w:rFonts w:hint="eastAsia"/>
                <w:sz w:val="24"/>
                <w:vertAlign w:val="superscript"/>
                <w:lang w:val="en-US" w:eastAsia="zh-CN"/>
              </w:rPr>
              <w:t>-10</w:t>
            </w:r>
            <w:r>
              <w:rPr>
                <w:rFonts w:hint="eastAsia"/>
                <w:sz w:val="24"/>
                <w:lang w:eastAsia="zh-CN"/>
              </w:rPr>
              <w:t>cm/s。</w:t>
            </w:r>
          </w:p>
          <w:p w14:paraId="0879DD3C">
            <w:pPr>
              <w:spacing w:line="360" w:lineRule="auto"/>
              <w:ind w:firstLine="480" w:firstLineChars="200"/>
              <w:rPr>
                <w:rFonts w:hint="eastAsia"/>
                <w:b/>
                <w:sz w:val="24"/>
              </w:rPr>
            </w:pPr>
            <w:r>
              <w:rPr>
                <w:rFonts w:hint="eastAsia"/>
                <w:sz w:val="24"/>
                <w:lang w:eastAsia="zh-CN"/>
              </w:rPr>
              <w:t>通过以上环境风险防范措施和应急预案的制定与实施，本项目能够有效降低环境风险发生的可能性，减少风险事故对环境造成的影响</w:t>
            </w:r>
            <w:r>
              <w:rPr>
                <w:rFonts w:hint="eastAsia"/>
                <w:sz w:val="24"/>
              </w:rPr>
              <w:t>。</w:t>
            </w:r>
          </w:p>
          <w:p w14:paraId="598FAF32">
            <w:pPr>
              <w:spacing w:line="360" w:lineRule="auto"/>
              <w:rPr>
                <w:rFonts w:hint="default" w:ascii="宋体" w:hAnsi="宋体" w:eastAsia="宋体" w:cs="宋体"/>
                <w:bCs/>
                <w:spacing w:val="-10"/>
                <w:szCs w:val="21"/>
                <w:lang w:val="en-US" w:eastAsia="zh-CN"/>
              </w:rPr>
            </w:pPr>
            <w:r>
              <w:rPr>
                <w:rFonts w:hint="eastAsia" w:ascii="宋体" w:hAnsi="宋体" w:cs="宋体"/>
                <w:b/>
                <w:sz w:val="24"/>
              </w:rPr>
              <w:t>（七）</w:t>
            </w:r>
            <w:r>
              <w:rPr>
                <w:rFonts w:hint="eastAsia" w:ascii="宋体" w:hAnsi="宋体" w:cs="宋体"/>
                <w:b/>
                <w:sz w:val="24"/>
                <w:lang w:val="en-US" w:eastAsia="zh-CN"/>
              </w:rPr>
              <w:t>环境管理</w:t>
            </w:r>
          </w:p>
          <w:p w14:paraId="38510010">
            <w:pPr>
              <w:spacing w:line="36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根据《固定污染源排污许可分类管理名录（2019年版）》，项目属于</w:t>
            </w:r>
            <w:r>
              <w:rPr>
                <w:rFonts w:hint="eastAsia" w:cs="Times New Roman"/>
                <w:sz w:val="24"/>
                <w:lang w:val="en-US" w:eastAsia="zh-CN"/>
              </w:rPr>
              <w:t>五十一通用工序中112水处理除纳入重点排污单位名录的，日处理能力500吨及以上2万吨以下的水处理设施</w:t>
            </w:r>
            <w:r>
              <w:rPr>
                <w:rFonts w:hint="eastAsia" w:ascii="Times New Roman" w:hAnsi="Times New Roman" w:eastAsia="宋体" w:cs="Times New Roman"/>
                <w:sz w:val="24"/>
                <w:lang w:eastAsia="zh-CN"/>
              </w:rPr>
              <w:t>，属于</w:t>
            </w:r>
            <w:r>
              <w:rPr>
                <w:rFonts w:hint="eastAsia" w:cs="Times New Roman"/>
                <w:sz w:val="24"/>
                <w:lang w:val="en-US" w:eastAsia="zh-CN"/>
              </w:rPr>
              <w:t>登记</w:t>
            </w:r>
            <w:r>
              <w:rPr>
                <w:rFonts w:hint="eastAsia" w:ascii="Times New Roman" w:hAnsi="Times New Roman" w:eastAsia="宋体" w:cs="Times New Roman"/>
                <w:sz w:val="24"/>
                <w:lang w:val="en-US" w:eastAsia="zh-CN"/>
              </w:rPr>
              <w:t>管理。</w:t>
            </w:r>
          </w:p>
          <w:p w14:paraId="60986149">
            <w:pPr>
              <w:spacing w:line="36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废水排放口、固定噪声源、固体废物贮存和排气筒应符合“一明显、二合理、三便于”的要求，即环保标志明显，排污口（接管口）设置合理，便于采集样品、便于监测计量、便于公众参与和监督管理。同时要求按照生态环境部制定的《环境保护图形标志实施细则（试行）》的规定，设置与排污口相应的图形标志牌。</w:t>
            </w:r>
          </w:p>
          <w:p w14:paraId="4AA65247">
            <w:pPr>
              <w:spacing w:line="36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根据《排污单位污染物排放口监测点位设置 技术规范（HJ1405—2024）》排放口管理要求按规定对污水排放监测点位实施视频监控的，监控范围应包含手工、自动监测取水口，量水堰（槽）等，实现对手工监测和自动监测系统运维活动的有效监控。</w:t>
            </w:r>
          </w:p>
          <w:p w14:paraId="7C332D52">
            <w:pPr>
              <w:spacing w:line="36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根据《排污单位污染物排放口二维码标识技术规范（HJ1297—2023）》大气污染物排放口管理要求设置：</w:t>
            </w:r>
          </w:p>
          <w:p w14:paraId="7970DF99">
            <w:pPr>
              <w:spacing w:line="36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A）大气污染物排放口基本信息，包括排放口编号、排放口名称、排放口类型。</w:t>
            </w:r>
          </w:p>
          <w:p w14:paraId="59134D25">
            <w:pPr>
              <w:spacing w:line="36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b）大气污染物排放口许可管理要求，包括污染物排放种类、污染物排放标准名称、许可排放浓度许可排放速率、许可排放量、监测技术、监测频次等。</w:t>
            </w:r>
          </w:p>
          <w:p w14:paraId="0ED0E591">
            <w:pPr>
              <w:spacing w:line="36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C）特殊时段禁止或者限制大气污染物排放的要求。</w:t>
            </w:r>
          </w:p>
          <w:p w14:paraId="33D8716D">
            <w:pPr>
              <w:spacing w:line="36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排放口污染物排放信息基本数据服务内容包括：</w:t>
            </w:r>
          </w:p>
          <w:p w14:paraId="086E89BA">
            <w:pPr>
              <w:spacing w:line="36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a）与排放口相关的污染物实际排放量、实际排放浓度、实际排放速率等。</w:t>
            </w:r>
          </w:p>
          <w:p w14:paraId="5F07369C">
            <w:pPr>
              <w:spacing w:line="36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b）污染防治设施的建设运行情况。</w:t>
            </w:r>
          </w:p>
          <w:p w14:paraId="5D665024">
            <w:pPr>
              <w:spacing w:line="36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c）水污染物排入市政排水管网的，还应当包括污水接入市政排水管网位置、排放方式等信息。</w:t>
            </w:r>
          </w:p>
          <w:p w14:paraId="22603DA5">
            <w:pPr>
              <w:spacing w:line="36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排气筒设置取样口，并具备采样监测条件，排放口附近</w:t>
            </w:r>
            <w:r>
              <w:rPr>
                <w:rFonts w:hint="eastAsia" w:cs="Times New Roman"/>
                <w:sz w:val="24"/>
                <w:lang w:eastAsia="zh-CN"/>
              </w:rPr>
              <w:t>竖立</w:t>
            </w:r>
            <w:r>
              <w:rPr>
                <w:rFonts w:hint="eastAsia" w:ascii="Times New Roman" w:hAnsi="Times New Roman" w:eastAsia="宋体" w:cs="Times New Roman"/>
                <w:sz w:val="24"/>
                <w:lang w:eastAsia="zh-CN"/>
              </w:rPr>
              <w:t>图形标志牌。排污口管理。建设单位应在各个排污口处竖立标志牌，并如实填写《中华人民共和国规范化排污口标记登记证》，由环保部门签发。环保主管部门和建设单位可分别按以下内容建立排污口管理的专门档案：排污口性质和编号；位置；排放主要污染物种类、数量、浓度；排放去向；达标情况；治理设施运行情况及整改意见。</w:t>
            </w:r>
          </w:p>
          <w:p w14:paraId="59C196D6">
            <w:pPr>
              <w:spacing w:line="36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环境保护图形标志，在厂区的废水排放口、废气排放源、固体废物贮存处置场应设置环境保护图形标志，图形符号分为提示图形和警告图形符号两种，应根据《“环境保护图形标志”实施细则》，设置国标化的环保标志牌。并应在地方环境管理部门注册登记，建立档案。</w:t>
            </w:r>
          </w:p>
          <w:p w14:paraId="61BA9CD8">
            <w:pPr>
              <w:spacing w:line="360" w:lineRule="auto"/>
              <w:ind w:firstLine="480" w:firstLineChars="200"/>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eastAsia="zh-CN"/>
              </w:rPr>
              <w:t>建设单位应强化营运期的环境管理工作，确保项目运营不影响环境，不扰民。认真落实环保设施的“三同时”，本项目建成后</w:t>
            </w:r>
            <w:r>
              <w:rPr>
                <w:rFonts w:hint="eastAsia" w:ascii="Times New Roman" w:hAnsi="Times New Roman" w:eastAsia="宋体" w:cs="Times New Roman"/>
                <w:sz w:val="24"/>
                <w:lang w:val="en-US" w:eastAsia="zh-CN"/>
              </w:rPr>
              <w:t>建设单位自行开展项目竣工环境保护验收，</w:t>
            </w:r>
            <w:r>
              <w:rPr>
                <w:rFonts w:hint="eastAsia" w:ascii="Times New Roman" w:hAnsi="Times New Roman" w:eastAsia="宋体" w:cs="Times New Roman"/>
                <w:sz w:val="24"/>
                <w:lang w:eastAsia="zh-CN"/>
              </w:rPr>
              <w:t>验收后到环保部门进行备案登记，并随时接受环保部门的不定期监督检查。</w:t>
            </w:r>
            <w:r>
              <w:rPr>
                <w:rFonts w:hint="eastAsia" w:ascii="Times New Roman" w:hAnsi="Times New Roman" w:eastAsia="宋体" w:cs="Times New Roman"/>
                <w:sz w:val="24"/>
                <w:lang w:val="en-US" w:eastAsia="zh-CN"/>
              </w:rPr>
              <w:t>环境保护图形标志详见表4-1</w:t>
            </w:r>
            <w:r>
              <w:rPr>
                <w:rFonts w:hint="eastAsia" w:cs="Times New Roman"/>
                <w:sz w:val="24"/>
                <w:lang w:val="en-US" w:eastAsia="zh-CN"/>
              </w:rPr>
              <w:t>7</w:t>
            </w:r>
            <w:r>
              <w:rPr>
                <w:rFonts w:hint="eastAsia" w:ascii="Times New Roman" w:hAnsi="Times New Roman" w:eastAsia="宋体" w:cs="Times New Roman"/>
                <w:sz w:val="24"/>
                <w:lang w:val="en-US" w:eastAsia="zh-CN"/>
              </w:rPr>
              <w:t>。</w:t>
            </w:r>
          </w:p>
          <w:p w14:paraId="2ED16F0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b/>
                <w:bCs/>
                <w:spacing w:val="6"/>
                <w:sz w:val="24"/>
                <w:szCs w:val="24"/>
                <w:lang w:val="en-US" w:eastAsia="zh-CN"/>
              </w:rPr>
            </w:pPr>
            <w:bookmarkStart w:id="25" w:name="_Ref975"/>
            <w:r>
              <w:rPr>
                <w:rFonts w:hint="eastAsia" w:ascii="宋体" w:hAnsi="宋体" w:eastAsia="宋体" w:cs="宋体"/>
                <w:b/>
                <w:bCs/>
                <w:spacing w:val="6"/>
                <w:sz w:val="24"/>
                <w:szCs w:val="24"/>
                <w:lang w:val="en-US" w:eastAsia="zh-CN"/>
              </w:rPr>
              <w:t>表4-1</w:t>
            </w:r>
            <w:r>
              <w:rPr>
                <w:rFonts w:hint="eastAsia" w:ascii="宋体" w:hAnsi="宋体" w:cs="宋体"/>
                <w:b/>
                <w:bCs/>
                <w:spacing w:val="6"/>
                <w:sz w:val="24"/>
                <w:szCs w:val="24"/>
                <w:lang w:val="en-US" w:eastAsia="zh-CN"/>
              </w:rPr>
              <w:t>7</w:t>
            </w:r>
            <w:r>
              <w:rPr>
                <w:rFonts w:hint="eastAsia" w:ascii="宋体" w:hAnsi="宋体" w:eastAsia="宋体" w:cs="宋体"/>
                <w:b/>
                <w:bCs/>
                <w:spacing w:val="6"/>
                <w:sz w:val="24"/>
                <w:szCs w:val="24"/>
                <w:lang w:val="en-US" w:eastAsia="zh-CN"/>
              </w:rPr>
              <w:t xml:space="preserve">   环境保护图形标志</w:t>
            </w:r>
            <w:bookmarkEnd w:id="25"/>
            <w:r>
              <w:rPr>
                <w:rFonts w:hint="eastAsia" w:ascii="宋体" w:hAnsi="宋体" w:eastAsia="宋体" w:cs="宋体"/>
                <w:b/>
                <w:bCs/>
                <w:spacing w:val="6"/>
                <w:sz w:val="24"/>
                <w:szCs w:val="24"/>
                <w:lang w:val="en-US" w:eastAsia="zh-CN"/>
              </w:rPr>
              <w:t>一览表</w:t>
            </w:r>
          </w:p>
          <w:tbl>
            <w:tblPr>
              <w:tblStyle w:val="22"/>
              <w:tblW w:w="4998"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8" w:space="0"/>
              </w:tblBorders>
              <w:tblLayout w:type="fixed"/>
              <w:tblCellMar>
                <w:top w:w="0" w:type="dxa"/>
                <w:left w:w="108" w:type="dxa"/>
                <w:bottom w:w="0" w:type="dxa"/>
                <w:right w:w="108" w:type="dxa"/>
              </w:tblCellMar>
            </w:tblPr>
            <w:tblGrid>
              <w:gridCol w:w="1108"/>
              <w:gridCol w:w="2452"/>
              <w:gridCol w:w="2294"/>
              <w:gridCol w:w="2553"/>
            </w:tblGrid>
            <w:tr w14:paraId="26BB7716">
              <w:tblPrEx>
                <w:tblBorders>
                  <w:top w:val="single" w:color="auto" w:sz="8" w:space="0"/>
                  <w:left w:val="single" w:color="auto" w:sz="8" w:space="0"/>
                  <w:bottom w:val="single" w:color="auto" w:sz="8" w:space="0"/>
                  <w:right w:val="single" w:color="auto" w:sz="8" w:space="0"/>
                  <w:insideH w:val="single" w:color="auto" w:sz="6" w:space="0"/>
                  <w:insideV w:val="single" w:color="auto" w:sz="8" w:space="0"/>
                </w:tblBorders>
                <w:tblCellMar>
                  <w:top w:w="0" w:type="dxa"/>
                  <w:left w:w="108" w:type="dxa"/>
                  <w:bottom w:w="0" w:type="dxa"/>
                  <w:right w:w="108" w:type="dxa"/>
                </w:tblCellMar>
              </w:tblPrEx>
              <w:trPr>
                <w:trHeight w:val="454" w:hRule="atLeast"/>
                <w:jc w:val="center"/>
              </w:trPr>
              <w:tc>
                <w:tcPr>
                  <w:tcW w:w="659" w:type="pct"/>
                  <w:tcBorders>
                    <w:tl2br w:val="nil"/>
                    <w:tr2bl w:val="nil"/>
                  </w:tcBorders>
                  <w:noWrap w:val="0"/>
                  <w:vAlign w:val="center"/>
                </w:tcPr>
                <w:p w14:paraId="71E86A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t>序号</w:t>
                  </w:r>
                </w:p>
              </w:tc>
              <w:tc>
                <w:tcPr>
                  <w:tcW w:w="1458" w:type="pct"/>
                  <w:tcBorders>
                    <w:tl2br w:val="nil"/>
                    <w:tr2bl w:val="nil"/>
                  </w:tcBorders>
                  <w:noWrap w:val="0"/>
                  <w:vAlign w:val="center"/>
                </w:tcPr>
                <w:p w14:paraId="760E9C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t>提示图形标志</w:t>
                  </w:r>
                </w:p>
              </w:tc>
              <w:tc>
                <w:tcPr>
                  <w:tcW w:w="1364" w:type="pct"/>
                  <w:tcBorders>
                    <w:tl2br w:val="nil"/>
                    <w:tr2bl w:val="nil"/>
                  </w:tcBorders>
                  <w:noWrap w:val="0"/>
                  <w:vAlign w:val="center"/>
                </w:tcPr>
                <w:p w14:paraId="43F688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t>警告图形符号</w:t>
                  </w:r>
                </w:p>
              </w:tc>
              <w:tc>
                <w:tcPr>
                  <w:tcW w:w="1517" w:type="pct"/>
                  <w:tcBorders>
                    <w:tl2br w:val="nil"/>
                    <w:tr2bl w:val="nil"/>
                  </w:tcBorders>
                  <w:noWrap w:val="0"/>
                  <w:vAlign w:val="center"/>
                </w:tcPr>
                <w:p w14:paraId="100C5C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t>名称</w:t>
                  </w:r>
                </w:p>
              </w:tc>
            </w:tr>
            <w:tr w14:paraId="27EF7C23">
              <w:tblPrEx>
                <w:tblBorders>
                  <w:top w:val="single" w:color="auto" w:sz="8" w:space="0"/>
                  <w:left w:val="single" w:color="auto" w:sz="8" w:space="0"/>
                  <w:bottom w:val="single" w:color="auto" w:sz="8" w:space="0"/>
                  <w:right w:val="single" w:color="auto" w:sz="8" w:space="0"/>
                  <w:insideH w:val="single" w:color="auto" w:sz="6" w:space="0"/>
                  <w:insideV w:val="single" w:color="auto" w:sz="8" w:space="0"/>
                </w:tblBorders>
                <w:tblCellMar>
                  <w:top w:w="0" w:type="dxa"/>
                  <w:left w:w="108" w:type="dxa"/>
                  <w:bottom w:w="0" w:type="dxa"/>
                  <w:right w:w="108" w:type="dxa"/>
                </w:tblCellMar>
              </w:tblPrEx>
              <w:trPr>
                <w:trHeight w:val="454" w:hRule="atLeast"/>
                <w:jc w:val="center"/>
              </w:trPr>
              <w:tc>
                <w:tcPr>
                  <w:tcW w:w="659" w:type="pct"/>
                  <w:tcBorders>
                    <w:tl2br w:val="nil"/>
                    <w:tr2bl w:val="nil"/>
                  </w:tcBorders>
                  <w:noWrap w:val="0"/>
                  <w:vAlign w:val="center"/>
                </w:tcPr>
                <w:p w14:paraId="7EA20B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t>1</w:t>
                  </w:r>
                </w:p>
              </w:tc>
              <w:tc>
                <w:tcPr>
                  <w:tcW w:w="1458" w:type="pct"/>
                  <w:tcBorders>
                    <w:tl2br w:val="nil"/>
                    <w:tr2bl w:val="nil"/>
                  </w:tcBorders>
                  <w:noWrap w:val="0"/>
                  <w:vAlign w:val="center"/>
                </w:tcPr>
                <w:p w14:paraId="7B849F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drawing>
                      <wp:inline distT="0" distB="0" distL="114300" distR="114300">
                        <wp:extent cx="866775" cy="904875"/>
                        <wp:effectExtent l="0" t="0" r="9525" b="9525"/>
                        <wp:docPr id="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
                                <pic:cNvPicPr>
                                  <a:picLocks noChangeAspect="1"/>
                                </pic:cNvPicPr>
                              </pic:nvPicPr>
                              <pic:blipFill>
                                <a:blip r:embed="rId10"/>
                                <a:stretch>
                                  <a:fillRect/>
                                </a:stretch>
                              </pic:blipFill>
                              <pic:spPr>
                                <a:xfrm>
                                  <a:off x="0" y="0"/>
                                  <a:ext cx="866775" cy="904875"/>
                                </a:xfrm>
                                <a:prstGeom prst="rect">
                                  <a:avLst/>
                                </a:prstGeom>
                                <a:noFill/>
                                <a:ln>
                                  <a:noFill/>
                                </a:ln>
                              </pic:spPr>
                            </pic:pic>
                          </a:graphicData>
                        </a:graphic>
                      </wp:inline>
                    </w:drawing>
                  </w:r>
                </w:p>
              </w:tc>
              <w:tc>
                <w:tcPr>
                  <w:tcW w:w="1364" w:type="pct"/>
                  <w:tcBorders>
                    <w:tl2br w:val="nil"/>
                    <w:tr2bl w:val="nil"/>
                  </w:tcBorders>
                  <w:noWrap w:val="0"/>
                  <w:vAlign w:val="center"/>
                </w:tcPr>
                <w:p w14:paraId="2A3360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drawing>
                      <wp:inline distT="0" distB="0" distL="114300" distR="114300">
                        <wp:extent cx="923925" cy="923925"/>
                        <wp:effectExtent l="0" t="0" r="9525" b="9525"/>
                        <wp:docPr id="2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
                                <pic:cNvPicPr>
                                  <a:picLocks noChangeAspect="1"/>
                                </pic:cNvPicPr>
                              </pic:nvPicPr>
                              <pic:blipFill>
                                <a:blip r:embed="rId11"/>
                                <a:stretch>
                                  <a:fillRect/>
                                </a:stretch>
                              </pic:blipFill>
                              <pic:spPr>
                                <a:xfrm>
                                  <a:off x="0" y="0"/>
                                  <a:ext cx="923925" cy="923925"/>
                                </a:xfrm>
                                <a:prstGeom prst="rect">
                                  <a:avLst/>
                                </a:prstGeom>
                                <a:noFill/>
                                <a:ln>
                                  <a:noFill/>
                                </a:ln>
                              </pic:spPr>
                            </pic:pic>
                          </a:graphicData>
                        </a:graphic>
                      </wp:inline>
                    </w:drawing>
                  </w:r>
                </w:p>
              </w:tc>
              <w:tc>
                <w:tcPr>
                  <w:tcW w:w="1517" w:type="pct"/>
                  <w:tcBorders>
                    <w:tl2br w:val="nil"/>
                    <w:tr2bl w:val="nil"/>
                  </w:tcBorders>
                  <w:noWrap w:val="0"/>
                  <w:vAlign w:val="center"/>
                </w:tcPr>
                <w:p w14:paraId="0A09F2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t>废水排放口</w:t>
                  </w:r>
                </w:p>
              </w:tc>
            </w:tr>
            <w:tr w14:paraId="6316055C">
              <w:tblPrEx>
                <w:tblBorders>
                  <w:top w:val="single" w:color="auto" w:sz="8" w:space="0"/>
                  <w:left w:val="single" w:color="auto" w:sz="8" w:space="0"/>
                  <w:bottom w:val="single" w:color="auto" w:sz="8" w:space="0"/>
                  <w:right w:val="single" w:color="auto" w:sz="8" w:space="0"/>
                  <w:insideH w:val="single" w:color="auto" w:sz="6" w:space="0"/>
                  <w:insideV w:val="single" w:color="auto" w:sz="8" w:space="0"/>
                </w:tblBorders>
                <w:tblCellMar>
                  <w:top w:w="0" w:type="dxa"/>
                  <w:left w:w="108" w:type="dxa"/>
                  <w:bottom w:w="0" w:type="dxa"/>
                  <w:right w:w="108" w:type="dxa"/>
                </w:tblCellMar>
              </w:tblPrEx>
              <w:trPr>
                <w:trHeight w:val="454" w:hRule="atLeast"/>
                <w:jc w:val="center"/>
              </w:trPr>
              <w:tc>
                <w:tcPr>
                  <w:tcW w:w="659" w:type="pct"/>
                  <w:tcBorders>
                    <w:tl2br w:val="nil"/>
                    <w:tr2bl w:val="nil"/>
                  </w:tcBorders>
                  <w:noWrap w:val="0"/>
                  <w:vAlign w:val="center"/>
                </w:tcPr>
                <w:p w14:paraId="5FC6AD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t>2</w:t>
                  </w:r>
                </w:p>
              </w:tc>
              <w:tc>
                <w:tcPr>
                  <w:tcW w:w="1458" w:type="pct"/>
                  <w:tcBorders>
                    <w:tl2br w:val="nil"/>
                    <w:tr2bl w:val="nil"/>
                  </w:tcBorders>
                  <w:noWrap w:val="0"/>
                  <w:vAlign w:val="center"/>
                </w:tcPr>
                <w:p w14:paraId="55CC27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drawing>
                      <wp:inline distT="0" distB="0" distL="114300" distR="114300">
                        <wp:extent cx="923925" cy="866775"/>
                        <wp:effectExtent l="0" t="0" r="9525" b="9525"/>
                        <wp:docPr id="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
                                <pic:cNvPicPr>
                                  <a:picLocks noChangeAspect="1"/>
                                </pic:cNvPicPr>
                              </pic:nvPicPr>
                              <pic:blipFill>
                                <a:blip r:embed="rId12"/>
                                <a:stretch>
                                  <a:fillRect/>
                                </a:stretch>
                              </pic:blipFill>
                              <pic:spPr>
                                <a:xfrm>
                                  <a:off x="0" y="0"/>
                                  <a:ext cx="923925" cy="866775"/>
                                </a:xfrm>
                                <a:prstGeom prst="rect">
                                  <a:avLst/>
                                </a:prstGeom>
                                <a:noFill/>
                                <a:ln>
                                  <a:noFill/>
                                </a:ln>
                              </pic:spPr>
                            </pic:pic>
                          </a:graphicData>
                        </a:graphic>
                      </wp:inline>
                    </w:drawing>
                  </w:r>
                </w:p>
              </w:tc>
              <w:tc>
                <w:tcPr>
                  <w:tcW w:w="1364" w:type="pct"/>
                  <w:tcBorders>
                    <w:tl2br w:val="nil"/>
                    <w:tr2bl w:val="nil"/>
                  </w:tcBorders>
                  <w:noWrap w:val="0"/>
                  <w:vAlign w:val="center"/>
                </w:tcPr>
                <w:p w14:paraId="61BBE3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drawing>
                      <wp:inline distT="0" distB="0" distL="114300" distR="114300">
                        <wp:extent cx="952500" cy="904875"/>
                        <wp:effectExtent l="0" t="0" r="0" b="9525"/>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pic:cNvPicPr>
                                  <a:picLocks noChangeAspect="1"/>
                                </pic:cNvPicPr>
                              </pic:nvPicPr>
                              <pic:blipFill>
                                <a:blip r:embed="rId13"/>
                                <a:stretch>
                                  <a:fillRect/>
                                </a:stretch>
                              </pic:blipFill>
                              <pic:spPr>
                                <a:xfrm>
                                  <a:off x="0" y="0"/>
                                  <a:ext cx="952500" cy="904875"/>
                                </a:xfrm>
                                <a:prstGeom prst="rect">
                                  <a:avLst/>
                                </a:prstGeom>
                                <a:noFill/>
                                <a:ln>
                                  <a:noFill/>
                                </a:ln>
                              </pic:spPr>
                            </pic:pic>
                          </a:graphicData>
                        </a:graphic>
                      </wp:inline>
                    </w:drawing>
                  </w:r>
                </w:p>
              </w:tc>
              <w:tc>
                <w:tcPr>
                  <w:tcW w:w="1517" w:type="pct"/>
                  <w:tcBorders>
                    <w:tl2br w:val="nil"/>
                    <w:tr2bl w:val="nil"/>
                  </w:tcBorders>
                  <w:noWrap w:val="0"/>
                  <w:vAlign w:val="center"/>
                </w:tcPr>
                <w:p w14:paraId="7A224CF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t>废气排放口</w:t>
                  </w:r>
                </w:p>
              </w:tc>
            </w:tr>
            <w:tr w14:paraId="135BDED5">
              <w:tblPrEx>
                <w:tblBorders>
                  <w:top w:val="single" w:color="auto" w:sz="8" w:space="0"/>
                  <w:left w:val="single" w:color="auto" w:sz="8" w:space="0"/>
                  <w:bottom w:val="single" w:color="auto" w:sz="8" w:space="0"/>
                  <w:right w:val="single" w:color="auto" w:sz="8" w:space="0"/>
                  <w:insideH w:val="single" w:color="auto" w:sz="6" w:space="0"/>
                  <w:insideV w:val="single" w:color="auto" w:sz="8" w:space="0"/>
                </w:tblBorders>
                <w:tblCellMar>
                  <w:top w:w="0" w:type="dxa"/>
                  <w:left w:w="108" w:type="dxa"/>
                  <w:bottom w:w="0" w:type="dxa"/>
                  <w:right w:w="108" w:type="dxa"/>
                </w:tblCellMar>
              </w:tblPrEx>
              <w:trPr>
                <w:trHeight w:val="454" w:hRule="atLeast"/>
                <w:jc w:val="center"/>
              </w:trPr>
              <w:tc>
                <w:tcPr>
                  <w:tcW w:w="659" w:type="pct"/>
                  <w:tcBorders>
                    <w:tl2br w:val="nil"/>
                    <w:tr2bl w:val="nil"/>
                  </w:tcBorders>
                  <w:noWrap w:val="0"/>
                  <w:vAlign w:val="center"/>
                </w:tcPr>
                <w:p w14:paraId="364F18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t>3</w:t>
                  </w:r>
                </w:p>
              </w:tc>
              <w:tc>
                <w:tcPr>
                  <w:tcW w:w="1458" w:type="pct"/>
                  <w:tcBorders>
                    <w:tl2br w:val="nil"/>
                    <w:tr2bl w:val="nil"/>
                  </w:tcBorders>
                  <w:noWrap w:val="0"/>
                  <w:vAlign w:val="center"/>
                </w:tcPr>
                <w:p w14:paraId="1A36B2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drawing>
                      <wp:inline distT="0" distB="0" distL="114300" distR="114300">
                        <wp:extent cx="962025" cy="923925"/>
                        <wp:effectExtent l="0" t="0" r="9525" b="9525"/>
                        <wp:docPr id="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
                                <pic:cNvPicPr>
                                  <a:picLocks noChangeAspect="1"/>
                                </pic:cNvPicPr>
                              </pic:nvPicPr>
                              <pic:blipFill>
                                <a:blip r:embed="rId14"/>
                                <a:stretch>
                                  <a:fillRect/>
                                </a:stretch>
                              </pic:blipFill>
                              <pic:spPr>
                                <a:xfrm>
                                  <a:off x="0" y="0"/>
                                  <a:ext cx="962025" cy="923925"/>
                                </a:xfrm>
                                <a:prstGeom prst="rect">
                                  <a:avLst/>
                                </a:prstGeom>
                                <a:noFill/>
                                <a:ln>
                                  <a:noFill/>
                                </a:ln>
                              </pic:spPr>
                            </pic:pic>
                          </a:graphicData>
                        </a:graphic>
                      </wp:inline>
                    </w:drawing>
                  </w:r>
                </w:p>
              </w:tc>
              <w:tc>
                <w:tcPr>
                  <w:tcW w:w="1364" w:type="pct"/>
                  <w:tcBorders>
                    <w:tl2br w:val="nil"/>
                    <w:tr2bl w:val="nil"/>
                  </w:tcBorders>
                  <w:noWrap w:val="0"/>
                  <w:vAlign w:val="center"/>
                </w:tcPr>
                <w:p w14:paraId="5E7A30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drawing>
                      <wp:inline distT="0" distB="0" distL="114300" distR="114300">
                        <wp:extent cx="962660" cy="777875"/>
                        <wp:effectExtent l="0" t="0" r="8890" b="3175"/>
                        <wp:docPr id="3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9"/>
                                <pic:cNvPicPr>
                                  <a:picLocks noChangeAspect="1"/>
                                </pic:cNvPicPr>
                              </pic:nvPicPr>
                              <pic:blipFill>
                                <a:blip r:embed="rId15"/>
                                <a:stretch>
                                  <a:fillRect/>
                                </a:stretch>
                              </pic:blipFill>
                              <pic:spPr>
                                <a:xfrm>
                                  <a:off x="0" y="0"/>
                                  <a:ext cx="962660" cy="777875"/>
                                </a:xfrm>
                                <a:prstGeom prst="rect">
                                  <a:avLst/>
                                </a:prstGeom>
                                <a:noFill/>
                                <a:ln>
                                  <a:noFill/>
                                </a:ln>
                              </pic:spPr>
                            </pic:pic>
                          </a:graphicData>
                        </a:graphic>
                      </wp:inline>
                    </w:drawing>
                  </w:r>
                </w:p>
              </w:tc>
              <w:tc>
                <w:tcPr>
                  <w:tcW w:w="1517" w:type="pct"/>
                  <w:tcBorders>
                    <w:tl2br w:val="nil"/>
                    <w:tr2bl w:val="nil"/>
                  </w:tcBorders>
                  <w:noWrap w:val="0"/>
                  <w:vAlign w:val="center"/>
                </w:tcPr>
                <w:p w14:paraId="230C0A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t>噪声排放源</w:t>
                  </w:r>
                </w:p>
              </w:tc>
            </w:tr>
            <w:tr w14:paraId="2CF1C8DA">
              <w:tblPrEx>
                <w:tblBorders>
                  <w:top w:val="single" w:color="auto" w:sz="8" w:space="0"/>
                  <w:left w:val="single" w:color="auto" w:sz="8" w:space="0"/>
                  <w:bottom w:val="single" w:color="auto" w:sz="8" w:space="0"/>
                  <w:right w:val="single" w:color="auto" w:sz="8" w:space="0"/>
                  <w:insideH w:val="single" w:color="auto" w:sz="6" w:space="0"/>
                  <w:insideV w:val="single" w:color="auto" w:sz="8" w:space="0"/>
                </w:tblBorders>
                <w:tblCellMar>
                  <w:top w:w="0" w:type="dxa"/>
                  <w:left w:w="108" w:type="dxa"/>
                  <w:bottom w:w="0" w:type="dxa"/>
                  <w:right w:w="108" w:type="dxa"/>
                </w:tblCellMar>
              </w:tblPrEx>
              <w:trPr>
                <w:trHeight w:val="454" w:hRule="atLeast"/>
                <w:jc w:val="center"/>
              </w:trPr>
              <w:tc>
                <w:tcPr>
                  <w:tcW w:w="659" w:type="pct"/>
                  <w:tcBorders>
                    <w:tl2br w:val="nil"/>
                    <w:tr2bl w:val="nil"/>
                  </w:tcBorders>
                  <w:noWrap w:val="0"/>
                  <w:vAlign w:val="center"/>
                </w:tcPr>
                <w:p w14:paraId="267F51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highlight w:val="none"/>
                    </w:rPr>
                  </w:pPr>
                  <w:r>
                    <w:rPr>
                      <w:color w:val="auto"/>
                      <w:sz w:val="21"/>
                      <w:szCs w:val="21"/>
                      <w:highlight w:val="none"/>
                    </w:rPr>
                    <w:t>4</w:t>
                  </w:r>
                </w:p>
              </w:tc>
              <w:tc>
                <w:tcPr>
                  <w:tcW w:w="1458" w:type="pct"/>
                  <w:tcBorders>
                    <w:tl2br w:val="nil"/>
                    <w:tr2bl w:val="nil"/>
                  </w:tcBorders>
                  <w:noWrap w:val="0"/>
                  <w:vAlign w:val="center"/>
                </w:tcPr>
                <w:p w14:paraId="5D71E9A7">
                  <w:pPr>
                    <w:pStyle w:val="42"/>
                    <w:ind w:firstLine="640" w:firstLineChars="200"/>
                    <w:rPr>
                      <w:color w:val="auto"/>
                      <w:sz w:val="21"/>
                      <w:szCs w:val="21"/>
                      <w:highlight w:val="none"/>
                    </w:rPr>
                  </w:pPr>
                  <w:r>
                    <w:rPr>
                      <w:color w:val="262626"/>
                      <w:lang w:val="en-US" w:eastAsia="zh-CN"/>
                    </w:rPr>
                    <w:t>/</w:t>
                  </w:r>
                </w:p>
              </w:tc>
              <w:tc>
                <w:tcPr>
                  <w:tcW w:w="1364" w:type="pct"/>
                  <w:tcBorders>
                    <w:tl2br w:val="nil"/>
                    <w:tr2bl w:val="nil"/>
                  </w:tcBorders>
                  <w:noWrap w:val="0"/>
                  <w:vAlign w:val="center"/>
                </w:tcPr>
                <w:p w14:paraId="1D9E1B99">
                  <w:pPr>
                    <w:pStyle w:val="42"/>
                    <w:ind w:firstLine="640" w:firstLineChars="200"/>
                    <w:rPr>
                      <w:color w:val="auto"/>
                      <w:sz w:val="21"/>
                      <w:szCs w:val="21"/>
                      <w:highlight w:val="none"/>
                    </w:rPr>
                  </w:pPr>
                  <w:r>
                    <w:drawing>
                      <wp:anchor distT="0" distB="0" distL="114300" distR="114300" simplePos="0" relativeHeight="251660288" behindDoc="0" locked="0" layoutInCell="1" allowOverlap="1">
                        <wp:simplePos x="0" y="0"/>
                        <wp:positionH relativeFrom="column">
                          <wp:posOffset>206375</wp:posOffset>
                        </wp:positionH>
                        <wp:positionV relativeFrom="paragraph">
                          <wp:posOffset>176530</wp:posOffset>
                        </wp:positionV>
                        <wp:extent cx="947420" cy="838200"/>
                        <wp:effectExtent l="0" t="0" r="5080" b="0"/>
                        <wp:wrapNone/>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16"/>
                                <a:stretch>
                                  <a:fillRect/>
                                </a:stretch>
                              </pic:blipFill>
                              <pic:spPr>
                                <a:xfrm>
                                  <a:off x="0" y="0"/>
                                  <a:ext cx="947420" cy="838200"/>
                                </a:xfrm>
                                <a:prstGeom prst="rect">
                                  <a:avLst/>
                                </a:prstGeom>
                                <a:noFill/>
                                <a:ln>
                                  <a:noFill/>
                                </a:ln>
                              </pic:spPr>
                            </pic:pic>
                          </a:graphicData>
                        </a:graphic>
                      </wp:anchor>
                    </w:drawing>
                  </w:r>
                </w:p>
                <w:p w14:paraId="2C772DAC">
                  <w:pPr>
                    <w:pStyle w:val="42"/>
                    <w:ind w:firstLine="420" w:firstLineChars="200"/>
                    <w:rPr>
                      <w:color w:val="auto"/>
                      <w:sz w:val="21"/>
                      <w:szCs w:val="21"/>
                      <w:highlight w:val="none"/>
                    </w:rPr>
                  </w:pPr>
                </w:p>
                <w:p w14:paraId="69D0FEC2">
                  <w:pPr>
                    <w:pStyle w:val="42"/>
                    <w:ind w:firstLine="420" w:firstLineChars="200"/>
                    <w:rPr>
                      <w:color w:val="auto"/>
                      <w:sz w:val="21"/>
                      <w:szCs w:val="21"/>
                      <w:highlight w:val="none"/>
                    </w:rPr>
                  </w:pPr>
                </w:p>
                <w:p w14:paraId="6FD80253">
                  <w:pPr>
                    <w:pStyle w:val="42"/>
                    <w:ind w:firstLine="420" w:firstLineChars="200"/>
                    <w:rPr>
                      <w:color w:val="auto"/>
                      <w:sz w:val="21"/>
                      <w:szCs w:val="21"/>
                      <w:highlight w:val="none"/>
                    </w:rPr>
                  </w:pPr>
                </w:p>
                <w:p w14:paraId="5F4FC360">
                  <w:pPr>
                    <w:pStyle w:val="42"/>
                    <w:ind w:firstLine="420" w:firstLineChars="200"/>
                    <w:rPr>
                      <w:color w:val="auto"/>
                      <w:sz w:val="21"/>
                      <w:szCs w:val="21"/>
                      <w:highlight w:val="none"/>
                    </w:rPr>
                  </w:pPr>
                </w:p>
                <w:p w14:paraId="57DF7E7B">
                  <w:pPr>
                    <w:pStyle w:val="42"/>
                    <w:ind w:firstLine="420" w:firstLineChars="200"/>
                    <w:rPr>
                      <w:color w:val="auto"/>
                      <w:sz w:val="21"/>
                      <w:szCs w:val="21"/>
                      <w:highlight w:val="none"/>
                    </w:rPr>
                  </w:pPr>
                </w:p>
              </w:tc>
              <w:tc>
                <w:tcPr>
                  <w:tcW w:w="1517" w:type="pct"/>
                  <w:tcBorders>
                    <w:tl2br w:val="nil"/>
                    <w:tr2bl w:val="nil"/>
                  </w:tcBorders>
                  <w:noWrap w:val="0"/>
                  <w:vAlign w:val="center"/>
                </w:tcPr>
                <w:p w14:paraId="7748C695">
                  <w:pPr>
                    <w:pStyle w:val="42"/>
                    <w:ind w:firstLine="420" w:firstLineChars="200"/>
                    <w:rPr>
                      <w:color w:val="auto"/>
                      <w:sz w:val="21"/>
                      <w:szCs w:val="21"/>
                      <w:highlight w:val="none"/>
                    </w:rPr>
                  </w:pPr>
                  <w:r>
                    <w:rPr>
                      <w:rFonts w:ascii="Times New Roman" w:hAnsi="Times New Roman" w:eastAsia="宋体" w:cs="Times New Roman"/>
                      <w:color w:val="auto"/>
                      <w:kern w:val="2"/>
                      <w:sz w:val="21"/>
                      <w:szCs w:val="21"/>
                      <w:highlight w:val="none"/>
                      <w:lang w:val="en-US" w:eastAsia="zh-CN" w:bidi="ar-SA"/>
                    </w:rPr>
                    <w:t>危险废物</w:t>
                  </w:r>
                </w:p>
              </w:tc>
            </w:tr>
          </w:tbl>
          <w:p w14:paraId="422F9643">
            <w:pPr>
              <w:spacing w:line="360" w:lineRule="auto"/>
              <w:rPr>
                <w:rFonts w:hint="default" w:ascii="宋体" w:hAnsi="宋体" w:eastAsia="宋体" w:cs="宋体"/>
                <w:b/>
                <w:sz w:val="24"/>
                <w:lang w:val="en-US" w:eastAsia="zh-CN"/>
              </w:rPr>
            </w:pPr>
            <w:r>
              <w:rPr>
                <w:rFonts w:hint="eastAsia" w:ascii="宋体" w:hAnsi="宋体" w:eastAsia="宋体" w:cs="宋体"/>
                <w:b/>
                <w:sz w:val="24"/>
                <w:lang w:val="en-US" w:eastAsia="zh-CN"/>
              </w:rPr>
              <w:t>（八）环境验收</w:t>
            </w:r>
          </w:p>
          <w:p w14:paraId="7869D558">
            <w:pPr>
              <w:spacing w:line="360" w:lineRule="auto"/>
              <w:ind w:firstLine="480" w:firstLineChars="200"/>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本项目建成后建设单位应强化营运期的环境管理工作，确保项目运营不影响环境，不扰民。应针对项目特点，建立噪声、污水、垃圾、绿化等管理相应的环境管理制度，且应有专人分管环境保护工作，赋予其执行职能和</w:t>
            </w:r>
            <w:r>
              <w:rPr>
                <w:rFonts w:hint="eastAsia" w:ascii="Times New Roman" w:hAnsi="Times New Roman" w:eastAsia="宋体" w:cs="Times New Roman"/>
                <w:sz w:val="24"/>
                <w:lang w:val="en-US" w:eastAsia="zh-CN"/>
              </w:rPr>
              <w:t>必需的</w:t>
            </w:r>
            <w:r>
              <w:rPr>
                <w:rFonts w:hint="default" w:ascii="Times New Roman" w:hAnsi="Times New Roman" w:eastAsia="宋体" w:cs="Times New Roman"/>
                <w:sz w:val="24"/>
                <w:lang w:val="en-US" w:eastAsia="zh-CN"/>
              </w:rPr>
              <w:t>权力，定期向项目最高管理者和</w:t>
            </w:r>
            <w:r>
              <w:rPr>
                <w:rFonts w:hint="eastAsia" w:ascii="Times New Roman" w:hAnsi="Times New Roman" w:eastAsia="宋体" w:cs="Times New Roman"/>
                <w:sz w:val="24"/>
                <w:lang w:val="en-US" w:eastAsia="zh-CN"/>
              </w:rPr>
              <w:t>巴州生态环境局</w:t>
            </w:r>
            <w:r>
              <w:rPr>
                <w:rFonts w:hint="default" w:ascii="Times New Roman" w:hAnsi="Times New Roman" w:eastAsia="宋体" w:cs="Times New Roman"/>
                <w:sz w:val="24"/>
                <w:lang w:val="en-US" w:eastAsia="zh-CN"/>
              </w:rPr>
              <w:t>汇报项目环境保护工作的情况，接受巴州生态环境局的监督和管理。</w:t>
            </w:r>
          </w:p>
          <w:p w14:paraId="235A32DD">
            <w:pPr>
              <w:spacing w:line="360" w:lineRule="auto"/>
              <w:ind w:firstLine="480" w:firstLineChars="200"/>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认真落实环保设施的“三同时”，按要求对环保设施进行验收，验收后到环保部门进行备案登记，并随时接受环保部门的不定期监督检查。环保“三同时”验收一览表见</w:t>
            </w:r>
            <w:r>
              <w:rPr>
                <w:rFonts w:hint="eastAsia" w:ascii="Times New Roman" w:hAnsi="Times New Roman" w:eastAsia="宋体" w:cs="Times New Roman"/>
                <w:sz w:val="24"/>
                <w:lang w:val="en-US" w:eastAsia="zh-CN"/>
              </w:rPr>
              <w:t>下表</w:t>
            </w:r>
            <w:r>
              <w:rPr>
                <w:rFonts w:hint="default" w:ascii="Times New Roman" w:hAnsi="Times New Roman" w:eastAsia="宋体" w:cs="Times New Roman"/>
                <w:sz w:val="24"/>
                <w:lang w:val="en-US" w:eastAsia="zh-CN"/>
              </w:rPr>
              <w:t>。</w:t>
            </w:r>
          </w:p>
          <w:p w14:paraId="6C0B429B">
            <w:pPr>
              <w:spacing w:line="520" w:lineRule="exact"/>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表4</w:t>
            </w:r>
            <w:r>
              <w:rPr>
                <w:rFonts w:hint="eastAsia" w:ascii="Times New Roman" w:hAnsi="Times New Roman" w:eastAsia="宋体" w:cs="Times New Roman"/>
                <w:b/>
                <w:bCs/>
                <w:color w:val="auto"/>
                <w:sz w:val="24"/>
                <w:lang w:val="en-US" w:eastAsia="zh-CN"/>
              </w:rPr>
              <w:t>-1</w:t>
            </w:r>
            <w:r>
              <w:rPr>
                <w:rFonts w:hint="eastAsia" w:cs="Times New Roman"/>
                <w:b/>
                <w:bCs/>
                <w:color w:val="auto"/>
                <w:sz w:val="24"/>
                <w:lang w:val="en-US" w:eastAsia="zh-CN"/>
              </w:rPr>
              <w:t>8</w:t>
            </w:r>
            <w:r>
              <w:rPr>
                <w:rFonts w:hint="default" w:ascii="Times New Roman" w:hAnsi="Times New Roman" w:eastAsia="宋体" w:cs="Times New Roman"/>
                <w:b/>
                <w:bCs/>
                <w:color w:val="auto"/>
                <w:sz w:val="24"/>
              </w:rPr>
              <w:t xml:space="preserve">   </w:t>
            </w:r>
            <w:r>
              <w:rPr>
                <w:rFonts w:hint="default" w:ascii="Times New Roman" w:hAnsi="Times New Roman" w:eastAsia="宋体" w:cs="Times New Roman"/>
                <w:b/>
                <w:bCs/>
                <w:color w:val="auto"/>
                <w:kern w:val="0"/>
                <w:sz w:val="24"/>
              </w:rPr>
              <w:t>建设项目环保“三同时”验收一览表</w:t>
            </w:r>
          </w:p>
          <w:tbl>
            <w:tblPr>
              <w:tblStyle w:val="73"/>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6"/>
              <w:gridCol w:w="1177"/>
              <w:gridCol w:w="1825"/>
              <w:gridCol w:w="657"/>
              <w:gridCol w:w="1310"/>
              <w:gridCol w:w="1068"/>
              <w:gridCol w:w="1904"/>
            </w:tblGrid>
            <w:tr w14:paraId="65420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283" w:type="pct"/>
                  <w:tcBorders>
                    <w:top w:val="single" w:color="auto" w:sz="4" w:space="0"/>
                    <w:left w:val="single" w:color="auto" w:sz="4" w:space="0"/>
                    <w:bottom w:val="single" w:color="auto" w:sz="4" w:space="0"/>
                    <w:right w:val="single" w:color="auto" w:sz="4" w:space="0"/>
                  </w:tcBorders>
                  <w:vAlign w:val="center"/>
                </w:tcPr>
                <w:p w14:paraId="2B16D549">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类别</w:t>
                  </w:r>
                </w:p>
              </w:tc>
              <w:tc>
                <w:tcPr>
                  <w:tcW w:w="699" w:type="pct"/>
                  <w:tcBorders>
                    <w:top w:val="single" w:color="auto" w:sz="4" w:space="0"/>
                    <w:left w:val="single" w:color="auto" w:sz="4" w:space="0"/>
                    <w:bottom w:val="single" w:color="auto" w:sz="4" w:space="0"/>
                    <w:right w:val="single" w:color="auto" w:sz="4" w:space="0"/>
                  </w:tcBorders>
                  <w:vAlign w:val="center"/>
                </w:tcPr>
                <w:p w14:paraId="26012571">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防治对象</w:t>
                  </w:r>
                </w:p>
              </w:tc>
              <w:tc>
                <w:tcPr>
                  <w:tcW w:w="1084" w:type="pct"/>
                  <w:tcBorders>
                    <w:top w:val="single" w:color="auto" w:sz="4" w:space="0"/>
                    <w:left w:val="single" w:color="auto" w:sz="4" w:space="0"/>
                    <w:bottom w:val="single" w:color="auto" w:sz="4" w:space="0"/>
                    <w:right w:val="single" w:color="auto" w:sz="4" w:space="0"/>
                  </w:tcBorders>
                  <w:vAlign w:val="center"/>
                </w:tcPr>
                <w:p w14:paraId="15062450">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防治设施</w:t>
                  </w:r>
                </w:p>
              </w:tc>
              <w:tc>
                <w:tcPr>
                  <w:tcW w:w="390" w:type="pct"/>
                  <w:tcBorders>
                    <w:top w:val="single" w:color="auto" w:sz="4" w:space="0"/>
                    <w:left w:val="single" w:color="auto" w:sz="4" w:space="0"/>
                    <w:bottom w:val="single" w:color="auto" w:sz="4" w:space="0"/>
                    <w:right w:val="single" w:color="auto" w:sz="4" w:space="0"/>
                  </w:tcBorders>
                  <w:vAlign w:val="center"/>
                </w:tcPr>
                <w:p w14:paraId="27ABD6BF">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数量</w:t>
                  </w:r>
                  <w:r>
                    <w:rPr>
                      <w:rStyle w:val="26"/>
                      <w:rFonts w:hint="eastAsia" w:ascii="Calibri" w:hAnsi="Calibri" w:eastAsia="Times New Roman" w:cs="Calibri"/>
                      <w:sz w:val="21"/>
                      <w:szCs w:val="21"/>
                      <w:lang w:eastAsia="zh-CN"/>
                    </w:rPr>
                    <w:t>（</w:t>
                  </w:r>
                  <w:r>
                    <w:rPr>
                      <w:rStyle w:val="26"/>
                      <w:rFonts w:ascii="Calibri" w:hAnsi="Calibri" w:eastAsia="Times New Roman" w:cs="Calibri"/>
                      <w:sz w:val="21"/>
                      <w:szCs w:val="21"/>
                    </w:rPr>
                    <w:t>套</w:t>
                  </w:r>
                  <w:r>
                    <w:rPr>
                      <w:rStyle w:val="26"/>
                      <w:rFonts w:hint="eastAsia" w:ascii="Calibri" w:hAnsi="Calibri" w:eastAsia="Times New Roman" w:cs="Calibri"/>
                      <w:sz w:val="21"/>
                      <w:szCs w:val="21"/>
                      <w:lang w:eastAsia="zh-CN"/>
                    </w:rPr>
                    <w:t>）</w:t>
                  </w:r>
                </w:p>
              </w:tc>
              <w:tc>
                <w:tcPr>
                  <w:tcW w:w="1412" w:type="pct"/>
                  <w:gridSpan w:val="2"/>
                  <w:tcBorders>
                    <w:top w:val="single" w:color="auto" w:sz="4" w:space="0"/>
                    <w:left w:val="single" w:color="auto" w:sz="4" w:space="0"/>
                    <w:bottom w:val="single" w:color="auto" w:sz="4" w:space="0"/>
                    <w:right w:val="single" w:color="auto" w:sz="4" w:space="0"/>
                  </w:tcBorders>
                  <w:vAlign w:val="center"/>
                </w:tcPr>
                <w:p w14:paraId="065A3462">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要求及效果</w:t>
                  </w:r>
                </w:p>
              </w:tc>
              <w:tc>
                <w:tcPr>
                  <w:tcW w:w="1130" w:type="pct"/>
                  <w:tcBorders>
                    <w:top w:val="single" w:color="auto" w:sz="4" w:space="0"/>
                    <w:left w:val="single" w:color="auto" w:sz="4" w:space="0"/>
                    <w:bottom w:val="single" w:color="auto" w:sz="4" w:space="0"/>
                    <w:right w:val="single" w:color="auto" w:sz="4" w:space="0"/>
                  </w:tcBorders>
                  <w:vAlign w:val="center"/>
                </w:tcPr>
                <w:p w14:paraId="4D9842A8">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验收标准</w:t>
                  </w:r>
                </w:p>
              </w:tc>
            </w:tr>
            <w:tr w14:paraId="20E15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3" w:hRule="atLeast"/>
              </w:trPr>
              <w:tc>
                <w:tcPr>
                  <w:tcW w:w="283" w:type="pct"/>
                  <w:vMerge w:val="restart"/>
                  <w:tcBorders>
                    <w:top w:val="single" w:color="auto" w:sz="4" w:space="0"/>
                    <w:left w:val="single" w:color="auto" w:sz="4" w:space="0"/>
                    <w:right w:val="single" w:color="auto" w:sz="4" w:space="0"/>
                  </w:tcBorders>
                  <w:vAlign w:val="center"/>
                </w:tcPr>
                <w:p w14:paraId="308FB807">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废气</w:t>
                  </w:r>
                </w:p>
              </w:tc>
              <w:tc>
                <w:tcPr>
                  <w:tcW w:w="699" w:type="pct"/>
                  <w:tcBorders>
                    <w:top w:val="single" w:color="auto" w:sz="4" w:space="0"/>
                    <w:left w:val="single" w:color="auto" w:sz="4" w:space="0"/>
                    <w:bottom w:val="single" w:color="auto" w:sz="4" w:space="0"/>
                    <w:right w:val="single" w:color="auto" w:sz="4" w:space="0"/>
                  </w:tcBorders>
                  <w:vAlign w:val="center"/>
                </w:tcPr>
                <w:p w14:paraId="1493C308">
                  <w:pPr>
                    <w:pStyle w:val="56"/>
                    <w:snapToGrid w:val="0"/>
                    <w:rPr>
                      <w:rStyle w:val="26"/>
                      <w:rFonts w:hint="default" w:ascii="Calibri" w:hAnsi="Calibri" w:eastAsia="Times New Roman" w:cs="Calibri"/>
                      <w:sz w:val="21"/>
                      <w:szCs w:val="21"/>
                      <w:lang w:val="en-US" w:eastAsia="zh-CN"/>
                    </w:rPr>
                  </w:pPr>
                  <w:r>
                    <w:rPr>
                      <w:rStyle w:val="26"/>
                      <w:rFonts w:hint="eastAsia" w:ascii="Calibri" w:hAnsi="Calibri" w:eastAsia="Times New Roman" w:cs="Calibri"/>
                      <w:sz w:val="21"/>
                      <w:szCs w:val="21"/>
                      <w:lang w:val="en-US" w:eastAsia="zh-CN"/>
                    </w:rPr>
                    <w:t>污水处理站</w:t>
                  </w:r>
                </w:p>
              </w:tc>
              <w:tc>
                <w:tcPr>
                  <w:tcW w:w="1084" w:type="pct"/>
                  <w:tcBorders>
                    <w:top w:val="single" w:color="auto" w:sz="4" w:space="0"/>
                    <w:left w:val="single" w:color="auto" w:sz="4" w:space="0"/>
                    <w:bottom w:val="single" w:color="auto" w:sz="4" w:space="0"/>
                    <w:right w:val="single" w:color="auto" w:sz="4" w:space="0"/>
                  </w:tcBorders>
                  <w:vAlign w:val="center"/>
                </w:tcPr>
                <w:p w14:paraId="03ADBF42">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封闭，</w:t>
                  </w:r>
                  <w:r>
                    <w:rPr>
                      <w:rStyle w:val="26"/>
                      <w:rFonts w:hint="eastAsia" w:ascii="Calibri" w:hAnsi="Calibri" w:eastAsia="Times New Roman" w:cs="Calibri"/>
                      <w:sz w:val="21"/>
                      <w:szCs w:val="21"/>
                      <w:lang w:val="en-US" w:eastAsia="zh-CN"/>
                    </w:rPr>
                    <w:t>活性炭吸附装置</w:t>
                  </w:r>
                  <w:r>
                    <w:rPr>
                      <w:rStyle w:val="26"/>
                      <w:rFonts w:ascii="Calibri" w:hAnsi="Calibri" w:eastAsia="Times New Roman" w:cs="Calibri"/>
                      <w:sz w:val="21"/>
                      <w:szCs w:val="21"/>
                      <w:lang w:eastAsia="zh-CN"/>
                    </w:rPr>
                    <w:t>+15m排气筒（DA001）</w:t>
                  </w:r>
                </w:p>
              </w:tc>
              <w:tc>
                <w:tcPr>
                  <w:tcW w:w="390" w:type="pct"/>
                  <w:tcBorders>
                    <w:top w:val="single" w:color="auto" w:sz="4" w:space="0"/>
                    <w:left w:val="single" w:color="auto" w:sz="4" w:space="0"/>
                    <w:bottom w:val="single" w:color="auto" w:sz="4" w:space="0"/>
                    <w:right w:val="single" w:color="auto" w:sz="4" w:space="0"/>
                  </w:tcBorders>
                  <w:vAlign w:val="center"/>
                </w:tcPr>
                <w:p w14:paraId="3B8F070A">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1</w:t>
                  </w:r>
                </w:p>
              </w:tc>
              <w:tc>
                <w:tcPr>
                  <w:tcW w:w="1412" w:type="pct"/>
                  <w:gridSpan w:val="2"/>
                  <w:tcBorders>
                    <w:top w:val="single" w:color="auto" w:sz="4" w:space="0"/>
                    <w:left w:val="single" w:color="auto" w:sz="4" w:space="0"/>
                    <w:bottom w:val="single" w:color="auto" w:sz="4" w:space="0"/>
                    <w:right w:val="single" w:color="auto" w:sz="4" w:space="0"/>
                  </w:tcBorders>
                  <w:vAlign w:val="center"/>
                </w:tcPr>
                <w:p w14:paraId="790DF015">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NH</w:t>
                  </w:r>
                  <w:r>
                    <w:rPr>
                      <w:rStyle w:val="26"/>
                      <w:rFonts w:ascii="Calibri" w:hAnsi="Calibri" w:eastAsia="Times New Roman" w:cs="Calibri"/>
                      <w:sz w:val="21"/>
                      <w:szCs w:val="21"/>
                      <w:vertAlign w:val="subscript"/>
                    </w:rPr>
                    <w:t>3</w:t>
                  </w:r>
                  <w:r>
                    <w:rPr>
                      <w:rStyle w:val="26"/>
                      <w:rFonts w:hint="eastAsia" w:ascii="Calibri" w:hAnsi="Calibri" w:eastAsia="Times New Roman" w:cs="Calibri"/>
                      <w:sz w:val="21"/>
                      <w:szCs w:val="21"/>
                      <w:vertAlign w:val="subscript"/>
                      <w:lang w:eastAsia="zh-CN"/>
                    </w:rPr>
                    <w:t>:</w:t>
                  </w:r>
                  <w:r>
                    <w:rPr>
                      <w:rStyle w:val="26"/>
                      <w:rFonts w:ascii="Calibri" w:hAnsi="Calibri" w:eastAsia="Times New Roman" w:cs="Calibri"/>
                      <w:sz w:val="21"/>
                      <w:szCs w:val="21"/>
                    </w:rPr>
                    <w:t>4.9kg/h</w:t>
                  </w:r>
                </w:p>
                <w:p w14:paraId="26C05396">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H</w:t>
                  </w:r>
                  <w:r>
                    <w:rPr>
                      <w:rStyle w:val="26"/>
                      <w:rFonts w:ascii="Calibri" w:hAnsi="Calibri" w:eastAsia="Times New Roman" w:cs="Calibri"/>
                      <w:sz w:val="21"/>
                      <w:szCs w:val="21"/>
                      <w:vertAlign w:val="subscript"/>
                    </w:rPr>
                    <w:t>2</w:t>
                  </w:r>
                  <w:r>
                    <w:rPr>
                      <w:rStyle w:val="26"/>
                      <w:rFonts w:ascii="Calibri" w:hAnsi="Calibri" w:eastAsia="Times New Roman" w:cs="Calibri"/>
                      <w:sz w:val="21"/>
                      <w:szCs w:val="21"/>
                    </w:rPr>
                    <w:t>S</w:t>
                  </w:r>
                  <w:r>
                    <w:rPr>
                      <w:rStyle w:val="26"/>
                      <w:rFonts w:hint="eastAsia" w:ascii="Calibri" w:hAnsi="Calibri" w:eastAsia="Times New Roman" w:cs="Calibri"/>
                      <w:sz w:val="21"/>
                      <w:szCs w:val="21"/>
                      <w:lang w:eastAsia="zh-CN"/>
                    </w:rPr>
                    <w:t>:</w:t>
                  </w:r>
                  <w:r>
                    <w:rPr>
                      <w:rStyle w:val="26"/>
                      <w:rFonts w:ascii="Calibri" w:hAnsi="Calibri" w:eastAsia="Times New Roman" w:cs="Calibri"/>
                      <w:sz w:val="21"/>
                      <w:szCs w:val="21"/>
                    </w:rPr>
                    <w:t>0.33kg/h</w:t>
                  </w:r>
                </w:p>
                <w:p w14:paraId="3B536202">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臭气浓度：2000（无量纲）</w:t>
                  </w:r>
                </w:p>
              </w:tc>
              <w:tc>
                <w:tcPr>
                  <w:tcW w:w="1130" w:type="pct"/>
                  <w:tcBorders>
                    <w:top w:val="single" w:color="auto" w:sz="4" w:space="0"/>
                    <w:left w:val="single" w:color="auto" w:sz="4" w:space="0"/>
                    <w:right w:val="single" w:color="auto" w:sz="4" w:space="0"/>
                  </w:tcBorders>
                  <w:vAlign w:val="center"/>
                </w:tcPr>
                <w:p w14:paraId="08E3A944">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《恶臭污染物排放标准》（GB14554-1993）表2标准</w:t>
                  </w:r>
                </w:p>
              </w:tc>
            </w:tr>
            <w:tr w14:paraId="13723E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7" w:hRule="atLeast"/>
              </w:trPr>
              <w:tc>
                <w:tcPr>
                  <w:tcW w:w="283" w:type="pct"/>
                  <w:vMerge w:val="continue"/>
                  <w:tcBorders>
                    <w:left w:val="single" w:color="auto" w:sz="4" w:space="0"/>
                    <w:bottom w:val="single" w:color="auto" w:sz="4" w:space="0"/>
                    <w:right w:val="single" w:color="auto" w:sz="4" w:space="0"/>
                  </w:tcBorders>
                  <w:vAlign w:val="center"/>
                </w:tcPr>
                <w:p w14:paraId="7F7627B9">
                  <w:pPr>
                    <w:pStyle w:val="56"/>
                    <w:snapToGrid w:val="0"/>
                    <w:rPr>
                      <w:rStyle w:val="26"/>
                      <w:rFonts w:ascii="Calibri" w:hAnsi="Calibri" w:eastAsia="Times New Roman" w:cs="Calibri"/>
                      <w:sz w:val="21"/>
                      <w:szCs w:val="21"/>
                      <w:lang w:eastAsia="zh-CN"/>
                    </w:rPr>
                  </w:pPr>
                </w:p>
              </w:tc>
              <w:tc>
                <w:tcPr>
                  <w:tcW w:w="699" w:type="pct"/>
                  <w:tcBorders>
                    <w:top w:val="single" w:color="auto" w:sz="4" w:space="0"/>
                    <w:left w:val="single" w:color="auto" w:sz="4" w:space="0"/>
                    <w:bottom w:val="single" w:color="auto" w:sz="4" w:space="0"/>
                    <w:right w:val="single" w:color="auto" w:sz="4" w:space="0"/>
                  </w:tcBorders>
                  <w:vAlign w:val="center"/>
                </w:tcPr>
                <w:p w14:paraId="72DED75E">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未被收集的恶臭气体</w:t>
                  </w:r>
                </w:p>
              </w:tc>
              <w:tc>
                <w:tcPr>
                  <w:tcW w:w="1084" w:type="pct"/>
                  <w:tcBorders>
                    <w:top w:val="single" w:color="auto" w:sz="4" w:space="0"/>
                    <w:left w:val="single" w:color="auto" w:sz="4" w:space="0"/>
                    <w:bottom w:val="single" w:color="auto" w:sz="4" w:space="0"/>
                    <w:right w:val="single" w:color="auto" w:sz="4" w:space="0"/>
                  </w:tcBorders>
                  <w:vAlign w:val="center"/>
                </w:tcPr>
                <w:p w14:paraId="69F93864">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加强机械通风</w:t>
                  </w:r>
                </w:p>
              </w:tc>
              <w:tc>
                <w:tcPr>
                  <w:tcW w:w="390" w:type="pct"/>
                  <w:tcBorders>
                    <w:top w:val="single" w:color="auto" w:sz="4" w:space="0"/>
                    <w:left w:val="single" w:color="auto" w:sz="4" w:space="0"/>
                    <w:bottom w:val="single" w:color="auto" w:sz="4" w:space="0"/>
                    <w:right w:val="single" w:color="auto" w:sz="4" w:space="0"/>
                  </w:tcBorders>
                  <w:vAlign w:val="center"/>
                </w:tcPr>
                <w:p w14:paraId="18F54F4A">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w:t>
                  </w:r>
                </w:p>
              </w:tc>
              <w:tc>
                <w:tcPr>
                  <w:tcW w:w="1412" w:type="pct"/>
                  <w:gridSpan w:val="2"/>
                  <w:tcBorders>
                    <w:top w:val="single" w:color="auto" w:sz="4" w:space="0"/>
                    <w:left w:val="single" w:color="auto" w:sz="4" w:space="0"/>
                    <w:bottom w:val="single" w:color="auto" w:sz="4" w:space="0"/>
                    <w:right w:val="single" w:color="auto" w:sz="4" w:space="0"/>
                  </w:tcBorders>
                  <w:vAlign w:val="center"/>
                </w:tcPr>
                <w:p w14:paraId="15EF8022">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NH</w:t>
                  </w:r>
                  <w:r>
                    <w:rPr>
                      <w:rStyle w:val="26"/>
                      <w:rFonts w:ascii="Calibri" w:hAnsi="Calibri" w:eastAsia="Times New Roman" w:cs="Calibri"/>
                      <w:sz w:val="21"/>
                      <w:szCs w:val="21"/>
                      <w:vertAlign w:val="subscript"/>
                    </w:rPr>
                    <w:t>3</w:t>
                  </w:r>
                  <w:r>
                    <w:rPr>
                      <w:rStyle w:val="26"/>
                      <w:rFonts w:hint="eastAsia" w:ascii="Calibri" w:hAnsi="Calibri" w:eastAsia="Times New Roman" w:cs="Calibri"/>
                      <w:sz w:val="21"/>
                      <w:szCs w:val="21"/>
                      <w:vertAlign w:val="subscript"/>
                      <w:lang w:eastAsia="zh-CN"/>
                    </w:rPr>
                    <w:t>:</w:t>
                  </w:r>
                  <w:r>
                    <w:rPr>
                      <w:rStyle w:val="26"/>
                      <w:rFonts w:ascii="Calibri" w:hAnsi="Calibri" w:eastAsia="Times New Roman" w:cs="Calibri"/>
                      <w:sz w:val="21"/>
                      <w:szCs w:val="21"/>
                    </w:rPr>
                    <w:t>1.5mg/m</w:t>
                  </w:r>
                  <w:r>
                    <w:rPr>
                      <w:rStyle w:val="26"/>
                      <w:rFonts w:ascii="Calibri" w:hAnsi="Calibri" w:eastAsia="Times New Roman" w:cs="Calibri"/>
                      <w:sz w:val="21"/>
                      <w:szCs w:val="21"/>
                      <w:vertAlign w:val="superscript"/>
                    </w:rPr>
                    <w:t>3</w:t>
                  </w:r>
                </w:p>
                <w:p w14:paraId="20135F50">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H</w:t>
                  </w:r>
                  <w:r>
                    <w:rPr>
                      <w:rStyle w:val="26"/>
                      <w:rFonts w:ascii="Calibri" w:hAnsi="Calibri" w:eastAsia="Times New Roman" w:cs="Calibri"/>
                      <w:sz w:val="21"/>
                      <w:szCs w:val="21"/>
                      <w:vertAlign w:val="subscript"/>
                    </w:rPr>
                    <w:t>2</w:t>
                  </w:r>
                  <w:r>
                    <w:rPr>
                      <w:rStyle w:val="26"/>
                      <w:rFonts w:ascii="Calibri" w:hAnsi="Calibri" w:eastAsia="Times New Roman" w:cs="Calibri"/>
                      <w:sz w:val="21"/>
                      <w:szCs w:val="21"/>
                    </w:rPr>
                    <w:t>S</w:t>
                  </w:r>
                  <w:r>
                    <w:rPr>
                      <w:rStyle w:val="26"/>
                      <w:rFonts w:hint="eastAsia" w:ascii="Calibri" w:hAnsi="Calibri" w:eastAsia="Times New Roman" w:cs="Calibri"/>
                      <w:sz w:val="21"/>
                      <w:szCs w:val="21"/>
                      <w:lang w:eastAsia="zh-CN"/>
                    </w:rPr>
                    <w:t>:</w:t>
                  </w:r>
                  <w:r>
                    <w:rPr>
                      <w:rStyle w:val="26"/>
                      <w:rFonts w:ascii="Calibri" w:hAnsi="Calibri" w:eastAsia="Times New Roman" w:cs="Calibri"/>
                      <w:sz w:val="21"/>
                      <w:szCs w:val="21"/>
                    </w:rPr>
                    <w:t>0.06mg/m</w:t>
                  </w:r>
                  <w:r>
                    <w:rPr>
                      <w:rStyle w:val="26"/>
                      <w:rFonts w:ascii="Calibri" w:hAnsi="Calibri" w:eastAsia="Times New Roman" w:cs="Calibri"/>
                      <w:sz w:val="21"/>
                      <w:szCs w:val="21"/>
                      <w:vertAlign w:val="superscript"/>
                    </w:rPr>
                    <w:t>3</w:t>
                  </w:r>
                </w:p>
                <w:p w14:paraId="223C3411">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臭气浓度：20（无量纲）</w:t>
                  </w:r>
                </w:p>
                <w:p w14:paraId="7AA625E5">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甲烷：1（厂区最高体积浓度%）</w:t>
                  </w:r>
                </w:p>
              </w:tc>
              <w:tc>
                <w:tcPr>
                  <w:tcW w:w="1130" w:type="pct"/>
                  <w:tcBorders>
                    <w:top w:val="single" w:color="auto" w:sz="4" w:space="0"/>
                    <w:left w:val="single" w:color="auto" w:sz="4" w:space="0"/>
                    <w:bottom w:val="single" w:color="auto" w:sz="4" w:space="0"/>
                    <w:right w:val="single" w:color="auto" w:sz="4" w:space="0"/>
                  </w:tcBorders>
                  <w:vAlign w:val="center"/>
                </w:tcPr>
                <w:p w14:paraId="5308CB76">
                  <w:pPr>
                    <w:pStyle w:val="56"/>
                    <w:snapToGrid w:val="0"/>
                    <w:rPr>
                      <w:rStyle w:val="26"/>
                      <w:rFonts w:ascii="Calibri" w:hAnsi="Calibri" w:eastAsia="Times New Roman" w:cs="Calibri"/>
                      <w:sz w:val="21"/>
                      <w:szCs w:val="21"/>
                      <w:lang w:eastAsia="zh-CN"/>
                    </w:rPr>
                  </w:pPr>
                  <w:r>
                    <w:rPr>
                      <w:rFonts w:ascii="Calibri" w:hAnsi="Calibri" w:eastAsia="Times New Roman" w:cs="Calibri"/>
                      <w:sz w:val="21"/>
                      <w:szCs w:val="21"/>
                      <w:lang w:eastAsia="zh-CN"/>
                    </w:rPr>
                    <w:t>《城镇污水处理厂污染物排放标准》（GB18918-2002）中表4厂界（防护带边缘）废气排放最高允许浓度的二级标准</w:t>
                  </w:r>
                </w:p>
              </w:tc>
            </w:tr>
            <w:tr w14:paraId="46488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283" w:type="pct"/>
                  <w:vMerge w:val="restart"/>
                  <w:tcBorders>
                    <w:left w:val="single" w:color="auto" w:sz="4" w:space="0"/>
                    <w:right w:val="single" w:color="auto" w:sz="4" w:space="0"/>
                  </w:tcBorders>
                  <w:vAlign w:val="center"/>
                </w:tcPr>
                <w:p w14:paraId="3C799CF4">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废水</w:t>
                  </w:r>
                </w:p>
              </w:tc>
              <w:tc>
                <w:tcPr>
                  <w:tcW w:w="699" w:type="pct"/>
                  <w:vMerge w:val="restart"/>
                  <w:tcBorders>
                    <w:top w:val="single" w:color="auto" w:sz="4" w:space="0"/>
                    <w:left w:val="single" w:color="auto" w:sz="4" w:space="0"/>
                    <w:right w:val="single" w:color="auto" w:sz="4" w:space="0"/>
                  </w:tcBorders>
                  <w:vAlign w:val="center"/>
                </w:tcPr>
                <w:p w14:paraId="17D44872">
                  <w:pPr>
                    <w:pStyle w:val="56"/>
                    <w:snapToGrid w:val="0"/>
                    <w:rPr>
                      <w:rStyle w:val="26"/>
                      <w:rFonts w:hint="default" w:ascii="Calibri" w:hAnsi="Calibri" w:eastAsia="Times New Roman" w:cs="Calibri"/>
                      <w:sz w:val="21"/>
                      <w:szCs w:val="21"/>
                      <w:lang w:val="en-US" w:eastAsia="zh-CN"/>
                    </w:rPr>
                  </w:pPr>
                  <w:r>
                    <w:rPr>
                      <w:rStyle w:val="26"/>
                      <w:rFonts w:hint="eastAsia" w:ascii="Calibri" w:hAnsi="Calibri" w:eastAsia="Times New Roman" w:cs="Calibri"/>
                      <w:sz w:val="21"/>
                      <w:szCs w:val="21"/>
                      <w:lang w:eastAsia="zh-CN"/>
                    </w:rPr>
                    <w:t>污水处理</w:t>
                  </w:r>
                  <w:r>
                    <w:rPr>
                      <w:rStyle w:val="26"/>
                      <w:rFonts w:hint="eastAsia" w:ascii="Calibri" w:hAnsi="Calibri" w:eastAsia="Times New Roman" w:cs="Calibri"/>
                      <w:sz w:val="21"/>
                      <w:szCs w:val="21"/>
                      <w:lang w:val="en-US" w:eastAsia="zh-CN"/>
                    </w:rPr>
                    <w:t>站进出口</w:t>
                  </w:r>
                </w:p>
              </w:tc>
              <w:tc>
                <w:tcPr>
                  <w:tcW w:w="1084" w:type="pct"/>
                  <w:vMerge w:val="restart"/>
                  <w:tcBorders>
                    <w:top w:val="single" w:color="auto" w:sz="4" w:space="0"/>
                    <w:left w:val="single" w:color="auto" w:sz="4" w:space="0"/>
                    <w:right w:val="single" w:color="auto" w:sz="4" w:space="0"/>
                  </w:tcBorders>
                  <w:vAlign w:val="center"/>
                </w:tcPr>
                <w:p w14:paraId="45EBF2EA">
                  <w:pPr>
                    <w:pStyle w:val="56"/>
                    <w:snapToGrid w:val="0"/>
                    <w:rPr>
                      <w:rStyle w:val="26"/>
                      <w:rFonts w:ascii="Calibri" w:hAnsi="Calibri" w:eastAsia="Times New Roman" w:cs="Calibri"/>
                      <w:sz w:val="21"/>
                      <w:szCs w:val="21"/>
                      <w:lang w:eastAsia="zh-CN"/>
                    </w:rPr>
                  </w:pPr>
                  <w:r>
                    <w:rPr>
                      <w:rFonts w:ascii="Calibri" w:hAnsi="Calibri" w:eastAsia="Times New Roman" w:cs="Calibri"/>
                      <w:sz w:val="21"/>
                      <w:szCs w:val="21"/>
                      <w:lang w:eastAsia="zh-CN"/>
                    </w:rPr>
                    <w:t>工艺：</w:t>
                  </w:r>
                  <w:r>
                    <w:rPr>
                      <w:rFonts w:hint="eastAsia" w:ascii="Calibri" w:hAnsi="Calibri" w:eastAsia="Times New Roman" w:cs="Calibri"/>
                      <w:sz w:val="21"/>
                      <w:szCs w:val="21"/>
                      <w:lang w:eastAsia="zh-CN"/>
                    </w:rPr>
                    <w:t>格栅+调节+隔油沉淀+气浮+厌氧+A/O生物处理+混凝沉淀+活性炭过滤+消毒</w:t>
                  </w:r>
                </w:p>
                <w:p w14:paraId="07D2C903">
                  <w:pPr>
                    <w:pStyle w:val="56"/>
                    <w:snapToGrid w:val="0"/>
                    <w:rPr>
                      <w:rStyle w:val="26"/>
                      <w:rFonts w:ascii="Calibri" w:hAnsi="Calibri" w:eastAsia="Times New Roman" w:cs="Calibri"/>
                      <w:sz w:val="21"/>
                      <w:szCs w:val="21"/>
                      <w:lang w:eastAsia="zh-CN"/>
                    </w:rPr>
                  </w:pPr>
                </w:p>
              </w:tc>
              <w:tc>
                <w:tcPr>
                  <w:tcW w:w="390" w:type="pct"/>
                  <w:vMerge w:val="restart"/>
                  <w:tcBorders>
                    <w:top w:val="single" w:color="auto" w:sz="4" w:space="0"/>
                    <w:left w:val="single" w:color="auto" w:sz="4" w:space="0"/>
                    <w:right w:val="single" w:color="auto" w:sz="4" w:space="0"/>
                  </w:tcBorders>
                  <w:vAlign w:val="center"/>
                </w:tcPr>
                <w:p w14:paraId="3C762EF0">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1个</w:t>
                  </w:r>
                </w:p>
              </w:tc>
              <w:tc>
                <w:tcPr>
                  <w:tcW w:w="778" w:type="pct"/>
                  <w:tcBorders>
                    <w:top w:val="single" w:color="auto" w:sz="4" w:space="0"/>
                    <w:left w:val="single" w:color="auto" w:sz="4" w:space="0"/>
                    <w:bottom w:val="single" w:color="auto" w:sz="4" w:space="0"/>
                    <w:right w:val="single" w:color="auto" w:sz="4" w:space="0"/>
                  </w:tcBorders>
                  <w:vAlign w:val="center"/>
                </w:tcPr>
                <w:p w14:paraId="1CF38588">
                  <w:pPr>
                    <w:pStyle w:val="56"/>
                    <w:snapToGrid w:val="0"/>
                    <w:rPr>
                      <w:rStyle w:val="26"/>
                      <w:rFonts w:ascii="Calibri" w:hAnsi="Calibri" w:eastAsia="Times New Roman" w:cs="Calibri"/>
                      <w:sz w:val="21"/>
                      <w:szCs w:val="21"/>
                      <w:lang w:eastAsia="zh-CN"/>
                    </w:rPr>
                  </w:pPr>
                  <w:r>
                    <w:rPr>
                      <w:rStyle w:val="26"/>
                      <w:rFonts w:hint="eastAsia" w:ascii="Calibri" w:hAnsi="Calibri" w:eastAsia="Times New Roman" w:cs="Calibri"/>
                      <w:sz w:val="21"/>
                      <w:szCs w:val="21"/>
                      <w:lang w:eastAsia="zh-CN"/>
                    </w:rPr>
                    <w:t>CODcr</w:t>
                  </w:r>
                </w:p>
              </w:tc>
              <w:tc>
                <w:tcPr>
                  <w:tcW w:w="634" w:type="pct"/>
                  <w:tcBorders>
                    <w:top w:val="single" w:color="auto" w:sz="4" w:space="0"/>
                    <w:left w:val="single" w:color="auto" w:sz="4" w:space="0"/>
                    <w:bottom w:val="single" w:color="auto" w:sz="4" w:space="0"/>
                    <w:right w:val="single" w:color="auto" w:sz="4" w:space="0"/>
                  </w:tcBorders>
                  <w:vAlign w:val="center"/>
                </w:tcPr>
                <w:p w14:paraId="45566BCD">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w:t>
                  </w:r>
                  <w:r>
                    <w:rPr>
                      <w:rStyle w:val="26"/>
                      <w:rFonts w:hint="eastAsia" w:ascii="Calibri" w:hAnsi="Calibri" w:eastAsia="Times New Roman" w:cs="Calibri"/>
                      <w:sz w:val="21"/>
                      <w:szCs w:val="21"/>
                      <w:lang w:eastAsia="zh-CN"/>
                    </w:rPr>
                    <w:t>50</w:t>
                  </w:r>
                  <w:r>
                    <w:rPr>
                      <w:rStyle w:val="26"/>
                      <w:rFonts w:ascii="Calibri" w:hAnsi="Calibri" w:eastAsia="Times New Roman" w:cs="Calibri"/>
                      <w:sz w:val="21"/>
                      <w:szCs w:val="21"/>
                    </w:rPr>
                    <w:t>mg/L</w:t>
                  </w:r>
                </w:p>
              </w:tc>
              <w:tc>
                <w:tcPr>
                  <w:tcW w:w="1130" w:type="pct"/>
                  <w:vMerge w:val="restart"/>
                  <w:tcBorders>
                    <w:top w:val="single" w:color="auto" w:sz="4" w:space="0"/>
                    <w:left w:val="single" w:color="auto" w:sz="4" w:space="0"/>
                    <w:right w:val="single" w:color="auto" w:sz="4" w:space="0"/>
                  </w:tcBorders>
                  <w:vAlign w:val="center"/>
                </w:tcPr>
                <w:p w14:paraId="1F72768F">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《城镇污水处理厂污染物排放标准》</w:t>
                  </w:r>
                </w:p>
                <w:p w14:paraId="053B12AF">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（GB18918-2002）表1中的一级A标准</w:t>
                  </w:r>
                  <w:r>
                    <w:rPr>
                      <w:rStyle w:val="26"/>
                      <w:rFonts w:hint="eastAsia" w:ascii="Calibri" w:hAnsi="Calibri" w:eastAsia="Times New Roman" w:cs="Calibri"/>
                      <w:sz w:val="21"/>
                      <w:szCs w:val="21"/>
                      <w:lang w:eastAsia="zh-CN"/>
                    </w:rPr>
                    <w:t>，</w:t>
                  </w:r>
                  <w:r>
                    <w:rPr>
                      <w:rStyle w:val="26"/>
                      <w:rFonts w:hint="eastAsia" w:ascii="Calibri" w:hAnsi="Calibri" w:eastAsia="Times New Roman" w:cs="Calibri"/>
                      <w:sz w:val="21"/>
                      <w:szCs w:val="21"/>
                      <w:lang w:val="en-US" w:eastAsia="zh-CN"/>
                    </w:rPr>
                    <w:t>同时满足《城市污水再生利用 景观环境用水水质》（GB/T 18921-2019）中湿地环境用水相关要求</w:t>
                  </w:r>
                </w:p>
              </w:tc>
            </w:tr>
            <w:tr w14:paraId="15D4F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283" w:type="pct"/>
                  <w:vMerge w:val="continue"/>
                  <w:tcBorders>
                    <w:left w:val="single" w:color="auto" w:sz="4" w:space="0"/>
                    <w:right w:val="single" w:color="auto" w:sz="4" w:space="0"/>
                  </w:tcBorders>
                  <w:vAlign w:val="center"/>
                </w:tcPr>
                <w:p w14:paraId="67BDE05B">
                  <w:pPr>
                    <w:pStyle w:val="56"/>
                    <w:snapToGrid w:val="0"/>
                    <w:rPr>
                      <w:rStyle w:val="26"/>
                      <w:rFonts w:ascii="Calibri" w:hAnsi="Calibri" w:eastAsia="Times New Roman" w:cs="Calibri"/>
                      <w:sz w:val="21"/>
                      <w:szCs w:val="21"/>
                      <w:lang w:eastAsia="zh-CN"/>
                    </w:rPr>
                  </w:pPr>
                </w:p>
              </w:tc>
              <w:tc>
                <w:tcPr>
                  <w:tcW w:w="699" w:type="pct"/>
                  <w:vMerge w:val="continue"/>
                  <w:tcBorders>
                    <w:left w:val="single" w:color="auto" w:sz="4" w:space="0"/>
                    <w:right w:val="single" w:color="auto" w:sz="4" w:space="0"/>
                  </w:tcBorders>
                  <w:vAlign w:val="center"/>
                </w:tcPr>
                <w:p w14:paraId="7A54E4D6">
                  <w:pPr>
                    <w:pStyle w:val="56"/>
                    <w:snapToGrid w:val="0"/>
                    <w:rPr>
                      <w:rStyle w:val="26"/>
                      <w:rFonts w:ascii="Calibri" w:hAnsi="Calibri" w:eastAsia="Times New Roman" w:cs="Calibri"/>
                      <w:sz w:val="21"/>
                      <w:szCs w:val="21"/>
                      <w:lang w:eastAsia="zh-CN"/>
                    </w:rPr>
                  </w:pPr>
                </w:p>
              </w:tc>
              <w:tc>
                <w:tcPr>
                  <w:tcW w:w="1084" w:type="pct"/>
                  <w:vMerge w:val="continue"/>
                  <w:tcBorders>
                    <w:left w:val="single" w:color="auto" w:sz="4" w:space="0"/>
                    <w:right w:val="single" w:color="auto" w:sz="4" w:space="0"/>
                  </w:tcBorders>
                  <w:vAlign w:val="center"/>
                </w:tcPr>
                <w:p w14:paraId="25DBE785">
                  <w:pPr>
                    <w:pStyle w:val="56"/>
                    <w:snapToGrid w:val="0"/>
                    <w:rPr>
                      <w:rStyle w:val="26"/>
                      <w:rFonts w:ascii="Calibri" w:hAnsi="Calibri" w:eastAsia="Times New Roman" w:cs="Calibri"/>
                      <w:sz w:val="21"/>
                      <w:szCs w:val="21"/>
                      <w:lang w:eastAsia="zh-CN"/>
                    </w:rPr>
                  </w:pPr>
                </w:p>
              </w:tc>
              <w:tc>
                <w:tcPr>
                  <w:tcW w:w="390" w:type="pct"/>
                  <w:vMerge w:val="continue"/>
                  <w:tcBorders>
                    <w:left w:val="single" w:color="auto" w:sz="4" w:space="0"/>
                    <w:right w:val="single" w:color="auto" w:sz="4" w:space="0"/>
                  </w:tcBorders>
                  <w:vAlign w:val="center"/>
                </w:tcPr>
                <w:p w14:paraId="004DA3E0">
                  <w:pPr>
                    <w:pStyle w:val="56"/>
                    <w:snapToGrid w:val="0"/>
                    <w:rPr>
                      <w:rStyle w:val="26"/>
                      <w:rFonts w:ascii="Calibri" w:hAnsi="Calibri" w:eastAsia="Times New Roman" w:cs="Calibri"/>
                      <w:sz w:val="21"/>
                      <w:szCs w:val="21"/>
                      <w:lang w:eastAsia="zh-CN"/>
                    </w:rPr>
                  </w:pPr>
                </w:p>
              </w:tc>
              <w:tc>
                <w:tcPr>
                  <w:tcW w:w="778" w:type="pct"/>
                  <w:tcBorders>
                    <w:top w:val="single" w:color="auto" w:sz="4" w:space="0"/>
                    <w:left w:val="single" w:color="auto" w:sz="4" w:space="0"/>
                    <w:bottom w:val="single" w:color="auto" w:sz="4" w:space="0"/>
                    <w:right w:val="single" w:color="auto" w:sz="4" w:space="0"/>
                  </w:tcBorders>
                  <w:vAlign w:val="center"/>
                </w:tcPr>
                <w:p w14:paraId="3D947196">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BOD</w:t>
                  </w:r>
                  <w:r>
                    <w:rPr>
                      <w:rStyle w:val="26"/>
                      <w:rFonts w:ascii="Calibri" w:hAnsi="Calibri" w:eastAsia="Times New Roman" w:cs="Calibri"/>
                      <w:sz w:val="21"/>
                      <w:szCs w:val="21"/>
                      <w:vertAlign w:val="subscript"/>
                    </w:rPr>
                    <w:t>5</w:t>
                  </w:r>
                </w:p>
              </w:tc>
              <w:tc>
                <w:tcPr>
                  <w:tcW w:w="634" w:type="pct"/>
                  <w:tcBorders>
                    <w:top w:val="single" w:color="auto" w:sz="4" w:space="0"/>
                    <w:left w:val="single" w:color="auto" w:sz="4" w:space="0"/>
                    <w:bottom w:val="single" w:color="auto" w:sz="4" w:space="0"/>
                    <w:right w:val="single" w:color="auto" w:sz="4" w:space="0"/>
                  </w:tcBorders>
                  <w:vAlign w:val="center"/>
                </w:tcPr>
                <w:p w14:paraId="02D65D97">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≤10mg/L</w:t>
                  </w:r>
                </w:p>
              </w:tc>
              <w:tc>
                <w:tcPr>
                  <w:tcW w:w="1130" w:type="pct"/>
                  <w:vMerge w:val="continue"/>
                  <w:tcBorders>
                    <w:left w:val="single" w:color="auto" w:sz="4" w:space="0"/>
                    <w:right w:val="single" w:color="auto" w:sz="4" w:space="0"/>
                  </w:tcBorders>
                  <w:vAlign w:val="center"/>
                </w:tcPr>
                <w:p w14:paraId="74D12066">
                  <w:pPr>
                    <w:pStyle w:val="56"/>
                    <w:snapToGrid w:val="0"/>
                    <w:rPr>
                      <w:rStyle w:val="26"/>
                      <w:rFonts w:ascii="Calibri" w:hAnsi="Calibri" w:eastAsia="Times New Roman" w:cs="Calibri"/>
                      <w:sz w:val="21"/>
                      <w:szCs w:val="21"/>
                    </w:rPr>
                  </w:pPr>
                </w:p>
              </w:tc>
            </w:tr>
            <w:tr w14:paraId="530B3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283" w:type="pct"/>
                  <w:vMerge w:val="continue"/>
                  <w:tcBorders>
                    <w:left w:val="single" w:color="auto" w:sz="4" w:space="0"/>
                    <w:right w:val="single" w:color="auto" w:sz="4" w:space="0"/>
                  </w:tcBorders>
                  <w:vAlign w:val="center"/>
                </w:tcPr>
                <w:p w14:paraId="255E6222">
                  <w:pPr>
                    <w:pStyle w:val="56"/>
                    <w:snapToGrid w:val="0"/>
                    <w:rPr>
                      <w:rStyle w:val="26"/>
                      <w:rFonts w:ascii="Calibri" w:hAnsi="Calibri" w:eastAsia="Times New Roman" w:cs="Calibri"/>
                      <w:sz w:val="21"/>
                      <w:szCs w:val="21"/>
                    </w:rPr>
                  </w:pPr>
                </w:p>
              </w:tc>
              <w:tc>
                <w:tcPr>
                  <w:tcW w:w="699" w:type="pct"/>
                  <w:vMerge w:val="continue"/>
                  <w:tcBorders>
                    <w:left w:val="single" w:color="auto" w:sz="4" w:space="0"/>
                    <w:right w:val="single" w:color="auto" w:sz="4" w:space="0"/>
                  </w:tcBorders>
                  <w:vAlign w:val="center"/>
                </w:tcPr>
                <w:p w14:paraId="30E786DF">
                  <w:pPr>
                    <w:pStyle w:val="56"/>
                    <w:snapToGrid w:val="0"/>
                    <w:rPr>
                      <w:rStyle w:val="26"/>
                      <w:rFonts w:ascii="Calibri" w:hAnsi="Calibri" w:eastAsia="Times New Roman" w:cs="Calibri"/>
                      <w:sz w:val="21"/>
                      <w:szCs w:val="21"/>
                    </w:rPr>
                  </w:pPr>
                </w:p>
              </w:tc>
              <w:tc>
                <w:tcPr>
                  <w:tcW w:w="1084" w:type="pct"/>
                  <w:vMerge w:val="continue"/>
                  <w:tcBorders>
                    <w:left w:val="single" w:color="auto" w:sz="4" w:space="0"/>
                    <w:right w:val="single" w:color="auto" w:sz="4" w:space="0"/>
                  </w:tcBorders>
                  <w:vAlign w:val="center"/>
                </w:tcPr>
                <w:p w14:paraId="3D2DEEA8">
                  <w:pPr>
                    <w:pStyle w:val="56"/>
                    <w:snapToGrid w:val="0"/>
                    <w:rPr>
                      <w:rStyle w:val="26"/>
                      <w:rFonts w:ascii="Calibri" w:hAnsi="Calibri" w:eastAsia="Times New Roman" w:cs="Calibri"/>
                      <w:sz w:val="21"/>
                      <w:szCs w:val="21"/>
                    </w:rPr>
                  </w:pPr>
                </w:p>
              </w:tc>
              <w:tc>
                <w:tcPr>
                  <w:tcW w:w="390" w:type="pct"/>
                  <w:vMerge w:val="continue"/>
                  <w:tcBorders>
                    <w:left w:val="single" w:color="auto" w:sz="4" w:space="0"/>
                    <w:right w:val="single" w:color="auto" w:sz="4" w:space="0"/>
                  </w:tcBorders>
                  <w:vAlign w:val="center"/>
                </w:tcPr>
                <w:p w14:paraId="26296E1C">
                  <w:pPr>
                    <w:pStyle w:val="56"/>
                    <w:snapToGrid w:val="0"/>
                    <w:rPr>
                      <w:rStyle w:val="26"/>
                      <w:rFonts w:ascii="Calibri" w:hAnsi="Calibri" w:eastAsia="Times New Roman" w:cs="Calibri"/>
                      <w:sz w:val="21"/>
                      <w:szCs w:val="21"/>
                    </w:rPr>
                  </w:pPr>
                </w:p>
              </w:tc>
              <w:tc>
                <w:tcPr>
                  <w:tcW w:w="778" w:type="pct"/>
                  <w:tcBorders>
                    <w:top w:val="single" w:color="auto" w:sz="4" w:space="0"/>
                    <w:left w:val="single" w:color="auto" w:sz="4" w:space="0"/>
                    <w:bottom w:val="single" w:color="auto" w:sz="4" w:space="0"/>
                    <w:right w:val="single" w:color="auto" w:sz="4" w:space="0"/>
                  </w:tcBorders>
                  <w:vAlign w:val="center"/>
                </w:tcPr>
                <w:p w14:paraId="1E72022A">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氨氮</w:t>
                  </w:r>
                </w:p>
              </w:tc>
              <w:tc>
                <w:tcPr>
                  <w:tcW w:w="634" w:type="pct"/>
                  <w:tcBorders>
                    <w:top w:val="single" w:color="auto" w:sz="4" w:space="0"/>
                    <w:left w:val="single" w:color="auto" w:sz="4" w:space="0"/>
                    <w:bottom w:val="single" w:color="auto" w:sz="4" w:space="0"/>
                    <w:right w:val="single" w:color="auto" w:sz="4" w:space="0"/>
                  </w:tcBorders>
                  <w:vAlign w:val="center"/>
                </w:tcPr>
                <w:p w14:paraId="16C9BE82">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≤5</w:t>
                  </w:r>
                  <w:r>
                    <w:rPr>
                      <w:rStyle w:val="26"/>
                      <w:rFonts w:hint="eastAsia" w:ascii="Calibri" w:hAnsi="Calibri" w:eastAsia="宋体" w:cs="Calibri"/>
                      <w:sz w:val="21"/>
                      <w:szCs w:val="21"/>
                      <w:lang w:eastAsia="zh-CN"/>
                    </w:rPr>
                    <w:t>(</w:t>
                  </w:r>
                  <w:r>
                    <w:rPr>
                      <w:rStyle w:val="26"/>
                      <w:rFonts w:ascii="Calibri" w:hAnsi="Calibri" w:eastAsia="Times New Roman" w:cs="Calibri"/>
                      <w:sz w:val="21"/>
                      <w:szCs w:val="21"/>
                      <w:lang w:eastAsia="zh-CN"/>
                    </w:rPr>
                    <w:t>8</w:t>
                  </w:r>
                  <w:r>
                    <w:rPr>
                      <w:rStyle w:val="26"/>
                      <w:rFonts w:hint="eastAsia" w:ascii="Calibri" w:hAnsi="Calibri" w:eastAsia="Times New Roman" w:cs="Calibri"/>
                      <w:sz w:val="21"/>
                      <w:szCs w:val="21"/>
                      <w:lang w:eastAsia="zh-CN"/>
                    </w:rPr>
                    <w:t>)</w:t>
                  </w:r>
                  <w:r>
                    <w:rPr>
                      <w:rStyle w:val="26"/>
                      <w:rFonts w:ascii="Calibri" w:hAnsi="Calibri" w:eastAsia="Times New Roman" w:cs="Calibri"/>
                      <w:sz w:val="21"/>
                      <w:szCs w:val="21"/>
                    </w:rPr>
                    <w:t>mg/L</w:t>
                  </w:r>
                </w:p>
              </w:tc>
              <w:tc>
                <w:tcPr>
                  <w:tcW w:w="1130" w:type="pct"/>
                  <w:vMerge w:val="continue"/>
                  <w:tcBorders>
                    <w:left w:val="single" w:color="auto" w:sz="4" w:space="0"/>
                    <w:right w:val="single" w:color="auto" w:sz="4" w:space="0"/>
                  </w:tcBorders>
                  <w:vAlign w:val="center"/>
                </w:tcPr>
                <w:p w14:paraId="549E2C02">
                  <w:pPr>
                    <w:pStyle w:val="56"/>
                    <w:snapToGrid w:val="0"/>
                    <w:rPr>
                      <w:rStyle w:val="26"/>
                      <w:rFonts w:ascii="Calibri" w:hAnsi="Calibri" w:eastAsia="Times New Roman" w:cs="Calibri"/>
                      <w:sz w:val="21"/>
                      <w:szCs w:val="21"/>
                    </w:rPr>
                  </w:pPr>
                </w:p>
              </w:tc>
            </w:tr>
            <w:tr w14:paraId="146D2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283" w:type="pct"/>
                  <w:vMerge w:val="continue"/>
                  <w:tcBorders>
                    <w:left w:val="single" w:color="auto" w:sz="4" w:space="0"/>
                    <w:right w:val="single" w:color="auto" w:sz="4" w:space="0"/>
                  </w:tcBorders>
                  <w:vAlign w:val="center"/>
                </w:tcPr>
                <w:p w14:paraId="7158D6E2">
                  <w:pPr>
                    <w:pStyle w:val="56"/>
                    <w:snapToGrid w:val="0"/>
                    <w:rPr>
                      <w:rStyle w:val="26"/>
                      <w:rFonts w:ascii="Calibri" w:hAnsi="Calibri" w:eastAsia="Times New Roman" w:cs="Calibri"/>
                      <w:sz w:val="21"/>
                      <w:szCs w:val="21"/>
                    </w:rPr>
                  </w:pPr>
                </w:p>
              </w:tc>
              <w:tc>
                <w:tcPr>
                  <w:tcW w:w="699" w:type="pct"/>
                  <w:vMerge w:val="continue"/>
                  <w:tcBorders>
                    <w:left w:val="single" w:color="auto" w:sz="4" w:space="0"/>
                    <w:right w:val="single" w:color="auto" w:sz="4" w:space="0"/>
                  </w:tcBorders>
                  <w:vAlign w:val="center"/>
                </w:tcPr>
                <w:p w14:paraId="78388B97">
                  <w:pPr>
                    <w:pStyle w:val="56"/>
                    <w:snapToGrid w:val="0"/>
                    <w:rPr>
                      <w:rStyle w:val="26"/>
                      <w:rFonts w:ascii="Calibri" w:hAnsi="Calibri" w:eastAsia="Times New Roman" w:cs="Calibri"/>
                      <w:sz w:val="21"/>
                      <w:szCs w:val="21"/>
                    </w:rPr>
                  </w:pPr>
                </w:p>
              </w:tc>
              <w:tc>
                <w:tcPr>
                  <w:tcW w:w="1084" w:type="pct"/>
                  <w:vMerge w:val="continue"/>
                  <w:tcBorders>
                    <w:left w:val="single" w:color="auto" w:sz="4" w:space="0"/>
                    <w:right w:val="single" w:color="auto" w:sz="4" w:space="0"/>
                  </w:tcBorders>
                  <w:vAlign w:val="center"/>
                </w:tcPr>
                <w:p w14:paraId="2C502AD9">
                  <w:pPr>
                    <w:pStyle w:val="56"/>
                    <w:snapToGrid w:val="0"/>
                    <w:rPr>
                      <w:rStyle w:val="26"/>
                      <w:rFonts w:ascii="Calibri" w:hAnsi="Calibri" w:eastAsia="Times New Roman" w:cs="Calibri"/>
                      <w:sz w:val="21"/>
                      <w:szCs w:val="21"/>
                    </w:rPr>
                  </w:pPr>
                </w:p>
              </w:tc>
              <w:tc>
                <w:tcPr>
                  <w:tcW w:w="390" w:type="pct"/>
                  <w:vMerge w:val="continue"/>
                  <w:tcBorders>
                    <w:left w:val="single" w:color="auto" w:sz="4" w:space="0"/>
                    <w:right w:val="single" w:color="auto" w:sz="4" w:space="0"/>
                  </w:tcBorders>
                  <w:vAlign w:val="center"/>
                </w:tcPr>
                <w:p w14:paraId="1A889E93">
                  <w:pPr>
                    <w:pStyle w:val="56"/>
                    <w:snapToGrid w:val="0"/>
                    <w:rPr>
                      <w:rStyle w:val="26"/>
                      <w:rFonts w:ascii="Calibri" w:hAnsi="Calibri" w:eastAsia="Times New Roman" w:cs="Calibri"/>
                      <w:sz w:val="21"/>
                      <w:szCs w:val="21"/>
                    </w:rPr>
                  </w:pPr>
                </w:p>
              </w:tc>
              <w:tc>
                <w:tcPr>
                  <w:tcW w:w="778" w:type="pct"/>
                  <w:tcBorders>
                    <w:top w:val="single" w:color="auto" w:sz="4" w:space="0"/>
                    <w:left w:val="single" w:color="auto" w:sz="4" w:space="0"/>
                    <w:bottom w:val="single" w:color="auto" w:sz="4" w:space="0"/>
                    <w:right w:val="single" w:color="auto" w:sz="4" w:space="0"/>
                  </w:tcBorders>
                  <w:vAlign w:val="center"/>
                </w:tcPr>
                <w:p w14:paraId="06383BC8">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SS</w:t>
                  </w:r>
                </w:p>
              </w:tc>
              <w:tc>
                <w:tcPr>
                  <w:tcW w:w="634" w:type="pct"/>
                  <w:tcBorders>
                    <w:top w:val="single" w:color="auto" w:sz="4" w:space="0"/>
                    <w:left w:val="single" w:color="auto" w:sz="4" w:space="0"/>
                    <w:bottom w:val="single" w:color="auto" w:sz="4" w:space="0"/>
                    <w:right w:val="single" w:color="auto" w:sz="4" w:space="0"/>
                  </w:tcBorders>
                  <w:vAlign w:val="center"/>
                </w:tcPr>
                <w:p w14:paraId="365A1AFC">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≤10mg/L</w:t>
                  </w:r>
                </w:p>
              </w:tc>
              <w:tc>
                <w:tcPr>
                  <w:tcW w:w="1130" w:type="pct"/>
                  <w:vMerge w:val="continue"/>
                  <w:tcBorders>
                    <w:left w:val="single" w:color="auto" w:sz="4" w:space="0"/>
                    <w:right w:val="single" w:color="auto" w:sz="4" w:space="0"/>
                  </w:tcBorders>
                  <w:vAlign w:val="center"/>
                </w:tcPr>
                <w:p w14:paraId="39C9F948">
                  <w:pPr>
                    <w:pStyle w:val="56"/>
                    <w:snapToGrid w:val="0"/>
                    <w:rPr>
                      <w:rStyle w:val="26"/>
                      <w:rFonts w:ascii="Calibri" w:hAnsi="Calibri" w:eastAsia="Times New Roman" w:cs="Calibri"/>
                      <w:sz w:val="21"/>
                      <w:szCs w:val="21"/>
                    </w:rPr>
                  </w:pPr>
                </w:p>
              </w:tc>
            </w:tr>
            <w:tr w14:paraId="27AFD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83" w:type="pct"/>
                  <w:vMerge w:val="continue"/>
                  <w:tcBorders>
                    <w:left w:val="single" w:color="auto" w:sz="4" w:space="0"/>
                    <w:right w:val="single" w:color="auto" w:sz="4" w:space="0"/>
                  </w:tcBorders>
                  <w:vAlign w:val="center"/>
                </w:tcPr>
                <w:p w14:paraId="398FB2DC">
                  <w:pPr>
                    <w:pStyle w:val="56"/>
                    <w:snapToGrid w:val="0"/>
                    <w:rPr>
                      <w:rStyle w:val="26"/>
                      <w:rFonts w:ascii="Calibri" w:hAnsi="Calibri" w:eastAsia="Times New Roman" w:cs="Calibri"/>
                      <w:sz w:val="21"/>
                      <w:szCs w:val="21"/>
                    </w:rPr>
                  </w:pPr>
                </w:p>
              </w:tc>
              <w:tc>
                <w:tcPr>
                  <w:tcW w:w="699" w:type="pct"/>
                  <w:vMerge w:val="continue"/>
                  <w:tcBorders>
                    <w:left w:val="single" w:color="auto" w:sz="4" w:space="0"/>
                    <w:right w:val="single" w:color="auto" w:sz="4" w:space="0"/>
                  </w:tcBorders>
                  <w:vAlign w:val="center"/>
                </w:tcPr>
                <w:p w14:paraId="58CD74B7">
                  <w:pPr>
                    <w:pStyle w:val="56"/>
                    <w:snapToGrid w:val="0"/>
                    <w:rPr>
                      <w:rStyle w:val="26"/>
                      <w:rFonts w:ascii="Calibri" w:hAnsi="Calibri" w:eastAsia="Times New Roman" w:cs="Calibri"/>
                      <w:sz w:val="21"/>
                      <w:szCs w:val="21"/>
                    </w:rPr>
                  </w:pPr>
                </w:p>
              </w:tc>
              <w:tc>
                <w:tcPr>
                  <w:tcW w:w="1084" w:type="pct"/>
                  <w:vMerge w:val="continue"/>
                  <w:tcBorders>
                    <w:left w:val="single" w:color="auto" w:sz="4" w:space="0"/>
                    <w:right w:val="single" w:color="auto" w:sz="4" w:space="0"/>
                  </w:tcBorders>
                  <w:vAlign w:val="center"/>
                </w:tcPr>
                <w:p w14:paraId="5D0385AB">
                  <w:pPr>
                    <w:pStyle w:val="56"/>
                    <w:snapToGrid w:val="0"/>
                    <w:rPr>
                      <w:rStyle w:val="26"/>
                      <w:rFonts w:ascii="Calibri" w:hAnsi="Calibri" w:eastAsia="Times New Roman" w:cs="Calibri"/>
                      <w:sz w:val="21"/>
                      <w:szCs w:val="21"/>
                    </w:rPr>
                  </w:pPr>
                </w:p>
              </w:tc>
              <w:tc>
                <w:tcPr>
                  <w:tcW w:w="390" w:type="pct"/>
                  <w:vMerge w:val="continue"/>
                  <w:tcBorders>
                    <w:left w:val="single" w:color="auto" w:sz="4" w:space="0"/>
                    <w:right w:val="single" w:color="auto" w:sz="4" w:space="0"/>
                  </w:tcBorders>
                  <w:vAlign w:val="center"/>
                </w:tcPr>
                <w:p w14:paraId="6B2BCE41">
                  <w:pPr>
                    <w:pStyle w:val="56"/>
                    <w:snapToGrid w:val="0"/>
                    <w:rPr>
                      <w:rStyle w:val="26"/>
                      <w:rFonts w:ascii="Calibri" w:hAnsi="Calibri" w:eastAsia="Times New Roman" w:cs="Calibri"/>
                      <w:sz w:val="21"/>
                      <w:szCs w:val="21"/>
                    </w:rPr>
                  </w:pPr>
                </w:p>
              </w:tc>
              <w:tc>
                <w:tcPr>
                  <w:tcW w:w="778" w:type="pct"/>
                  <w:tcBorders>
                    <w:top w:val="single" w:color="auto" w:sz="4" w:space="0"/>
                    <w:left w:val="single" w:color="auto" w:sz="4" w:space="0"/>
                    <w:bottom w:val="single" w:color="auto" w:sz="4" w:space="0"/>
                    <w:right w:val="single" w:color="auto" w:sz="4" w:space="0"/>
                  </w:tcBorders>
                  <w:vAlign w:val="center"/>
                </w:tcPr>
                <w:p w14:paraId="0A948B5A">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总氮（以N计）</w:t>
                  </w:r>
                </w:p>
              </w:tc>
              <w:tc>
                <w:tcPr>
                  <w:tcW w:w="634" w:type="pct"/>
                  <w:tcBorders>
                    <w:top w:val="single" w:color="auto" w:sz="4" w:space="0"/>
                    <w:left w:val="single" w:color="auto" w:sz="4" w:space="0"/>
                    <w:bottom w:val="single" w:color="auto" w:sz="4" w:space="0"/>
                    <w:right w:val="single" w:color="auto" w:sz="4" w:space="0"/>
                  </w:tcBorders>
                  <w:vAlign w:val="center"/>
                </w:tcPr>
                <w:p w14:paraId="7FB2B95C">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≤15mg/L</w:t>
                  </w:r>
                </w:p>
              </w:tc>
              <w:tc>
                <w:tcPr>
                  <w:tcW w:w="1130" w:type="pct"/>
                  <w:vMerge w:val="continue"/>
                  <w:tcBorders>
                    <w:left w:val="single" w:color="auto" w:sz="4" w:space="0"/>
                    <w:right w:val="single" w:color="auto" w:sz="4" w:space="0"/>
                  </w:tcBorders>
                  <w:vAlign w:val="center"/>
                </w:tcPr>
                <w:p w14:paraId="067DEB12">
                  <w:pPr>
                    <w:pStyle w:val="56"/>
                    <w:snapToGrid w:val="0"/>
                    <w:rPr>
                      <w:rStyle w:val="26"/>
                      <w:rFonts w:ascii="Calibri" w:hAnsi="Calibri" w:eastAsia="Times New Roman" w:cs="Calibri"/>
                      <w:sz w:val="21"/>
                      <w:szCs w:val="21"/>
                    </w:rPr>
                  </w:pPr>
                </w:p>
              </w:tc>
            </w:tr>
            <w:tr w14:paraId="5354F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283" w:type="pct"/>
                  <w:vMerge w:val="continue"/>
                  <w:tcBorders>
                    <w:left w:val="single" w:color="auto" w:sz="4" w:space="0"/>
                    <w:right w:val="single" w:color="auto" w:sz="4" w:space="0"/>
                  </w:tcBorders>
                  <w:vAlign w:val="center"/>
                </w:tcPr>
                <w:p w14:paraId="1F5962C8">
                  <w:pPr>
                    <w:pStyle w:val="56"/>
                    <w:snapToGrid w:val="0"/>
                    <w:rPr>
                      <w:rStyle w:val="26"/>
                      <w:rFonts w:ascii="Calibri" w:hAnsi="Calibri" w:eastAsia="Times New Roman" w:cs="Calibri"/>
                      <w:sz w:val="21"/>
                      <w:szCs w:val="21"/>
                    </w:rPr>
                  </w:pPr>
                </w:p>
              </w:tc>
              <w:tc>
                <w:tcPr>
                  <w:tcW w:w="699" w:type="pct"/>
                  <w:vMerge w:val="continue"/>
                  <w:tcBorders>
                    <w:left w:val="single" w:color="auto" w:sz="4" w:space="0"/>
                    <w:right w:val="single" w:color="auto" w:sz="4" w:space="0"/>
                  </w:tcBorders>
                  <w:vAlign w:val="center"/>
                </w:tcPr>
                <w:p w14:paraId="432F4396">
                  <w:pPr>
                    <w:pStyle w:val="56"/>
                    <w:snapToGrid w:val="0"/>
                    <w:rPr>
                      <w:rStyle w:val="26"/>
                      <w:rFonts w:ascii="Calibri" w:hAnsi="Calibri" w:eastAsia="Times New Roman" w:cs="Calibri"/>
                      <w:sz w:val="21"/>
                      <w:szCs w:val="21"/>
                    </w:rPr>
                  </w:pPr>
                </w:p>
              </w:tc>
              <w:tc>
                <w:tcPr>
                  <w:tcW w:w="1084" w:type="pct"/>
                  <w:vMerge w:val="continue"/>
                  <w:tcBorders>
                    <w:left w:val="single" w:color="auto" w:sz="4" w:space="0"/>
                    <w:right w:val="single" w:color="auto" w:sz="4" w:space="0"/>
                  </w:tcBorders>
                  <w:vAlign w:val="center"/>
                </w:tcPr>
                <w:p w14:paraId="07409C6D">
                  <w:pPr>
                    <w:pStyle w:val="56"/>
                    <w:snapToGrid w:val="0"/>
                    <w:rPr>
                      <w:rStyle w:val="26"/>
                      <w:rFonts w:ascii="Calibri" w:hAnsi="Calibri" w:eastAsia="Times New Roman" w:cs="Calibri"/>
                      <w:sz w:val="21"/>
                      <w:szCs w:val="21"/>
                    </w:rPr>
                  </w:pPr>
                </w:p>
              </w:tc>
              <w:tc>
                <w:tcPr>
                  <w:tcW w:w="390" w:type="pct"/>
                  <w:vMerge w:val="continue"/>
                  <w:tcBorders>
                    <w:left w:val="single" w:color="auto" w:sz="4" w:space="0"/>
                    <w:right w:val="single" w:color="auto" w:sz="4" w:space="0"/>
                  </w:tcBorders>
                  <w:vAlign w:val="center"/>
                </w:tcPr>
                <w:p w14:paraId="54BDA749">
                  <w:pPr>
                    <w:pStyle w:val="56"/>
                    <w:snapToGrid w:val="0"/>
                    <w:rPr>
                      <w:rStyle w:val="26"/>
                      <w:rFonts w:ascii="Calibri" w:hAnsi="Calibri" w:eastAsia="Times New Roman" w:cs="Calibri"/>
                      <w:sz w:val="21"/>
                      <w:szCs w:val="21"/>
                    </w:rPr>
                  </w:pPr>
                </w:p>
              </w:tc>
              <w:tc>
                <w:tcPr>
                  <w:tcW w:w="778" w:type="pct"/>
                  <w:tcBorders>
                    <w:top w:val="single" w:color="auto" w:sz="4" w:space="0"/>
                    <w:left w:val="single" w:color="auto" w:sz="4" w:space="0"/>
                    <w:bottom w:val="single" w:color="auto" w:sz="4" w:space="0"/>
                    <w:right w:val="single" w:color="auto" w:sz="4" w:space="0"/>
                  </w:tcBorders>
                  <w:vAlign w:val="center"/>
                </w:tcPr>
                <w:p w14:paraId="0AC78360">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总磷（以P计）</w:t>
                  </w:r>
                </w:p>
              </w:tc>
              <w:tc>
                <w:tcPr>
                  <w:tcW w:w="634" w:type="pct"/>
                  <w:tcBorders>
                    <w:top w:val="single" w:color="auto" w:sz="4" w:space="0"/>
                    <w:left w:val="single" w:color="auto" w:sz="4" w:space="0"/>
                    <w:bottom w:val="single" w:color="auto" w:sz="4" w:space="0"/>
                    <w:right w:val="single" w:color="auto" w:sz="4" w:space="0"/>
                  </w:tcBorders>
                  <w:vAlign w:val="center"/>
                </w:tcPr>
                <w:p w14:paraId="2307A3E9">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≤0.5mg/L</w:t>
                  </w:r>
                </w:p>
              </w:tc>
              <w:tc>
                <w:tcPr>
                  <w:tcW w:w="1130" w:type="pct"/>
                  <w:vMerge w:val="continue"/>
                  <w:tcBorders>
                    <w:left w:val="single" w:color="auto" w:sz="4" w:space="0"/>
                    <w:right w:val="single" w:color="auto" w:sz="4" w:space="0"/>
                  </w:tcBorders>
                  <w:vAlign w:val="center"/>
                </w:tcPr>
                <w:p w14:paraId="7727F7A9">
                  <w:pPr>
                    <w:pStyle w:val="56"/>
                    <w:snapToGrid w:val="0"/>
                    <w:rPr>
                      <w:rStyle w:val="26"/>
                      <w:rFonts w:ascii="Calibri" w:hAnsi="Calibri" w:eastAsia="Times New Roman" w:cs="Calibri"/>
                      <w:sz w:val="21"/>
                      <w:szCs w:val="21"/>
                    </w:rPr>
                  </w:pPr>
                </w:p>
              </w:tc>
            </w:tr>
            <w:tr w14:paraId="585C3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283" w:type="pct"/>
                  <w:vMerge w:val="continue"/>
                  <w:tcBorders>
                    <w:left w:val="single" w:color="auto" w:sz="4" w:space="0"/>
                    <w:right w:val="single" w:color="auto" w:sz="4" w:space="0"/>
                  </w:tcBorders>
                  <w:vAlign w:val="center"/>
                </w:tcPr>
                <w:p w14:paraId="7E6074E1">
                  <w:pPr>
                    <w:pStyle w:val="56"/>
                    <w:snapToGrid w:val="0"/>
                    <w:rPr>
                      <w:rStyle w:val="26"/>
                      <w:rFonts w:ascii="Calibri" w:hAnsi="Calibri" w:eastAsia="Times New Roman" w:cs="Calibri"/>
                      <w:sz w:val="21"/>
                      <w:szCs w:val="21"/>
                    </w:rPr>
                  </w:pPr>
                </w:p>
              </w:tc>
              <w:tc>
                <w:tcPr>
                  <w:tcW w:w="699" w:type="pct"/>
                  <w:vMerge w:val="continue"/>
                  <w:tcBorders>
                    <w:left w:val="single" w:color="auto" w:sz="4" w:space="0"/>
                    <w:right w:val="single" w:color="auto" w:sz="4" w:space="0"/>
                  </w:tcBorders>
                  <w:vAlign w:val="center"/>
                </w:tcPr>
                <w:p w14:paraId="5570EA8D">
                  <w:pPr>
                    <w:pStyle w:val="56"/>
                    <w:snapToGrid w:val="0"/>
                    <w:rPr>
                      <w:rStyle w:val="26"/>
                      <w:rFonts w:ascii="Calibri" w:hAnsi="Calibri" w:eastAsia="Times New Roman" w:cs="Calibri"/>
                      <w:sz w:val="21"/>
                      <w:szCs w:val="21"/>
                    </w:rPr>
                  </w:pPr>
                </w:p>
              </w:tc>
              <w:tc>
                <w:tcPr>
                  <w:tcW w:w="1084" w:type="pct"/>
                  <w:vMerge w:val="continue"/>
                  <w:tcBorders>
                    <w:left w:val="single" w:color="auto" w:sz="4" w:space="0"/>
                    <w:bottom w:val="single" w:color="auto" w:sz="4" w:space="0"/>
                    <w:right w:val="single" w:color="auto" w:sz="4" w:space="0"/>
                  </w:tcBorders>
                  <w:vAlign w:val="center"/>
                </w:tcPr>
                <w:p w14:paraId="67E30527">
                  <w:pPr>
                    <w:pStyle w:val="56"/>
                    <w:snapToGrid w:val="0"/>
                    <w:rPr>
                      <w:rStyle w:val="26"/>
                      <w:rFonts w:ascii="Calibri" w:hAnsi="Calibri" w:eastAsia="Times New Roman" w:cs="Calibri"/>
                      <w:sz w:val="21"/>
                      <w:szCs w:val="21"/>
                      <w:lang w:eastAsia="zh-CN"/>
                    </w:rPr>
                  </w:pPr>
                </w:p>
              </w:tc>
              <w:tc>
                <w:tcPr>
                  <w:tcW w:w="390" w:type="pct"/>
                  <w:vMerge w:val="continue"/>
                  <w:tcBorders>
                    <w:left w:val="single" w:color="auto" w:sz="4" w:space="0"/>
                    <w:bottom w:val="single" w:color="auto" w:sz="4" w:space="0"/>
                    <w:right w:val="single" w:color="auto" w:sz="4" w:space="0"/>
                  </w:tcBorders>
                  <w:vAlign w:val="center"/>
                </w:tcPr>
                <w:p w14:paraId="0B499285">
                  <w:pPr>
                    <w:pStyle w:val="56"/>
                    <w:snapToGrid w:val="0"/>
                    <w:rPr>
                      <w:rStyle w:val="26"/>
                      <w:rFonts w:ascii="Calibri" w:hAnsi="Calibri" w:eastAsia="Times New Roman" w:cs="Calibri"/>
                      <w:sz w:val="21"/>
                      <w:szCs w:val="21"/>
                      <w:lang w:eastAsia="zh-CN"/>
                    </w:rPr>
                  </w:pPr>
                </w:p>
              </w:tc>
              <w:tc>
                <w:tcPr>
                  <w:tcW w:w="778" w:type="pct"/>
                  <w:tcBorders>
                    <w:top w:val="single" w:color="auto" w:sz="4" w:space="0"/>
                    <w:left w:val="single" w:color="auto" w:sz="4" w:space="0"/>
                    <w:bottom w:val="single" w:color="auto" w:sz="4" w:space="0"/>
                    <w:right w:val="single" w:color="auto" w:sz="4" w:space="0"/>
                  </w:tcBorders>
                  <w:vAlign w:val="center"/>
                </w:tcPr>
                <w:p w14:paraId="2086BAA1">
                  <w:pPr>
                    <w:pStyle w:val="56"/>
                    <w:snapToGrid w:val="0"/>
                    <w:rPr>
                      <w:rStyle w:val="26"/>
                      <w:rFonts w:ascii="Calibri" w:hAnsi="Calibri" w:eastAsia="Times New Roman" w:cs="Calibri"/>
                      <w:sz w:val="21"/>
                      <w:szCs w:val="21"/>
                      <w:lang w:eastAsia="zh-CN"/>
                    </w:rPr>
                  </w:pPr>
                  <w:r>
                    <w:rPr>
                      <w:rStyle w:val="26"/>
                      <w:rFonts w:hint="eastAsia" w:ascii="Calibri" w:hAnsi="Calibri" w:eastAsia="Times New Roman" w:cs="Calibri"/>
                      <w:sz w:val="21"/>
                      <w:szCs w:val="21"/>
                      <w:lang w:val="en-US" w:eastAsia="zh-CN"/>
                    </w:rPr>
                    <w:t>动植物油</w:t>
                  </w:r>
                </w:p>
              </w:tc>
              <w:tc>
                <w:tcPr>
                  <w:tcW w:w="634" w:type="pct"/>
                  <w:tcBorders>
                    <w:top w:val="single" w:color="auto" w:sz="4" w:space="0"/>
                    <w:left w:val="single" w:color="auto" w:sz="4" w:space="0"/>
                    <w:bottom w:val="single" w:color="auto" w:sz="4" w:space="0"/>
                    <w:right w:val="single" w:color="auto" w:sz="4" w:space="0"/>
                  </w:tcBorders>
                  <w:vAlign w:val="center"/>
                </w:tcPr>
                <w:p w14:paraId="6BB282CF">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≤1mg/L</w:t>
                  </w:r>
                </w:p>
              </w:tc>
              <w:tc>
                <w:tcPr>
                  <w:tcW w:w="1130" w:type="pct"/>
                  <w:vMerge w:val="continue"/>
                  <w:tcBorders>
                    <w:left w:val="single" w:color="auto" w:sz="4" w:space="0"/>
                    <w:bottom w:val="single" w:color="auto" w:sz="4" w:space="0"/>
                    <w:right w:val="single" w:color="auto" w:sz="4" w:space="0"/>
                  </w:tcBorders>
                  <w:vAlign w:val="center"/>
                </w:tcPr>
                <w:p w14:paraId="3A51349D">
                  <w:pPr>
                    <w:pStyle w:val="56"/>
                    <w:snapToGrid w:val="0"/>
                    <w:rPr>
                      <w:rStyle w:val="26"/>
                      <w:rFonts w:ascii="Calibri" w:hAnsi="Calibri" w:eastAsia="Times New Roman" w:cs="Calibri"/>
                      <w:sz w:val="21"/>
                      <w:szCs w:val="21"/>
                    </w:rPr>
                  </w:pPr>
                </w:p>
              </w:tc>
            </w:tr>
            <w:tr w14:paraId="67695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283" w:type="pct"/>
                  <w:vMerge w:val="continue"/>
                  <w:tcBorders>
                    <w:left w:val="single" w:color="auto" w:sz="4" w:space="0"/>
                    <w:bottom w:val="single" w:color="auto" w:sz="4" w:space="0"/>
                    <w:right w:val="single" w:color="auto" w:sz="4" w:space="0"/>
                  </w:tcBorders>
                  <w:vAlign w:val="center"/>
                </w:tcPr>
                <w:p w14:paraId="41B918DE">
                  <w:pPr>
                    <w:pStyle w:val="56"/>
                    <w:snapToGrid w:val="0"/>
                    <w:rPr>
                      <w:rStyle w:val="26"/>
                      <w:rFonts w:ascii="Calibri" w:hAnsi="Calibri" w:eastAsia="Times New Roman" w:cs="Calibri"/>
                      <w:sz w:val="21"/>
                      <w:szCs w:val="21"/>
                    </w:rPr>
                  </w:pPr>
                </w:p>
              </w:tc>
              <w:tc>
                <w:tcPr>
                  <w:tcW w:w="699" w:type="pct"/>
                  <w:vMerge w:val="continue"/>
                  <w:tcBorders>
                    <w:left w:val="single" w:color="auto" w:sz="4" w:space="0"/>
                    <w:bottom w:val="single" w:color="auto" w:sz="4" w:space="0"/>
                    <w:right w:val="single" w:color="auto" w:sz="4" w:space="0"/>
                  </w:tcBorders>
                  <w:vAlign w:val="center"/>
                </w:tcPr>
                <w:p w14:paraId="6E9DD0AF">
                  <w:pPr>
                    <w:pStyle w:val="56"/>
                    <w:snapToGrid w:val="0"/>
                    <w:rPr>
                      <w:rStyle w:val="26"/>
                      <w:rFonts w:ascii="Calibri" w:hAnsi="Calibri" w:eastAsia="Times New Roman" w:cs="Calibri"/>
                      <w:sz w:val="21"/>
                      <w:szCs w:val="21"/>
                    </w:rPr>
                  </w:pPr>
                </w:p>
              </w:tc>
              <w:tc>
                <w:tcPr>
                  <w:tcW w:w="1084" w:type="pct"/>
                  <w:tcBorders>
                    <w:top w:val="single" w:color="auto" w:sz="4" w:space="0"/>
                    <w:left w:val="single" w:color="auto" w:sz="4" w:space="0"/>
                    <w:bottom w:val="single" w:color="auto" w:sz="4" w:space="0"/>
                    <w:right w:val="single" w:color="auto" w:sz="4" w:space="0"/>
                  </w:tcBorders>
                  <w:vAlign w:val="center"/>
                </w:tcPr>
                <w:p w14:paraId="6B482FEF">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进出口安装在线自动监测仪及自动流量计，pH、</w:t>
                  </w:r>
                  <w:r>
                    <w:rPr>
                      <w:rStyle w:val="26"/>
                      <w:rFonts w:hint="eastAsia" w:ascii="Calibri" w:hAnsi="Calibri" w:eastAsia="Times New Roman" w:cs="Calibri"/>
                      <w:sz w:val="21"/>
                      <w:szCs w:val="21"/>
                      <w:lang w:eastAsia="zh-CN"/>
                    </w:rPr>
                    <w:t>CODcr</w:t>
                  </w:r>
                  <w:r>
                    <w:rPr>
                      <w:rStyle w:val="26"/>
                      <w:rFonts w:ascii="Calibri" w:hAnsi="Calibri" w:eastAsia="Times New Roman" w:cs="Calibri"/>
                      <w:sz w:val="21"/>
                      <w:szCs w:val="21"/>
                      <w:lang w:eastAsia="zh-CN"/>
                    </w:rPr>
                    <w:t>、NH</w:t>
                  </w:r>
                  <w:r>
                    <w:rPr>
                      <w:rStyle w:val="26"/>
                      <w:rFonts w:ascii="Calibri" w:hAnsi="Calibri" w:eastAsia="Times New Roman" w:cs="Calibri"/>
                      <w:sz w:val="21"/>
                      <w:szCs w:val="21"/>
                      <w:vertAlign w:val="subscript"/>
                      <w:lang w:eastAsia="zh-CN"/>
                    </w:rPr>
                    <w:t>3</w:t>
                  </w:r>
                  <w:r>
                    <w:rPr>
                      <w:rStyle w:val="26"/>
                      <w:rFonts w:ascii="Calibri" w:hAnsi="Calibri" w:eastAsia="Times New Roman" w:cs="Calibri"/>
                      <w:sz w:val="21"/>
                      <w:szCs w:val="21"/>
                      <w:lang w:eastAsia="zh-CN"/>
                    </w:rPr>
                    <w:t>-N、总磷、总氮等</w:t>
                  </w:r>
                </w:p>
              </w:tc>
              <w:tc>
                <w:tcPr>
                  <w:tcW w:w="390" w:type="pct"/>
                  <w:tcBorders>
                    <w:left w:val="single" w:color="auto" w:sz="4" w:space="0"/>
                    <w:bottom w:val="single" w:color="auto" w:sz="4" w:space="0"/>
                    <w:right w:val="single" w:color="auto" w:sz="4" w:space="0"/>
                  </w:tcBorders>
                  <w:vAlign w:val="center"/>
                </w:tcPr>
                <w:p w14:paraId="59C0ED81">
                  <w:pPr>
                    <w:pStyle w:val="56"/>
                    <w:snapToGrid w:val="0"/>
                    <w:rPr>
                      <w:rStyle w:val="26"/>
                      <w:rFonts w:hint="default" w:ascii="Calibri" w:hAnsi="Calibri" w:eastAsia="Times New Roman" w:cs="Calibri"/>
                      <w:sz w:val="21"/>
                      <w:szCs w:val="21"/>
                      <w:lang w:val="en-US" w:eastAsia="zh-CN"/>
                    </w:rPr>
                  </w:pPr>
                  <w:r>
                    <w:rPr>
                      <w:rStyle w:val="26"/>
                      <w:rFonts w:hint="eastAsia" w:ascii="Calibri" w:hAnsi="Calibri" w:eastAsia="Times New Roman" w:cs="Calibri"/>
                      <w:sz w:val="21"/>
                      <w:szCs w:val="21"/>
                      <w:lang w:val="en-US" w:eastAsia="zh-CN"/>
                    </w:rPr>
                    <w:t>1套</w:t>
                  </w:r>
                </w:p>
              </w:tc>
              <w:tc>
                <w:tcPr>
                  <w:tcW w:w="778" w:type="pct"/>
                  <w:tcBorders>
                    <w:top w:val="single" w:color="auto" w:sz="4" w:space="0"/>
                    <w:left w:val="single" w:color="auto" w:sz="4" w:space="0"/>
                    <w:bottom w:val="single" w:color="auto" w:sz="4" w:space="0"/>
                    <w:right w:val="single" w:color="auto" w:sz="4" w:space="0"/>
                  </w:tcBorders>
                  <w:vAlign w:val="center"/>
                </w:tcPr>
                <w:p w14:paraId="71213EF9">
                  <w:pPr>
                    <w:pStyle w:val="56"/>
                    <w:snapToGrid w:val="0"/>
                    <w:rPr>
                      <w:rStyle w:val="26"/>
                      <w:rFonts w:hint="default" w:ascii="Calibri" w:hAnsi="Calibri" w:eastAsia="Times New Roman" w:cs="Calibri"/>
                      <w:sz w:val="21"/>
                      <w:szCs w:val="21"/>
                      <w:lang w:val="en-US" w:eastAsia="zh-CN"/>
                    </w:rPr>
                  </w:pPr>
                  <w:r>
                    <w:rPr>
                      <w:rStyle w:val="26"/>
                      <w:rFonts w:hint="eastAsia" w:ascii="Calibri" w:hAnsi="Calibri" w:eastAsia="Times New Roman" w:cs="Calibri"/>
                      <w:sz w:val="21"/>
                      <w:szCs w:val="21"/>
                      <w:lang w:val="en-US" w:eastAsia="zh-CN"/>
                    </w:rPr>
                    <w:t>/</w:t>
                  </w:r>
                </w:p>
              </w:tc>
              <w:tc>
                <w:tcPr>
                  <w:tcW w:w="634" w:type="pct"/>
                  <w:tcBorders>
                    <w:top w:val="single" w:color="auto" w:sz="4" w:space="0"/>
                    <w:left w:val="single" w:color="auto" w:sz="4" w:space="0"/>
                    <w:bottom w:val="single" w:color="auto" w:sz="4" w:space="0"/>
                    <w:right w:val="single" w:color="auto" w:sz="4" w:space="0"/>
                  </w:tcBorders>
                  <w:vAlign w:val="center"/>
                </w:tcPr>
                <w:p w14:paraId="481E5A49">
                  <w:pPr>
                    <w:pStyle w:val="56"/>
                    <w:snapToGrid w:val="0"/>
                    <w:rPr>
                      <w:rStyle w:val="26"/>
                      <w:rFonts w:hint="eastAsia" w:ascii="Calibri" w:hAnsi="Calibri" w:eastAsia="宋体" w:cs="Calibri"/>
                      <w:sz w:val="21"/>
                      <w:szCs w:val="21"/>
                      <w:lang w:val="en-US" w:eastAsia="zh-CN"/>
                    </w:rPr>
                  </w:pPr>
                  <w:r>
                    <w:rPr>
                      <w:rStyle w:val="26"/>
                      <w:rFonts w:hint="eastAsia" w:ascii="Calibri" w:hAnsi="Calibri" w:eastAsia="宋体" w:cs="Calibri"/>
                      <w:sz w:val="21"/>
                      <w:szCs w:val="21"/>
                      <w:lang w:val="en-US" w:eastAsia="zh-CN"/>
                    </w:rPr>
                    <w:t>/</w:t>
                  </w:r>
                </w:p>
              </w:tc>
              <w:tc>
                <w:tcPr>
                  <w:tcW w:w="1130" w:type="pct"/>
                  <w:tcBorders>
                    <w:left w:val="single" w:color="auto" w:sz="4" w:space="0"/>
                    <w:bottom w:val="single" w:color="auto" w:sz="4" w:space="0"/>
                    <w:right w:val="single" w:color="auto" w:sz="4" w:space="0"/>
                  </w:tcBorders>
                  <w:vAlign w:val="center"/>
                </w:tcPr>
                <w:p w14:paraId="731BE840">
                  <w:pPr>
                    <w:pStyle w:val="56"/>
                    <w:snapToGrid w:val="0"/>
                    <w:rPr>
                      <w:rStyle w:val="26"/>
                      <w:rFonts w:hint="default" w:ascii="Calibri" w:hAnsi="Calibri" w:eastAsia="宋体" w:cs="Calibri"/>
                      <w:sz w:val="21"/>
                      <w:szCs w:val="21"/>
                      <w:lang w:val="en-US" w:eastAsia="zh-CN"/>
                    </w:rPr>
                  </w:pPr>
                  <w:r>
                    <w:rPr>
                      <w:rStyle w:val="26"/>
                      <w:rFonts w:hint="eastAsia" w:ascii="Calibri" w:hAnsi="Calibri" w:eastAsia="宋体" w:cs="Calibri"/>
                      <w:sz w:val="21"/>
                      <w:szCs w:val="21"/>
                      <w:lang w:val="en-US" w:eastAsia="zh-CN"/>
                    </w:rPr>
                    <w:t>完成在线监测验收</w:t>
                  </w:r>
                </w:p>
              </w:tc>
            </w:tr>
            <w:tr w14:paraId="0B286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7" w:hRule="atLeast"/>
              </w:trPr>
              <w:tc>
                <w:tcPr>
                  <w:tcW w:w="283" w:type="pct"/>
                  <w:tcBorders>
                    <w:top w:val="single" w:color="auto" w:sz="4" w:space="0"/>
                    <w:left w:val="single" w:color="auto" w:sz="4" w:space="0"/>
                    <w:bottom w:val="single" w:color="auto" w:sz="4" w:space="0"/>
                    <w:right w:val="single" w:color="auto" w:sz="4" w:space="0"/>
                  </w:tcBorders>
                  <w:vAlign w:val="center"/>
                </w:tcPr>
                <w:p w14:paraId="64AEAF5C">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噪声</w:t>
                  </w:r>
                </w:p>
              </w:tc>
              <w:tc>
                <w:tcPr>
                  <w:tcW w:w="699" w:type="pct"/>
                  <w:tcBorders>
                    <w:top w:val="single" w:color="auto" w:sz="4" w:space="0"/>
                    <w:left w:val="single" w:color="auto" w:sz="4" w:space="0"/>
                    <w:bottom w:val="single" w:color="auto" w:sz="4" w:space="0"/>
                    <w:right w:val="single" w:color="auto" w:sz="4" w:space="0"/>
                  </w:tcBorders>
                  <w:vAlign w:val="center"/>
                </w:tcPr>
                <w:p w14:paraId="1C8A3D4F">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风机、泵等设备运行噪声</w:t>
                  </w:r>
                </w:p>
              </w:tc>
              <w:tc>
                <w:tcPr>
                  <w:tcW w:w="1084" w:type="pct"/>
                  <w:tcBorders>
                    <w:top w:val="single" w:color="auto" w:sz="4" w:space="0"/>
                    <w:left w:val="single" w:color="auto" w:sz="4" w:space="0"/>
                    <w:bottom w:val="single" w:color="auto" w:sz="4" w:space="0"/>
                    <w:right w:val="single" w:color="auto" w:sz="4" w:space="0"/>
                  </w:tcBorders>
                  <w:vAlign w:val="center"/>
                </w:tcPr>
                <w:p w14:paraId="7E5EADDA">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隔声、基础减振等措施</w:t>
                  </w:r>
                </w:p>
              </w:tc>
              <w:tc>
                <w:tcPr>
                  <w:tcW w:w="390" w:type="pct"/>
                  <w:tcBorders>
                    <w:top w:val="single" w:color="auto" w:sz="4" w:space="0"/>
                    <w:left w:val="single" w:color="auto" w:sz="4" w:space="0"/>
                    <w:bottom w:val="single" w:color="auto" w:sz="4" w:space="0"/>
                    <w:right w:val="single" w:color="auto" w:sz="4" w:space="0"/>
                  </w:tcBorders>
                  <w:vAlign w:val="center"/>
                </w:tcPr>
                <w:p w14:paraId="11408034">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若干</w:t>
                  </w:r>
                </w:p>
              </w:tc>
              <w:tc>
                <w:tcPr>
                  <w:tcW w:w="1412" w:type="pct"/>
                  <w:gridSpan w:val="2"/>
                  <w:tcBorders>
                    <w:top w:val="single" w:color="auto" w:sz="4" w:space="0"/>
                    <w:left w:val="single" w:color="auto" w:sz="4" w:space="0"/>
                    <w:bottom w:val="single" w:color="auto" w:sz="4" w:space="0"/>
                    <w:right w:val="single" w:color="auto" w:sz="4" w:space="0"/>
                  </w:tcBorders>
                  <w:vAlign w:val="center"/>
                </w:tcPr>
                <w:p w14:paraId="7283160A">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昼间≤60dB</w:t>
                  </w:r>
                  <w:r>
                    <w:rPr>
                      <w:rStyle w:val="26"/>
                      <w:rFonts w:hint="eastAsia" w:ascii="Calibri" w:hAnsi="Calibri" w:eastAsia="宋体" w:cs="Calibri"/>
                      <w:sz w:val="21"/>
                      <w:szCs w:val="21"/>
                      <w:lang w:eastAsia="zh-CN"/>
                    </w:rPr>
                    <w:t>（</w:t>
                  </w:r>
                  <w:r>
                    <w:rPr>
                      <w:rStyle w:val="26"/>
                      <w:rFonts w:ascii="Calibri" w:hAnsi="Calibri" w:eastAsia="Times New Roman" w:cs="Calibri"/>
                      <w:sz w:val="21"/>
                      <w:szCs w:val="21"/>
                    </w:rPr>
                    <w:t>A</w:t>
                  </w:r>
                  <w:r>
                    <w:rPr>
                      <w:rStyle w:val="26"/>
                      <w:rFonts w:hint="eastAsia" w:ascii="Calibri" w:hAnsi="Calibri" w:eastAsia="Times New Roman" w:cs="Calibri"/>
                      <w:sz w:val="21"/>
                      <w:szCs w:val="21"/>
                      <w:lang w:eastAsia="zh-CN"/>
                    </w:rPr>
                    <w:t>）</w:t>
                  </w:r>
                  <w:r>
                    <w:rPr>
                      <w:rStyle w:val="26"/>
                      <w:rFonts w:ascii="Calibri" w:hAnsi="Calibri" w:eastAsia="Times New Roman" w:cs="Calibri"/>
                      <w:sz w:val="21"/>
                      <w:szCs w:val="21"/>
                    </w:rPr>
                    <w:t>夜间≤50dB(A)</w:t>
                  </w:r>
                </w:p>
              </w:tc>
              <w:tc>
                <w:tcPr>
                  <w:tcW w:w="1130" w:type="pct"/>
                  <w:tcBorders>
                    <w:top w:val="single" w:color="auto" w:sz="4" w:space="0"/>
                    <w:left w:val="single" w:color="auto" w:sz="4" w:space="0"/>
                    <w:bottom w:val="single" w:color="auto" w:sz="4" w:space="0"/>
                    <w:right w:val="single" w:color="auto" w:sz="4" w:space="0"/>
                  </w:tcBorders>
                  <w:vAlign w:val="center"/>
                </w:tcPr>
                <w:p w14:paraId="29F184F4">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《工业企业厂界环境噪声排放标准》</w:t>
                  </w:r>
                </w:p>
                <w:p w14:paraId="31866047">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（GB12348-2008）中的</w:t>
                  </w:r>
                  <w:r>
                    <w:rPr>
                      <w:rStyle w:val="26"/>
                      <w:rFonts w:hint="eastAsia" w:ascii="Calibri" w:hAnsi="Calibri" w:eastAsia="宋体" w:cs="Calibri"/>
                      <w:sz w:val="21"/>
                      <w:szCs w:val="21"/>
                      <w:lang w:val="en-US" w:eastAsia="zh-CN"/>
                    </w:rPr>
                    <w:t>3</w:t>
                  </w:r>
                  <w:r>
                    <w:rPr>
                      <w:rStyle w:val="26"/>
                      <w:rFonts w:ascii="Calibri" w:hAnsi="Calibri" w:eastAsia="Times New Roman" w:cs="Calibri"/>
                      <w:sz w:val="21"/>
                      <w:szCs w:val="21"/>
                    </w:rPr>
                    <w:t>类标准</w:t>
                  </w:r>
                </w:p>
              </w:tc>
            </w:tr>
            <w:tr w14:paraId="304CB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283" w:type="pct"/>
                  <w:vMerge w:val="restart"/>
                  <w:tcBorders>
                    <w:top w:val="single" w:color="auto" w:sz="4" w:space="0"/>
                    <w:left w:val="single" w:color="auto" w:sz="4" w:space="0"/>
                    <w:right w:val="single" w:color="auto" w:sz="4" w:space="0"/>
                  </w:tcBorders>
                  <w:vAlign w:val="center"/>
                </w:tcPr>
                <w:p w14:paraId="277477D3">
                  <w:pPr>
                    <w:pStyle w:val="56"/>
                    <w:snapToGrid w:val="0"/>
                    <w:rPr>
                      <w:rStyle w:val="26"/>
                      <w:rFonts w:ascii="Calibri" w:hAnsi="Calibri" w:eastAsia="Times New Roman" w:cs="Calibri"/>
                      <w:sz w:val="21"/>
                      <w:szCs w:val="21"/>
                    </w:rPr>
                  </w:pPr>
                </w:p>
                <w:p w14:paraId="4A7DD2E5">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固废</w:t>
                  </w:r>
                </w:p>
              </w:tc>
              <w:tc>
                <w:tcPr>
                  <w:tcW w:w="699" w:type="pct"/>
                  <w:tcBorders>
                    <w:top w:val="single" w:color="auto" w:sz="4" w:space="0"/>
                    <w:left w:val="single" w:color="auto" w:sz="4" w:space="0"/>
                    <w:bottom w:val="single" w:color="auto" w:sz="4" w:space="0"/>
                    <w:right w:val="single" w:color="auto" w:sz="4" w:space="0"/>
                  </w:tcBorders>
                  <w:vAlign w:val="center"/>
                </w:tcPr>
                <w:p w14:paraId="58106871">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生活垃圾</w:t>
                  </w:r>
                </w:p>
              </w:tc>
              <w:tc>
                <w:tcPr>
                  <w:tcW w:w="1084" w:type="pct"/>
                  <w:tcBorders>
                    <w:top w:val="single" w:color="auto" w:sz="4" w:space="0"/>
                    <w:left w:val="single" w:color="auto" w:sz="4" w:space="0"/>
                    <w:bottom w:val="single" w:color="auto" w:sz="4" w:space="0"/>
                    <w:right w:val="single" w:color="auto" w:sz="4" w:space="0"/>
                  </w:tcBorders>
                  <w:vAlign w:val="center"/>
                </w:tcPr>
                <w:p w14:paraId="08839B4F">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设垃圾桶，由环卫部门统一处理</w:t>
                  </w:r>
                </w:p>
              </w:tc>
              <w:tc>
                <w:tcPr>
                  <w:tcW w:w="390" w:type="pct"/>
                  <w:tcBorders>
                    <w:top w:val="single" w:color="auto" w:sz="4" w:space="0"/>
                    <w:left w:val="single" w:color="auto" w:sz="4" w:space="0"/>
                    <w:bottom w:val="single" w:color="auto" w:sz="4" w:space="0"/>
                    <w:right w:val="single" w:color="auto" w:sz="4" w:space="0"/>
                  </w:tcBorders>
                  <w:vAlign w:val="center"/>
                </w:tcPr>
                <w:p w14:paraId="3BE9DA86">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w:t>
                  </w:r>
                </w:p>
              </w:tc>
              <w:tc>
                <w:tcPr>
                  <w:tcW w:w="2543" w:type="pct"/>
                  <w:gridSpan w:val="3"/>
                  <w:tcBorders>
                    <w:top w:val="single" w:color="auto" w:sz="4" w:space="0"/>
                    <w:left w:val="single" w:color="auto" w:sz="4" w:space="0"/>
                    <w:bottom w:val="single" w:color="auto" w:sz="4" w:space="0"/>
                    <w:right w:val="single" w:color="auto" w:sz="4" w:space="0"/>
                  </w:tcBorders>
                  <w:vAlign w:val="center"/>
                </w:tcPr>
                <w:p w14:paraId="157122B2">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合理处置</w:t>
                  </w:r>
                </w:p>
              </w:tc>
            </w:tr>
            <w:tr w14:paraId="67479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283" w:type="pct"/>
                  <w:vMerge w:val="continue"/>
                  <w:tcBorders>
                    <w:left w:val="single" w:color="auto" w:sz="4" w:space="0"/>
                    <w:right w:val="single" w:color="auto" w:sz="4" w:space="0"/>
                  </w:tcBorders>
                  <w:vAlign w:val="center"/>
                </w:tcPr>
                <w:p w14:paraId="00C92DA0">
                  <w:pPr>
                    <w:pStyle w:val="56"/>
                    <w:snapToGrid w:val="0"/>
                    <w:rPr>
                      <w:rStyle w:val="26"/>
                      <w:rFonts w:ascii="Calibri" w:hAnsi="Calibri" w:eastAsia="Times New Roman" w:cs="Calibri"/>
                      <w:sz w:val="21"/>
                      <w:szCs w:val="21"/>
                    </w:rPr>
                  </w:pPr>
                </w:p>
              </w:tc>
              <w:tc>
                <w:tcPr>
                  <w:tcW w:w="699" w:type="pct"/>
                  <w:tcBorders>
                    <w:top w:val="single" w:color="auto" w:sz="4" w:space="0"/>
                    <w:left w:val="single" w:color="auto" w:sz="4" w:space="0"/>
                    <w:bottom w:val="single" w:color="auto" w:sz="4" w:space="0"/>
                    <w:right w:val="single" w:color="auto" w:sz="4" w:space="0"/>
                  </w:tcBorders>
                  <w:vAlign w:val="center"/>
                </w:tcPr>
                <w:p w14:paraId="4C3DF511">
                  <w:pPr>
                    <w:pStyle w:val="56"/>
                    <w:snapToGrid w:val="0"/>
                    <w:rPr>
                      <w:rStyle w:val="26"/>
                      <w:rFonts w:hint="eastAsia" w:ascii="Calibri" w:hAnsi="Calibri" w:eastAsia="宋体" w:cs="Calibri"/>
                      <w:sz w:val="21"/>
                      <w:szCs w:val="21"/>
                      <w:lang w:val="en-US" w:eastAsia="zh-CN"/>
                    </w:rPr>
                  </w:pPr>
                  <w:r>
                    <w:rPr>
                      <w:rStyle w:val="26"/>
                      <w:rFonts w:hint="eastAsia" w:ascii="Calibri" w:hAnsi="Calibri" w:eastAsia="宋体" w:cs="Calibri"/>
                      <w:sz w:val="21"/>
                      <w:szCs w:val="21"/>
                      <w:lang w:val="en-US" w:eastAsia="zh-CN"/>
                    </w:rPr>
                    <w:t>污泥</w:t>
                  </w:r>
                </w:p>
              </w:tc>
              <w:tc>
                <w:tcPr>
                  <w:tcW w:w="1084" w:type="pct"/>
                  <w:tcBorders>
                    <w:top w:val="single" w:color="auto" w:sz="4" w:space="0"/>
                    <w:left w:val="single" w:color="auto" w:sz="4" w:space="0"/>
                    <w:bottom w:val="single" w:color="auto" w:sz="4" w:space="0"/>
                    <w:right w:val="single" w:color="auto" w:sz="4" w:space="0"/>
                  </w:tcBorders>
                  <w:vAlign w:val="center"/>
                </w:tcPr>
                <w:p w14:paraId="631234DC">
                  <w:pPr>
                    <w:pStyle w:val="56"/>
                    <w:snapToGrid w:val="0"/>
                    <w:rPr>
                      <w:rStyle w:val="26"/>
                      <w:rFonts w:hint="default" w:ascii="Calibri" w:hAnsi="Calibri" w:eastAsia="Times New Roman" w:cs="Calibri"/>
                      <w:sz w:val="21"/>
                      <w:szCs w:val="21"/>
                      <w:lang w:val="en-US" w:eastAsia="zh-CN"/>
                    </w:rPr>
                  </w:pPr>
                  <w:r>
                    <w:rPr>
                      <w:rStyle w:val="26"/>
                      <w:rFonts w:hint="eastAsia" w:ascii="Calibri" w:hAnsi="Calibri" w:eastAsia="Times New Roman" w:cs="Calibri"/>
                      <w:sz w:val="21"/>
                      <w:szCs w:val="21"/>
                      <w:lang w:val="en-US" w:eastAsia="zh-CN"/>
                    </w:rPr>
                    <w:t>污泥鉴别</w:t>
                  </w:r>
                </w:p>
              </w:tc>
              <w:tc>
                <w:tcPr>
                  <w:tcW w:w="390" w:type="pct"/>
                  <w:tcBorders>
                    <w:top w:val="single" w:color="auto" w:sz="4" w:space="0"/>
                    <w:left w:val="single" w:color="auto" w:sz="4" w:space="0"/>
                    <w:bottom w:val="single" w:color="auto" w:sz="4" w:space="0"/>
                    <w:right w:val="single" w:color="auto" w:sz="4" w:space="0"/>
                  </w:tcBorders>
                  <w:vAlign w:val="center"/>
                </w:tcPr>
                <w:p w14:paraId="0BF40744">
                  <w:pPr>
                    <w:pStyle w:val="56"/>
                    <w:snapToGrid w:val="0"/>
                    <w:rPr>
                      <w:rStyle w:val="26"/>
                      <w:rFonts w:ascii="Calibri" w:hAnsi="Calibri" w:eastAsia="Times New Roman" w:cs="Calibri"/>
                      <w:sz w:val="21"/>
                      <w:szCs w:val="21"/>
                    </w:rPr>
                  </w:pPr>
                  <w:r>
                    <w:rPr>
                      <w:rFonts w:hint="default" w:ascii="Calibri" w:hAnsi="Calibri" w:eastAsia="宋体" w:cs="Calibri"/>
                      <w:spacing w:val="0"/>
                      <w:sz w:val="21"/>
                      <w:szCs w:val="21"/>
                    </w:rPr>
                    <w:t>危险废物</w:t>
                  </w:r>
                  <w:r>
                    <w:rPr>
                      <w:rFonts w:hint="eastAsia" w:ascii="Calibri" w:hAnsi="Calibri" w:cs="Calibri"/>
                      <w:spacing w:val="0"/>
                      <w:sz w:val="21"/>
                      <w:szCs w:val="21"/>
                      <w:lang w:eastAsia="zh-CN"/>
                    </w:rPr>
                    <w:t>贮存库</w:t>
                  </w:r>
                </w:p>
              </w:tc>
              <w:tc>
                <w:tcPr>
                  <w:tcW w:w="2543" w:type="pct"/>
                  <w:gridSpan w:val="3"/>
                  <w:tcBorders>
                    <w:top w:val="single" w:color="auto" w:sz="4" w:space="0"/>
                    <w:left w:val="single" w:color="auto" w:sz="4" w:space="0"/>
                    <w:bottom w:val="single" w:color="auto" w:sz="4" w:space="0"/>
                    <w:right w:val="single" w:color="auto" w:sz="4" w:space="0"/>
                  </w:tcBorders>
                  <w:vAlign w:val="center"/>
                </w:tcPr>
                <w:p w14:paraId="43CD8BB8">
                  <w:pPr>
                    <w:pStyle w:val="56"/>
                    <w:snapToGrid w:val="0"/>
                    <w:rPr>
                      <w:rStyle w:val="26"/>
                      <w:rFonts w:hint="eastAsia" w:ascii="Calibri" w:hAnsi="Calibri" w:eastAsia="宋体" w:cs="Calibri"/>
                      <w:sz w:val="21"/>
                      <w:szCs w:val="21"/>
                      <w:lang w:eastAsia="zh-CN"/>
                    </w:rPr>
                  </w:pPr>
                  <w:r>
                    <w:rPr>
                      <w:rStyle w:val="26"/>
                      <w:rFonts w:hint="eastAsia" w:ascii="Calibri" w:hAnsi="Calibri" w:eastAsia="Times New Roman" w:cs="Calibri"/>
                      <w:sz w:val="21"/>
                      <w:szCs w:val="21"/>
                    </w:rPr>
                    <w:t>污泥危险废物鉴别作为竣工环保验收前置条件；鉴别完成前污泥收集、贮存、运输、处置按危险废物管理</w:t>
                  </w:r>
                  <w:r>
                    <w:rPr>
                      <w:rStyle w:val="26"/>
                      <w:rFonts w:hint="eastAsia" w:ascii="Calibri" w:hAnsi="Calibri" w:eastAsia="宋体" w:cs="Calibri"/>
                      <w:sz w:val="21"/>
                      <w:szCs w:val="21"/>
                      <w:lang w:eastAsia="zh-CN"/>
                    </w:rPr>
                    <w:t>。</w:t>
                  </w:r>
                </w:p>
              </w:tc>
            </w:tr>
            <w:tr w14:paraId="15877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1" w:hRule="atLeast"/>
              </w:trPr>
              <w:tc>
                <w:tcPr>
                  <w:tcW w:w="283" w:type="pct"/>
                  <w:vMerge w:val="continue"/>
                  <w:tcBorders>
                    <w:left w:val="single" w:color="auto" w:sz="4" w:space="0"/>
                    <w:right w:val="single" w:color="auto" w:sz="4" w:space="0"/>
                  </w:tcBorders>
                  <w:vAlign w:val="center"/>
                </w:tcPr>
                <w:p w14:paraId="7EB3A8E1">
                  <w:pPr>
                    <w:pStyle w:val="56"/>
                    <w:snapToGrid w:val="0"/>
                    <w:rPr>
                      <w:rStyle w:val="26"/>
                      <w:rFonts w:ascii="Calibri" w:hAnsi="Calibri" w:eastAsia="Times New Roman" w:cs="Calibri"/>
                      <w:sz w:val="21"/>
                      <w:szCs w:val="21"/>
                    </w:rPr>
                  </w:pPr>
                </w:p>
              </w:tc>
              <w:tc>
                <w:tcPr>
                  <w:tcW w:w="699" w:type="pct"/>
                  <w:tcBorders>
                    <w:top w:val="single" w:color="auto" w:sz="4" w:space="0"/>
                    <w:left w:val="single" w:color="auto" w:sz="4" w:space="0"/>
                    <w:bottom w:val="single" w:color="auto" w:sz="4" w:space="0"/>
                    <w:right w:val="single" w:color="auto" w:sz="4" w:space="0"/>
                  </w:tcBorders>
                  <w:vAlign w:val="center"/>
                </w:tcPr>
                <w:p w14:paraId="0C0EDC15">
                  <w:pPr>
                    <w:pStyle w:val="56"/>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baseline"/>
                    <w:rPr>
                      <w:rStyle w:val="26"/>
                      <w:rFonts w:hint="default" w:ascii="Calibri" w:hAnsi="Calibri" w:eastAsia="Times New Roman" w:cs="Calibri"/>
                      <w:sz w:val="21"/>
                      <w:szCs w:val="21"/>
                      <w:lang w:val="en-US" w:eastAsia="zh-CN"/>
                    </w:rPr>
                  </w:pPr>
                  <w:r>
                    <w:rPr>
                      <w:rFonts w:hint="default" w:ascii="Calibri" w:hAnsi="Calibri" w:eastAsia="宋体" w:cs="Calibri"/>
                      <w:spacing w:val="0"/>
                      <w:sz w:val="21"/>
                      <w:szCs w:val="21"/>
                    </w:rPr>
                    <w:t>一般工业固废</w:t>
                  </w:r>
                </w:p>
              </w:tc>
              <w:tc>
                <w:tcPr>
                  <w:tcW w:w="1084" w:type="pct"/>
                  <w:tcBorders>
                    <w:top w:val="single" w:color="auto" w:sz="4" w:space="0"/>
                    <w:left w:val="single" w:color="auto" w:sz="4" w:space="0"/>
                    <w:bottom w:val="single" w:color="auto" w:sz="4" w:space="0"/>
                    <w:right w:val="single" w:color="auto" w:sz="4" w:space="0"/>
                  </w:tcBorders>
                  <w:vAlign w:val="center"/>
                </w:tcPr>
                <w:p w14:paraId="311DC3FB">
                  <w:pPr>
                    <w:pStyle w:val="56"/>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baseline"/>
                    <w:rPr>
                      <w:rStyle w:val="26"/>
                      <w:rFonts w:hint="default" w:ascii="Calibri" w:hAnsi="Calibri" w:eastAsia="Times New Roman" w:cs="Calibri"/>
                      <w:sz w:val="21"/>
                      <w:szCs w:val="21"/>
                      <w:lang w:val="en-US" w:eastAsia="zh-CN"/>
                    </w:rPr>
                  </w:pPr>
                  <w:r>
                    <w:rPr>
                      <w:rFonts w:hint="default" w:ascii="Calibri" w:hAnsi="Calibri" w:eastAsia="宋体" w:cs="Calibri"/>
                      <w:spacing w:val="0"/>
                      <w:sz w:val="21"/>
                      <w:szCs w:val="21"/>
                    </w:rPr>
                    <w:t>一般工业固废</w:t>
                  </w:r>
                </w:p>
              </w:tc>
              <w:tc>
                <w:tcPr>
                  <w:tcW w:w="390" w:type="pct"/>
                  <w:tcBorders>
                    <w:top w:val="single" w:color="auto" w:sz="4" w:space="0"/>
                    <w:left w:val="single" w:color="auto" w:sz="4" w:space="0"/>
                    <w:bottom w:val="single" w:color="auto" w:sz="4" w:space="0"/>
                    <w:right w:val="single" w:color="auto" w:sz="4" w:space="0"/>
                  </w:tcBorders>
                  <w:vAlign w:val="center"/>
                </w:tcPr>
                <w:p w14:paraId="5DF4506B">
                  <w:pPr>
                    <w:pStyle w:val="56"/>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baseline"/>
                    <w:rPr>
                      <w:rStyle w:val="26"/>
                      <w:rFonts w:ascii="Calibri" w:hAnsi="Calibri" w:eastAsia="Times New Roman" w:cs="Calibri"/>
                      <w:sz w:val="21"/>
                      <w:szCs w:val="21"/>
                    </w:rPr>
                  </w:pPr>
                  <w:r>
                    <w:rPr>
                      <w:rFonts w:hint="default" w:ascii="Calibri" w:hAnsi="Calibri" w:eastAsia="宋体" w:cs="Calibri"/>
                      <w:spacing w:val="0"/>
                      <w:sz w:val="21"/>
                      <w:szCs w:val="21"/>
                    </w:rPr>
                    <w:t>设置一般固废</w:t>
                  </w:r>
                  <w:r>
                    <w:rPr>
                      <w:rFonts w:hint="eastAsia" w:ascii="Calibri" w:hAnsi="Calibri" w:cs="Calibri"/>
                      <w:spacing w:val="0"/>
                      <w:sz w:val="21"/>
                      <w:szCs w:val="21"/>
                      <w:lang w:val="en-US" w:eastAsia="zh-CN"/>
                    </w:rPr>
                    <w:t>贮存库</w:t>
                  </w:r>
                </w:p>
              </w:tc>
              <w:tc>
                <w:tcPr>
                  <w:tcW w:w="2543" w:type="pct"/>
                  <w:gridSpan w:val="3"/>
                  <w:tcBorders>
                    <w:top w:val="single" w:color="auto" w:sz="4" w:space="0"/>
                    <w:left w:val="single" w:color="auto" w:sz="4" w:space="0"/>
                    <w:bottom w:val="single" w:color="auto" w:sz="4" w:space="0"/>
                    <w:right w:val="single" w:color="auto" w:sz="4" w:space="0"/>
                  </w:tcBorders>
                  <w:vAlign w:val="center"/>
                </w:tcPr>
                <w:p w14:paraId="32ECB027">
                  <w:pPr>
                    <w:pStyle w:val="56"/>
                    <w:keepNext w:val="0"/>
                    <w:keepLines w:val="0"/>
                    <w:pageBreakBefore w:val="0"/>
                    <w:widowControl/>
                    <w:kinsoku/>
                    <w:wordWrap/>
                    <w:overflowPunct/>
                    <w:topLinePunct w:val="0"/>
                    <w:autoSpaceDE w:val="0"/>
                    <w:autoSpaceDN w:val="0"/>
                    <w:bidi w:val="0"/>
                    <w:adjustRightInd w:val="0"/>
                    <w:snapToGrid w:val="0"/>
                    <w:jc w:val="center"/>
                    <w:textAlignment w:val="baseline"/>
                    <w:rPr>
                      <w:rFonts w:hint="default" w:ascii="Calibri" w:hAnsi="Calibri" w:eastAsia="宋体" w:cs="Calibri"/>
                      <w:spacing w:val="0"/>
                      <w:sz w:val="21"/>
                      <w:szCs w:val="21"/>
                    </w:rPr>
                  </w:pPr>
                  <w:r>
                    <w:rPr>
                      <w:rFonts w:hint="default" w:ascii="Calibri" w:hAnsi="Calibri" w:eastAsia="宋体" w:cs="Calibri"/>
                      <w:spacing w:val="0"/>
                      <w:sz w:val="21"/>
                      <w:szCs w:val="21"/>
                    </w:rPr>
                    <w:t>《一般工业固体废物贮存 和填埋污染控制标准》（GB18599-2020）中的有</w:t>
                  </w:r>
                </w:p>
                <w:p w14:paraId="310E0C91">
                  <w:pPr>
                    <w:pStyle w:val="56"/>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baseline"/>
                    <w:rPr>
                      <w:rStyle w:val="26"/>
                      <w:rFonts w:ascii="Calibri" w:hAnsi="Calibri" w:eastAsia="Times New Roman" w:cs="Calibri"/>
                      <w:sz w:val="21"/>
                      <w:szCs w:val="21"/>
                      <w:lang w:eastAsia="zh-CN"/>
                    </w:rPr>
                  </w:pPr>
                  <w:r>
                    <w:rPr>
                      <w:rFonts w:hint="default" w:ascii="Calibri" w:hAnsi="Calibri" w:eastAsia="宋体" w:cs="Calibri"/>
                      <w:spacing w:val="0"/>
                      <w:sz w:val="21"/>
                      <w:szCs w:val="21"/>
                    </w:rPr>
                    <w:t>关规定</w:t>
                  </w:r>
                </w:p>
              </w:tc>
            </w:tr>
            <w:tr w14:paraId="4E858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4" w:hRule="atLeast"/>
              </w:trPr>
              <w:tc>
                <w:tcPr>
                  <w:tcW w:w="283" w:type="pct"/>
                  <w:vMerge w:val="continue"/>
                  <w:tcBorders>
                    <w:left w:val="single" w:color="auto" w:sz="4" w:space="0"/>
                    <w:right w:val="single" w:color="auto" w:sz="4" w:space="0"/>
                  </w:tcBorders>
                  <w:vAlign w:val="center"/>
                </w:tcPr>
                <w:p w14:paraId="09637836">
                  <w:pPr>
                    <w:pStyle w:val="56"/>
                    <w:snapToGrid w:val="0"/>
                    <w:rPr>
                      <w:rStyle w:val="26"/>
                      <w:rFonts w:ascii="Calibri" w:hAnsi="Calibri" w:eastAsia="Times New Roman" w:cs="Calibri"/>
                      <w:sz w:val="21"/>
                      <w:szCs w:val="21"/>
                      <w:lang w:eastAsia="zh-CN"/>
                    </w:rPr>
                  </w:pPr>
                </w:p>
              </w:tc>
              <w:tc>
                <w:tcPr>
                  <w:tcW w:w="699" w:type="pct"/>
                  <w:tcBorders>
                    <w:top w:val="single" w:color="auto" w:sz="4" w:space="0"/>
                    <w:left w:val="single" w:color="auto" w:sz="4" w:space="0"/>
                    <w:bottom w:val="single" w:color="auto" w:sz="4" w:space="0"/>
                    <w:right w:val="single" w:color="auto" w:sz="4" w:space="0"/>
                  </w:tcBorders>
                  <w:vAlign w:val="center"/>
                </w:tcPr>
                <w:p w14:paraId="480762E8">
                  <w:pPr>
                    <w:pStyle w:val="56"/>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baseline"/>
                    <w:rPr>
                      <w:rStyle w:val="26"/>
                      <w:rFonts w:ascii="Calibri" w:hAnsi="Calibri" w:eastAsia="Times New Roman" w:cs="Calibri"/>
                      <w:sz w:val="21"/>
                      <w:szCs w:val="21"/>
                    </w:rPr>
                  </w:pPr>
                  <w:r>
                    <w:rPr>
                      <w:rFonts w:hint="default" w:ascii="Calibri" w:hAnsi="Calibri" w:eastAsia="宋体" w:cs="Calibri"/>
                      <w:spacing w:val="0"/>
                      <w:sz w:val="21"/>
                      <w:szCs w:val="21"/>
                    </w:rPr>
                    <w:t>危险废物</w:t>
                  </w:r>
                </w:p>
              </w:tc>
              <w:tc>
                <w:tcPr>
                  <w:tcW w:w="1084" w:type="pct"/>
                  <w:tcBorders>
                    <w:top w:val="single" w:color="auto" w:sz="4" w:space="0"/>
                    <w:left w:val="single" w:color="auto" w:sz="4" w:space="0"/>
                    <w:bottom w:val="single" w:color="auto" w:sz="4" w:space="0"/>
                    <w:right w:val="single" w:color="auto" w:sz="4" w:space="0"/>
                  </w:tcBorders>
                  <w:vAlign w:val="center"/>
                </w:tcPr>
                <w:p w14:paraId="5E6A31B6">
                  <w:pPr>
                    <w:pStyle w:val="56"/>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baseline"/>
                    <w:rPr>
                      <w:rStyle w:val="26"/>
                      <w:rFonts w:ascii="Calibri" w:hAnsi="Calibri" w:eastAsia="Times New Roman" w:cs="Calibri"/>
                      <w:sz w:val="21"/>
                      <w:szCs w:val="21"/>
                      <w:lang w:eastAsia="zh-CN"/>
                    </w:rPr>
                  </w:pPr>
                  <w:r>
                    <w:rPr>
                      <w:rFonts w:hint="default" w:ascii="Calibri" w:hAnsi="Calibri" w:eastAsia="宋体" w:cs="Calibri"/>
                      <w:spacing w:val="0"/>
                      <w:sz w:val="21"/>
                      <w:szCs w:val="21"/>
                    </w:rPr>
                    <w:t>危险废物</w:t>
                  </w:r>
                </w:p>
              </w:tc>
              <w:tc>
                <w:tcPr>
                  <w:tcW w:w="390" w:type="pct"/>
                  <w:tcBorders>
                    <w:top w:val="single" w:color="auto" w:sz="4" w:space="0"/>
                    <w:left w:val="single" w:color="auto" w:sz="4" w:space="0"/>
                    <w:bottom w:val="single" w:color="auto" w:sz="4" w:space="0"/>
                    <w:right w:val="single" w:color="auto" w:sz="4" w:space="0"/>
                  </w:tcBorders>
                  <w:vAlign w:val="center"/>
                </w:tcPr>
                <w:p w14:paraId="2B0209F4">
                  <w:pPr>
                    <w:pStyle w:val="56"/>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baseline"/>
                    <w:rPr>
                      <w:rStyle w:val="26"/>
                      <w:rFonts w:ascii="Calibri" w:hAnsi="Calibri" w:eastAsia="Times New Roman" w:cs="Calibri"/>
                      <w:sz w:val="21"/>
                      <w:szCs w:val="21"/>
                      <w:lang w:eastAsia="zh-CN"/>
                    </w:rPr>
                  </w:pPr>
                  <w:r>
                    <w:rPr>
                      <w:rFonts w:hint="default" w:ascii="Calibri" w:hAnsi="Calibri" w:eastAsia="宋体" w:cs="Calibri"/>
                      <w:spacing w:val="0"/>
                      <w:sz w:val="21"/>
                      <w:szCs w:val="21"/>
                    </w:rPr>
                    <w:t>危险废物</w:t>
                  </w:r>
                  <w:r>
                    <w:rPr>
                      <w:rFonts w:hint="eastAsia" w:ascii="Calibri" w:hAnsi="Calibri" w:cs="Calibri"/>
                      <w:spacing w:val="0"/>
                      <w:sz w:val="21"/>
                      <w:szCs w:val="21"/>
                      <w:lang w:eastAsia="zh-CN"/>
                    </w:rPr>
                    <w:t>贮存库</w:t>
                  </w:r>
                </w:p>
              </w:tc>
              <w:tc>
                <w:tcPr>
                  <w:tcW w:w="2543" w:type="pct"/>
                  <w:gridSpan w:val="3"/>
                  <w:tcBorders>
                    <w:top w:val="single" w:color="auto" w:sz="4" w:space="0"/>
                    <w:left w:val="single" w:color="auto" w:sz="4" w:space="0"/>
                    <w:bottom w:val="single" w:color="auto" w:sz="4" w:space="0"/>
                    <w:right w:val="single" w:color="auto" w:sz="4" w:space="0"/>
                  </w:tcBorders>
                  <w:vAlign w:val="center"/>
                </w:tcPr>
                <w:p w14:paraId="0844B2A1">
                  <w:pPr>
                    <w:pStyle w:val="56"/>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baseline"/>
                    <w:rPr>
                      <w:rStyle w:val="26"/>
                      <w:rFonts w:ascii="Calibri" w:hAnsi="Calibri" w:eastAsia="Times New Roman" w:cs="Calibri"/>
                      <w:sz w:val="21"/>
                      <w:szCs w:val="21"/>
                      <w:lang w:eastAsia="zh-CN"/>
                    </w:rPr>
                  </w:pPr>
                  <w:r>
                    <w:rPr>
                      <w:rFonts w:hint="default" w:ascii="Calibri" w:hAnsi="Calibri" w:eastAsia="宋体" w:cs="Calibri"/>
                      <w:spacing w:val="0"/>
                      <w:sz w:val="21"/>
                      <w:szCs w:val="21"/>
                    </w:rPr>
                    <w:t>《危险废物贮存污染控制 标准》（GB18597-20</w:t>
                  </w:r>
                  <w:r>
                    <w:rPr>
                      <w:rFonts w:hint="eastAsia" w:ascii="Calibri" w:hAnsi="Calibri" w:eastAsia="宋体" w:cs="Calibri"/>
                      <w:spacing w:val="0"/>
                      <w:sz w:val="21"/>
                      <w:szCs w:val="21"/>
                      <w:lang w:val="en-US" w:eastAsia="zh-CN"/>
                    </w:rPr>
                    <w:t>23</w:t>
                  </w:r>
                  <w:r>
                    <w:rPr>
                      <w:rFonts w:hint="default" w:ascii="Calibri" w:hAnsi="Calibri" w:eastAsia="宋体" w:cs="Calibri"/>
                      <w:spacing w:val="0"/>
                      <w:sz w:val="21"/>
                      <w:szCs w:val="21"/>
                    </w:rPr>
                    <w:t>）</w:t>
                  </w:r>
                </w:p>
              </w:tc>
            </w:tr>
            <w:tr w14:paraId="4797F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8" w:hRule="atLeast"/>
              </w:trPr>
              <w:tc>
                <w:tcPr>
                  <w:tcW w:w="283" w:type="pct"/>
                  <w:tcBorders>
                    <w:top w:val="single" w:color="auto" w:sz="4" w:space="0"/>
                    <w:left w:val="single" w:color="auto" w:sz="4" w:space="0"/>
                    <w:bottom w:val="single" w:color="auto" w:sz="4" w:space="0"/>
                    <w:right w:val="single" w:color="auto" w:sz="4" w:space="0"/>
                  </w:tcBorders>
                  <w:vAlign w:val="center"/>
                </w:tcPr>
                <w:p w14:paraId="125002F6">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防渗</w:t>
                  </w:r>
                </w:p>
              </w:tc>
              <w:tc>
                <w:tcPr>
                  <w:tcW w:w="4716" w:type="pct"/>
                  <w:gridSpan w:val="6"/>
                  <w:tcBorders>
                    <w:top w:val="single" w:color="auto" w:sz="4" w:space="0"/>
                    <w:left w:val="single" w:color="auto" w:sz="4" w:space="0"/>
                    <w:bottom w:val="single" w:color="auto" w:sz="4" w:space="0"/>
                    <w:right w:val="single" w:color="auto" w:sz="4" w:space="0"/>
                  </w:tcBorders>
                  <w:vAlign w:val="center"/>
                </w:tcPr>
                <w:p w14:paraId="228E491F">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达到《环境影响评价技术导则地下水环境》（HJ610-2016）中提出的分区防渗技术要求；危废间的设置同时满足《危险废物贮存污染控制标准》（GB18597-2023）</w:t>
                  </w:r>
                </w:p>
              </w:tc>
            </w:tr>
            <w:tr w14:paraId="0528F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2" w:hRule="atLeast"/>
              </w:trPr>
              <w:tc>
                <w:tcPr>
                  <w:tcW w:w="283" w:type="pct"/>
                  <w:tcBorders>
                    <w:top w:val="single" w:color="auto" w:sz="4" w:space="0"/>
                    <w:left w:val="single" w:color="auto" w:sz="4" w:space="0"/>
                    <w:bottom w:val="single" w:color="auto" w:sz="4" w:space="0"/>
                    <w:right w:val="single" w:color="auto" w:sz="4" w:space="0"/>
                  </w:tcBorders>
                  <w:vAlign w:val="center"/>
                </w:tcPr>
                <w:p w14:paraId="2BA344FC">
                  <w:pPr>
                    <w:pStyle w:val="56"/>
                    <w:snapToGrid w:val="0"/>
                    <w:rPr>
                      <w:rStyle w:val="26"/>
                      <w:rFonts w:ascii="Calibri" w:hAnsi="Calibri" w:eastAsia="Times New Roman" w:cs="Calibri"/>
                      <w:sz w:val="21"/>
                      <w:szCs w:val="21"/>
                    </w:rPr>
                  </w:pPr>
                  <w:r>
                    <w:rPr>
                      <w:rStyle w:val="26"/>
                      <w:rFonts w:ascii="Calibri" w:hAnsi="Calibri" w:eastAsia="Times New Roman" w:cs="Calibri"/>
                      <w:sz w:val="21"/>
                      <w:szCs w:val="21"/>
                    </w:rPr>
                    <w:t>排污口规范化</w:t>
                  </w:r>
                </w:p>
              </w:tc>
              <w:tc>
                <w:tcPr>
                  <w:tcW w:w="4716" w:type="pct"/>
                  <w:gridSpan w:val="6"/>
                  <w:tcBorders>
                    <w:top w:val="single" w:color="auto" w:sz="4" w:space="0"/>
                    <w:left w:val="single" w:color="auto" w:sz="4" w:space="0"/>
                    <w:bottom w:val="single" w:color="auto" w:sz="4" w:space="0"/>
                    <w:right w:val="single" w:color="auto" w:sz="4" w:space="0"/>
                  </w:tcBorders>
                  <w:vAlign w:val="center"/>
                </w:tcPr>
                <w:p w14:paraId="319A3D28">
                  <w:pPr>
                    <w:pStyle w:val="56"/>
                    <w:snapToGrid w:val="0"/>
                    <w:rPr>
                      <w:rStyle w:val="26"/>
                      <w:rFonts w:ascii="Calibri" w:hAnsi="Calibri" w:eastAsia="Times New Roman" w:cs="Calibri"/>
                      <w:sz w:val="21"/>
                      <w:szCs w:val="21"/>
                      <w:lang w:eastAsia="zh-CN"/>
                    </w:rPr>
                  </w:pPr>
                  <w:r>
                    <w:rPr>
                      <w:rStyle w:val="26"/>
                      <w:rFonts w:ascii="Calibri" w:hAnsi="Calibri" w:eastAsia="Times New Roman" w:cs="Calibri"/>
                      <w:sz w:val="21"/>
                      <w:szCs w:val="21"/>
                      <w:lang w:eastAsia="zh-CN"/>
                    </w:rPr>
                    <w:t>排污口规范化要求执行《排污口规范化整治工作有关问题的通知》（环监</w:t>
                  </w:r>
                  <w:r>
                    <w:rPr>
                      <w:rStyle w:val="26"/>
                      <w:rFonts w:hint="eastAsia" w:ascii="Calibri" w:hAnsi="Calibri" w:eastAsia="Times New Roman" w:cs="Calibri"/>
                      <w:sz w:val="21"/>
                      <w:szCs w:val="21"/>
                      <w:lang w:eastAsia="zh-CN"/>
                    </w:rPr>
                    <w:t>〔1999〕43号</w:t>
                  </w:r>
                  <w:r>
                    <w:rPr>
                      <w:rStyle w:val="26"/>
                      <w:rFonts w:ascii="Calibri" w:hAnsi="Calibri" w:eastAsia="Times New Roman" w:cs="Calibri"/>
                      <w:sz w:val="21"/>
                      <w:szCs w:val="21"/>
                      <w:lang w:eastAsia="zh-CN"/>
                    </w:rPr>
                    <w:t>文）。污染物排放口的标志按《环境保护图形标志排放口》（15562.1-1995）及《环境保护图形标志一固体废物贮存</w:t>
                  </w:r>
                  <w:r>
                    <w:rPr>
                      <w:rStyle w:val="26"/>
                      <w:rFonts w:hint="eastAsia" w:ascii="Calibri" w:hAnsi="Calibri" w:eastAsia="Times New Roman" w:cs="Calibri"/>
                      <w:sz w:val="21"/>
                      <w:szCs w:val="21"/>
                      <w:lang w:eastAsia="zh-CN"/>
                    </w:rPr>
                    <w:t>（</w:t>
                  </w:r>
                  <w:r>
                    <w:rPr>
                      <w:rStyle w:val="26"/>
                      <w:rFonts w:ascii="Calibri" w:hAnsi="Calibri" w:eastAsia="Times New Roman" w:cs="Calibri"/>
                      <w:sz w:val="21"/>
                      <w:szCs w:val="21"/>
                      <w:lang w:eastAsia="zh-CN"/>
                    </w:rPr>
                    <w:t>处置</w:t>
                  </w:r>
                  <w:r>
                    <w:rPr>
                      <w:rStyle w:val="26"/>
                      <w:rFonts w:hint="eastAsia" w:ascii="Calibri" w:hAnsi="Calibri" w:eastAsia="Times New Roman" w:cs="Calibri"/>
                      <w:sz w:val="21"/>
                      <w:szCs w:val="21"/>
                      <w:lang w:eastAsia="zh-CN"/>
                    </w:rPr>
                    <w:t>）</w:t>
                  </w:r>
                  <w:r>
                    <w:rPr>
                      <w:rStyle w:val="26"/>
                      <w:rFonts w:ascii="Calibri" w:hAnsi="Calibri" w:eastAsia="Times New Roman" w:cs="Calibri"/>
                      <w:sz w:val="21"/>
                      <w:szCs w:val="21"/>
                      <w:lang w:eastAsia="zh-CN"/>
                    </w:rPr>
                    <w:t>场》（15562.2-1995）的规定，设置原国家环保部统一制作的环境保护图形标志牌。</w:t>
                  </w:r>
                </w:p>
              </w:tc>
            </w:tr>
          </w:tbl>
          <w:p w14:paraId="58745D33">
            <w:pPr>
              <w:spacing w:line="360" w:lineRule="auto"/>
              <w:rPr>
                <w:rFonts w:hint="default" w:ascii="宋体" w:hAnsi="宋体" w:eastAsia="宋体" w:cs="宋体"/>
                <w:b/>
                <w:sz w:val="24"/>
                <w:lang w:val="en-US" w:eastAsia="zh-CN"/>
              </w:rPr>
            </w:pPr>
            <w:r>
              <w:rPr>
                <w:rFonts w:hint="eastAsia" w:ascii="宋体" w:hAnsi="宋体" w:eastAsia="宋体" w:cs="宋体"/>
                <w:b/>
                <w:sz w:val="24"/>
                <w:lang w:val="en-US" w:eastAsia="zh-CN"/>
              </w:rPr>
              <w:t>（九）环保投资</w:t>
            </w:r>
          </w:p>
          <w:p w14:paraId="5F557814">
            <w:pPr>
              <w:spacing w:line="360" w:lineRule="auto"/>
              <w:ind w:firstLine="480" w:firstLineChars="200"/>
              <w:rPr>
                <w:rFonts w:hint="default" w:asciiTheme="minorAscii" w:hAnsiTheme="minorAscii" w:eastAsiaTheme="minorEastAsia" w:cstheme="minorEastAsia"/>
                <w:sz w:val="24"/>
                <w:lang w:val="en-US" w:eastAsia="zh-CN"/>
              </w:rPr>
            </w:pPr>
            <w:r>
              <w:rPr>
                <w:rFonts w:hint="default" w:asciiTheme="minorAscii" w:hAnsiTheme="minorAscii" w:eastAsiaTheme="minorEastAsia" w:cstheme="minorEastAsia"/>
                <w:sz w:val="24"/>
                <w:lang w:val="en-US" w:eastAsia="zh-CN"/>
              </w:rPr>
              <w:t>本项目属于园区配套污水治理工程，项目在削减园区工业废水污染的同时，运营过</w:t>
            </w:r>
            <w:r>
              <w:rPr>
                <w:rFonts w:hint="eastAsia" w:asciiTheme="minorAscii" w:hAnsiTheme="minorAscii" w:eastAsiaTheme="minorEastAsia" w:cstheme="minorEastAsia"/>
                <w:sz w:val="24"/>
                <w:lang w:val="en-US" w:eastAsia="zh-CN"/>
              </w:rPr>
              <w:t>程中</w:t>
            </w:r>
            <w:r>
              <w:rPr>
                <w:rFonts w:hint="default" w:asciiTheme="minorAscii" w:hAnsiTheme="minorAscii" w:eastAsiaTheme="minorEastAsia" w:cstheme="minorEastAsia"/>
                <w:sz w:val="24"/>
                <w:lang w:val="en-US" w:eastAsia="zh-CN"/>
              </w:rPr>
              <w:t>自身也会产生恶臭、污泥、设备噪声等次生污染物。本次环评将针对上述次生污染物的污染防治设施投资计为新增环保投资，经估算，本项目新增环保投资133.5万元；项目整体总投资额3750万元，环保投资占项目总投资比例为3.6%。具体见下表。</w:t>
            </w:r>
          </w:p>
          <w:p w14:paraId="357A3D2B">
            <w:pPr>
              <w:widowControl/>
              <w:kinsoku w:val="0"/>
              <w:autoSpaceDE w:val="0"/>
              <w:autoSpaceDN w:val="0"/>
              <w:spacing w:line="240" w:lineRule="auto"/>
              <w:ind w:firstLine="498"/>
              <w:jc w:val="center"/>
              <w:textAlignment w:val="baseline"/>
              <w:rPr>
                <w:rFonts w:ascii="Calibri" w:hAnsi="Calibri" w:cs="Calibri"/>
                <w:b/>
                <w:bCs/>
                <w:sz w:val="24"/>
                <w:szCs w:val="24"/>
              </w:rPr>
            </w:pPr>
            <w:r>
              <w:rPr>
                <w:rFonts w:ascii="Calibri" w:hAnsi="Calibri" w:cs="Calibri"/>
                <w:b/>
                <w:bCs/>
                <w:spacing w:val="4"/>
                <w:sz w:val="24"/>
                <w:szCs w:val="24"/>
              </w:rPr>
              <w:t>表</w:t>
            </w:r>
            <w:r>
              <w:rPr>
                <w:rFonts w:hint="eastAsia" w:ascii="Calibri" w:hAnsi="Calibri" w:cs="Calibri"/>
                <w:b/>
                <w:bCs/>
                <w:spacing w:val="4"/>
                <w:sz w:val="24"/>
                <w:szCs w:val="24"/>
                <w:lang w:val="en-US" w:eastAsia="zh-CN"/>
              </w:rPr>
              <w:t xml:space="preserve">4-19  </w:t>
            </w:r>
            <w:r>
              <w:rPr>
                <w:rFonts w:ascii="Calibri" w:hAnsi="Calibri" w:cs="Calibri"/>
                <w:b/>
                <w:bCs/>
                <w:spacing w:val="4"/>
                <w:sz w:val="24"/>
                <w:szCs w:val="24"/>
              </w:rPr>
              <w:t xml:space="preserve"> 项目污染防治措施及环保投资汇总一览表</w:t>
            </w:r>
          </w:p>
          <w:tbl>
            <w:tblPr>
              <w:tblStyle w:val="22"/>
              <w:tblW w:w="4997"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32"/>
              <w:gridCol w:w="1145"/>
              <w:gridCol w:w="1680"/>
              <w:gridCol w:w="3761"/>
              <w:gridCol w:w="1197"/>
            </w:tblGrid>
            <w:tr w14:paraId="6DCE5FE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1056" w:type="pct"/>
                  <w:gridSpan w:val="2"/>
                  <w:vAlign w:val="center"/>
                </w:tcPr>
                <w:p w14:paraId="2D896B8C">
                  <w:pPr>
                    <w:autoSpaceDE w:val="0"/>
                    <w:autoSpaceDN w:val="0"/>
                    <w:spacing w:line="240" w:lineRule="auto"/>
                    <w:ind w:firstLine="0" w:firstLineChars="0"/>
                    <w:jc w:val="center"/>
                    <w:textAlignment w:val="baseline"/>
                    <w:rPr>
                      <w:rFonts w:ascii="Calibri" w:hAnsi="Calibri" w:cs="Calibri"/>
                      <w:b/>
                      <w:color w:val="262626"/>
                      <w:kern w:val="0"/>
                      <w:sz w:val="21"/>
                      <w:szCs w:val="21"/>
                    </w:rPr>
                  </w:pPr>
                  <w:bookmarkStart w:id="26" w:name="_Toc27421"/>
                  <w:r>
                    <w:rPr>
                      <w:rFonts w:ascii="Calibri" w:hAnsi="Calibri" w:cs="Calibri"/>
                      <w:b/>
                      <w:color w:val="262626"/>
                      <w:kern w:val="0"/>
                      <w:sz w:val="21"/>
                      <w:szCs w:val="21"/>
                    </w:rPr>
                    <w:t>类别</w:t>
                  </w:r>
                </w:p>
              </w:tc>
              <w:tc>
                <w:tcPr>
                  <w:tcW w:w="998" w:type="pct"/>
                  <w:vAlign w:val="center"/>
                </w:tcPr>
                <w:p w14:paraId="0BEF93EF">
                  <w:pPr>
                    <w:autoSpaceDE w:val="0"/>
                    <w:autoSpaceDN w:val="0"/>
                    <w:spacing w:line="240" w:lineRule="auto"/>
                    <w:ind w:firstLine="0" w:firstLineChars="0"/>
                    <w:jc w:val="center"/>
                    <w:textAlignment w:val="baseline"/>
                    <w:rPr>
                      <w:rFonts w:ascii="Calibri" w:hAnsi="Calibri" w:cs="Calibri"/>
                      <w:b/>
                      <w:color w:val="262626"/>
                      <w:kern w:val="0"/>
                      <w:sz w:val="21"/>
                      <w:szCs w:val="21"/>
                    </w:rPr>
                  </w:pPr>
                  <w:r>
                    <w:rPr>
                      <w:rFonts w:ascii="Calibri" w:hAnsi="Calibri" w:cs="Calibri"/>
                      <w:b/>
                      <w:color w:val="262626"/>
                      <w:kern w:val="0"/>
                      <w:sz w:val="21"/>
                      <w:szCs w:val="21"/>
                    </w:rPr>
                    <w:t>名称</w:t>
                  </w:r>
                </w:p>
              </w:tc>
              <w:tc>
                <w:tcPr>
                  <w:tcW w:w="2233" w:type="pct"/>
                  <w:vAlign w:val="center"/>
                </w:tcPr>
                <w:p w14:paraId="010AE28A">
                  <w:pPr>
                    <w:autoSpaceDE w:val="0"/>
                    <w:autoSpaceDN w:val="0"/>
                    <w:spacing w:line="240" w:lineRule="auto"/>
                    <w:ind w:firstLine="0" w:firstLineChars="0"/>
                    <w:jc w:val="center"/>
                    <w:textAlignment w:val="baseline"/>
                    <w:rPr>
                      <w:rFonts w:ascii="Calibri" w:hAnsi="Calibri" w:cs="Calibri"/>
                      <w:b/>
                      <w:color w:val="262626"/>
                      <w:kern w:val="0"/>
                      <w:sz w:val="21"/>
                      <w:szCs w:val="21"/>
                    </w:rPr>
                  </w:pPr>
                  <w:r>
                    <w:rPr>
                      <w:rFonts w:ascii="Calibri" w:hAnsi="Calibri" w:cs="Calibri"/>
                      <w:b/>
                      <w:color w:val="262626"/>
                      <w:kern w:val="0"/>
                      <w:sz w:val="21"/>
                      <w:szCs w:val="21"/>
                    </w:rPr>
                    <w:t>治理措施</w:t>
                  </w:r>
                </w:p>
              </w:tc>
              <w:tc>
                <w:tcPr>
                  <w:tcW w:w="711" w:type="pct"/>
                  <w:vAlign w:val="center"/>
                </w:tcPr>
                <w:p w14:paraId="19A169C7">
                  <w:pPr>
                    <w:autoSpaceDE w:val="0"/>
                    <w:autoSpaceDN w:val="0"/>
                    <w:spacing w:line="240" w:lineRule="auto"/>
                    <w:ind w:firstLine="0" w:firstLineChars="0"/>
                    <w:jc w:val="center"/>
                    <w:textAlignment w:val="baseline"/>
                    <w:rPr>
                      <w:rFonts w:ascii="Calibri" w:hAnsi="Calibri" w:cs="Calibri"/>
                      <w:b/>
                      <w:color w:val="262626"/>
                      <w:kern w:val="0"/>
                      <w:sz w:val="21"/>
                      <w:szCs w:val="21"/>
                    </w:rPr>
                  </w:pPr>
                  <w:r>
                    <w:rPr>
                      <w:rFonts w:ascii="Calibri" w:hAnsi="Calibri" w:cs="Calibri"/>
                      <w:b/>
                      <w:color w:val="262626"/>
                      <w:kern w:val="0"/>
                      <w:sz w:val="21"/>
                      <w:szCs w:val="21"/>
                    </w:rPr>
                    <w:t>环保投资</w:t>
                  </w:r>
                </w:p>
                <w:p w14:paraId="6063C01F">
                  <w:pPr>
                    <w:autoSpaceDE w:val="0"/>
                    <w:autoSpaceDN w:val="0"/>
                    <w:spacing w:line="240" w:lineRule="auto"/>
                    <w:ind w:firstLine="0" w:firstLineChars="0"/>
                    <w:jc w:val="center"/>
                    <w:textAlignment w:val="baseline"/>
                    <w:rPr>
                      <w:rFonts w:ascii="Calibri" w:hAnsi="Calibri" w:cs="Calibri"/>
                      <w:b/>
                      <w:color w:val="262626"/>
                      <w:kern w:val="0"/>
                      <w:sz w:val="21"/>
                      <w:szCs w:val="21"/>
                    </w:rPr>
                  </w:pPr>
                  <w:r>
                    <w:rPr>
                      <w:rFonts w:ascii="Calibri" w:hAnsi="Calibri" w:cs="Calibri"/>
                      <w:b/>
                      <w:color w:val="262626"/>
                      <w:kern w:val="0"/>
                      <w:sz w:val="21"/>
                      <w:szCs w:val="21"/>
                    </w:rPr>
                    <w:t>（万元）</w:t>
                  </w:r>
                </w:p>
              </w:tc>
            </w:tr>
            <w:tr w14:paraId="19C8C34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76" w:type="pct"/>
                  <w:vMerge w:val="restart"/>
                  <w:vAlign w:val="center"/>
                </w:tcPr>
                <w:p w14:paraId="21413194">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施</w:t>
                  </w:r>
                </w:p>
                <w:p w14:paraId="5D17B189">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工</w:t>
                  </w:r>
                </w:p>
                <w:p w14:paraId="7102CC81">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期</w:t>
                  </w:r>
                </w:p>
              </w:tc>
              <w:tc>
                <w:tcPr>
                  <w:tcW w:w="680" w:type="pct"/>
                  <w:vAlign w:val="center"/>
                </w:tcPr>
                <w:p w14:paraId="136C54BF">
                  <w:pPr>
                    <w:spacing w:line="240" w:lineRule="auto"/>
                    <w:ind w:firstLine="0" w:firstLineChars="0"/>
                    <w:jc w:val="center"/>
                    <w:rPr>
                      <w:rFonts w:ascii="Calibri" w:hAnsi="Calibri" w:cs="Calibri"/>
                      <w:color w:val="262626"/>
                      <w:kern w:val="0"/>
                      <w:sz w:val="21"/>
                      <w:szCs w:val="21"/>
                    </w:rPr>
                  </w:pPr>
                  <w:r>
                    <w:rPr>
                      <w:rFonts w:ascii="Calibri" w:hAnsi="Calibri" w:cs="Calibri"/>
                      <w:color w:val="000000"/>
                      <w:kern w:val="0"/>
                      <w:sz w:val="21"/>
                      <w:szCs w:val="21"/>
                    </w:rPr>
                    <w:t>废气治理</w:t>
                  </w:r>
                </w:p>
              </w:tc>
              <w:tc>
                <w:tcPr>
                  <w:tcW w:w="998" w:type="pct"/>
                  <w:vAlign w:val="center"/>
                </w:tcPr>
                <w:p w14:paraId="3DFBDBCF">
                  <w:pPr>
                    <w:spacing w:line="240" w:lineRule="auto"/>
                    <w:ind w:firstLine="0" w:firstLineChars="0"/>
                    <w:jc w:val="center"/>
                    <w:rPr>
                      <w:rFonts w:ascii="Calibri" w:hAnsi="Calibri" w:cs="Calibri"/>
                      <w:color w:val="262626"/>
                      <w:kern w:val="0"/>
                      <w:sz w:val="21"/>
                      <w:szCs w:val="21"/>
                    </w:rPr>
                  </w:pPr>
                  <w:r>
                    <w:rPr>
                      <w:rFonts w:ascii="Calibri" w:hAnsi="Calibri" w:cs="Calibri"/>
                      <w:color w:val="262626"/>
                      <w:kern w:val="0"/>
                      <w:sz w:val="21"/>
                      <w:szCs w:val="21"/>
                    </w:rPr>
                    <w:t>施工粉尘</w:t>
                  </w:r>
                </w:p>
              </w:tc>
              <w:tc>
                <w:tcPr>
                  <w:tcW w:w="2233" w:type="pct"/>
                  <w:vAlign w:val="center"/>
                </w:tcPr>
                <w:p w14:paraId="022C656D">
                  <w:pPr>
                    <w:spacing w:line="240" w:lineRule="auto"/>
                    <w:ind w:firstLine="0" w:firstLineChars="0"/>
                    <w:jc w:val="center"/>
                    <w:rPr>
                      <w:rFonts w:ascii="Calibri" w:hAnsi="Calibri" w:cs="Calibri"/>
                      <w:color w:val="262626"/>
                      <w:kern w:val="0"/>
                      <w:sz w:val="21"/>
                      <w:szCs w:val="21"/>
                    </w:rPr>
                  </w:pPr>
                  <w:r>
                    <w:rPr>
                      <w:rFonts w:ascii="Calibri" w:hAnsi="Calibri" w:cs="Calibri"/>
                      <w:color w:val="000000"/>
                      <w:kern w:val="0"/>
                      <w:sz w:val="21"/>
                      <w:szCs w:val="21"/>
                    </w:rPr>
                    <w:t>设置施工围挡、洒水等措施</w:t>
                  </w:r>
                </w:p>
              </w:tc>
              <w:tc>
                <w:tcPr>
                  <w:tcW w:w="711" w:type="pct"/>
                  <w:vAlign w:val="center"/>
                </w:tcPr>
                <w:p w14:paraId="7C3BB62C">
                  <w:pPr>
                    <w:widowControl/>
                    <w:spacing w:line="240" w:lineRule="auto"/>
                    <w:ind w:firstLine="0" w:firstLineChars="0"/>
                    <w:jc w:val="center"/>
                    <w:textAlignment w:val="center"/>
                    <w:rPr>
                      <w:rFonts w:hint="default" w:ascii="Calibri" w:hAnsi="Calibri" w:eastAsia="宋体" w:cs="Calibri"/>
                      <w:color w:val="262626"/>
                      <w:kern w:val="0"/>
                      <w:sz w:val="21"/>
                      <w:szCs w:val="21"/>
                      <w:lang w:val="en-US" w:eastAsia="zh-CN"/>
                    </w:rPr>
                  </w:pPr>
                  <w:r>
                    <w:rPr>
                      <w:rFonts w:hint="eastAsia" w:ascii="Calibri" w:hAnsi="Calibri" w:cs="Calibri"/>
                      <w:color w:val="000000"/>
                      <w:kern w:val="0"/>
                      <w:sz w:val="21"/>
                      <w:szCs w:val="21"/>
                      <w:lang w:val="en-US" w:eastAsia="zh-CN"/>
                    </w:rPr>
                    <w:t>10</w:t>
                  </w:r>
                </w:p>
              </w:tc>
            </w:tr>
            <w:tr w14:paraId="69A16CE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76" w:type="pct"/>
                  <w:vMerge w:val="continue"/>
                  <w:vAlign w:val="center"/>
                </w:tcPr>
                <w:p w14:paraId="45F9418E">
                  <w:pPr>
                    <w:autoSpaceDE w:val="0"/>
                    <w:autoSpaceDN w:val="0"/>
                    <w:spacing w:line="240" w:lineRule="auto"/>
                    <w:ind w:firstLine="0" w:firstLineChars="0"/>
                    <w:jc w:val="center"/>
                    <w:textAlignment w:val="baseline"/>
                    <w:rPr>
                      <w:rFonts w:ascii="Calibri" w:hAnsi="Calibri" w:cs="Calibri"/>
                      <w:color w:val="262626"/>
                      <w:kern w:val="0"/>
                      <w:sz w:val="21"/>
                      <w:szCs w:val="21"/>
                    </w:rPr>
                  </w:pPr>
                </w:p>
              </w:tc>
              <w:tc>
                <w:tcPr>
                  <w:tcW w:w="680" w:type="pct"/>
                  <w:vAlign w:val="center"/>
                </w:tcPr>
                <w:p w14:paraId="0654C399">
                  <w:pPr>
                    <w:spacing w:line="240" w:lineRule="auto"/>
                    <w:ind w:firstLine="0" w:firstLineChars="0"/>
                    <w:jc w:val="center"/>
                    <w:rPr>
                      <w:rFonts w:ascii="Calibri" w:hAnsi="Calibri" w:cs="Calibri"/>
                      <w:color w:val="262626"/>
                      <w:kern w:val="0"/>
                      <w:sz w:val="21"/>
                      <w:szCs w:val="21"/>
                    </w:rPr>
                  </w:pPr>
                  <w:r>
                    <w:rPr>
                      <w:rFonts w:ascii="Calibri" w:hAnsi="Calibri" w:cs="Calibri"/>
                      <w:color w:val="000000"/>
                      <w:kern w:val="0"/>
                      <w:sz w:val="21"/>
                      <w:szCs w:val="21"/>
                    </w:rPr>
                    <w:t>废水治理</w:t>
                  </w:r>
                </w:p>
              </w:tc>
              <w:tc>
                <w:tcPr>
                  <w:tcW w:w="998" w:type="pct"/>
                  <w:vAlign w:val="center"/>
                </w:tcPr>
                <w:p w14:paraId="7CE08458">
                  <w:pPr>
                    <w:spacing w:line="240" w:lineRule="auto"/>
                    <w:ind w:firstLine="0" w:firstLineChars="0"/>
                    <w:jc w:val="center"/>
                    <w:rPr>
                      <w:rFonts w:ascii="Calibri" w:hAnsi="Calibri" w:cs="Calibri"/>
                      <w:color w:val="262626"/>
                      <w:kern w:val="0"/>
                      <w:sz w:val="21"/>
                      <w:szCs w:val="21"/>
                    </w:rPr>
                  </w:pPr>
                  <w:r>
                    <w:rPr>
                      <w:rFonts w:ascii="Calibri" w:hAnsi="Calibri" w:cs="Calibri"/>
                      <w:color w:val="262626"/>
                      <w:kern w:val="0"/>
                      <w:sz w:val="21"/>
                      <w:szCs w:val="21"/>
                    </w:rPr>
                    <w:t>施工废水</w:t>
                  </w:r>
                </w:p>
              </w:tc>
              <w:tc>
                <w:tcPr>
                  <w:tcW w:w="2233" w:type="pct"/>
                  <w:vAlign w:val="center"/>
                </w:tcPr>
                <w:p w14:paraId="4C4213E9">
                  <w:pPr>
                    <w:spacing w:line="240" w:lineRule="auto"/>
                    <w:ind w:firstLine="0" w:firstLineChars="0"/>
                    <w:jc w:val="center"/>
                    <w:rPr>
                      <w:rFonts w:ascii="Calibri" w:hAnsi="Calibri" w:cs="Calibri"/>
                      <w:color w:val="262626"/>
                      <w:kern w:val="0"/>
                      <w:sz w:val="21"/>
                      <w:szCs w:val="21"/>
                    </w:rPr>
                  </w:pPr>
                  <w:r>
                    <w:rPr>
                      <w:rFonts w:ascii="Calibri" w:hAnsi="Calibri" w:cs="Calibri"/>
                      <w:color w:val="000000"/>
                      <w:kern w:val="0"/>
                      <w:sz w:val="21"/>
                      <w:szCs w:val="21"/>
                    </w:rPr>
                    <w:t>施工废水和生活污水经沉淀池处理后用作施工现场降尘用水；</w:t>
                  </w:r>
                </w:p>
              </w:tc>
              <w:tc>
                <w:tcPr>
                  <w:tcW w:w="711" w:type="pct"/>
                  <w:vAlign w:val="center"/>
                </w:tcPr>
                <w:p w14:paraId="1E02B9DF">
                  <w:pPr>
                    <w:widowControl/>
                    <w:spacing w:line="240" w:lineRule="auto"/>
                    <w:ind w:firstLine="0" w:firstLineChars="0"/>
                    <w:jc w:val="center"/>
                    <w:textAlignment w:val="center"/>
                    <w:rPr>
                      <w:rFonts w:hint="eastAsia" w:ascii="Calibri" w:hAnsi="Calibri" w:eastAsia="宋体" w:cs="Calibri"/>
                      <w:color w:val="262626"/>
                      <w:kern w:val="0"/>
                      <w:sz w:val="21"/>
                      <w:szCs w:val="21"/>
                      <w:lang w:eastAsia="zh-CN"/>
                    </w:rPr>
                  </w:pPr>
                  <w:r>
                    <w:rPr>
                      <w:rFonts w:hint="eastAsia" w:ascii="Calibri" w:hAnsi="Calibri" w:cs="Calibri"/>
                      <w:color w:val="000000"/>
                      <w:kern w:val="0"/>
                      <w:sz w:val="21"/>
                      <w:szCs w:val="21"/>
                      <w:lang w:val="en-US" w:eastAsia="zh-CN"/>
                    </w:rPr>
                    <w:t>5</w:t>
                  </w:r>
                </w:p>
              </w:tc>
            </w:tr>
            <w:tr w14:paraId="08DAF3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76" w:type="pct"/>
                  <w:vMerge w:val="continue"/>
                  <w:vAlign w:val="center"/>
                </w:tcPr>
                <w:p w14:paraId="70DB283D">
                  <w:pPr>
                    <w:autoSpaceDE w:val="0"/>
                    <w:autoSpaceDN w:val="0"/>
                    <w:spacing w:line="240" w:lineRule="auto"/>
                    <w:ind w:firstLine="0" w:firstLineChars="0"/>
                    <w:jc w:val="center"/>
                    <w:textAlignment w:val="baseline"/>
                    <w:rPr>
                      <w:rFonts w:ascii="Calibri" w:hAnsi="Calibri" w:cs="Calibri"/>
                      <w:color w:val="262626"/>
                      <w:kern w:val="0"/>
                      <w:sz w:val="21"/>
                      <w:szCs w:val="21"/>
                    </w:rPr>
                  </w:pPr>
                </w:p>
              </w:tc>
              <w:tc>
                <w:tcPr>
                  <w:tcW w:w="680" w:type="pct"/>
                  <w:vAlign w:val="center"/>
                </w:tcPr>
                <w:p w14:paraId="22A39BF5">
                  <w:pPr>
                    <w:spacing w:line="240" w:lineRule="auto"/>
                    <w:ind w:firstLine="0" w:firstLineChars="0"/>
                    <w:jc w:val="center"/>
                    <w:rPr>
                      <w:rFonts w:ascii="Calibri" w:hAnsi="Calibri" w:cs="Calibri"/>
                      <w:color w:val="262626"/>
                      <w:kern w:val="0"/>
                      <w:sz w:val="21"/>
                      <w:szCs w:val="21"/>
                    </w:rPr>
                  </w:pPr>
                  <w:r>
                    <w:rPr>
                      <w:rFonts w:ascii="Calibri" w:hAnsi="Calibri" w:cs="Calibri"/>
                      <w:color w:val="000000"/>
                      <w:kern w:val="0"/>
                      <w:sz w:val="21"/>
                      <w:szCs w:val="21"/>
                    </w:rPr>
                    <w:t>噪声治理</w:t>
                  </w:r>
                </w:p>
              </w:tc>
              <w:tc>
                <w:tcPr>
                  <w:tcW w:w="998" w:type="pct"/>
                  <w:vAlign w:val="center"/>
                </w:tcPr>
                <w:p w14:paraId="79A2B9C7">
                  <w:pPr>
                    <w:spacing w:line="240" w:lineRule="auto"/>
                    <w:ind w:firstLine="0" w:firstLineChars="0"/>
                    <w:jc w:val="center"/>
                    <w:rPr>
                      <w:rFonts w:ascii="Calibri" w:hAnsi="Calibri" w:cs="Calibri"/>
                      <w:color w:val="262626"/>
                      <w:kern w:val="0"/>
                      <w:sz w:val="21"/>
                      <w:szCs w:val="21"/>
                    </w:rPr>
                  </w:pPr>
                  <w:r>
                    <w:rPr>
                      <w:rFonts w:ascii="Calibri" w:hAnsi="Calibri" w:cs="Calibri"/>
                      <w:color w:val="262626"/>
                      <w:kern w:val="0"/>
                      <w:sz w:val="21"/>
                      <w:szCs w:val="21"/>
                    </w:rPr>
                    <w:t>施工噪声</w:t>
                  </w:r>
                </w:p>
              </w:tc>
              <w:tc>
                <w:tcPr>
                  <w:tcW w:w="2233" w:type="pct"/>
                  <w:vAlign w:val="center"/>
                </w:tcPr>
                <w:p w14:paraId="72BDF4D6">
                  <w:pPr>
                    <w:spacing w:line="240" w:lineRule="auto"/>
                    <w:ind w:firstLine="0" w:firstLineChars="0"/>
                    <w:jc w:val="center"/>
                    <w:rPr>
                      <w:rFonts w:ascii="Calibri" w:hAnsi="Calibri" w:cs="Calibri"/>
                      <w:color w:val="262626"/>
                      <w:kern w:val="0"/>
                      <w:sz w:val="21"/>
                      <w:szCs w:val="21"/>
                    </w:rPr>
                  </w:pPr>
                  <w:r>
                    <w:rPr>
                      <w:rFonts w:ascii="Calibri" w:hAnsi="Calibri" w:cs="Calibri"/>
                      <w:color w:val="000000"/>
                      <w:kern w:val="0"/>
                      <w:sz w:val="21"/>
                      <w:szCs w:val="21"/>
                    </w:rPr>
                    <w:t>修建临时隔声棚等</w:t>
                  </w:r>
                </w:p>
              </w:tc>
              <w:tc>
                <w:tcPr>
                  <w:tcW w:w="711" w:type="pct"/>
                  <w:vAlign w:val="center"/>
                </w:tcPr>
                <w:p w14:paraId="7C66A528">
                  <w:pPr>
                    <w:widowControl/>
                    <w:spacing w:line="240" w:lineRule="auto"/>
                    <w:ind w:firstLine="0" w:firstLineChars="0"/>
                    <w:jc w:val="center"/>
                    <w:textAlignment w:val="center"/>
                    <w:rPr>
                      <w:rFonts w:hint="eastAsia" w:ascii="Calibri" w:hAnsi="Calibri" w:eastAsia="宋体" w:cs="Calibri"/>
                      <w:color w:val="262626"/>
                      <w:kern w:val="0"/>
                      <w:sz w:val="21"/>
                      <w:szCs w:val="21"/>
                      <w:lang w:eastAsia="zh-CN"/>
                    </w:rPr>
                  </w:pPr>
                  <w:r>
                    <w:rPr>
                      <w:rFonts w:hint="eastAsia" w:ascii="Calibri" w:hAnsi="Calibri" w:cs="Calibri"/>
                      <w:color w:val="000000"/>
                      <w:kern w:val="0"/>
                      <w:sz w:val="21"/>
                      <w:szCs w:val="21"/>
                      <w:lang w:val="en-US" w:eastAsia="zh-CN"/>
                    </w:rPr>
                    <w:t>5</w:t>
                  </w:r>
                </w:p>
              </w:tc>
            </w:tr>
            <w:tr w14:paraId="11467C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76" w:type="pct"/>
                  <w:vMerge w:val="continue"/>
                  <w:vAlign w:val="center"/>
                </w:tcPr>
                <w:p w14:paraId="52C14A51">
                  <w:pPr>
                    <w:autoSpaceDE w:val="0"/>
                    <w:autoSpaceDN w:val="0"/>
                    <w:spacing w:line="240" w:lineRule="auto"/>
                    <w:ind w:firstLine="0" w:firstLineChars="0"/>
                    <w:jc w:val="center"/>
                    <w:textAlignment w:val="baseline"/>
                    <w:rPr>
                      <w:rFonts w:ascii="Calibri" w:hAnsi="Calibri" w:cs="Calibri"/>
                      <w:color w:val="262626"/>
                      <w:kern w:val="0"/>
                      <w:sz w:val="21"/>
                      <w:szCs w:val="21"/>
                    </w:rPr>
                  </w:pPr>
                </w:p>
              </w:tc>
              <w:tc>
                <w:tcPr>
                  <w:tcW w:w="680" w:type="pct"/>
                  <w:vMerge w:val="restart"/>
                  <w:vAlign w:val="center"/>
                </w:tcPr>
                <w:p w14:paraId="5C4CF5AB">
                  <w:pPr>
                    <w:spacing w:line="240" w:lineRule="auto"/>
                    <w:ind w:firstLine="0" w:firstLineChars="0"/>
                    <w:jc w:val="center"/>
                    <w:rPr>
                      <w:rFonts w:ascii="Calibri" w:hAnsi="Calibri" w:cs="Calibri"/>
                      <w:color w:val="262626"/>
                      <w:kern w:val="0"/>
                      <w:sz w:val="21"/>
                      <w:szCs w:val="21"/>
                    </w:rPr>
                  </w:pPr>
                  <w:r>
                    <w:rPr>
                      <w:rFonts w:ascii="Calibri" w:hAnsi="Calibri" w:cs="Calibri"/>
                      <w:color w:val="000000"/>
                      <w:kern w:val="0"/>
                      <w:sz w:val="21"/>
                      <w:szCs w:val="21"/>
                    </w:rPr>
                    <w:t>固废治理</w:t>
                  </w:r>
                </w:p>
              </w:tc>
              <w:tc>
                <w:tcPr>
                  <w:tcW w:w="998" w:type="pct"/>
                  <w:vAlign w:val="center"/>
                </w:tcPr>
                <w:p w14:paraId="0F797EB6">
                  <w:pPr>
                    <w:spacing w:line="240" w:lineRule="auto"/>
                    <w:ind w:firstLine="0" w:firstLineChars="0"/>
                    <w:jc w:val="center"/>
                    <w:rPr>
                      <w:rFonts w:ascii="Calibri" w:hAnsi="Calibri" w:cs="Calibri"/>
                      <w:color w:val="262626"/>
                      <w:kern w:val="0"/>
                      <w:sz w:val="21"/>
                      <w:szCs w:val="21"/>
                    </w:rPr>
                  </w:pPr>
                  <w:r>
                    <w:rPr>
                      <w:rFonts w:ascii="Calibri" w:hAnsi="Calibri" w:cs="Calibri"/>
                      <w:color w:val="262626"/>
                      <w:kern w:val="0"/>
                      <w:sz w:val="21"/>
                      <w:szCs w:val="21"/>
                    </w:rPr>
                    <w:t>施工垃圾</w:t>
                  </w:r>
                </w:p>
              </w:tc>
              <w:tc>
                <w:tcPr>
                  <w:tcW w:w="2233" w:type="pct"/>
                  <w:vAlign w:val="center"/>
                </w:tcPr>
                <w:p w14:paraId="42FEBA93">
                  <w:pPr>
                    <w:spacing w:line="240" w:lineRule="auto"/>
                    <w:ind w:firstLine="0" w:firstLineChars="0"/>
                    <w:jc w:val="center"/>
                    <w:rPr>
                      <w:rFonts w:ascii="Calibri" w:hAnsi="Calibri" w:cs="Calibri"/>
                      <w:color w:val="262626"/>
                      <w:kern w:val="0"/>
                      <w:sz w:val="21"/>
                      <w:szCs w:val="21"/>
                    </w:rPr>
                  </w:pPr>
                  <w:r>
                    <w:rPr>
                      <w:rFonts w:ascii="Calibri" w:hAnsi="Calibri" w:cs="Calibri"/>
                      <w:sz w:val="21"/>
                      <w:szCs w:val="21"/>
                    </w:rPr>
                    <w:t>拉运至</w:t>
                  </w:r>
                  <w:r>
                    <w:rPr>
                      <w:rFonts w:hint="eastAsia" w:ascii="Calibri" w:hAnsi="Calibri" w:cs="Calibri"/>
                      <w:sz w:val="21"/>
                      <w:szCs w:val="21"/>
                    </w:rPr>
                    <w:t>当地住建部门指定地点</w:t>
                  </w:r>
                  <w:r>
                    <w:rPr>
                      <w:rFonts w:ascii="Calibri" w:hAnsi="Calibri" w:cs="Calibri"/>
                      <w:sz w:val="21"/>
                      <w:szCs w:val="21"/>
                    </w:rPr>
                    <w:t>处理</w:t>
                  </w:r>
                </w:p>
              </w:tc>
              <w:tc>
                <w:tcPr>
                  <w:tcW w:w="711" w:type="pct"/>
                  <w:vAlign w:val="center"/>
                </w:tcPr>
                <w:p w14:paraId="4148648E">
                  <w:pPr>
                    <w:widowControl/>
                    <w:spacing w:line="240" w:lineRule="auto"/>
                    <w:ind w:firstLine="0" w:firstLineChars="0"/>
                    <w:jc w:val="center"/>
                    <w:textAlignment w:val="center"/>
                    <w:rPr>
                      <w:rFonts w:hint="eastAsia" w:ascii="Calibri" w:hAnsi="Calibri" w:eastAsia="宋体" w:cs="Calibri"/>
                      <w:color w:val="262626"/>
                      <w:kern w:val="0"/>
                      <w:sz w:val="21"/>
                      <w:szCs w:val="21"/>
                      <w:lang w:eastAsia="zh-CN"/>
                    </w:rPr>
                  </w:pPr>
                  <w:r>
                    <w:rPr>
                      <w:rFonts w:hint="eastAsia" w:ascii="Calibri" w:hAnsi="Calibri" w:cs="Calibri"/>
                      <w:color w:val="000000"/>
                      <w:kern w:val="0"/>
                      <w:sz w:val="21"/>
                      <w:szCs w:val="21"/>
                      <w:lang w:val="en-US" w:eastAsia="zh-CN"/>
                    </w:rPr>
                    <w:t>1</w:t>
                  </w:r>
                </w:p>
              </w:tc>
            </w:tr>
            <w:tr w14:paraId="25715E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76" w:type="pct"/>
                  <w:vMerge w:val="continue"/>
                  <w:vAlign w:val="center"/>
                </w:tcPr>
                <w:p w14:paraId="5824BBFB">
                  <w:pPr>
                    <w:autoSpaceDE w:val="0"/>
                    <w:autoSpaceDN w:val="0"/>
                    <w:spacing w:line="240" w:lineRule="auto"/>
                    <w:ind w:firstLine="0" w:firstLineChars="0"/>
                    <w:jc w:val="center"/>
                    <w:textAlignment w:val="baseline"/>
                    <w:rPr>
                      <w:rFonts w:ascii="Calibri" w:hAnsi="Calibri" w:cs="Calibri"/>
                      <w:color w:val="262626"/>
                      <w:kern w:val="0"/>
                      <w:sz w:val="21"/>
                      <w:szCs w:val="21"/>
                    </w:rPr>
                  </w:pPr>
                </w:p>
              </w:tc>
              <w:tc>
                <w:tcPr>
                  <w:tcW w:w="680" w:type="pct"/>
                  <w:vMerge w:val="continue"/>
                  <w:vAlign w:val="center"/>
                </w:tcPr>
                <w:p w14:paraId="144C8412">
                  <w:pPr>
                    <w:spacing w:line="240" w:lineRule="auto"/>
                    <w:ind w:firstLine="0" w:firstLineChars="0"/>
                    <w:jc w:val="center"/>
                    <w:rPr>
                      <w:rFonts w:ascii="Calibri" w:hAnsi="Calibri" w:cs="Calibri"/>
                      <w:color w:val="000000"/>
                      <w:kern w:val="0"/>
                      <w:sz w:val="21"/>
                      <w:szCs w:val="21"/>
                    </w:rPr>
                  </w:pPr>
                </w:p>
              </w:tc>
              <w:tc>
                <w:tcPr>
                  <w:tcW w:w="998" w:type="pct"/>
                  <w:vAlign w:val="center"/>
                </w:tcPr>
                <w:p w14:paraId="567371FE">
                  <w:pPr>
                    <w:spacing w:line="240" w:lineRule="auto"/>
                    <w:ind w:firstLine="0" w:firstLineChars="0"/>
                    <w:jc w:val="center"/>
                    <w:rPr>
                      <w:rFonts w:ascii="Calibri" w:hAnsi="Calibri" w:cs="Calibri"/>
                      <w:color w:val="262626"/>
                      <w:kern w:val="0"/>
                      <w:sz w:val="21"/>
                      <w:szCs w:val="21"/>
                    </w:rPr>
                  </w:pPr>
                  <w:r>
                    <w:rPr>
                      <w:rFonts w:ascii="Calibri" w:hAnsi="Calibri" w:cs="Calibri"/>
                      <w:color w:val="262626"/>
                      <w:kern w:val="0"/>
                      <w:sz w:val="21"/>
                      <w:szCs w:val="21"/>
                    </w:rPr>
                    <w:t>生活垃圾</w:t>
                  </w:r>
                </w:p>
              </w:tc>
              <w:tc>
                <w:tcPr>
                  <w:tcW w:w="2233" w:type="pct"/>
                  <w:vAlign w:val="center"/>
                </w:tcPr>
                <w:p w14:paraId="25E8F3BE">
                  <w:pPr>
                    <w:spacing w:line="240" w:lineRule="auto"/>
                    <w:ind w:firstLine="0" w:firstLineChars="0"/>
                    <w:jc w:val="center"/>
                    <w:rPr>
                      <w:rFonts w:ascii="Calibri" w:hAnsi="Calibri" w:cs="Calibri"/>
                      <w:color w:val="000000"/>
                      <w:kern w:val="0"/>
                      <w:sz w:val="21"/>
                      <w:szCs w:val="21"/>
                    </w:rPr>
                  </w:pPr>
                  <w:r>
                    <w:rPr>
                      <w:rFonts w:ascii="Calibri" w:hAnsi="Calibri" w:cs="Calibri"/>
                      <w:color w:val="000000"/>
                      <w:kern w:val="0"/>
                      <w:sz w:val="21"/>
                      <w:szCs w:val="21"/>
                    </w:rPr>
                    <w:t>集中收集后由环卫部门统一处理</w:t>
                  </w:r>
                </w:p>
              </w:tc>
              <w:tc>
                <w:tcPr>
                  <w:tcW w:w="711" w:type="pct"/>
                  <w:vAlign w:val="center"/>
                </w:tcPr>
                <w:p w14:paraId="74DB8B06">
                  <w:pPr>
                    <w:widowControl/>
                    <w:spacing w:line="240" w:lineRule="auto"/>
                    <w:ind w:firstLine="0" w:firstLineChars="0"/>
                    <w:jc w:val="center"/>
                    <w:textAlignment w:val="center"/>
                    <w:rPr>
                      <w:rFonts w:ascii="Calibri" w:hAnsi="Calibri" w:cs="Calibri"/>
                      <w:color w:val="000000"/>
                      <w:kern w:val="0"/>
                      <w:sz w:val="21"/>
                      <w:szCs w:val="21"/>
                    </w:rPr>
                  </w:pPr>
                  <w:r>
                    <w:rPr>
                      <w:rFonts w:ascii="Calibri" w:hAnsi="Calibri" w:cs="Calibri"/>
                      <w:color w:val="000000"/>
                      <w:kern w:val="0"/>
                      <w:sz w:val="21"/>
                      <w:szCs w:val="21"/>
                    </w:rPr>
                    <w:t>0.5</w:t>
                  </w:r>
                </w:p>
              </w:tc>
            </w:tr>
            <w:tr w14:paraId="1BF287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76" w:type="pct"/>
                  <w:vMerge w:val="restart"/>
                  <w:vAlign w:val="center"/>
                </w:tcPr>
                <w:p w14:paraId="09459E0C">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运</w:t>
                  </w:r>
                </w:p>
                <w:p w14:paraId="4ECCDCC5">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营</w:t>
                  </w:r>
                </w:p>
                <w:p w14:paraId="243E4411">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期</w:t>
                  </w:r>
                </w:p>
              </w:tc>
              <w:tc>
                <w:tcPr>
                  <w:tcW w:w="680" w:type="pct"/>
                  <w:vMerge w:val="restart"/>
                  <w:vAlign w:val="center"/>
                </w:tcPr>
                <w:p w14:paraId="03C5F322">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废水</w:t>
                  </w:r>
                </w:p>
              </w:tc>
              <w:tc>
                <w:tcPr>
                  <w:tcW w:w="998" w:type="pct"/>
                  <w:vAlign w:val="center"/>
                </w:tcPr>
                <w:p w14:paraId="5C0D003E">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废水泄漏</w:t>
                  </w:r>
                </w:p>
              </w:tc>
              <w:tc>
                <w:tcPr>
                  <w:tcW w:w="2233" w:type="pct"/>
                  <w:vAlign w:val="center"/>
                </w:tcPr>
                <w:p w14:paraId="79CF40C2">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厂区地面硬化、构筑物防渗措施</w:t>
                  </w:r>
                </w:p>
              </w:tc>
              <w:tc>
                <w:tcPr>
                  <w:tcW w:w="711" w:type="pct"/>
                  <w:vAlign w:val="center"/>
                </w:tcPr>
                <w:p w14:paraId="1EF44472">
                  <w:pPr>
                    <w:autoSpaceDE w:val="0"/>
                    <w:autoSpaceDN w:val="0"/>
                    <w:spacing w:line="240" w:lineRule="auto"/>
                    <w:ind w:firstLine="0" w:firstLineChars="0"/>
                    <w:jc w:val="center"/>
                    <w:textAlignment w:val="baseline"/>
                    <w:rPr>
                      <w:rFonts w:hint="default" w:ascii="Calibri" w:hAnsi="Calibri" w:eastAsia="宋体" w:cs="Calibri"/>
                      <w:color w:val="262626"/>
                      <w:kern w:val="0"/>
                      <w:sz w:val="21"/>
                      <w:szCs w:val="21"/>
                      <w:lang w:val="en-US" w:eastAsia="zh-CN"/>
                    </w:rPr>
                  </w:pPr>
                  <w:r>
                    <w:rPr>
                      <w:rFonts w:hint="eastAsia" w:ascii="Calibri" w:hAnsi="Calibri" w:cs="Calibri"/>
                      <w:color w:val="262626"/>
                      <w:kern w:val="0"/>
                      <w:sz w:val="21"/>
                      <w:szCs w:val="21"/>
                      <w:lang w:val="en-US" w:eastAsia="zh-CN"/>
                    </w:rPr>
                    <w:t>20</w:t>
                  </w:r>
                </w:p>
              </w:tc>
            </w:tr>
            <w:tr w14:paraId="6D8495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76" w:type="pct"/>
                  <w:vMerge w:val="continue"/>
                  <w:vAlign w:val="center"/>
                </w:tcPr>
                <w:p w14:paraId="51240234">
                  <w:pPr>
                    <w:autoSpaceDE w:val="0"/>
                    <w:autoSpaceDN w:val="0"/>
                    <w:spacing w:line="240" w:lineRule="auto"/>
                    <w:ind w:firstLine="0" w:firstLineChars="0"/>
                    <w:jc w:val="center"/>
                    <w:textAlignment w:val="baseline"/>
                    <w:rPr>
                      <w:rFonts w:ascii="Calibri" w:hAnsi="Calibri" w:cs="Calibri"/>
                      <w:color w:val="262626"/>
                      <w:kern w:val="0"/>
                      <w:sz w:val="21"/>
                      <w:szCs w:val="21"/>
                    </w:rPr>
                  </w:pPr>
                </w:p>
              </w:tc>
              <w:tc>
                <w:tcPr>
                  <w:tcW w:w="680" w:type="pct"/>
                  <w:vMerge w:val="continue"/>
                  <w:vAlign w:val="center"/>
                </w:tcPr>
                <w:p w14:paraId="614129CB">
                  <w:pPr>
                    <w:autoSpaceDE w:val="0"/>
                    <w:autoSpaceDN w:val="0"/>
                    <w:spacing w:line="240" w:lineRule="auto"/>
                    <w:ind w:firstLine="0" w:firstLineChars="0"/>
                    <w:jc w:val="center"/>
                    <w:textAlignment w:val="baseline"/>
                    <w:rPr>
                      <w:rFonts w:ascii="Calibri" w:hAnsi="Calibri" w:cs="Calibri"/>
                      <w:color w:val="262626"/>
                      <w:kern w:val="0"/>
                      <w:sz w:val="21"/>
                      <w:szCs w:val="21"/>
                    </w:rPr>
                  </w:pPr>
                </w:p>
              </w:tc>
              <w:tc>
                <w:tcPr>
                  <w:tcW w:w="998" w:type="pct"/>
                  <w:vAlign w:val="center"/>
                </w:tcPr>
                <w:p w14:paraId="4E3C0E9F">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hint="default" w:ascii="Calibri" w:hAnsi="Calibri" w:eastAsia="宋体" w:cs="Calibri"/>
                      <w:color w:val="262626"/>
                      <w:kern w:val="0"/>
                      <w:sz w:val="21"/>
                      <w:szCs w:val="21"/>
                      <w:lang w:val="en-US" w:eastAsia="zh-CN"/>
                    </w:rPr>
                    <w:t>在线监测系统</w:t>
                  </w:r>
                </w:p>
              </w:tc>
              <w:tc>
                <w:tcPr>
                  <w:tcW w:w="2233" w:type="pct"/>
                  <w:vAlign w:val="center"/>
                </w:tcPr>
                <w:p w14:paraId="228487BD">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hint="eastAsia" w:ascii="Calibri" w:hAnsi="Calibri" w:cs="Calibri"/>
                      <w:color w:val="262626"/>
                      <w:kern w:val="0"/>
                      <w:sz w:val="21"/>
                      <w:szCs w:val="21"/>
                      <w:lang w:val="en-US" w:eastAsia="zh-CN"/>
                    </w:rPr>
                    <w:t>在线监测设备</w:t>
                  </w:r>
                </w:p>
              </w:tc>
              <w:tc>
                <w:tcPr>
                  <w:tcW w:w="711" w:type="pct"/>
                  <w:vAlign w:val="center"/>
                </w:tcPr>
                <w:p w14:paraId="162C23F1">
                  <w:pPr>
                    <w:autoSpaceDE w:val="0"/>
                    <w:autoSpaceDN w:val="0"/>
                    <w:spacing w:line="240" w:lineRule="auto"/>
                    <w:ind w:firstLine="0" w:firstLineChars="0"/>
                    <w:jc w:val="center"/>
                    <w:textAlignment w:val="baseline"/>
                    <w:rPr>
                      <w:rFonts w:hint="default" w:ascii="Calibri" w:hAnsi="Calibri" w:eastAsia="宋体" w:cs="Calibri"/>
                      <w:color w:val="262626"/>
                      <w:kern w:val="0"/>
                      <w:sz w:val="21"/>
                      <w:szCs w:val="21"/>
                      <w:lang w:val="en-US" w:eastAsia="zh-CN"/>
                    </w:rPr>
                  </w:pPr>
                  <w:r>
                    <w:rPr>
                      <w:rFonts w:hint="eastAsia" w:ascii="Calibri" w:hAnsi="Calibri" w:cs="Calibri"/>
                      <w:color w:val="262626"/>
                      <w:kern w:val="0"/>
                      <w:sz w:val="21"/>
                      <w:szCs w:val="21"/>
                      <w:lang w:val="en-US" w:eastAsia="zh-CN"/>
                    </w:rPr>
                    <w:t>30</w:t>
                  </w:r>
                </w:p>
              </w:tc>
            </w:tr>
            <w:tr w14:paraId="43F110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4" w:hRule="atLeast"/>
              </w:trPr>
              <w:tc>
                <w:tcPr>
                  <w:tcW w:w="376" w:type="pct"/>
                  <w:vMerge w:val="continue"/>
                  <w:vAlign w:val="center"/>
                </w:tcPr>
                <w:p w14:paraId="2A314040">
                  <w:pPr>
                    <w:autoSpaceDE w:val="0"/>
                    <w:autoSpaceDN w:val="0"/>
                    <w:spacing w:line="240" w:lineRule="auto"/>
                    <w:ind w:firstLine="0" w:firstLineChars="0"/>
                    <w:jc w:val="center"/>
                    <w:textAlignment w:val="baseline"/>
                    <w:rPr>
                      <w:rFonts w:ascii="Calibri" w:hAnsi="Calibri" w:cs="Calibri"/>
                      <w:color w:val="262626"/>
                      <w:kern w:val="0"/>
                      <w:sz w:val="21"/>
                      <w:szCs w:val="21"/>
                    </w:rPr>
                  </w:pPr>
                </w:p>
              </w:tc>
              <w:tc>
                <w:tcPr>
                  <w:tcW w:w="680" w:type="pct"/>
                  <w:vAlign w:val="center"/>
                </w:tcPr>
                <w:p w14:paraId="1A97AC5E">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废气</w:t>
                  </w:r>
                </w:p>
              </w:tc>
              <w:tc>
                <w:tcPr>
                  <w:tcW w:w="998" w:type="pct"/>
                  <w:vAlign w:val="center"/>
                </w:tcPr>
                <w:p w14:paraId="47BC48D9">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恶臭</w:t>
                  </w:r>
                </w:p>
              </w:tc>
              <w:tc>
                <w:tcPr>
                  <w:tcW w:w="2233" w:type="pct"/>
                  <w:vAlign w:val="center"/>
                </w:tcPr>
                <w:p w14:paraId="1D43773D">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加盖密封、预处理区</w:t>
                  </w:r>
                  <w:r>
                    <w:rPr>
                      <w:rFonts w:hint="eastAsia" w:ascii="Calibri" w:hAnsi="Calibri" w:cs="Calibri"/>
                      <w:color w:val="262626"/>
                      <w:kern w:val="0"/>
                      <w:sz w:val="21"/>
                      <w:szCs w:val="21"/>
                    </w:rPr>
                    <w:t>、生化处理区</w:t>
                  </w:r>
                  <w:r>
                    <w:rPr>
                      <w:rFonts w:hint="eastAsia" w:ascii="Calibri" w:hAnsi="Calibri" w:cs="Calibri"/>
                      <w:color w:val="262626"/>
                      <w:kern w:val="0"/>
                      <w:sz w:val="21"/>
                      <w:szCs w:val="21"/>
                      <w:lang w:eastAsia="zh-CN"/>
                    </w:rPr>
                    <w:t>、</w:t>
                  </w:r>
                  <w:r>
                    <w:rPr>
                      <w:rFonts w:hint="eastAsia" w:ascii="Calibri" w:hAnsi="Calibri" w:cs="Calibri"/>
                      <w:color w:val="262626"/>
                      <w:kern w:val="0"/>
                      <w:sz w:val="21"/>
                      <w:szCs w:val="21"/>
                    </w:rPr>
                    <w:t>污泥</w:t>
                  </w:r>
                  <w:r>
                    <w:rPr>
                      <w:rFonts w:hint="eastAsia" w:ascii="Calibri" w:hAnsi="Calibri" w:cs="Calibri"/>
                      <w:color w:val="262626"/>
                      <w:kern w:val="0"/>
                      <w:sz w:val="21"/>
                      <w:szCs w:val="21"/>
                      <w:lang w:val="en-US" w:eastAsia="zh-CN"/>
                    </w:rPr>
                    <w:t>车间等</w:t>
                  </w:r>
                  <w:r>
                    <w:rPr>
                      <w:rFonts w:hint="eastAsia" w:ascii="Calibri" w:hAnsi="Calibri" w:cs="Calibri"/>
                      <w:color w:val="262626"/>
                      <w:kern w:val="0"/>
                      <w:sz w:val="21"/>
                      <w:szCs w:val="21"/>
                    </w:rPr>
                    <w:t>设置</w:t>
                  </w:r>
                  <w:r>
                    <w:rPr>
                      <w:rFonts w:ascii="Calibri" w:hAnsi="Calibri" w:cs="Calibri"/>
                      <w:color w:val="262626"/>
                      <w:kern w:val="0"/>
                      <w:sz w:val="21"/>
                      <w:szCs w:val="21"/>
                    </w:rPr>
                    <w:t>1套</w:t>
                  </w:r>
                  <w:r>
                    <w:rPr>
                      <w:rFonts w:hint="eastAsia" w:ascii="Calibri" w:hAnsi="Calibri" w:cs="Calibri"/>
                      <w:color w:val="262626"/>
                      <w:kern w:val="0"/>
                      <w:sz w:val="21"/>
                      <w:szCs w:val="21"/>
                      <w:lang w:val="en-US" w:eastAsia="zh-CN"/>
                    </w:rPr>
                    <w:t>活性炭吸附</w:t>
                  </w:r>
                  <w:r>
                    <w:rPr>
                      <w:rFonts w:hint="eastAsia" w:ascii="Calibri" w:hAnsi="Calibri" w:cs="Calibri"/>
                      <w:color w:val="262626"/>
                      <w:kern w:val="0"/>
                      <w:sz w:val="21"/>
                      <w:szCs w:val="21"/>
                    </w:rPr>
                    <w:t>装置</w:t>
                  </w:r>
                  <w:r>
                    <w:rPr>
                      <w:rFonts w:ascii="Calibri" w:hAnsi="Calibri" w:cs="Calibri"/>
                      <w:color w:val="262626"/>
                      <w:kern w:val="0"/>
                      <w:sz w:val="21"/>
                      <w:szCs w:val="21"/>
                    </w:rPr>
                    <w:t>处理后经15m排气筒（DA001）排放</w:t>
                  </w:r>
                </w:p>
              </w:tc>
              <w:tc>
                <w:tcPr>
                  <w:tcW w:w="711" w:type="pct"/>
                  <w:vAlign w:val="center"/>
                </w:tcPr>
                <w:p w14:paraId="404220CC">
                  <w:pPr>
                    <w:autoSpaceDE w:val="0"/>
                    <w:autoSpaceDN w:val="0"/>
                    <w:spacing w:line="240" w:lineRule="auto"/>
                    <w:ind w:firstLine="0" w:firstLineChars="0"/>
                    <w:jc w:val="center"/>
                    <w:textAlignment w:val="baseline"/>
                    <w:rPr>
                      <w:rFonts w:hint="default" w:ascii="Calibri" w:hAnsi="Calibri" w:eastAsia="宋体" w:cs="Calibri"/>
                      <w:color w:val="262626"/>
                      <w:kern w:val="0"/>
                      <w:sz w:val="21"/>
                      <w:szCs w:val="21"/>
                      <w:lang w:val="en-US" w:eastAsia="zh-CN"/>
                    </w:rPr>
                  </w:pPr>
                  <w:r>
                    <w:rPr>
                      <w:rFonts w:hint="eastAsia" w:ascii="Calibri" w:hAnsi="Calibri" w:cs="Calibri"/>
                      <w:color w:val="262626"/>
                      <w:kern w:val="0"/>
                      <w:sz w:val="21"/>
                      <w:szCs w:val="21"/>
                      <w:lang w:val="en-US" w:eastAsia="zh-CN"/>
                    </w:rPr>
                    <w:t>20</w:t>
                  </w:r>
                </w:p>
              </w:tc>
            </w:tr>
            <w:tr w14:paraId="131343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76" w:type="pct"/>
                  <w:vMerge w:val="continue"/>
                  <w:vAlign w:val="center"/>
                </w:tcPr>
                <w:p w14:paraId="39D9169E">
                  <w:pPr>
                    <w:autoSpaceDE w:val="0"/>
                    <w:autoSpaceDN w:val="0"/>
                    <w:spacing w:line="240" w:lineRule="auto"/>
                    <w:ind w:firstLine="0" w:firstLineChars="0"/>
                    <w:jc w:val="center"/>
                    <w:textAlignment w:val="baseline"/>
                    <w:rPr>
                      <w:rFonts w:ascii="Calibri" w:hAnsi="Calibri" w:cs="Calibri"/>
                      <w:color w:val="262626"/>
                      <w:kern w:val="0"/>
                      <w:sz w:val="21"/>
                      <w:szCs w:val="21"/>
                    </w:rPr>
                  </w:pPr>
                </w:p>
              </w:tc>
              <w:tc>
                <w:tcPr>
                  <w:tcW w:w="680" w:type="pct"/>
                  <w:vAlign w:val="center"/>
                </w:tcPr>
                <w:p w14:paraId="58457C52">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噪声</w:t>
                  </w:r>
                </w:p>
              </w:tc>
              <w:tc>
                <w:tcPr>
                  <w:tcW w:w="998" w:type="pct"/>
                  <w:vAlign w:val="center"/>
                </w:tcPr>
                <w:p w14:paraId="7CBF3638">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噪声</w:t>
                  </w:r>
                </w:p>
              </w:tc>
              <w:tc>
                <w:tcPr>
                  <w:tcW w:w="2233" w:type="pct"/>
                  <w:vAlign w:val="center"/>
                </w:tcPr>
                <w:p w14:paraId="4E8FF9C7">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kern w:val="0"/>
                      <w:sz w:val="21"/>
                      <w:szCs w:val="21"/>
                    </w:rPr>
                    <w:t>低噪声设备，基础减振及隔声屏障等</w:t>
                  </w:r>
                </w:p>
              </w:tc>
              <w:tc>
                <w:tcPr>
                  <w:tcW w:w="711" w:type="pct"/>
                  <w:vAlign w:val="center"/>
                </w:tcPr>
                <w:p w14:paraId="046E35D1">
                  <w:pPr>
                    <w:autoSpaceDE w:val="0"/>
                    <w:autoSpaceDN w:val="0"/>
                    <w:spacing w:line="240" w:lineRule="auto"/>
                    <w:ind w:firstLine="0" w:firstLineChars="0"/>
                    <w:jc w:val="center"/>
                    <w:textAlignment w:val="baseline"/>
                    <w:rPr>
                      <w:rFonts w:hint="eastAsia" w:ascii="Calibri" w:hAnsi="Calibri" w:eastAsia="宋体" w:cs="Calibri"/>
                      <w:color w:val="262626"/>
                      <w:kern w:val="0"/>
                      <w:sz w:val="21"/>
                      <w:szCs w:val="21"/>
                      <w:lang w:eastAsia="zh-CN"/>
                    </w:rPr>
                  </w:pPr>
                  <w:r>
                    <w:rPr>
                      <w:rFonts w:hint="eastAsia" w:ascii="Calibri" w:hAnsi="Calibri" w:cs="Calibri"/>
                      <w:color w:val="262626"/>
                      <w:kern w:val="0"/>
                      <w:sz w:val="21"/>
                      <w:szCs w:val="21"/>
                      <w:lang w:val="en-US" w:eastAsia="zh-CN"/>
                    </w:rPr>
                    <w:t>2</w:t>
                  </w:r>
                </w:p>
              </w:tc>
            </w:tr>
            <w:tr w14:paraId="115F3B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76" w:type="pct"/>
                  <w:vMerge w:val="continue"/>
                  <w:vAlign w:val="center"/>
                </w:tcPr>
                <w:p w14:paraId="650AD464">
                  <w:pPr>
                    <w:autoSpaceDE w:val="0"/>
                    <w:autoSpaceDN w:val="0"/>
                    <w:spacing w:line="240" w:lineRule="auto"/>
                    <w:ind w:firstLine="0" w:firstLineChars="0"/>
                    <w:jc w:val="center"/>
                    <w:textAlignment w:val="baseline"/>
                    <w:rPr>
                      <w:rFonts w:ascii="Calibri" w:hAnsi="Calibri" w:cs="Calibri"/>
                      <w:color w:val="262626"/>
                      <w:kern w:val="0"/>
                      <w:sz w:val="21"/>
                      <w:szCs w:val="21"/>
                    </w:rPr>
                  </w:pPr>
                </w:p>
              </w:tc>
              <w:tc>
                <w:tcPr>
                  <w:tcW w:w="680" w:type="pct"/>
                  <w:vAlign w:val="center"/>
                </w:tcPr>
                <w:p w14:paraId="6B82E93A">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固体废物</w:t>
                  </w:r>
                </w:p>
              </w:tc>
              <w:tc>
                <w:tcPr>
                  <w:tcW w:w="998" w:type="pct"/>
                  <w:vAlign w:val="center"/>
                </w:tcPr>
                <w:p w14:paraId="183A3B4D">
                  <w:pPr>
                    <w:autoSpaceDE w:val="0"/>
                    <w:autoSpaceDN w:val="0"/>
                    <w:spacing w:line="240" w:lineRule="auto"/>
                    <w:ind w:firstLine="0" w:firstLineChars="0"/>
                    <w:jc w:val="center"/>
                    <w:textAlignment w:val="baseline"/>
                    <w:rPr>
                      <w:rFonts w:hint="default" w:ascii="Calibri" w:hAnsi="Calibri" w:eastAsia="宋体" w:cs="Calibri"/>
                      <w:color w:val="262626"/>
                      <w:kern w:val="0"/>
                      <w:sz w:val="21"/>
                      <w:szCs w:val="21"/>
                      <w:lang w:val="en-US" w:eastAsia="zh-CN"/>
                    </w:rPr>
                  </w:pPr>
                  <w:r>
                    <w:rPr>
                      <w:rFonts w:hint="eastAsia" w:ascii="Calibri" w:hAnsi="Calibri" w:cs="Calibri"/>
                      <w:color w:val="262626"/>
                      <w:kern w:val="0"/>
                      <w:sz w:val="21"/>
                      <w:szCs w:val="21"/>
                      <w:lang w:val="en-US" w:eastAsia="zh-CN"/>
                    </w:rPr>
                    <w:t>一般工业固体废物、危险废物、生活垃圾</w:t>
                  </w:r>
                </w:p>
              </w:tc>
              <w:tc>
                <w:tcPr>
                  <w:tcW w:w="2233" w:type="pct"/>
                  <w:vAlign w:val="center"/>
                </w:tcPr>
                <w:p w14:paraId="0D01BBBD">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生活垃圾桶、围堰、</w:t>
                  </w:r>
                  <w:r>
                    <w:rPr>
                      <w:rFonts w:hint="eastAsia" w:ascii="Calibri" w:hAnsi="Calibri" w:cs="Calibri"/>
                      <w:color w:val="262626"/>
                      <w:kern w:val="0"/>
                      <w:sz w:val="21"/>
                      <w:szCs w:val="21"/>
                      <w:lang w:val="en-US" w:eastAsia="zh-CN"/>
                    </w:rPr>
                    <w:t>一般固体废物贮存库（50m</w:t>
                  </w:r>
                  <w:r>
                    <w:rPr>
                      <w:rFonts w:hint="eastAsia" w:ascii="Calibri" w:hAnsi="Calibri" w:cs="Calibri"/>
                      <w:color w:val="262626"/>
                      <w:kern w:val="0"/>
                      <w:sz w:val="21"/>
                      <w:szCs w:val="21"/>
                      <w:vertAlign w:val="superscript"/>
                      <w:lang w:val="en-US" w:eastAsia="zh-CN"/>
                    </w:rPr>
                    <w:t>2</w:t>
                  </w:r>
                  <w:r>
                    <w:rPr>
                      <w:rFonts w:hint="eastAsia" w:ascii="Calibri" w:hAnsi="Calibri" w:cs="Calibri"/>
                      <w:color w:val="262626"/>
                      <w:kern w:val="0"/>
                      <w:sz w:val="21"/>
                      <w:szCs w:val="21"/>
                      <w:lang w:val="en-US" w:eastAsia="zh-CN"/>
                    </w:rPr>
                    <w:t>）</w:t>
                  </w:r>
                  <w:r>
                    <w:rPr>
                      <w:rFonts w:ascii="Calibri" w:hAnsi="Calibri" w:cs="Calibri"/>
                      <w:color w:val="262626"/>
                      <w:kern w:val="0"/>
                      <w:sz w:val="21"/>
                      <w:szCs w:val="21"/>
                    </w:rPr>
                    <w:t>、危险废物</w:t>
                  </w:r>
                  <w:r>
                    <w:rPr>
                      <w:rFonts w:hint="eastAsia" w:ascii="Calibri" w:hAnsi="Calibri" w:cs="Calibri"/>
                      <w:color w:val="262626"/>
                      <w:kern w:val="0"/>
                      <w:sz w:val="21"/>
                      <w:szCs w:val="21"/>
                      <w:lang w:val="en-US" w:eastAsia="zh-CN"/>
                    </w:rPr>
                    <w:t>贮存库（50m</w:t>
                  </w:r>
                  <w:r>
                    <w:rPr>
                      <w:rFonts w:hint="eastAsia" w:ascii="Calibri" w:hAnsi="Calibri" w:cs="Calibri"/>
                      <w:color w:val="262626"/>
                      <w:kern w:val="0"/>
                      <w:sz w:val="21"/>
                      <w:szCs w:val="21"/>
                      <w:vertAlign w:val="superscript"/>
                      <w:lang w:val="en-US" w:eastAsia="zh-CN"/>
                    </w:rPr>
                    <w:t>2</w:t>
                  </w:r>
                  <w:r>
                    <w:rPr>
                      <w:rFonts w:hint="eastAsia" w:ascii="Calibri" w:hAnsi="Calibri" w:cs="Calibri"/>
                      <w:color w:val="262626"/>
                      <w:kern w:val="0"/>
                      <w:sz w:val="21"/>
                      <w:szCs w:val="21"/>
                      <w:lang w:val="en-US" w:eastAsia="zh-CN"/>
                    </w:rPr>
                    <w:t>）</w:t>
                  </w:r>
                </w:p>
              </w:tc>
              <w:tc>
                <w:tcPr>
                  <w:tcW w:w="711" w:type="pct"/>
                  <w:vAlign w:val="center"/>
                </w:tcPr>
                <w:p w14:paraId="168BEF12">
                  <w:pPr>
                    <w:autoSpaceDE w:val="0"/>
                    <w:autoSpaceDN w:val="0"/>
                    <w:spacing w:line="240" w:lineRule="auto"/>
                    <w:ind w:firstLine="0" w:firstLineChars="0"/>
                    <w:jc w:val="center"/>
                    <w:textAlignment w:val="baseline"/>
                    <w:rPr>
                      <w:rFonts w:hint="default" w:ascii="Calibri" w:hAnsi="Calibri" w:eastAsia="宋体" w:cs="Calibri"/>
                      <w:color w:val="262626"/>
                      <w:kern w:val="0"/>
                      <w:sz w:val="21"/>
                      <w:szCs w:val="21"/>
                      <w:lang w:val="en-US" w:eastAsia="zh-CN"/>
                    </w:rPr>
                  </w:pPr>
                  <w:r>
                    <w:rPr>
                      <w:rFonts w:hint="eastAsia" w:ascii="Calibri" w:hAnsi="Calibri" w:cs="Calibri"/>
                      <w:color w:val="262626"/>
                      <w:kern w:val="0"/>
                      <w:sz w:val="21"/>
                      <w:szCs w:val="21"/>
                      <w:lang w:val="en-US" w:eastAsia="zh-CN"/>
                    </w:rPr>
                    <w:t>10</w:t>
                  </w:r>
                </w:p>
              </w:tc>
            </w:tr>
            <w:tr w14:paraId="64489C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76" w:type="pct"/>
                  <w:vMerge w:val="continue"/>
                  <w:vAlign w:val="center"/>
                </w:tcPr>
                <w:p w14:paraId="0D885B37">
                  <w:pPr>
                    <w:autoSpaceDE w:val="0"/>
                    <w:autoSpaceDN w:val="0"/>
                    <w:spacing w:line="240" w:lineRule="auto"/>
                    <w:ind w:firstLine="0" w:firstLineChars="0"/>
                    <w:jc w:val="center"/>
                    <w:textAlignment w:val="baseline"/>
                    <w:rPr>
                      <w:rFonts w:ascii="Calibri" w:hAnsi="Calibri" w:cs="Calibri"/>
                      <w:color w:val="262626"/>
                      <w:kern w:val="0"/>
                      <w:sz w:val="21"/>
                      <w:szCs w:val="21"/>
                    </w:rPr>
                  </w:pPr>
                </w:p>
              </w:tc>
              <w:tc>
                <w:tcPr>
                  <w:tcW w:w="1678" w:type="pct"/>
                  <w:gridSpan w:val="2"/>
                  <w:vAlign w:val="center"/>
                </w:tcPr>
                <w:p w14:paraId="431FFCDC">
                  <w:pPr>
                    <w:autoSpaceDE w:val="0"/>
                    <w:autoSpaceDN w:val="0"/>
                    <w:spacing w:line="240" w:lineRule="auto"/>
                    <w:ind w:firstLine="0" w:firstLineChars="0"/>
                    <w:jc w:val="center"/>
                    <w:textAlignment w:val="baseline"/>
                    <w:rPr>
                      <w:rFonts w:hint="default" w:ascii="Calibri" w:hAnsi="Calibri" w:eastAsia="宋体" w:cs="Calibri"/>
                      <w:color w:val="262626"/>
                      <w:kern w:val="0"/>
                      <w:sz w:val="21"/>
                      <w:szCs w:val="21"/>
                      <w:lang w:val="en-US" w:eastAsia="zh-CN"/>
                    </w:rPr>
                  </w:pPr>
                  <w:r>
                    <w:rPr>
                      <w:rFonts w:ascii="Calibri" w:hAnsi="Calibri" w:cs="Calibri"/>
                      <w:color w:val="262626"/>
                      <w:kern w:val="0"/>
                      <w:sz w:val="21"/>
                      <w:szCs w:val="21"/>
                    </w:rPr>
                    <w:t>地下水</w:t>
                  </w:r>
                  <w:r>
                    <w:rPr>
                      <w:rFonts w:hint="eastAsia" w:ascii="Calibri" w:hAnsi="Calibri" w:cs="Calibri"/>
                      <w:color w:val="262626"/>
                      <w:kern w:val="0"/>
                      <w:sz w:val="21"/>
                      <w:szCs w:val="21"/>
                      <w:lang w:eastAsia="zh-CN"/>
                    </w:rPr>
                    <w:t>、</w:t>
                  </w:r>
                  <w:r>
                    <w:rPr>
                      <w:rFonts w:hint="eastAsia" w:ascii="Calibri" w:hAnsi="Calibri" w:cs="Calibri"/>
                      <w:color w:val="262626"/>
                      <w:kern w:val="0"/>
                      <w:sz w:val="21"/>
                      <w:szCs w:val="21"/>
                      <w:lang w:val="en-US" w:eastAsia="zh-CN"/>
                    </w:rPr>
                    <w:t>土壤</w:t>
                  </w:r>
                </w:p>
              </w:tc>
              <w:tc>
                <w:tcPr>
                  <w:tcW w:w="2233" w:type="pct"/>
                  <w:vAlign w:val="center"/>
                </w:tcPr>
                <w:p w14:paraId="3D346062">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重点防渗，一般防渗区，简单防渗</w:t>
                  </w:r>
                </w:p>
              </w:tc>
              <w:tc>
                <w:tcPr>
                  <w:tcW w:w="711" w:type="pct"/>
                  <w:vAlign w:val="center"/>
                </w:tcPr>
                <w:p w14:paraId="1D626EFD">
                  <w:pPr>
                    <w:autoSpaceDE w:val="0"/>
                    <w:autoSpaceDN w:val="0"/>
                    <w:spacing w:line="240" w:lineRule="auto"/>
                    <w:ind w:firstLine="0" w:firstLineChars="0"/>
                    <w:jc w:val="center"/>
                    <w:textAlignment w:val="baseline"/>
                    <w:rPr>
                      <w:rFonts w:hint="default" w:ascii="Calibri" w:hAnsi="Calibri" w:eastAsia="宋体" w:cs="Calibri"/>
                      <w:color w:val="262626"/>
                      <w:kern w:val="0"/>
                      <w:sz w:val="21"/>
                      <w:szCs w:val="21"/>
                      <w:lang w:val="en-US" w:eastAsia="zh-CN"/>
                    </w:rPr>
                  </w:pPr>
                  <w:r>
                    <w:rPr>
                      <w:rFonts w:hint="eastAsia" w:ascii="Calibri" w:hAnsi="Calibri" w:eastAsia="宋体" w:cs="Calibri"/>
                      <w:color w:val="262626"/>
                      <w:kern w:val="0"/>
                      <w:sz w:val="21"/>
                      <w:szCs w:val="21"/>
                      <w:lang w:val="en-US" w:eastAsia="zh-CN"/>
                    </w:rPr>
                    <w:t>20</w:t>
                  </w:r>
                </w:p>
              </w:tc>
            </w:tr>
            <w:tr w14:paraId="67D28F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76" w:type="pct"/>
                  <w:vMerge w:val="continue"/>
                  <w:vAlign w:val="center"/>
                </w:tcPr>
                <w:p w14:paraId="509B5F81">
                  <w:pPr>
                    <w:autoSpaceDE w:val="0"/>
                    <w:autoSpaceDN w:val="0"/>
                    <w:spacing w:line="240" w:lineRule="auto"/>
                    <w:ind w:firstLine="0" w:firstLineChars="0"/>
                    <w:jc w:val="center"/>
                    <w:textAlignment w:val="baseline"/>
                    <w:rPr>
                      <w:rFonts w:ascii="Calibri" w:hAnsi="Calibri" w:cs="Calibri"/>
                      <w:color w:val="262626"/>
                      <w:kern w:val="0"/>
                      <w:sz w:val="21"/>
                      <w:szCs w:val="21"/>
                    </w:rPr>
                  </w:pPr>
                </w:p>
              </w:tc>
              <w:tc>
                <w:tcPr>
                  <w:tcW w:w="1678" w:type="pct"/>
                  <w:gridSpan w:val="2"/>
                  <w:vAlign w:val="center"/>
                </w:tcPr>
                <w:p w14:paraId="73ABC1CF">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环境风险</w:t>
                  </w:r>
                </w:p>
              </w:tc>
              <w:tc>
                <w:tcPr>
                  <w:tcW w:w="2233" w:type="pct"/>
                  <w:vAlign w:val="center"/>
                </w:tcPr>
                <w:p w14:paraId="1F371C42">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安全警示、灭火器材、事故调节池等风险防范措施</w:t>
                  </w:r>
                </w:p>
              </w:tc>
              <w:tc>
                <w:tcPr>
                  <w:tcW w:w="711" w:type="pct"/>
                  <w:vAlign w:val="center"/>
                </w:tcPr>
                <w:p w14:paraId="2043E5C6">
                  <w:pPr>
                    <w:autoSpaceDE w:val="0"/>
                    <w:autoSpaceDN w:val="0"/>
                    <w:spacing w:line="240" w:lineRule="auto"/>
                    <w:ind w:firstLine="0" w:firstLineChars="0"/>
                    <w:jc w:val="center"/>
                    <w:textAlignment w:val="baseline"/>
                    <w:rPr>
                      <w:rFonts w:hint="default" w:ascii="Calibri" w:hAnsi="Calibri" w:cs="Calibri"/>
                      <w:color w:val="262626"/>
                      <w:kern w:val="0"/>
                      <w:sz w:val="21"/>
                      <w:szCs w:val="21"/>
                      <w:lang w:val="en-US"/>
                    </w:rPr>
                  </w:pPr>
                  <w:r>
                    <w:rPr>
                      <w:rFonts w:hint="eastAsia" w:ascii="Calibri" w:hAnsi="Calibri" w:cs="Calibri"/>
                      <w:color w:val="262626"/>
                      <w:kern w:val="0"/>
                      <w:sz w:val="21"/>
                      <w:szCs w:val="21"/>
                      <w:lang w:val="en-US" w:eastAsia="zh-CN"/>
                    </w:rPr>
                    <w:t>10</w:t>
                  </w:r>
                </w:p>
              </w:tc>
            </w:tr>
            <w:tr w14:paraId="1F8BDB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288" w:type="pct"/>
                  <w:gridSpan w:val="4"/>
                  <w:vAlign w:val="center"/>
                </w:tcPr>
                <w:p w14:paraId="13DB18E1">
                  <w:pPr>
                    <w:autoSpaceDE w:val="0"/>
                    <w:autoSpaceDN w:val="0"/>
                    <w:spacing w:line="240" w:lineRule="auto"/>
                    <w:ind w:firstLine="0" w:firstLineChars="0"/>
                    <w:jc w:val="center"/>
                    <w:textAlignment w:val="baseline"/>
                    <w:rPr>
                      <w:rFonts w:ascii="Calibri" w:hAnsi="Calibri" w:cs="Calibri"/>
                      <w:color w:val="262626"/>
                      <w:kern w:val="0"/>
                      <w:sz w:val="21"/>
                      <w:szCs w:val="21"/>
                    </w:rPr>
                  </w:pPr>
                  <w:r>
                    <w:rPr>
                      <w:rFonts w:ascii="Calibri" w:hAnsi="Calibri" w:cs="Calibri"/>
                      <w:color w:val="262626"/>
                      <w:kern w:val="0"/>
                      <w:sz w:val="21"/>
                      <w:szCs w:val="21"/>
                    </w:rPr>
                    <w:t>合计</w:t>
                  </w:r>
                </w:p>
              </w:tc>
              <w:tc>
                <w:tcPr>
                  <w:tcW w:w="711" w:type="pct"/>
                  <w:vAlign w:val="center"/>
                </w:tcPr>
                <w:p w14:paraId="575629BB">
                  <w:pPr>
                    <w:autoSpaceDE w:val="0"/>
                    <w:autoSpaceDN w:val="0"/>
                    <w:spacing w:line="240" w:lineRule="auto"/>
                    <w:ind w:firstLine="0" w:firstLineChars="0"/>
                    <w:jc w:val="center"/>
                    <w:textAlignment w:val="baseline"/>
                    <w:rPr>
                      <w:rFonts w:hint="default" w:ascii="Calibri" w:hAnsi="Calibri" w:eastAsia="宋体" w:cs="Calibri"/>
                      <w:color w:val="262626"/>
                      <w:kern w:val="0"/>
                      <w:sz w:val="21"/>
                      <w:szCs w:val="21"/>
                      <w:lang w:val="en-US" w:eastAsia="zh-CN"/>
                    </w:rPr>
                  </w:pPr>
                  <w:r>
                    <w:rPr>
                      <w:rFonts w:hint="eastAsia" w:ascii="Calibri" w:hAnsi="Calibri" w:cs="Calibri"/>
                      <w:color w:val="262626"/>
                      <w:kern w:val="0"/>
                      <w:sz w:val="21"/>
                      <w:szCs w:val="21"/>
                      <w:lang w:val="en-US" w:eastAsia="zh-CN"/>
                    </w:rPr>
                    <w:t>133.5</w:t>
                  </w:r>
                </w:p>
              </w:tc>
            </w:tr>
            <w:bookmarkEnd w:id="26"/>
          </w:tbl>
          <w:p w14:paraId="5B7BF1FA">
            <w:pPr>
              <w:spacing w:line="360" w:lineRule="auto"/>
              <w:ind w:firstLine="480" w:firstLineChars="200"/>
              <w:rPr>
                <w:rFonts w:hint="eastAsia" w:ascii="宋体" w:hAnsi="宋体" w:cs="宋体"/>
                <w:sz w:val="24"/>
              </w:rPr>
            </w:pPr>
          </w:p>
          <w:p w14:paraId="32D672D2">
            <w:pPr>
              <w:spacing w:line="360" w:lineRule="auto"/>
              <w:ind w:firstLine="480" w:firstLineChars="200"/>
              <w:rPr>
                <w:rFonts w:hint="eastAsia" w:ascii="宋体" w:hAnsi="宋体" w:cs="宋体"/>
                <w:sz w:val="24"/>
              </w:rPr>
            </w:pPr>
          </w:p>
          <w:p w14:paraId="789E56C8">
            <w:pPr>
              <w:spacing w:line="360" w:lineRule="auto"/>
              <w:ind w:firstLine="480" w:firstLineChars="200"/>
              <w:rPr>
                <w:rFonts w:hint="eastAsia" w:ascii="宋体" w:hAnsi="宋体" w:cs="宋体"/>
                <w:sz w:val="24"/>
              </w:rPr>
            </w:pPr>
          </w:p>
          <w:p w14:paraId="2A5D6F98">
            <w:pPr>
              <w:spacing w:line="360" w:lineRule="auto"/>
              <w:ind w:firstLine="480" w:firstLineChars="200"/>
              <w:rPr>
                <w:rFonts w:hint="eastAsia" w:ascii="宋体" w:hAnsi="宋体" w:cs="宋体"/>
                <w:sz w:val="24"/>
              </w:rPr>
            </w:pPr>
          </w:p>
          <w:p w14:paraId="16942D72">
            <w:pPr>
              <w:spacing w:line="360" w:lineRule="auto"/>
              <w:ind w:firstLine="480" w:firstLineChars="200"/>
              <w:rPr>
                <w:rFonts w:hint="eastAsia" w:ascii="宋体" w:hAnsi="宋体" w:cs="宋体"/>
                <w:sz w:val="24"/>
              </w:rPr>
            </w:pPr>
          </w:p>
          <w:p w14:paraId="5B6B995F">
            <w:pPr>
              <w:spacing w:line="360" w:lineRule="auto"/>
              <w:ind w:firstLine="480" w:firstLineChars="200"/>
              <w:rPr>
                <w:rFonts w:hint="eastAsia" w:ascii="宋体" w:hAnsi="宋体" w:cs="宋体"/>
                <w:sz w:val="24"/>
              </w:rPr>
            </w:pPr>
          </w:p>
          <w:p w14:paraId="0F4361DA">
            <w:pPr>
              <w:spacing w:line="360" w:lineRule="auto"/>
              <w:ind w:firstLine="480" w:firstLineChars="200"/>
              <w:rPr>
                <w:rFonts w:hint="eastAsia" w:ascii="宋体" w:hAnsi="宋体" w:cs="宋体"/>
                <w:sz w:val="24"/>
              </w:rPr>
            </w:pPr>
          </w:p>
          <w:p w14:paraId="3C9B61AB">
            <w:pPr>
              <w:spacing w:line="360" w:lineRule="auto"/>
              <w:ind w:firstLine="480" w:firstLineChars="200"/>
              <w:rPr>
                <w:rFonts w:hint="eastAsia" w:ascii="宋体" w:hAnsi="宋体" w:cs="宋体"/>
                <w:sz w:val="24"/>
              </w:rPr>
            </w:pPr>
          </w:p>
          <w:p w14:paraId="60B976A9">
            <w:pPr>
              <w:spacing w:line="360" w:lineRule="auto"/>
              <w:rPr>
                <w:rFonts w:hint="eastAsia" w:ascii="宋体" w:hAnsi="宋体" w:cs="宋体"/>
                <w:sz w:val="24"/>
              </w:rPr>
            </w:pPr>
          </w:p>
          <w:p w14:paraId="796A996C">
            <w:pPr>
              <w:spacing w:line="360" w:lineRule="auto"/>
              <w:rPr>
                <w:rFonts w:hint="eastAsia" w:ascii="宋体" w:hAnsi="宋体" w:cs="宋体"/>
                <w:sz w:val="24"/>
              </w:rPr>
            </w:pPr>
          </w:p>
          <w:p w14:paraId="3B53F2BF">
            <w:pPr>
              <w:spacing w:line="360" w:lineRule="auto"/>
              <w:rPr>
                <w:rFonts w:hint="eastAsia" w:ascii="宋体" w:hAnsi="宋体" w:cs="宋体"/>
                <w:sz w:val="24"/>
              </w:rPr>
            </w:pPr>
          </w:p>
          <w:p w14:paraId="2291B537">
            <w:pPr>
              <w:spacing w:line="360" w:lineRule="auto"/>
              <w:rPr>
                <w:rFonts w:hint="eastAsia" w:ascii="宋体" w:hAnsi="宋体" w:cs="宋体"/>
                <w:sz w:val="24"/>
              </w:rPr>
            </w:pPr>
          </w:p>
          <w:p w14:paraId="7F2E62AF">
            <w:pPr>
              <w:spacing w:line="360" w:lineRule="auto"/>
              <w:rPr>
                <w:rFonts w:hint="eastAsia" w:ascii="宋体" w:hAnsi="宋体" w:cs="宋体"/>
                <w:sz w:val="24"/>
              </w:rPr>
            </w:pPr>
          </w:p>
          <w:p w14:paraId="0314D22A">
            <w:pPr>
              <w:spacing w:line="360" w:lineRule="auto"/>
              <w:rPr>
                <w:rFonts w:hint="eastAsia" w:ascii="宋体" w:hAnsi="宋体" w:cs="宋体"/>
                <w:sz w:val="24"/>
              </w:rPr>
            </w:pPr>
          </w:p>
          <w:p w14:paraId="2188E95C">
            <w:pPr>
              <w:spacing w:line="360" w:lineRule="auto"/>
              <w:rPr>
                <w:rFonts w:hint="eastAsia" w:ascii="宋体" w:hAnsi="宋体" w:cs="宋体"/>
                <w:sz w:val="24"/>
              </w:rPr>
            </w:pPr>
          </w:p>
          <w:p w14:paraId="6C86BBE0">
            <w:pPr>
              <w:spacing w:line="360" w:lineRule="auto"/>
              <w:rPr>
                <w:rFonts w:hint="eastAsia" w:ascii="宋体" w:hAnsi="宋体" w:cs="宋体"/>
                <w:sz w:val="24"/>
              </w:rPr>
            </w:pPr>
          </w:p>
          <w:p w14:paraId="72820573">
            <w:pPr>
              <w:adjustRightInd w:val="0"/>
              <w:snapToGrid w:val="0"/>
              <w:spacing w:line="360" w:lineRule="auto"/>
              <w:rPr>
                <w:rFonts w:hint="eastAsia" w:ascii="宋体" w:cs="宋体"/>
                <w:b/>
                <w:kern w:val="0"/>
                <w:sz w:val="28"/>
                <w:szCs w:val="28"/>
                <w:vertAlign w:val="baseline"/>
              </w:rPr>
            </w:pPr>
          </w:p>
        </w:tc>
      </w:tr>
    </w:tbl>
    <w:p w14:paraId="73BA79DA">
      <w:pPr>
        <w:adjustRightInd w:val="0"/>
        <w:snapToGrid w:val="0"/>
        <w:spacing w:line="360" w:lineRule="auto"/>
        <w:rPr>
          <w:rFonts w:hint="eastAsia" w:ascii="宋体" w:cs="宋体"/>
          <w:b/>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2010820A">
      <w:pPr>
        <w:pStyle w:val="19"/>
        <w:jc w:val="center"/>
        <w:outlineLvl w:val="0"/>
        <w:rPr>
          <w:rFonts w:ascii="黑体" w:hAnsi="黑体" w:eastAsia="黑体"/>
          <w:snapToGrid w:val="0"/>
          <w:sz w:val="30"/>
          <w:szCs w:val="30"/>
        </w:rPr>
      </w:pPr>
      <w:r>
        <w:rPr>
          <w:rFonts w:hint="eastAsia" w:ascii="黑体" w:hAnsi="黑体" w:eastAsia="黑体"/>
          <w:snapToGrid w:val="0"/>
          <w:sz w:val="30"/>
          <w:szCs w:val="30"/>
        </w:rPr>
        <w:t>五、</w:t>
      </w:r>
      <w:bookmarkStart w:id="27" w:name="_Hlk54167917"/>
      <w:r>
        <w:rPr>
          <w:rFonts w:hint="eastAsia" w:ascii="黑体" w:hAnsi="黑体" w:eastAsia="黑体"/>
          <w:snapToGrid w:val="0"/>
          <w:sz w:val="30"/>
          <w:szCs w:val="30"/>
        </w:rPr>
        <w:t>环境保护措施监督检查清单</w:t>
      </w:r>
      <w:bookmarkEnd w:id="27"/>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755"/>
        <w:gridCol w:w="1755"/>
        <w:gridCol w:w="1755"/>
        <w:gridCol w:w="1757"/>
      </w:tblGrid>
      <w:tr w14:paraId="1D602C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noWrap w:val="0"/>
            <w:vAlign w:val="top"/>
          </w:tcPr>
          <w:p w14:paraId="2F6389F3">
            <w:pPr>
              <w:adjustRightInd w:val="0"/>
              <w:snapToGrid w:val="0"/>
              <w:ind w:firstLine="840"/>
              <w:rPr>
                <w:szCs w:val="21"/>
              </w:rPr>
            </w:pPr>
            <w:r>
              <w:rPr>
                <w:szCs w:val="21"/>
              </w:rPr>
              <w:t>内容</w:t>
            </w:r>
          </w:p>
          <w:p w14:paraId="258D3A55">
            <w:pPr>
              <w:adjustRightInd w:val="0"/>
              <w:snapToGrid w:val="0"/>
              <w:rPr>
                <w:szCs w:val="21"/>
              </w:rPr>
            </w:pPr>
            <w:r>
              <w:rPr>
                <w:szCs w:val="21"/>
              </w:rPr>
              <w:t>要素</w:t>
            </w:r>
          </w:p>
        </w:tc>
        <w:tc>
          <w:tcPr>
            <w:tcW w:w="1755" w:type="dxa"/>
            <w:noWrap w:val="0"/>
            <w:vAlign w:val="center"/>
          </w:tcPr>
          <w:p w14:paraId="362F110B">
            <w:pPr>
              <w:adjustRightInd w:val="0"/>
              <w:snapToGrid w:val="0"/>
              <w:jc w:val="center"/>
              <w:rPr>
                <w:szCs w:val="21"/>
              </w:rPr>
            </w:pPr>
            <w:r>
              <w:rPr>
                <w:szCs w:val="21"/>
              </w:rPr>
              <w:t>排放口</w:t>
            </w:r>
            <w:r>
              <w:rPr>
                <w:rFonts w:hint="eastAsia"/>
                <w:szCs w:val="21"/>
                <w:lang w:eastAsia="zh-CN"/>
              </w:rPr>
              <w:t>（</w:t>
            </w:r>
            <w:r>
              <w:rPr>
                <w:szCs w:val="21"/>
              </w:rPr>
              <w:t>编号、</w:t>
            </w:r>
          </w:p>
          <w:p w14:paraId="1050EBBB">
            <w:pPr>
              <w:adjustRightInd w:val="0"/>
              <w:snapToGrid w:val="0"/>
              <w:jc w:val="center"/>
              <w:rPr>
                <w:szCs w:val="21"/>
              </w:rPr>
            </w:pPr>
            <w:r>
              <w:rPr>
                <w:szCs w:val="21"/>
              </w:rPr>
              <w:t>名称</w:t>
            </w:r>
            <w:r>
              <w:rPr>
                <w:rFonts w:hint="eastAsia"/>
                <w:szCs w:val="21"/>
                <w:lang w:eastAsia="zh-CN"/>
              </w:rPr>
              <w:t>）</w:t>
            </w:r>
            <w:r>
              <w:rPr>
                <w:szCs w:val="21"/>
              </w:rPr>
              <w:t>/污染源</w:t>
            </w:r>
          </w:p>
        </w:tc>
        <w:tc>
          <w:tcPr>
            <w:tcW w:w="1755" w:type="dxa"/>
            <w:noWrap w:val="0"/>
            <w:vAlign w:val="center"/>
          </w:tcPr>
          <w:p w14:paraId="68BD8745">
            <w:pPr>
              <w:adjustRightInd w:val="0"/>
              <w:snapToGrid w:val="0"/>
              <w:jc w:val="center"/>
              <w:rPr>
                <w:szCs w:val="21"/>
              </w:rPr>
            </w:pPr>
            <w:r>
              <w:rPr>
                <w:szCs w:val="21"/>
              </w:rPr>
              <w:t>污染物项目</w:t>
            </w:r>
          </w:p>
        </w:tc>
        <w:tc>
          <w:tcPr>
            <w:tcW w:w="1755" w:type="dxa"/>
            <w:noWrap w:val="0"/>
            <w:vAlign w:val="center"/>
          </w:tcPr>
          <w:p w14:paraId="7AE0C12D">
            <w:pPr>
              <w:adjustRightInd w:val="0"/>
              <w:snapToGrid w:val="0"/>
              <w:jc w:val="center"/>
              <w:rPr>
                <w:szCs w:val="21"/>
              </w:rPr>
            </w:pPr>
            <w:r>
              <w:rPr>
                <w:szCs w:val="21"/>
              </w:rPr>
              <w:t>环境保护措施</w:t>
            </w:r>
          </w:p>
        </w:tc>
        <w:tc>
          <w:tcPr>
            <w:tcW w:w="1757" w:type="dxa"/>
            <w:noWrap w:val="0"/>
            <w:vAlign w:val="center"/>
          </w:tcPr>
          <w:p w14:paraId="0645BCDE">
            <w:pPr>
              <w:adjustRightInd w:val="0"/>
              <w:snapToGrid w:val="0"/>
              <w:jc w:val="center"/>
              <w:rPr>
                <w:szCs w:val="21"/>
              </w:rPr>
            </w:pPr>
            <w:r>
              <w:rPr>
                <w:szCs w:val="21"/>
              </w:rPr>
              <w:t>执行标准</w:t>
            </w:r>
          </w:p>
        </w:tc>
      </w:tr>
      <w:tr w14:paraId="4D81BC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restart"/>
            <w:noWrap w:val="0"/>
            <w:vAlign w:val="center"/>
          </w:tcPr>
          <w:p w14:paraId="51983171">
            <w:pPr>
              <w:adjustRightInd w:val="0"/>
              <w:snapToGrid w:val="0"/>
              <w:jc w:val="center"/>
              <w:rPr>
                <w:szCs w:val="21"/>
              </w:rPr>
            </w:pPr>
            <w:r>
              <w:rPr>
                <w:szCs w:val="21"/>
              </w:rPr>
              <w:t>大气环境</w:t>
            </w:r>
          </w:p>
        </w:tc>
        <w:tc>
          <w:tcPr>
            <w:tcW w:w="1755" w:type="dxa"/>
            <w:noWrap w:val="0"/>
            <w:vAlign w:val="center"/>
          </w:tcPr>
          <w:p w14:paraId="7DB2E4D6">
            <w:pPr>
              <w:spacing w:line="320" w:lineRule="exact"/>
              <w:jc w:val="center"/>
              <w:rPr>
                <w:szCs w:val="21"/>
              </w:rPr>
            </w:pPr>
            <w:r>
              <w:rPr>
                <w:szCs w:val="21"/>
              </w:rPr>
              <w:t>DA001恶臭排放口</w:t>
            </w:r>
          </w:p>
        </w:tc>
        <w:tc>
          <w:tcPr>
            <w:tcW w:w="1755" w:type="dxa"/>
            <w:noWrap w:val="0"/>
            <w:vAlign w:val="center"/>
          </w:tcPr>
          <w:p w14:paraId="67A2D235">
            <w:pPr>
              <w:spacing w:line="320" w:lineRule="exact"/>
              <w:jc w:val="center"/>
              <w:rPr>
                <w:rFonts w:hint="default" w:eastAsia="宋体"/>
                <w:szCs w:val="21"/>
                <w:lang w:val="en-US" w:eastAsia="zh-CN"/>
              </w:rPr>
            </w:pPr>
            <w:r>
              <w:rPr>
                <w:szCs w:val="21"/>
              </w:rPr>
              <w:t>氨、硫化氢</w:t>
            </w:r>
            <w:r>
              <w:rPr>
                <w:rFonts w:hint="eastAsia"/>
                <w:szCs w:val="21"/>
                <w:lang w:eastAsia="zh-CN"/>
              </w:rPr>
              <w:t>、</w:t>
            </w:r>
            <w:r>
              <w:rPr>
                <w:rFonts w:hint="eastAsia"/>
                <w:szCs w:val="21"/>
                <w:lang w:val="en-US" w:eastAsia="zh-CN"/>
              </w:rPr>
              <w:t>臭气浓度</w:t>
            </w:r>
          </w:p>
        </w:tc>
        <w:tc>
          <w:tcPr>
            <w:tcW w:w="1755" w:type="dxa"/>
            <w:noWrap w:val="0"/>
            <w:vAlign w:val="center"/>
          </w:tcPr>
          <w:p w14:paraId="4766592E">
            <w:pPr>
              <w:spacing w:line="320" w:lineRule="exact"/>
              <w:jc w:val="center"/>
              <w:rPr>
                <w:szCs w:val="21"/>
              </w:rPr>
            </w:pPr>
            <w:r>
              <w:rPr>
                <w:rFonts w:hint="eastAsia"/>
                <w:szCs w:val="21"/>
              </w:rPr>
              <w:t>活性炭吸附装置</w:t>
            </w:r>
            <w:r>
              <w:rPr>
                <w:szCs w:val="21"/>
              </w:rPr>
              <w:t>+15m排气筒</w:t>
            </w:r>
          </w:p>
        </w:tc>
        <w:tc>
          <w:tcPr>
            <w:tcW w:w="1757" w:type="dxa"/>
            <w:noWrap w:val="0"/>
            <w:vAlign w:val="center"/>
          </w:tcPr>
          <w:p w14:paraId="611B74CF">
            <w:pPr>
              <w:jc w:val="center"/>
              <w:rPr>
                <w:szCs w:val="21"/>
              </w:rPr>
            </w:pPr>
            <w:r>
              <w:rPr>
                <w:szCs w:val="21"/>
              </w:rPr>
              <w:t>《恶臭污染物排放标准》（GB14554-1993）中表2标准</w:t>
            </w:r>
          </w:p>
        </w:tc>
      </w:tr>
      <w:tr w14:paraId="6E5EAA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71C84A33">
            <w:pPr>
              <w:adjustRightInd w:val="0"/>
              <w:snapToGrid w:val="0"/>
              <w:jc w:val="center"/>
              <w:rPr>
                <w:szCs w:val="21"/>
              </w:rPr>
            </w:pPr>
          </w:p>
        </w:tc>
        <w:tc>
          <w:tcPr>
            <w:tcW w:w="1755" w:type="dxa"/>
            <w:noWrap w:val="0"/>
            <w:vAlign w:val="center"/>
          </w:tcPr>
          <w:p w14:paraId="2BF74A42">
            <w:pPr>
              <w:spacing w:line="320" w:lineRule="exact"/>
              <w:jc w:val="center"/>
              <w:rPr>
                <w:szCs w:val="21"/>
              </w:rPr>
            </w:pPr>
            <w:r>
              <w:rPr>
                <w:szCs w:val="21"/>
              </w:rPr>
              <w:t>无组织恶臭排放</w:t>
            </w:r>
          </w:p>
        </w:tc>
        <w:tc>
          <w:tcPr>
            <w:tcW w:w="1755" w:type="dxa"/>
            <w:noWrap w:val="0"/>
            <w:vAlign w:val="center"/>
          </w:tcPr>
          <w:p w14:paraId="2A282B52">
            <w:pPr>
              <w:spacing w:line="320" w:lineRule="exact"/>
              <w:jc w:val="center"/>
              <w:rPr>
                <w:rFonts w:hint="default" w:eastAsia="宋体"/>
                <w:szCs w:val="21"/>
                <w:lang w:val="en-US" w:eastAsia="zh-CN"/>
              </w:rPr>
            </w:pPr>
            <w:r>
              <w:rPr>
                <w:szCs w:val="21"/>
              </w:rPr>
              <w:t>氨、硫化氢</w:t>
            </w:r>
            <w:r>
              <w:rPr>
                <w:rFonts w:hint="eastAsia"/>
                <w:szCs w:val="21"/>
                <w:lang w:eastAsia="zh-CN"/>
              </w:rPr>
              <w:t>、</w:t>
            </w:r>
            <w:r>
              <w:rPr>
                <w:rFonts w:hint="eastAsia"/>
                <w:szCs w:val="21"/>
                <w:lang w:val="en-US" w:eastAsia="zh-CN"/>
              </w:rPr>
              <w:t>臭气浓度、甲烷</w:t>
            </w:r>
          </w:p>
        </w:tc>
        <w:tc>
          <w:tcPr>
            <w:tcW w:w="1755" w:type="dxa"/>
            <w:noWrap w:val="0"/>
            <w:vAlign w:val="center"/>
          </w:tcPr>
          <w:p w14:paraId="5675BA9F">
            <w:pPr>
              <w:spacing w:line="320" w:lineRule="exact"/>
              <w:jc w:val="center"/>
              <w:rPr>
                <w:rFonts w:hint="default" w:eastAsia="宋体"/>
                <w:szCs w:val="21"/>
                <w:lang w:val="en-US" w:eastAsia="zh-CN"/>
              </w:rPr>
            </w:pPr>
            <w:r>
              <w:rPr>
                <w:szCs w:val="21"/>
              </w:rPr>
              <w:t>加盖密闭</w:t>
            </w:r>
            <w:r>
              <w:rPr>
                <w:rFonts w:hint="eastAsia"/>
                <w:szCs w:val="21"/>
                <w:lang w:eastAsia="zh-CN"/>
              </w:rPr>
              <w:t>、</w:t>
            </w:r>
            <w:r>
              <w:rPr>
                <w:rFonts w:hint="eastAsia"/>
                <w:szCs w:val="21"/>
                <w:lang w:val="en-US" w:eastAsia="zh-CN"/>
              </w:rPr>
              <w:t>机械通风</w:t>
            </w:r>
          </w:p>
        </w:tc>
        <w:tc>
          <w:tcPr>
            <w:tcW w:w="1757" w:type="dxa"/>
            <w:noWrap w:val="0"/>
            <w:vAlign w:val="center"/>
          </w:tcPr>
          <w:p w14:paraId="42260CEC">
            <w:pPr>
              <w:jc w:val="center"/>
              <w:rPr>
                <w:szCs w:val="21"/>
              </w:rPr>
            </w:pPr>
            <w:r>
              <w:rPr>
                <w:szCs w:val="21"/>
              </w:rPr>
              <w:t>《城镇污水处理厂污染物排放标准》GB18918-2002）厂界（防护带边缘）废气排放最高允许浓度二级标准</w:t>
            </w:r>
          </w:p>
        </w:tc>
      </w:tr>
      <w:tr w14:paraId="153FE3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1778" w:type="dxa"/>
            <w:noWrap w:val="0"/>
            <w:vAlign w:val="center"/>
          </w:tcPr>
          <w:p w14:paraId="6EEBAE82">
            <w:pPr>
              <w:adjustRightInd w:val="0"/>
              <w:snapToGrid w:val="0"/>
              <w:jc w:val="center"/>
              <w:rPr>
                <w:b w:val="0"/>
                <w:bCs w:val="0"/>
                <w:szCs w:val="21"/>
              </w:rPr>
            </w:pPr>
            <w:r>
              <w:rPr>
                <w:b w:val="0"/>
                <w:bCs w:val="0"/>
                <w:szCs w:val="21"/>
              </w:rPr>
              <w:t>地表水环境</w:t>
            </w:r>
          </w:p>
        </w:tc>
        <w:tc>
          <w:tcPr>
            <w:tcW w:w="1755" w:type="dxa"/>
            <w:noWrap w:val="0"/>
            <w:vAlign w:val="center"/>
          </w:tcPr>
          <w:p w14:paraId="5F759AE3">
            <w:pPr>
              <w:pStyle w:val="39"/>
              <w:ind w:firstLine="60" w:firstLineChars="29"/>
              <w:jc w:val="center"/>
              <w:rPr>
                <w:rFonts w:ascii="Times New Roman" w:cs="Times New Roman"/>
                <w:b w:val="0"/>
                <w:bCs w:val="0"/>
                <w:sz w:val="21"/>
                <w:szCs w:val="21"/>
              </w:rPr>
            </w:pPr>
            <w:r>
              <w:rPr>
                <w:rFonts w:ascii="Times New Roman" w:cs="Times New Roman"/>
                <w:b w:val="0"/>
                <w:bCs w:val="0"/>
                <w:color w:val="auto"/>
                <w:kern w:val="2"/>
                <w:sz w:val="21"/>
                <w:szCs w:val="21"/>
              </w:rPr>
              <w:t>TW001尾水排放口</w:t>
            </w:r>
          </w:p>
        </w:tc>
        <w:tc>
          <w:tcPr>
            <w:tcW w:w="1755" w:type="dxa"/>
            <w:noWrap w:val="0"/>
            <w:vAlign w:val="center"/>
          </w:tcPr>
          <w:p w14:paraId="705E1F93">
            <w:pPr>
              <w:spacing w:line="320" w:lineRule="exact"/>
              <w:jc w:val="center"/>
              <w:rPr>
                <w:rFonts w:hint="default" w:eastAsia="宋体"/>
                <w:b w:val="0"/>
                <w:bCs w:val="0"/>
                <w:szCs w:val="21"/>
                <w:lang w:val="en-US" w:eastAsia="zh-CN"/>
              </w:rPr>
            </w:pPr>
            <w:r>
              <w:rPr>
                <w:rFonts w:hint="eastAsia"/>
                <w:b w:val="0"/>
                <w:bCs w:val="0"/>
                <w:szCs w:val="21"/>
                <w:lang w:eastAsia="zh-CN"/>
              </w:rPr>
              <w:t>CODcr</w:t>
            </w:r>
            <w:r>
              <w:rPr>
                <w:b w:val="0"/>
                <w:bCs w:val="0"/>
                <w:szCs w:val="21"/>
              </w:rPr>
              <w:t>、BOD</w:t>
            </w:r>
            <w:r>
              <w:rPr>
                <w:rFonts w:hint="eastAsia"/>
                <w:b w:val="0"/>
                <w:bCs w:val="0"/>
                <w:szCs w:val="21"/>
                <w:vertAlign w:val="subscript"/>
                <w:lang w:val="en-US" w:eastAsia="zh-CN"/>
              </w:rPr>
              <w:t>5</w:t>
            </w:r>
            <w:r>
              <w:rPr>
                <w:b w:val="0"/>
                <w:bCs w:val="0"/>
                <w:szCs w:val="21"/>
              </w:rPr>
              <w:t>、SS、氨氮、总氮、总磷</w:t>
            </w:r>
            <w:r>
              <w:rPr>
                <w:rFonts w:hint="eastAsia"/>
                <w:b w:val="0"/>
                <w:bCs w:val="0"/>
                <w:szCs w:val="21"/>
                <w:lang w:eastAsia="zh-CN"/>
              </w:rPr>
              <w:t>、</w:t>
            </w:r>
            <w:r>
              <w:rPr>
                <w:rFonts w:hint="eastAsia"/>
                <w:b w:val="0"/>
                <w:bCs w:val="0"/>
                <w:szCs w:val="21"/>
                <w:lang w:val="en-US" w:eastAsia="zh-CN"/>
              </w:rPr>
              <w:t>动植物油</w:t>
            </w:r>
          </w:p>
        </w:tc>
        <w:tc>
          <w:tcPr>
            <w:tcW w:w="1755" w:type="dxa"/>
            <w:noWrap w:val="0"/>
            <w:vAlign w:val="center"/>
          </w:tcPr>
          <w:p w14:paraId="77148FB3">
            <w:pPr>
              <w:spacing w:line="320" w:lineRule="exact"/>
              <w:jc w:val="center"/>
              <w:rPr>
                <w:b w:val="0"/>
                <w:bCs w:val="0"/>
                <w:szCs w:val="21"/>
              </w:rPr>
            </w:pPr>
            <w:r>
              <w:rPr>
                <w:rFonts w:hint="eastAsia" w:ascii="Calibri" w:hAnsi="Calibri" w:eastAsia="Times New Roman" w:cs="Calibri"/>
                <w:sz w:val="21"/>
                <w:szCs w:val="21"/>
                <w:lang w:eastAsia="zh-CN"/>
              </w:rPr>
              <w:t>格栅+调节+隔油沉淀+气浮+厌氧+A/O生物处理+混凝沉淀+活性炭过滤+消毒</w:t>
            </w:r>
          </w:p>
        </w:tc>
        <w:tc>
          <w:tcPr>
            <w:tcW w:w="1757" w:type="dxa"/>
            <w:noWrap w:val="0"/>
            <w:vAlign w:val="center"/>
          </w:tcPr>
          <w:p w14:paraId="4FB85930">
            <w:pPr>
              <w:adjustRightInd w:val="0"/>
              <w:snapToGrid w:val="0"/>
              <w:jc w:val="center"/>
              <w:rPr>
                <w:rFonts w:hint="default" w:eastAsia="宋体"/>
                <w:b w:val="0"/>
                <w:bCs w:val="0"/>
                <w:szCs w:val="21"/>
                <w:lang w:val="en-US" w:eastAsia="zh-CN"/>
              </w:rPr>
            </w:pPr>
            <w:r>
              <w:rPr>
                <w:b w:val="0"/>
                <w:bCs w:val="0"/>
                <w:szCs w:val="21"/>
              </w:rPr>
              <w:t>《城镇污水处理厂污染物排放标准》（GB18918-2002）一级A标准</w:t>
            </w:r>
            <w:r>
              <w:rPr>
                <w:rFonts w:hint="eastAsia"/>
                <w:b w:val="0"/>
                <w:bCs w:val="0"/>
                <w:szCs w:val="21"/>
                <w:lang w:eastAsia="zh-CN"/>
              </w:rPr>
              <w:t>，</w:t>
            </w:r>
            <w:r>
              <w:rPr>
                <w:rFonts w:hint="eastAsia"/>
                <w:b w:val="0"/>
                <w:bCs w:val="0"/>
                <w:szCs w:val="21"/>
                <w:lang w:val="en-US" w:eastAsia="zh-CN"/>
              </w:rPr>
              <w:t>同时满足《城市污水再生利用 景观环境用水水质》（GB/T 18921-2019）中湿地环境用水相关要求</w:t>
            </w:r>
          </w:p>
        </w:tc>
      </w:tr>
      <w:tr w14:paraId="3BB26F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1" w:hRule="atLeast"/>
          <w:jc w:val="center"/>
        </w:trPr>
        <w:tc>
          <w:tcPr>
            <w:tcW w:w="1778" w:type="dxa"/>
            <w:noWrap w:val="0"/>
            <w:vAlign w:val="center"/>
          </w:tcPr>
          <w:p w14:paraId="6AE9F01E">
            <w:pPr>
              <w:adjustRightInd w:val="0"/>
              <w:snapToGrid w:val="0"/>
              <w:jc w:val="center"/>
              <w:rPr>
                <w:szCs w:val="21"/>
              </w:rPr>
            </w:pPr>
            <w:r>
              <w:rPr>
                <w:szCs w:val="21"/>
              </w:rPr>
              <w:t>声环境</w:t>
            </w:r>
          </w:p>
        </w:tc>
        <w:tc>
          <w:tcPr>
            <w:tcW w:w="1755" w:type="dxa"/>
            <w:noWrap w:val="0"/>
            <w:vAlign w:val="center"/>
          </w:tcPr>
          <w:p w14:paraId="42D128EC">
            <w:pPr>
              <w:widowControl/>
              <w:spacing w:line="300" w:lineRule="exact"/>
              <w:jc w:val="center"/>
              <w:rPr>
                <w:rFonts w:hint="eastAsia"/>
                <w:szCs w:val="21"/>
              </w:rPr>
            </w:pPr>
            <w:r>
              <w:rPr>
                <w:rFonts w:hint="eastAsia"/>
                <w:color w:val="000000"/>
                <w:kern w:val="0"/>
                <w:szCs w:val="21"/>
                <w:lang w:val="en-US" w:eastAsia="zh-CN"/>
              </w:rPr>
              <w:t>泵机</w:t>
            </w:r>
            <w:r>
              <w:rPr>
                <w:rFonts w:hint="eastAsia"/>
                <w:color w:val="000000"/>
                <w:kern w:val="0"/>
                <w:szCs w:val="21"/>
              </w:rPr>
              <w:t>、风机噪声</w:t>
            </w:r>
          </w:p>
        </w:tc>
        <w:tc>
          <w:tcPr>
            <w:tcW w:w="1755" w:type="dxa"/>
            <w:noWrap w:val="0"/>
            <w:vAlign w:val="center"/>
          </w:tcPr>
          <w:p w14:paraId="5745CB8F">
            <w:pPr>
              <w:adjustRightInd w:val="0"/>
              <w:snapToGrid w:val="0"/>
              <w:jc w:val="center"/>
              <w:rPr>
                <w:szCs w:val="21"/>
              </w:rPr>
            </w:pPr>
            <w:r>
              <w:rPr>
                <w:szCs w:val="21"/>
              </w:rPr>
              <w:t>噪声</w:t>
            </w:r>
          </w:p>
        </w:tc>
        <w:tc>
          <w:tcPr>
            <w:tcW w:w="1755" w:type="dxa"/>
            <w:noWrap w:val="0"/>
            <w:vAlign w:val="center"/>
          </w:tcPr>
          <w:p w14:paraId="5EFC1558">
            <w:pPr>
              <w:adjustRightInd w:val="0"/>
              <w:snapToGrid w:val="0"/>
              <w:jc w:val="center"/>
              <w:rPr>
                <w:szCs w:val="21"/>
              </w:rPr>
            </w:pPr>
            <w:r>
              <w:rPr>
                <w:szCs w:val="21"/>
              </w:rPr>
              <w:t>基础</w:t>
            </w:r>
            <w:r>
              <w:rPr>
                <w:rFonts w:hint="eastAsia"/>
                <w:szCs w:val="21"/>
                <w:lang w:val="en-US" w:eastAsia="zh-CN"/>
              </w:rPr>
              <w:t>减振</w:t>
            </w:r>
            <w:r>
              <w:rPr>
                <w:szCs w:val="21"/>
              </w:rPr>
              <w:t>、室内隔声</w:t>
            </w:r>
          </w:p>
        </w:tc>
        <w:tc>
          <w:tcPr>
            <w:tcW w:w="1757" w:type="dxa"/>
            <w:noWrap w:val="0"/>
            <w:vAlign w:val="center"/>
          </w:tcPr>
          <w:p w14:paraId="22EA7E0A">
            <w:pPr>
              <w:adjustRightInd w:val="0"/>
              <w:snapToGrid w:val="0"/>
              <w:jc w:val="center"/>
              <w:rPr>
                <w:szCs w:val="21"/>
              </w:rPr>
            </w:pPr>
            <w:r>
              <w:rPr>
                <w:szCs w:val="21"/>
              </w:rPr>
              <w:t>《工业企业厂界环境噪声排放标准》（GB12348-2008）中的</w:t>
            </w:r>
            <w:r>
              <w:rPr>
                <w:rFonts w:hint="eastAsia"/>
                <w:szCs w:val="21"/>
                <w:lang w:val="en-US" w:eastAsia="zh-CN"/>
              </w:rPr>
              <w:t>2</w:t>
            </w:r>
            <w:r>
              <w:rPr>
                <w:szCs w:val="21"/>
              </w:rPr>
              <w:t>类标准值</w:t>
            </w:r>
          </w:p>
        </w:tc>
      </w:tr>
      <w:tr w14:paraId="6D2BA6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1C291FDE">
            <w:pPr>
              <w:adjustRightInd w:val="0"/>
              <w:snapToGrid w:val="0"/>
              <w:jc w:val="center"/>
              <w:rPr>
                <w:szCs w:val="21"/>
              </w:rPr>
            </w:pPr>
            <w:r>
              <w:rPr>
                <w:szCs w:val="21"/>
              </w:rPr>
              <w:t>电磁辐射</w:t>
            </w:r>
          </w:p>
        </w:tc>
        <w:tc>
          <w:tcPr>
            <w:tcW w:w="7022" w:type="dxa"/>
            <w:gridSpan w:val="4"/>
            <w:noWrap w:val="0"/>
            <w:vAlign w:val="center"/>
          </w:tcPr>
          <w:p w14:paraId="206E2CF5">
            <w:pPr>
              <w:jc w:val="center"/>
              <w:rPr>
                <w:szCs w:val="21"/>
              </w:rPr>
            </w:pPr>
            <w:r>
              <w:rPr>
                <w:szCs w:val="21"/>
              </w:rPr>
              <w:t>/</w:t>
            </w:r>
          </w:p>
        </w:tc>
      </w:tr>
      <w:tr w14:paraId="2B3E36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1778" w:type="dxa"/>
            <w:vMerge w:val="restart"/>
            <w:noWrap w:val="0"/>
            <w:vAlign w:val="center"/>
          </w:tcPr>
          <w:p w14:paraId="1F43B505">
            <w:pPr>
              <w:adjustRightInd w:val="0"/>
              <w:snapToGrid w:val="0"/>
              <w:jc w:val="center"/>
              <w:rPr>
                <w:szCs w:val="21"/>
              </w:rPr>
            </w:pPr>
            <w:r>
              <w:rPr>
                <w:szCs w:val="21"/>
              </w:rPr>
              <w:t>固体废物</w:t>
            </w:r>
          </w:p>
        </w:tc>
        <w:tc>
          <w:tcPr>
            <w:tcW w:w="1755" w:type="dxa"/>
            <w:noWrap w:val="0"/>
            <w:vAlign w:val="center"/>
          </w:tcPr>
          <w:p w14:paraId="74B5D901">
            <w:pPr>
              <w:adjustRightInd w:val="0"/>
              <w:snapToGrid w:val="0"/>
              <w:jc w:val="center"/>
              <w:rPr>
                <w:rFonts w:hint="eastAsia"/>
                <w:szCs w:val="21"/>
              </w:rPr>
            </w:pPr>
            <w:r>
              <w:rPr>
                <w:rFonts w:hint="eastAsia"/>
                <w:szCs w:val="21"/>
              </w:rPr>
              <w:t>格栅</w:t>
            </w:r>
          </w:p>
        </w:tc>
        <w:tc>
          <w:tcPr>
            <w:tcW w:w="1755" w:type="dxa"/>
            <w:noWrap w:val="0"/>
            <w:vAlign w:val="center"/>
          </w:tcPr>
          <w:p w14:paraId="46755018">
            <w:pPr>
              <w:ind w:firstLine="105" w:firstLineChars="50"/>
              <w:jc w:val="center"/>
              <w:rPr>
                <w:rFonts w:hint="eastAsia"/>
                <w:szCs w:val="21"/>
              </w:rPr>
            </w:pPr>
            <w:r>
              <w:rPr>
                <w:rFonts w:hint="eastAsia"/>
                <w:color w:val="000000"/>
                <w:szCs w:val="21"/>
              </w:rPr>
              <w:t>栅渣</w:t>
            </w:r>
          </w:p>
        </w:tc>
        <w:tc>
          <w:tcPr>
            <w:tcW w:w="1755" w:type="dxa"/>
            <w:noWrap w:val="0"/>
            <w:vAlign w:val="center"/>
          </w:tcPr>
          <w:p w14:paraId="7305E7FB">
            <w:pPr>
              <w:adjustRightInd w:val="0"/>
              <w:snapToGrid w:val="0"/>
              <w:jc w:val="center"/>
              <w:rPr>
                <w:rFonts w:hint="eastAsia"/>
                <w:szCs w:val="21"/>
              </w:rPr>
            </w:pPr>
            <w:r>
              <w:rPr>
                <w:rFonts w:hint="eastAsia"/>
                <w:szCs w:val="21"/>
              </w:rPr>
              <w:t>集中收集后运至垃圾</w:t>
            </w:r>
            <w:r>
              <w:rPr>
                <w:rFonts w:hint="eastAsia"/>
                <w:szCs w:val="21"/>
                <w:lang w:eastAsia="zh-CN"/>
              </w:rPr>
              <w:t>填埋场</w:t>
            </w:r>
            <w:r>
              <w:rPr>
                <w:rFonts w:hint="eastAsia"/>
                <w:szCs w:val="21"/>
              </w:rPr>
              <w:t>处理</w:t>
            </w:r>
          </w:p>
        </w:tc>
        <w:tc>
          <w:tcPr>
            <w:tcW w:w="1757" w:type="dxa"/>
            <w:vMerge w:val="restart"/>
            <w:noWrap w:val="0"/>
            <w:vAlign w:val="center"/>
          </w:tcPr>
          <w:p w14:paraId="3DB5E6F0">
            <w:pPr>
              <w:adjustRightInd w:val="0"/>
              <w:snapToGrid w:val="0"/>
              <w:jc w:val="center"/>
              <w:rPr>
                <w:szCs w:val="21"/>
              </w:rPr>
            </w:pPr>
            <w:r>
              <w:rPr>
                <w:szCs w:val="21"/>
              </w:rPr>
              <w:t>《一般工业固体废物贮存、处置污染控制标准》</w:t>
            </w:r>
            <w:r>
              <w:rPr>
                <w:rFonts w:hint="eastAsia"/>
                <w:szCs w:val="21"/>
                <w:lang w:eastAsia="zh-CN"/>
              </w:rPr>
              <w:t>（</w:t>
            </w:r>
            <w:r>
              <w:rPr>
                <w:szCs w:val="21"/>
              </w:rPr>
              <w:t>GB18599—2020</w:t>
            </w:r>
            <w:r>
              <w:rPr>
                <w:rFonts w:hint="eastAsia"/>
                <w:szCs w:val="21"/>
                <w:lang w:eastAsia="zh-CN"/>
              </w:rPr>
              <w:t>）</w:t>
            </w:r>
            <w:r>
              <w:rPr>
                <w:szCs w:val="21"/>
              </w:rPr>
              <w:t>有关要求</w:t>
            </w:r>
          </w:p>
        </w:tc>
      </w:tr>
      <w:tr w14:paraId="63C212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78" w:type="dxa"/>
            <w:vMerge w:val="continue"/>
            <w:noWrap w:val="0"/>
            <w:vAlign w:val="center"/>
          </w:tcPr>
          <w:p w14:paraId="158EA7A5">
            <w:pPr>
              <w:adjustRightInd w:val="0"/>
              <w:snapToGrid w:val="0"/>
              <w:jc w:val="center"/>
              <w:rPr>
                <w:szCs w:val="21"/>
              </w:rPr>
            </w:pPr>
          </w:p>
        </w:tc>
        <w:tc>
          <w:tcPr>
            <w:tcW w:w="1755" w:type="dxa"/>
            <w:noWrap w:val="0"/>
            <w:vAlign w:val="center"/>
          </w:tcPr>
          <w:p w14:paraId="76EDAD24">
            <w:pPr>
              <w:spacing w:line="320" w:lineRule="exact"/>
              <w:jc w:val="center"/>
              <w:rPr>
                <w:rFonts w:hint="eastAsia"/>
                <w:szCs w:val="21"/>
              </w:rPr>
            </w:pPr>
            <w:r>
              <w:rPr>
                <w:rFonts w:hint="eastAsia"/>
                <w:szCs w:val="21"/>
                <w:lang w:val="en-US" w:eastAsia="zh-CN"/>
              </w:rPr>
              <w:t>隔油沉淀池、气浮机</w:t>
            </w:r>
          </w:p>
        </w:tc>
        <w:tc>
          <w:tcPr>
            <w:tcW w:w="1755" w:type="dxa"/>
            <w:noWrap w:val="0"/>
            <w:vAlign w:val="center"/>
          </w:tcPr>
          <w:p w14:paraId="1215806C">
            <w:pPr>
              <w:spacing w:line="320" w:lineRule="exact"/>
              <w:jc w:val="center"/>
              <w:rPr>
                <w:rFonts w:hint="eastAsia" w:eastAsia="宋体"/>
                <w:color w:val="000000"/>
                <w:szCs w:val="21"/>
                <w:lang w:eastAsia="zh-CN"/>
              </w:rPr>
            </w:pPr>
            <w:r>
              <w:rPr>
                <w:rFonts w:hint="eastAsia"/>
                <w:szCs w:val="21"/>
                <w:lang w:val="en-US" w:eastAsia="zh-CN"/>
              </w:rPr>
              <w:t>浮油、浮渣</w:t>
            </w:r>
          </w:p>
        </w:tc>
        <w:tc>
          <w:tcPr>
            <w:tcW w:w="1755" w:type="dxa"/>
            <w:noWrap w:val="0"/>
            <w:vAlign w:val="center"/>
          </w:tcPr>
          <w:p w14:paraId="451BB667">
            <w:pPr>
              <w:pStyle w:val="18"/>
              <w:spacing w:line="360" w:lineRule="exact"/>
              <w:jc w:val="center"/>
              <w:rPr>
                <w:sz w:val="21"/>
                <w:szCs w:val="21"/>
              </w:rPr>
            </w:pPr>
            <w:r>
              <w:rPr>
                <w:rFonts w:hint="eastAsia"/>
                <w:sz w:val="21"/>
                <w:szCs w:val="21"/>
              </w:rPr>
              <w:t>垃圾填埋场进行卫生填埋处置</w:t>
            </w:r>
          </w:p>
        </w:tc>
        <w:tc>
          <w:tcPr>
            <w:tcW w:w="1757" w:type="dxa"/>
            <w:vMerge w:val="continue"/>
            <w:noWrap w:val="0"/>
            <w:vAlign w:val="center"/>
          </w:tcPr>
          <w:p w14:paraId="508B16B7">
            <w:pPr>
              <w:adjustRightInd w:val="0"/>
              <w:snapToGrid w:val="0"/>
              <w:jc w:val="center"/>
              <w:rPr>
                <w:szCs w:val="21"/>
              </w:rPr>
            </w:pPr>
          </w:p>
        </w:tc>
      </w:tr>
      <w:tr w14:paraId="3E9719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78" w:type="dxa"/>
            <w:vMerge w:val="continue"/>
            <w:noWrap w:val="0"/>
            <w:vAlign w:val="center"/>
          </w:tcPr>
          <w:p w14:paraId="47962570">
            <w:pPr>
              <w:adjustRightInd w:val="0"/>
              <w:snapToGrid w:val="0"/>
              <w:jc w:val="center"/>
              <w:rPr>
                <w:szCs w:val="21"/>
              </w:rPr>
            </w:pPr>
          </w:p>
        </w:tc>
        <w:tc>
          <w:tcPr>
            <w:tcW w:w="1755" w:type="dxa"/>
            <w:noWrap w:val="0"/>
            <w:vAlign w:val="center"/>
          </w:tcPr>
          <w:p w14:paraId="06F934EE">
            <w:pPr>
              <w:spacing w:line="320" w:lineRule="exact"/>
              <w:jc w:val="center"/>
              <w:rPr>
                <w:rFonts w:hint="eastAsia"/>
                <w:szCs w:val="21"/>
                <w:lang w:val="en-US" w:eastAsia="zh-CN"/>
              </w:rPr>
            </w:pPr>
            <w:r>
              <w:rPr>
                <w:rFonts w:hint="eastAsia"/>
                <w:szCs w:val="21"/>
                <w:lang w:val="en-US" w:eastAsia="zh-CN"/>
              </w:rPr>
              <w:t>生化处理单元、沉淀池等</w:t>
            </w:r>
          </w:p>
        </w:tc>
        <w:tc>
          <w:tcPr>
            <w:tcW w:w="1755" w:type="dxa"/>
            <w:noWrap w:val="0"/>
            <w:vAlign w:val="center"/>
          </w:tcPr>
          <w:p w14:paraId="084D700C">
            <w:pPr>
              <w:spacing w:line="320" w:lineRule="exact"/>
              <w:jc w:val="center"/>
              <w:rPr>
                <w:rFonts w:hint="default"/>
                <w:szCs w:val="21"/>
                <w:lang w:val="en-US" w:eastAsia="zh-CN"/>
              </w:rPr>
            </w:pPr>
            <w:r>
              <w:rPr>
                <w:rFonts w:hint="eastAsia"/>
                <w:szCs w:val="21"/>
                <w:lang w:val="en-US" w:eastAsia="zh-CN"/>
              </w:rPr>
              <w:t>污泥</w:t>
            </w:r>
          </w:p>
        </w:tc>
        <w:tc>
          <w:tcPr>
            <w:tcW w:w="1755" w:type="dxa"/>
            <w:noWrap w:val="0"/>
            <w:vAlign w:val="center"/>
          </w:tcPr>
          <w:p w14:paraId="1F9F34FC">
            <w:pPr>
              <w:pStyle w:val="18"/>
              <w:spacing w:line="360" w:lineRule="exact"/>
              <w:jc w:val="center"/>
              <w:rPr>
                <w:rFonts w:hint="eastAsia"/>
                <w:sz w:val="21"/>
                <w:szCs w:val="21"/>
              </w:rPr>
            </w:pPr>
            <w:r>
              <w:rPr>
                <w:rFonts w:hint="eastAsia"/>
                <w:sz w:val="21"/>
                <w:szCs w:val="21"/>
              </w:rPr>
              <w:t>污泥脱水含水率达到60%以下，并开展固废危险性鉴别，若属于危险废物应交由具有危废处理资质的单位处置，若不属于危险固废的，需满足填埋场入场要求后，送至生活垃圾填埋场填埋处置</w:t>
            </w:r>
          </w:p>
        </w:tc>
        <w:tc>
          <w:tcPr>
            <w:tcW w:w="1757" w:type="dxa"/>
            <w:vMerge w:val="continue"/>
            <w:noWrap w:val="0"/>
            <w:vAlign w:val="center"/>
          </w:tcPr>
          <w:p w14:paraId="5C56D589">
            <w:pPr>
              <w:adjustRightInd w:val="0"/>
              <w:snapToGrid w:val="0"/>
              <w:jc w:val="center"/>
              <w:rPr>
                <w:szCs w:val="21"/>
              </w:rPr>
            </w:pPr>
          </w:p>
        </w:tc>
      </w:tr>
      <w:tr w14:paraId="11C835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78" w:type="dxa"/>
            <w:vMerge w:val="continue"/>
            <w:noWrap w:val="0"/>
            <w:vAlign w:val="center"/>
          </w:tcPr>
          <w:p w14:paraId="78522B3B">
            <w:pPr>
              <w:adjustRightInd w:val="0"/>
              <w:snapToGrid w:val="0"/>
              <w:jc w:val="center"/>
              <w:rPr>
                <w:szCs w:val="21"/>
              </w:rPr>
            </w:pPr>
          </w:p>
        </w:tc>
        <w:tc>
          <w:tcPr>
            <w:tcW w:w="1755" w:type="dxa"/>
            <w:noWrap w:val="0"/>
            <w:vAlign w:val="center"/>
          </w:tcPr>
          <w:p w14:paraId="791BF484">
            <w:pPr>
              <w:spacing w:line="320" w:lineRule="exact"/>
              <w:jc w:val="center"/>
              <w:rPr>
                <w:rFonts w:hint="default"/>
                <w:szCs w:val="21"/>
                <w:lang w:val="en-US" w:eastAsia="zh-CN"/>
              </w:rPr>
            </w:pPr>
            <w:r>
              <w:rPr>
                <w:rFonts w:hint="eastAsia"/>
                <w:szCs w:val="21"/>
                <w:lang w:val="en-US" w:eastAsia="zh-CN"/>
              </w:rPr>
              <w:t>药剂包装袋</w:t>
            </w:r>
          </w:p>
        </w:tc>
        <w:tc>
          <w:tcPr>
            <w:tcW w:w="1755" w:type="dxa"/>
            <w:noWrap w:val="0"/>
            <w:vAlign w:val="center"/>
          </w:tcPr>
          <w:p w14:paraId="5BBFFF8A">
            <w:pPr>
              <w:spacing w:line="320" w:lineRule="exact"/>
              <w:jc w:val="center"/>
              <w:rPr>
                <w:rFonts w:hint="default"/>
                <w:szCs w:val="21"/>
                <w:lang w:val="en-US" w:eastAsia="zh-CN"/>
              </w:rPr>
            </w:pPr>
            <w:r>
              <w:rPr>
                <w:rFonts w:hint="eastAsia"/>
                <w:szCs w:val="21"/>
                <w:lang w:val="en-US" w:eastAsia="zh-CN"/>
              </w:rPr>
              <w:t>废包装袋</w:t>
            </w:r>
          </w:p>
        </w:tc>
        <w:tc>
          <w:tcPr>
            <w:tcW w:w="1755" w:type="dxa"/>
            <w:noWrap w:val="0"/>
            <w:vAlign w:val="center"/>
          </w:tcPr>
          <w:p w14:paraId="71EDC780">
            <w:pPr>
              <w:pStyle w:val="18"/>
              <w:spacing w:line="360" w:lineRule="exact"/>
              <w:jc w:val="center"/>
              <w:rPr>
                <w:rFonts w:hint="default" w:eastAsia="宋体"/>
                <w:sz w:val="21"/>
                <w:szCs w:val="21"/>
                <w:lang w:val="en-US" w:eastAsia="zh-CN"/>
              </w:rPr>
            </w:pPr>
            <w:r>
              <w:rPr>
                <w:rFonts w:hint="eastAsia"/>
                <w:sz w:val="21"/>
                <w:szCs w:val="21"/>
                <w:lang w:val="en-US" w:eastAsia="zh-CN"/>
              </w:rPr>
              <w:t>收集后外售</w:t>
            </w:r>
          </w:p>
        </w:tc>
        <w:tc>
          <w:tcPr>
            <w:tcW w:w="1757" w:type="dxa"/>
            <w:vMerge w:val="continue"/>
            <w:noWrap w:val="0"/>
            <w:vAlign w:val="center"/>
          </w:tcPr>
          <w:p w14:paraId="39BE4A69">
            <w:pPr>
              <w:adjustRightInd w:val="0"/>
              <w:snapToGrid w:val="0"/>
              <w:jc w:val="center"/>
              <w:rPr>
                <w:szCs w:val="21"/>
              </w:rPr>
            </w:pPr>
          </w:p>
        </w:tc>
      </w:tr>
      <w:tr w14:paraId="35355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78" w:type="dxa"/>
            <w:vMerge w:val="continue"/>
            <w:noWrap w:val="0"/>
            <w:vAlign w:val="center"/>
          </w:tcPr>
          <w:p w14:paraId="2A119CE0">
            <w:pPr>
              <w:adjustRightInd w:val="0"/>
              <w:snapToGrid w:val="0"/>
              <w:jc w:val="center"/>
              <w:rPr>
                <w:szCs w:val="21"/>
              </w:rPr>
            </w:pPr>
          </w:p>
        </w:tc>
        <w:tc>
          <w:tcPr>
            <w:tcW w:w="1755" w:type="dxa"/>
            <w:noWrap w:val="0"/>
            <w:vAlign w:val="center"/>
          </w:tcPr>
          <w:p w14:paraId="02B35E78">
            <w:pPr>
              <w:spacing w:line="320" w:lineRule="exact"/>
              <w:jc w:val="center"/>
              <w:rPr>
                <w:rFonts w:hint="eastAsia"/>
                <w:szCs w:val="21"/>
              </w:rPr>
            </w:pPr>
            <w:r>
              <w:rPr>
                <w:rFonts w:hint="eastAsia"/>
                <w:szCs w:val="21"/>
              </w:rPr>
              <w:t>活性炭过滤罐、活性炭吸附装置</w:t>
            </w:r>
          </w:p>
        </w:tc>
        <w:tc>
          <w:tcPr>
            <w:tcW w:w="1755" w:type="dxa"/>
            <w:noWrap w:val="0"/>
            <w:vAlign w:val="center"/>
          </w:tcPr>
          <w:p w14:paraId="44439827">
            <w:pPr>
              <w:spacing w:line="320" w:lineRule="exact"/>
              <w:jc w:val="center"/>
              <w:rPr>
                <w:rFonts w:hint="eastAsia" w:eastAsia="宋体"/>
                <w:szCs w:val="21"/>
                <w:lang w:eastAsia="zh-CN"/>
              </w:rPr>
            </w:pPr>
            <w:r>
              <w:rPr>
                <w:rFonts w:hint="eastAsia"/>
                <w:szCs w:val="21"/>
                <w:lang w:val="en-US" w:eastAsia="zh-CN"/>
              </w:rPr>
              <w:t>废活性炭</w:t>
            </w:r>
          </w:p>
        </w:tc>
        <w:tc>
          <w:tcPr>
            <w:tcW w:w="1755" w:type="dxa"/>
            <w:vMerge w:val="restart"/>
            <w:noWrap w:val="0"/>
            <w:vAlign w:val="center"/>
          </w:tcPr>
          <w:p w14:paraId="30DCE511">
            <w:pPr>
              <w:pStyle w:val="18"/>
              <w:spacing w:line="360" w:lineRule="exact"/>
              <w:jc w:val="center"/>
              <w:rPr>
                <w:rFonts w:hint="eastAsia"/>
                <w:sz w:val="21"/>
                <w:szCs w:val="21"/>
              </w:rPr>
            </w:pPr>
            <w:r>
              <w:rPr>
                <w:rFonts w:hint="eastAsia"/>
                <w:sz w:val="21"/>
                <w:szCs w:val="21"/>
              </w:rPr>
              <w:t>暂存于</w:t>
            </w:r>
            <w:r>
              <w:rPr>
                <w:rFonts w:hint="eastAsia"/>
                <w:sz w:val="21"/>
                <w:szCs w:val="21"/>
                <w:lang w:eastAsia="zh-CN"/>
              </w:rPr>
              <w:t>危险废物贮存库</w:t>
            </w:r>
            <w:r>
              <w:rPr>
                <w:rFonts w:hint="eastAsia"/>
                <w:sz w:val="21"/>
                <w:szCs w:val="21"/>
              </w:rPr>
              <w:t>，由有资质单位回收处置</w:t>
            </w:r>
          </w:p>
        </w:tc>
        <w:tc>
          <w:tcPr>
            <w:tcW w:w="1757" w:type="dxa"/>
            <w:vMerge w:val="restart"/>
            <w:noWrap w:val="0"/>
            <w:vAlign w:val="center"/>
          </w:tcPr>
          <w:p w14:paraId="0D11A593">
            <w:pPr>
              <w:adjustRightInd w:val="0"/>
              <w:snapToGrid w:val="0"/>
              <w:jc w:val="center"/>
              <w:rPr>
                <w:szCs w:val="21"/>
              </w:rPr>
            </w:pPr>
            <w:r>
              <w:rPr>
                <w:rFonts w:hint="eastAsia"/>
                <w:szCs w:val="21"/>
              </w:rPr>
              <w:t>《危险废物贮存污染控制标准》（GB18597-2</w:t>
            </w:r>
            <w:r>
              <w:rPr>
                <w:rFonts w:hint="eastAsia"/>
                <w:szCs w:val="21"/>
                <w:lang w:val="en-US" w:eastAsia="zh-CN"/>
              </w:rPr>
              <w:t>023</w:t>
            </w:r>
            <w:r>
              <w:rPr>
                <w:rFonts w:hint="eastAsia"/>
                <w:szCs w:val="21"/>
              </w:rPr>
              <w:t>）</w:t>
            </w:r>
            <w:r>
              <w:rPr>
                <w:rFonts w:hint="eastAsia"/>
                <w:szCs w:val="21"/>
                <w:lang w:val="en-US" w:eastAsia="zh-CN"/>
              </w:rPr>
              <w:t>中</w:t>
            </w:r>
            <w:r>
              <w:rPr>
                <w:rFonts w:hint="eastAsia"/>
                <w:szCs w:val="21"/>
              </w:rPr>
              <w:t>要求</w:t>
            </w:r>
          </w:p>
        </w:tc>
      </w:tr>
      <w:tr w14:paraId="3A1DF5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78" w:type="dxa"/>
            <w:vMerge w:val="continue"/>
            <w:noWrap w:val="0"/>
            <w:vAlign w:val="center"/>
          </w:tcPr>
          <w:p w14:paraId="25E4E46A">
            <w:pPr>
              <w:adjustRightInd w:val="0"/>
              <w:snapToGrid w:val="0"/>
              <w:jc w:val="center"/>
              <w:rPr>
                <w:szCs w:val="21"/>
              </w:rPr>
            </w:pPr>
          </w:p>
        </w:tc>
        <w:tc>
          <w:tcPr>
            <w:tcW w:w="1755" w:type="dxa"/>
            <w:noWrap w:val="0"/>
            <w:vAlign w:val="center"/>
          </w:tcPr>
          <w:p w14:paraId="03F0860A">
            <w:pPr>
              <w:spacing w:line="320" w:lineRule="exact"/>
              <w:jc w:val="center"/>
              <w:rPr>
                <w:rFonts w:hint="default" w:eastAsia="宋体"/>
                <w:szCs w:val="21"/>
                <w:lang w:val="en-US" w:eastAsia="zh-CN"/>
              </w:rPr>
            </w:pPr>
            <w:r>
              <w:rPr>
                <w:rFonts w:hint="eastAsia"/>
                <w:szCs w:val="21"/>
                <w:lang w:val="en-US" w:eastAsia="zh-CN"/>
              </w:rPr>
              <w:t>设备维护保养</w:t>
            </w:r>
          </w:p>
        </w:tc>
        <w:tc>
          <w:tcPr>
            <w:tcW w:w="1755" w:type="dxa"/>
            <w:noWrap w:val="0"/>
            <w:vAlign w:val="center"/>
          </w:tcPr>
          <w:p w14:paraId="0DB357DB">
            <w:pPr>
              <w:spacing w:line="320" w:lineRule="exact"/>
              <w:jc w:val="center"/>
              <w:rPr>
                <w:rFonts w:hint="default"/>
                <w:szCs w:val="21"/>
                <w:lang w:val="en-US"/>
              </w:rPr>
            </w:pPr>
            <w:r>
              <w:rPr>
                <w:rFonts w:ascii="Calibri" w:hAnsi="Calibri" w:cs="Calibri"/>
                <w:sz w:val="21"/>
                <w:szCs w:val="21"/>
                <w:lang w:eastAsia="zh-CN"/>
              </w:rPr>
              <w:t>废润滑油</w:t>
            </w:r>
            <w:r>
              <w:rPr>
                <w:rFonts w:hint="eastAsia" w:ascii="Calibri" w:hAnsi="Calibri" w:cs="Calibri"/>
                <w:sz w:val="21"/>
                <w:szCs w:val="21"/>
                <w:lang w:eastAsia="zh-CN"/>
              </w:rPr>
              <w:t>、</w:t>
            </w:r>
            <w:r>
              <w:rPr>
                <w:rFonts w:hint="eastAsia" w:ascii="Calibri" w:hAnsi="Calibri" w:cs="Calibri"/>
                <w:sz w:val="21"/>
                <w:szCs w:val="21"/>
                <w:lang w:val="en-US" w:eastAsia="zh-CN"/>
              </w:rPr>
              <w:t>废油桶</w:t>
            </w:r>
          </w:p>
        </w:tc>
        <w:tc>
          <w:tcPr>
            <w:tcW w:w="1755" w:type="dxa"/>
            <w:vMerge w:val="continue"/>
            <w:noWrap w:val="0"/>
            <w:vAlign w:val="center"/>
          </w:tcPr>
          <w:p w14:paraId="401BD118">
            <w:pPr>
              <w:pStyle w:val="18"/>
              <w:spacing w:line="360" w:lineRule="exact"/>
              <w:jc w:val="center"/>
              <w:rPr>
                <w:rFonts w:hint="eastAsia"/>
                <w:sz w:val="21"/>
                <w:szCs w:val="21"/>
              </w:rPr>
            </w:pPr>
          </w:p>
        </w:tc>
        <w:tc>
          <w:tcPr>
            <w:tcW w:w="1757" w:type="dxa"/>
            <w:vMerge w:val="continue"/>
            <w:noWrap w:val="0"/>
            <w:vAlign w:val="center"/>
          </w:tcPr>
          <w:p w14:paraId="6DD67DF7">
            <w:pPr>
              <w:adjustRightInd w:val="0"/>
              <w:snapToGrid w:val="0"/>
              <w:jc w:val="center"/>
              <w:rPr>
                <w:rFonts w:hint="eastAsia"/>
                <w:szCs w:val="21"/>
              </w:rPr>
            </w:pPr>
          </w:p>
        </w:tc>
      </w:tr>
      <w:tr w14:paraId="2C84D0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78" w:type="dxa"/>
            <w:vMerge w:val="continue"/>
            <w:noWrap w:val="0"/>
            <w:vAlign w:val="center"/>
          </w:tcPr>
          <w:p w14:paraId="08E9FEB9">
            <w:pPr>
              <w:adjustRightInd w:val="0"/>
              <w:snapToGrid w:val="0"/>
              <w:jc w:val="center"/>
              <w:rPr>
                <w:szCs w:val="21"/>
              </w:rPr>
            </w:pPr>
          </w:p>
        </w:tc>
        <w:tc>
          <w:tcPr>
            <w:tcW w:w="1755" w:type="dxa"/>
            <w:noWrap w:val="0"/>
            <w:vAlign w:val="center"/>
          </w:tcPr>
          <w:p w14:paraId="60072B4C">
            <w:pPr>
              <w:spacing w:line="320" w:lineRule="exact"/>
              <w:jc w:val="center"/>
              <w:rPr>
                <w:rFonts w:hint="default"/>
                <w:szCs w:val="21"/>
                <w:lang w:val="en-US" w:eastAsia="zh-CN"/>
              </w:rPr>
            </w:pPr>
            <w:r>
              <w:rPr>
                <w:rFonts w:hint="eastAsia"/>
                <w:szCs w:val="21"/>
                <w:lang w:val="en-US" w:eastAsia="zh-CN"/>
              </w:rPr>
              <w:t>药剂包装桶</w:t>
            </w:r>
          </w:p>
        </w:tc>
        <w:tc>
          <w:tcPr>
            <w:tcW w:w="1755" w:type="dxa"/>
            <w:noWrap w:val="0"/>
            <w:vAlign w:val="center"/>
          </w:tcPr>
          <w:p w14:paraId="4260A3F9">
            <w:pPr>
              <w:spacing w:line="320" w:lineRule="exact"/>
              <w:jc w:val="center"/>
              <w:rPr>
                <w:rFonts w:hint="default" w:ascii="Calibri" w:hAnsi="Calibri" w:cs="Calibri"/>
                <w:sz w:val="21"/>
                <w:szCs w:val="21"/>
                <w:lang w:val="en-US" w:eastAsia="zh-CN"/>
              </w:rPr>
            </w:pPr>
            <w:r>
              <w:rPr>
                <w:rFonts w:hint="eastAsia" w:ascii="Calibri" w:hAnsi="Calibri" w:cs="Calibri"/>
                <w:sz w:val="21"/>
                <w:szCs w:val="21"/>
                <w:lang w:val="en-US" w:eastAsia="zh-CN"/>
              </w:rPr>
              <w:t>废包装桶</w:t>
            </w:r>
          </w:p>
        </w:tc>
        <w:tc>
          <w:tcPr>
            <w:tcW w:w="1755" w:type="dxa"/>
            <w:vMerge w:val="continue"/>
            <w:noWrap w:val="0"/>
            <w:vAlign w:val="center"/>
          </w:tcPr>
          <w:p w14:paraId="2EDDB880">
            <w:pPr>
              <w:pStyle w:val="18"/>
              <w:spacing w:line="360" w:lineRule="exact"/>
              <w:jc w:val="center"/>
              <w:rPr>
                <w:rFonts w:hint="eastAsia"/>
                <w:sz w:val="21"/>
                <w:szCs w:val="21"/>
              </w:rPr>
            </w:pPr>
          </w:p>
        </w:tc>
        <w:tc>
          <w:tcPr>
            <w:tcW w:w="1757" w:type="dxa"/>
            <w:vMerge w:val="continue"/>
            <w:noWrap w:val="0"/>
            <w:vAlign w:val="center"/>
          </w:tcPr>
          <w:p w14:paraId="138A3B30">
            <w:pPr>
              <w:adjustRightInd w:val="0"/>
              <w:snapToGrid w:val="0"/>
              <w:jc w:val="center"/>
              <w:rPr>
                <w:rFonts w:hint="eastAsia"/>
                <w:szCs w:val="21"/>
              </w:rPr>
            </w:pPr>
          </w:p>
        </w:tc>
      </w:tr>
      <w:tr w14:paraId="156381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0F16A512">
            <w:pPr>
              <w:adjustRightInd w:val="0"/>
              <w:snapToGrid w:val="0"/>
              <w:jc w:val="center"/>
              <w:rPr>
                <w:szCs w:val="21"/>
              </w:rPr>
            </w:pPr>
            <w:r>
              <w:rPr>
                <w:szCs w:val="21"/>
              </w:rPr>
              <w:t>土壤及地下水</w:t>
            </w:r>
          </w:p>
          <w:p w14:paraId="1D65D7BD">
            <w:pPr>
              <w:adjustRightInd w:val="0"/>
              <w:snapToGrid w:val="0"/>
              <w:jc w:val="center"/>
              <w:rPr>
                <w:szCs w:val="21"/>
              </w:rPr>
            </w:pPr>
            <w:r>
              <w:rPr>
                <w:szCs w:val="21"/>
              </w:rPr>
              <w:t>污染防治措施</w:t>
            </w:r>
          </w:p>
        </w:tc>
        <w:tc>
          <w:tcPr>
            <w:tcW w:w="7022" w:type="dxa"/>
            <w:gridSpan w:val="4"/>
            <w:noWrap w:val="0"/>
            <w:vAlign w:val="center"/>
          </w:tcPr>
          <w:p w14:paraId="7674D78E">
            <w:pPr>
              <w:spacing w:line="320" w:lineRule="exact"/>
              <w:jc w:val="center"/>
              <w:rPr>
                <w:szCs w:val="21"/>
              </w:rPr>
            </w:pPr>
            <w:r>
              <w:rPr>
                <w:szCs w:val="21"/>
              </w:rPr>
              <w:t>划分</w:t>
            </w:r>
            <w:r>
              <w:rPr>
                <w:rFonts w:hint="eastAsia"/>
                <w:szCs w:val="21"/>
              </w:rPr>
              <w:t>一</w:t>
            </w:r>
            <w:r>
              <w:rPr>
                <w:szCs w:val="21"/>
              </w:rPr>
              <w:t>般防渗区、重点防渗区</w:t>
            </w:r>
            <w:r>
              <w:rPr>
                <w:rFonts w:hint="eastAsia"/>
                <w:szCs w:val="21"/>
              </w:rPr>
              <w:t>，</w:t>
            </w:r>
            <w:r>
              <w:rPr>
                <w:szCs w:val="21"/>
              </w:rPr>
              <w:t>防渗区则应按照不同分区要求，采取不同</w:t>
            </w:r>
          </w:p>
          <w:p w14:paraId="39A6A1D2">
            <w:pPr>
              <w:spacing w:line="320" w:lineRule="exact"/>
              <w:jc w:val="center"/>
              <w:rPr>
                <w:szCs w:val="21"/>
              </w:rPr>
            </w:pPr>
            <w:r>
              <w:rPr>
                <w:szCs w:val="21"/>
              </w:rPr>
              <w:t>等级的防渗措施，并确保其可靠性和有效性</w:t>
            </w:r>
          </w:p>
        </w:tc>
      </w:tr>
      <w:tr w14:paraId="670A8F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56F396D6">
            <w:pPr>
              <w:adjustRightInd w:val="0"/>
              <w:snapToGrid w:val="0"/>
              <w:jc w:val="center"/>
              <w:rPr>
                <w:szCs w:val="21"/>
              </w:rPr>
            </w:pPr>
            <w:r>
              <w:rPr>
                <w:szCs w:val="21"/>
              </w:rPr>
              <w:t>生态保护措施</w:t>
            </w:r>
          </w:p>
        </w:tc>
        <w:tc>
          <w:tcPr>
            <w:tcW w:w="7022" w:type="dxa"/>
            <w:gridSpan w:val="4"/>
            <w:noWrap w:val="0"/>
            <w:vAlign w:val="center"/>
          </w:tcPr>
          <w:p w14:paraId="42E11A57">
            <w:pPr>
              <w:adjustRightInd w:val="0"/>
              <w:snapToGrid w:val="0"/>
              <w:jc w:val="center"/>
              <w:rPr>
                <w:szCs w:val="21"/>
              </w:rPr>
            </w:pPr>
            <w:r>
              <w:rPr>
                <w:szCs w:val="21"/>
              </w:rPr>
              <w:t>/</w:t>
            </w:r>
          </w:p>
        </w:tc>
      </w:tr>
      <w:tr w14:paraId="6EA9AF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15391F0E">
            <w:pPr>
              <w:adjustRightInd w:val="0"/>
              <w:snapToGrid w:val="0"/>
              <w:jc w:val="center"/>
              <w:rPr>
                <w:spacing w:val="-8"/>
                <w:szCs w:val="21"/>
              </w:rPr>
            </w:pPr>
            <w:r>
              <w:rPr>
                <w:spacing w:val="-8"/>
                <w:szCs w:val="21"/>
              </w:rPr>
              <w:t>环境风险</w:t>
            </w:r>
          </w:p>
          <w:p w14:paraId="6BBA3D36">
            <w:pPr>
              <w:adjustRightInd w:val="0"/>
              <w:snapToGrid w:val="0"/>
              <w:jc w:val="center"/>
              <w:rPr>
                <w:spacing w:val="-8"/>
                <w:szCs w:val="21"/>
              </w:rPr>
            </w:pPr>
            <w:r>
              <w:rPr>
                <w:spacing w:val="-8"/>
                <w:szCs w:val="21"/>
              </w:rPr>
              <w:t>防范措施</w:t>
            </w:r>
          </w:p>
        </w:tc>
        <w:tc>
          <w:tcPr>
            <w:tcW w:w="7022" w:type="dxa"/>
            <w:gridSpan w:val="4"/>
            <w:noWrap w:val="0"/>
            <w:vAlign w:val="center"/>
          </w:tcPr>
          <w:p w14:paraId="59D2534A">
            <w:pPr>
              <w:adjustRightInd w:val="0"/>
              <w:snapToGrid w:val="0"/>
              <w:jc w:val="left"/>
              <w:rPr>
                <w:rFonts w:hint="eastAsia"/>
                <w:szCs w:val="21"/>
              </w:rPr>
            </w:pPr>
            <w:r>
              <w:rPr>
                <w:rFonts w:hint="eastAsia"/>
                <w:szCs w:val="21"/>
              </w:rPr>
              <w:t>（1）工程设计防范措施：①污水管网系统应选用质量合格的管材，施工时确保接口严密，定期对管网进行巡检和维护，及时发现并修复堵塞、破裂和接头破损等问题。②污水泵站应配备备用电源和备用水泵，以应对长时间停电或水泵损坏的情况，保证排水畅通。③污水处理站关键设备应设置备用，如曝气设备、污泥处理设备等，并建立完善的设备维护保养制度，定期对设备进行检查、维修和更换，确保污水处理设施正常运行。同时，制定详细的停电、设备故障等应急预案，明确应急处置流程和责任人。④在站区及处理构筑物设计中考虑抗震因素，选用抗震性能良好的材料和结构形式，提高应对自然灾害的能力。</w:t>
            </w:r>
          </w:p>
          <w:p w14:paraId="2A329AD7">
            <w:pPr>
              <w:adjustRightInd w:val="0"/>
              <w:snapToGrid w:val="0"/>
              <w:jc w:val="left"/>
              <w:rPr>
                <w:rFonts w:hint="eastAsia"/>
                <w:szCs w:val="21"/>
              </w:rPr>
            </w:pPr>
            <w:r>
              <w:rPr>
                <w:rFonts w:hint="eastAsia"/>
                <w:szCs w:val="21"/>
              </w:rPr>
              <w:t>（2）次氯酸钠贮存与</w:t>
            </w:r>
            <w:r>
              <w:rPr>
                <w:rFonts w:hint="eastAsia"/>
                <w:szCs w:val="21"/>
                <w:lang w:eastAsia="zh-CN"/>
              </w:rPr>
              <w:t>采取</w:t>
            </w:r>
            <w:r>
              <w:rPr>
                <w:rFonts w:hint="eastAsia"/>
                <w:szCs w:val="21"/>
              </w:rPr>
              <w:t>防范措施：①次氯酸钠贮存装置应选用耐腐蚀、强度高的材质，并设置防泄漏围堰，围堰容积应能容纳最大贮存量的次氯酸钠。贮存场所应保持通风良好，远离火源和热源，设置明显的安全警示标志。②操作人员必须经过专业培训，熟悉次氯酸钠的特性和操作规程，佩戴必要的防护用品，如耐酸碱手套、护目镜等。在使用过程中，严格按照操作规程进行，避免因操作不当导致泄漏。③设置泄漏检测装置，一旦发生泄漏，能及时发出警报，并启动相应的应急处理措施。</w:t>
            </w:r>
          </w:p>
          <w:p w14:paraId="4EB05539">
            <w:pPr>
              <w:adjustRightInd w:val="0"/>
              <w:snapToGrid w:val="0"/>
              <w:jc w:val="left"/>
              <w:rPr>
                <w:rFonts w:hint="eastAsia"/>
                <w:szCs w:val="21"/>
              </w:rPr>
            </w:pPr>
            <w:r>
              <w:rPr>
                <w:rFonts w:hint="eastAsia"/>
                <w:szCs w:val="21"/>
              </w:rPr>
              <w:t>（3）管理制度防范措施：①建立健全环境风险管理制度，明确各部门和人员的环境风险职责，定期组织环境风险排查和评估。②加强对员工的环境风险意识和应急处置能力培训，定期组织应急演练，提高员工应对突发环境事件的能力。③建立危险物质登记和管理制度，如实记录次氯酸钠、废润滑油等危险物质的贮存、使用和处置情况。</w:t>
            </w:r>
          </w:p>
          <w:p w14:paraId="40F3B15D">
            <w:pPr>
              <w:adjustRightInd w:val="0"/>
              <w:snapToGrid w:val="0"/>
              <w:jc w:val="left"/>
              <w:rPr>
                <w:rFonts w:hint="eastAsia" w:eastAsia="宋体"/>
                <w:szCs w:val="21"/>
                <w:lang w:eastAsia="zh-CN"/>
              </w:rPr>
            </w:pPr>
            <w:r>
              <w:rPr>
                <w:rFonts w:hint="eastAsia"/>
                <w:szCs w:val="21"/>
              </w:rPr>
              <w:t>（4）制定风险应急措施，一旦发生物料泄漏时，及时采取措施：泄漏时，根据液体流动区域设定警戒区，消除所有火源。构筑围堤收容泄漏物。防止流出车间，用泡沫覆盖泄漏物，减少挥发。收容的泄漏物转移至专用收集器内。残液用沙土吸收，耐腐蚀容器收集后送有资质的单位处理。厂区设置必要消防设备，加强对公司职工的教育培训，实行上岗证制度，增强职工风险意识，提高事故自救能力，制定和强化各种安全管理、安全生产的规程，减少人为风险事故的发生</w:t>
            </w:r>
            <w:r>
              <w:rPr>
                <w:rFonts w:hint="eastAsia"/>
                <w:szCs w:val="21"/>
                <w:lang w:eastAsia="zh-CN"/>
              </w:rPr>
              <w:t>。</w:t>
            </w:r>
          </w:p>
        </w:tc>
      </w:tr>
      <w:tr w14:paraId="170012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78" w:type="dxa"/>
            <w:noWrap w:val="0"/>
            <w:vAlign w:val="center"/>
          </w:tcPr>
          <w:p w14:paraId="0CB75F16">
            <w:pPr>
              <w:adjustRightInd w:val="0"/>
              <w:snapToGrid w:val="0"/>
              <w:jc w:val="center"/>
              <w:rPr>
                <w:spacing w:val="-8"/>
                <w:szCs w:val="21"/>
              </w:rPr>
            </w:pPr>
            <w:r>
              <w:rPr>
                <w:spacing w:val="-8"/>
                <w:szCs w:val="21"/>
              </w:rPr>
              <w:t>其他环境</w:t>
            </w:r>
          </w:p>
          <w:p w14:paraId="0952462B">
            <w:pPr>
              <w:adjustRightInd w:val="0"/>
              <w:snapToGrid w:val="0"/>
              <w:jc w:val="center"/>
              <w:rPr>
                <w:spacing w:val="-8"/>
                <w:szCs w:val="21"/>
              </w:rPr>
            </w:pPr>
            <w:r>
              <w:rPr>
                <w:spacing w:val="-8"/>
                <w:szCs w:val="21"/>
              </w:rPr>
              <w:t>管理要求</w:t>
            </w:r>
          </w:p>
        </w:tc>
        <w:tc>
          <w:tcPr>
            <w:tcW w:w="7022" w:type="dxa"/>
            <w:gridSpan w:val="4"/>
            <w:noWrap w:val="0"/>
            <w:vAlign w:val="center"/>
          </w:tcPr>
          <w:p w14:paraId="7697C87E">
            <w:pPr>
              <w:adjustRightInd w:val="0"/>
              <w:snapToGrid w:val="0"/>
              <w:jc w:val="left"/>
              <w:rPr>
                <w:rFonts w:hint="eastAsia" w:ascii="Times New Roman" w:hAnsi="Times New Roman" w:eastAsia="宋体" w:cs="Times New Roman"/>
                <w:szCs w:val="21"/>
              </w:rPr>
            </w:pPr>
            <w:r>
              <w:rPr>
                <w:rFonts w:hint="eastAsia" w:ascii="Times New Roman" w:hAnsi="Times New Roman" w:eastAsia="宋体" w:cs="Times New Roman"/>
                <w:szCs w:val="21"/>
              </w:rPr>
              <w:t>为加强项目的环境管理，</w:t>
            </w:r>
            <w:r>
              <w:rPr>
                <w:rFonts w:hint="eastAsia" w:cs="Times New Roman"/>
                <w:szCs w:val="21"/>
                <w:lang w:eastAsia="zh-CN"/>
              </w:rPr>
              <w:t>加大</w:t>
            </w:r>
            <w:r>
              <w:rPr>
                <w:rFonts w:hint="eastAsia" w:ascii="Times New Roman" w:hAnsi="Times New Roman" w:eastAsia="宋体" w:cs="Times New Roman"/>
                <w:szCs w:val="21"/>
              </w:rPr>
              <w:t>环境监测的力度，必须严格控制污染物的排放总量，执行建设项目“三同时”制度，为了既发展生产又保护环境，实现建设项目的经济效益，社会效益和环境效益的统一，更好</w:t>
            </w:r>
            <w:r>
              <w:rPr>
                <w:rFonts w:hint="eastAsia" w:cs="Times New Roman"/>
                <w:szCs w:val="21"/>
                <w:lang w:eastAsia="zh-CN"/>
              </w:rPr>
              <w:t>地</w:t>
            </w:r>
            <w:r>
              <w:rPr>
                <w:rFonts w:hint="eastAsia" w:ascii="Times New Roman" w:hAnsi="Times New Roman" w:eastAsia="宋体" w:cs="Times New Roman"/>
                <w:szCs w:val="21"/>
              </w:rPr>
              <w:t>监控工程环保设施的运行及时掌握和了解污染治理措施的效果，必须设置相应的环保机构，制定项目环境管理和环境监测计划</w:t>
            </w:r>
            <w:r>
              <w:rPr>
                <w:rFonts w:hint="eastAsia" w:cs="Times New Roman"/>
                <w:szCs w:val="21"/>
                <w:lang w:eastAsia="zh-CN"/>
              </w:rPr>
              <w:t>。</w:t>
            </w:r>
            <w:r>
              <w:rPr>
                <w:rFonts w:hint="eastAsia" w:ascii="Times New Roman" w:hAnsi="Times New Roman" w:eastAsia="宋体" w:cs="Times New Roman"/>
                <w:szCs w:val="21"/>
              </w:rPr>
              <w:br w:type="textWrapping"/>
            </w:r>
            <w:r>
              <w:rPr>
                <w:rFonts w:hint="eastAsia" w:ascii="Times New Roman" w:hAnsi="Times New Roman" w:eastAsia="宋体" w:cs="Times New Roman"/>
                <w:szCs w:val="21"/>
              </w:rPr>
              <w:t>1.环境管理计划</w:t>
            </w:r>
            <w:r>
              <w:rPr>
                <w:rFonts w:hint="eastAsia" w:ascii="Times New Roman" w:hAnsi="Times New Roman" w:eastAsia="宋体" w:cs="Times New Roman"/>
                <w:szCs w:val="21"/>
              </w:rPr>
              <w:br w:type="textWrapping"/>
            </w:r>
            <w:r>
              <w:rPr>
                <w:rFonts w:hint="eastAsia" w:ascii="Times New Roman" w:hAnsi="Times New Roman" w:eastAsia="宋体" w:cs="Times New Roman"/>
                <w:szCs w:val="21"/>
              </w:rPr>
              <w:t>为了保证环境管理工作的有效性，项目环境管理应指定专人主管，由专人负责运营期环境保护工作，环境监测可委托具有环境检测资质的单位进行监测监控，废气、废水排放情况及环保设施的运转状况。</w:t>
            </w:r>
            <w:r>
              <w:rPr>
                <w:rFonts w:hint="eastAsia" w:ascii="Times New Roman" w:hAnsi="Times New Roman" w:eastAsia="宋体" w:cs="Times New Roman"/>
                <w:szCs w:val="21"/>
              </w:rPr>
              <w:br w:type="textWrapping"/>
            </w:r>
            <w:r>
              <w:rPr>
                <w:rFonts w:hint="eastAsia" w:ascii="Times New Roman" w:hAnsi="Times New Roman" w:eastAsia="宋体" w:cs="Times New Roman"/>
                <w:szCs w:val="21"/>
              </w:rPr>
              <w:t>2.管理职责</w:t>
            </w:r>
            <w:r>
              <w:rPr>
                <w:rFonts w:hint="eastAsia" w:ascii="Times New Roman" w:hAnsi="Times New Roman" w:eastAsia="宋体" w:cs="Times New Roman"/>
                <w:szCs w:val="21"/>
              </w:rPr>
              <w:br w:type="textWrapping"/>
            </w:r>
            <w:r>
              <w:rPr>
                <w:rFonts w:hint="eastAsia" w:ascii="Times New Roman" w:hAnsi="Times New Roman" w:eastAsia="宋体" w:cs="Times New Roman"/>
                <w:szCs w:val="21"/>
              </w:rPr>
              <w:t>（1）贯彻执行国家，省级，地方各项环保政策法规标准，根据项目实际编制环</w:t>
            </w:r>
            <w:r>
              <w:rPr>
                <w:rFonts w:hint="eastAsia" w:cs="Times New Roman"/>
                <w:szCs w:val="21"/>
                <w:lang w:eastAsia="zh-CN"/>
              </w:rPr>
              <w:t>境保护</w:t>
            </w:r>
            <w:r>
              <w:rPr>
                <w:rFonts w:hint="eastAsia" w:ascii="Times New Roman" w:hAnsi="Times New Roman" w:eastAsia="宋体" w:cs="Times New Roman"/>
                <w:szCs w:val="21"/>
              </w:rPr>
              <w:t>规划和实施细则，并组织实施监督执行。</w:t>
            </w:r>
            <w:r>
              <w:rPr>
                <w:rFonts w:hint="eastAsia" w:ascii="Times New Roman" w:hAnsi="Times New Roman" w:eastAsia="宋体" w:cs="Times New Roman"/>
                <w:szCs w:val="21"/>
              </w:rPr>
              <w:br w:type="textWrapping"/>
            </w:r>
            <w:r>
              <w:rPr>
                <w:rFonts w:hint="eastAsia" w:ascii="Times New Roman" w:hAnsi="Times New Roman" w:eastAsia="宋体" w:cs="Times New Roman"/>
                <w:szCs w:val="21"/>
              </w:rPr>
              <w:t>（2）建立污染源档案，定期由具有环境监测资质的单位对污染物进行监督监测和应急监测，掌握项目各污染源排放动态，以便为环境管理与污染防治提供科学依据。</w:t>
            </w:r>
            <w:r>
              <w:rPr>
                <w:rFonts w:hint="eastAsia" w:ascii="Times New Roman" w:hAnsi="Times New Roman" w:eastAsia="宋体" w:cs="Times New Roman"/>
                <w:szCs w:val="21"/>
              </w:rPr>
              <w:br w:type="textWrapping"/>
            </w:r>
            <w:r>
              <w:rPr>
                <w:rFonts w:hint="eastAsia" w:ascii="Times New Roman" w:hAnsi="Times New Roman" w:eastAsia="宋体" w:cs="Times New Roman"/>
                <w:szCs w:val="21"/>
              </w:rPr>
              <w:t>（3）制定切实可行的污染物排放控制指标，环保治理设施运行考核指标，组织落实实施，定期进行检查。</w:t>
            </w:r>
            <w:r>
              <w:rPr>
                <w:rFonts w:hint="eastAsia" w:ascii="Times New Roman" w:hAnsi="Times New Roman" w:eastAsia="宋体" w:cs="Times New Roman"/>
                <w:szCs w:val="21"/>
              </w:rPr>
              <w:br w:type="textWrapping"/>
            </w:r>
            <w:r>
              <w:rPr>
                <w:rFonts w:hint="eastAsia" w:ascii="Times New Roman" w:hAnsi="Times New Roman" w:eastAsia="宋体" w:cs="Times New Roman"/>
                <w:szCs w:val="21"/>
              </w:rPr>
              <w:t>（4）组织和管理项目的污染治理工作，负责环保治理设施的运行及管理工作，建立污染物浓度和排放总量双向控制制度，并彻底做到各项污染物达标排放。</w:t>
            </w:r>
            <w:r>
              <w:rPr>
                <w:rFonts w:hint="eastAsia" w:ascii="Times New Roman" w:hAnsi="Times New Roman" w:eastAsia="宋体" w:cs="Times New Roman"/>
                <w:szCs w:val="21"/>
              </w:rPr>
              <w:br w:type="textWrapping"/>
            </w:r>
            <w:r>
              <w:rPr>
                <w:rFonts w:hint="eastAsia" w:ascii="Times New Roman" w:hAnsi="Times New Roman" w:eastAsia="宋体" w:cs="Times New Roman"/>
                <w:szCs w:val="21"/>
              </w:rPr>
              <w:t>（5）定期进行项目环境管理人员环保知识和技术培训工作。</w:t>
            </w:r>
            <w:r>
              <w:rPr>
                <w:rFonts w:hint="eastAsia" w:ascii="Times New Roman" w:hAnsi="Times New Roman" w:eastAsia="宋体" w:cs="Times New Roman"/>
                <w:szCs w:val="21"/>
              </w:rPr>
              <w:br w:type="textWrapping"/>
            </w:r>
            <w:r>
              <w:rPr>
                <w:rFonts w:hint="eastAsia" w:ascii="Times New Roman" w:hAnsi="Times New Roman" w:eastAsia="宋体" w:cs="Times New Roman"/>
                <w:szCs w:val="21"/>
              </w:rPr>
              <w:t>（6）做好常规环境统计工作，掌握各项治理设施的运行状况。</w:t>
            </w:r>
            <w:r>
              <w:rPr>
                <w:rFonts w:hint="eastAsia" w:ascii="Times New Roman" w:hAnsi="Times New Roman" w:eastAsia="宋体" w:cs="Times New Roman"/>
                <w:szCs w:val="21"/>
              </w:rPr>
              <w:br w:type="textWrapping"/>
            </w:r>
            <w:r>
              <w:rPr>
                <w:rFonts w:hint="eastAsia" w:ascii="Times New Roman" w:hAnsi="Times New Roman" w:eastAsia="宋体" w:cs="Times New Roman"/>
                <w:szCs w:val="21"/>
              </w:rPr>
              <w:t>（7）科学组织生产调度。通过及时全面了解生产情况，均衡组织生产，使生产各环节协调进行，加强环境保护工作调度，做好</w:t>
            </w:r>
            <w:r>
              <w:rPr>
                <w:rFonts w:hint="eastAsia" w:cs="Times New Roman"/>
                <w:szCs w:val="21"/>
                <w:lang w:val="en-US" w:eastAsia="zh-CN"/>
              </w:rPr>
              <w:t>突发环境事件应急预案</w:t>
            </w:r>
            <w:r>
              <w:rPr>
                <w:rFonts w:hint="eastAsia" w:ascii="Times New Roman" w:hAnsi="Times New Roman" w:eastAsia="宋体" w:cs="Times New Roman"/>
                <w:szCs w:val="21"/>
              </w:rPr>
              <w:t>，</w:t>
            </w:r>
            <w:r>
              <w:rPr>
                <w:rFonts w:hint="eastAsia" w:cs="Times New Roman"/>
                <w:szCs w:val="21"/>
                <w:lang w:eastAsia="zh-CN"/>
              </w:rPr>
              <w:t>防治</w:t>
            </w:r>
            <w:r>
              <w:rPr>
                <w:rFonts w:hint="eastAsia" w:ascii="Times New Roman" w:hAnsi="Times New Roman" w:eastAsia="宋体" w:cs="Times New Roman"/>
                <w:szCs w:val="21"/>
              </w:rPr>
              <w:t>污染的应急措施，使生产过程的污染物排放达到最低限度。</w:t>
            </w:r>
            <w:r>
              <w:rPr>
                <w:rFonts w:hint="eastAsia" w:ascii="Times New Roman" w:hAnsi="Times New Roman" w:eastAsia="宋体" w:cs="Times New Roman"/>
                <w:szCs w:val="21"/>
              </w:rPr>
              <w:br w:type="textWrapping"/>
            </w:r>
            <w:r>
              <w:rPr>
                <w:rFonts w:hint="eastAsia" w:ascii="Times New Roman" w:hAnsi="Times New Roman" w:eastAsia="宋体" w:cs="Times New Roman"/>
                <w:szCs w:val="21"/>
              </w:rPr>
              <w:t>（8）管好用好设备。合理使用设备，加强对设备的维护和修理，杜绝设备和管道的跑、冒、漏现象。</w:t>
            </w:r>
          </w:p>
          <w:p w14:paraId="37134E69">
            <w:pPr>
              <w:adjustRightInd w:val="0"/>
              <w:snapToGrid w:val="0"/>
              <w:jc w:val="left"/>
              <w:rPr>
                <w:rFonts w:hint="eastAsia" w:ascii="Times New Roman" w:hAnsi="Times New Roman" w:eastAsia="宋体" w:cs="Times New Roman"/>
                <w:szCs w:val="21"/>
              </w:rPr>
            </w:pPr>
          </w:p>
          <w:p w14:paraId="5CA16298">
            <w:pPr>
              <w:adjustRightInd w:val="0"/>
              <w:snapToGrid w:val="0"/>
              <w:jc w:val="left"/>
              <w:rPr>
                <w:rFonts w:hint="eastAsia" w:ascii="Times New Roman" w:hAnsi="Times New Roman" w:eastAsia="宋体" w:cs="Times New Roman"/>
                <w:szCs w:val="21"/>
              </w:rPr>
            </w:pPr>
          </w:p>
          <w:p w14:paraId="611F963F">
            <w:pPr>
              <w:adjustRightInd w:val="0"/>
              <w:snapToGrid w:val="0"/>
              <w:jc w:val="left"/>
              <w:rPr>
                <w:rFonts w:hint="eastAsia" w:ascii="Times New Roman" w:hAnsi="Times New Roman" w:eastAsia="宋体" w:cs="Times New Roman"/>
                <w:szCs w:val="21"/>
              </w:rPr>
            </w:pPr>
          </w:p>
          <w:p w14:paraId="13B4569F">
            <w:pPr>
              <w:adjustRightInd w:val="0"/>
              <w:snapToGrid w:val="0"/>
              <w:jc w:val="left"/>
              <w:rPr>
                <w:rFonts w:hint="eastAsia" w:ascii="Times New Roman" w:hAnsi="Times New Roman" w:eastAsia="宋体" w:cs="Times New Roman"/>
                <w:szCs w:val="21"/>
              </w:rPr>
            </w:pPr>
          </w:p>
          <w:p w14:paraId="2F84EBA6">
            <w:pPr>
              <w:adjustRightInd w:val="0"/>
              <w:snapToGrid w:val="0"/>
              <w:jc w:val="left"/>
              <w:rPr>
                <w:rFonts w:hint="eastAsia" w:ascii="Times New Roman" w:hAnsi="Times New Roman" w:eastAsia="宋体" w:cs="Times New Roman"/>
                <w:szCs w:val="21"/>
              </w:rPr>
            </w:pPr>
          </w:p>
          <w:p w14:paraId="4F8EFDF1">
            <w:pPr>
              <w:adjustRightInd w:val="0"/>
              <w:snapToGrid w:val="0"/>
              <w:jc w:val="left"/>
              <w:rPr>
                <w:rFonts w:hint="eastAsia" w:ascii="Times New Roman" w:hAnsi="Times New Roman" w:eastAsia="宋体" w:cs="Times New Roman"/>
                <w:szCs w:val="21"/>
              </w:rPr>
            </w:pPr>
          </w:p>
          <w:p w14:paraId="0DC41504">
            <w:pPr>
              <w:adjustRightInd w:val="0"/>
              <w:snapToGrid w:val="0"/>
              <w:jc w:val="left"/>
              <w:rPr>
                <w:rFonts w:hint="eastAsia" w:ascii="Times New Roman" w:hAnsi="Times New Roman" w:eastAsia="宋体" w:cs="Times New Roman"/>
                <w:szCs w:val="21"/>
              </w:rPr>
            </w:pPr>
          </w:p>
          <w:p w14:paraId="75409F62">
            <w:pPr>
              <w:adjustRightInd w:val="0"/>
              <w:snapToGrid w:val="0"/>
              <w:jc w:val="left"/>
              <w:rPr>
                <w:rFonts w:hint="eastAsia" w:ascii="Times New Roman" w:hAnsi="Times New Roman" w:eastAsia="宋体" w:cs="Times New Roman"/>
                <w:szCs w:val="21"/>
              </w:rPr>
            </w:pPr>
          </w:p>
          <w:p w14:paraId="2A653EA6">
            <w:pPr>
              <w:adjustRightInd w:val="0"/>
              <w:snapToGrid w:val="0"/>
              <w:jc w:val="left"/>
              <w:rPr>
                <w:rFonts w:hint="eastAsia" w:ascii="Times New Roman" w:hAnsi="Times New Roman" w:eastAsia="宋体" w:cs="Times New Roman"/>
                <w:szCs w:val="21"/>
              </w:rPr>
            </w:pPr>
          </w:p>
          <w:p w14:paraId="3733DCD1">
            <w:pPr>
              <w:adjustRightInd w:val="0"/>
              <w:snapToGrid w:val="0"/>
              <w:jc w:val="left"/>
              <w:rPr>
                <w:rFonts w:hint="eastAsia" w:ascii="Times New Roman" w:hAnsi="Times New Roman" w:eastAsia="宋体" w:cs="Times New Roman"/>
                <w:szCs w:val="21"/>
              </w:rPr>
            </w:pPr>
          </w:p>
          <w:p w14:paraId="18C54E38">
            <w:pPr>
              <w:adjustRightInd w:val="0"/>
              <w:snapToGrid w:val="0"/>
              <w:jc w:val="left"/>
              <w:rPr>
                <w:rFonts w:hint="eastAsia" w:ascii="Times New Roman" w:hAnsi="Times New Roman" w:eastAsia="宋体" w:cs="Times New Roman"/>
                <w:szCs w:val="21"/>
              </w:rPr>
            </w:pPr>
          </w:p>
          <w:p w14:paraId="7643021A">
            <w:pPr>
              <w:adjustRightInd w:val="0"/>
              <w:snapToGrid w:val="0"/>
              <w:jc w:val="left"/>
              <w:rPr>
                <w:rFonts w:hint="eastAsia" w:eastAsia="宋体"/>
                <w:szCs w:val="21"/>
                <w:lang w:val="en-US" w:eastAsia="zh-CN"/>
              </w:rPr>
            </w:pPr>
          </w:p>
        </w:tc>
      </w:tr>
    </w:tbl>
    <w:p w14:paraId="622CB713">
      <w:pPr>
        <w:pStyle w:val="19"/>
        <w:jc w:val="center"/>
        <w:outlineLvl w:val="0"/>
        <w:rPr>
          <w:rFonts w:ascii="黑体" w:hAnsi="黑体" w:eastAsia="黑体"/>
          <w:snapToGrid w:val="0"/>
          <w:sz w:val="30"/>
          <w:szCs w:val="30"/>
        </w:rPr>
      </w:pPr>
      <w:r>
        <w:rPr>
          <w:snapToGrid w:val="0"/>
        </w:rPr>
        <w:br w:type="page"/>
      </w:r>
      <w:r>
        <w:rPr>
          <w:rFonts w:hint="eastAsia" w:ascii="黑体" w:hAnsi="黑体" w:eastAsia="黑体"/>
          <w:snapToGrid w:val="0"/>
          <w:sz w:val="30"/>
          <w:szCs w:val="30"/>
        </w:rPr>
        <w:t>六、结论</w:t>
      </w:r>
    </w:p>
    <w:tbl>
      <w:tblPr>
        <w:tblStyle w:val="2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675822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trPr>
        <w:tc>
          <w:tcPr>
            <w:tcW w:w="8865" w:type="dxa"/>
            <w:noWrap w:val="0"/>
            <w:vAlign w:val="top"/>
          </w:tcPr>
          <w:p w14:paraId="76B89522">
            <w:pPr>
              <w:adjustRightInd w:val="0"/>
              <w:snapToGrid w:val="0"/>
              <w:spacing w:before="120" w:beforeLines="50" w:line="360" w:lineRule="auto"/>
              <w:ind w:firstLine="480" w:firstLineChars="200"/>
              <w:rPr>
                <w:sz w:val="24"/>
              </w:rPr>
            </w:pPr>
            <w:r>
              <w:rPr>
                <w:rFonts w:hint="eastAsia" w:ascii="宋体" w:hAnsi="宋体" w:cs="宋体"/>
                <w:sz w:val="24"/>
              </w:rPr>
              <w:t>本项目生产运营会产生噪声、废气</w:t>
            </w:r>
            <w:r>
              <w:rPr>
                <w:rFonts w:hint="eastAsia" w:ascii="宋体" w:hAnsi="宋体" w:cs="宋体"/>
                <w:sz w:val="24"/>
                <w:lang w:eastAsia="zh-CN"/>
              </w:rPr>
              <w:t>、废水</w:t>
            </w:r>
            <w:r>
              <w:rPr>
                <w:rFonts w:hint="eastAsia" w:ascii="宋体" w:hAnsi="宋体" w:cs="宋体"/>
                <w:sz w:val="24"/>
              </w:rPr>
              <w:t>及固体废物，经评价分析，在全面落实本报告提出的各项环保措施和建议的基础上，落实本项目的污染防治对策，加强环保管理，环境污染可基本得到控制，做到污染物达标排放，对周围环境影响不大。因此，</w:t>
            </w:r>
            <w:r>
              <w:rPr>
                <w:rFonts w:hint="eastAsia" w:ascii="宋体" w:cs="宋体"/>
                <w:sz w:val="24"/>
              </w:rPr>
              <w:t>从环境保护角度，本建设项目环境影响可行</w:t>
            </w:r>
            <w:r>
              <w:rPr>
                <w:sz w:val="24"/>
              </w:rPr>
              <w:t>。</w:t>
            </w:r>
          </w:p>
          <w:p w14:paraId="3A193E43">
            <w:pPr>
              <w:spacing w:line="360" w:lineRule="auto"/>
              <w:rPr>
                <w:rFonts w:ascii="宋体" w:cs="宋体"/>
                <w:sz w:val="24"/>
              </w:rPr>
            </w:pPr>
          </w:p>
        </w:tc>
      </w:tr>
    </w:tbl>
    <w:p w14:paraId="44E3BB94">
      <w:pPr>
        <w:pStyle w:val="19"/>
        <w:adjustRightInd w:val="0"/>
        <w:snapToGrid w:val="0"/>
        <w:spacing w:before="0" w:beforeAutospacing="0" w:after="0" w:afterAutospacing="0"/>
        <w:outlineLvl w:val="0"/>
        <w:rPr>
          <w:rFonts w:hint="eastAsia" w:ascii="黑体" w:hAnsi="黑体" w:eastAsia="黑体"/>
          <w:snapToGrid w:val="0"/>
          <w:sz w:val="32"/>
          <w:szCs w:val="32"/>
        </w:rPr>
        <w:sectPr>
          <w:footerReference r:id="rId4" w:type="default"/>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2D11A9BD">
      <w:pPr>
        <w:pStyle w:val="19"/>
        <w:adjustRightInd w:val="0"/>
        <w:snapToGrid w:val="0"/>
        <w:spacing w:before="0" w:beforeAutospacing="0" w:after="0" w:afterAutospacing="0"/>
        <w:jc w:val="center"/>
        <w:outlineLvl w:val="0"/>
        <w:rPr>
          <w:rFonts w:hint="eastAsia" w:ascii="方正小标宋_GBK" w:hAnsi="黑体" w:eastAsia="方正小标宋_GBK"/>
          <w:snapToGrid w:val="0"/>
          <w:sz w:val="38"/>
          <w:szCs w:val="38"/>
        </w:rPr>
      </w:pPr>
      <w:r>
        <w:rPr>
          <w:rFonts w:hint="eastAsia" w:ascii="方正小标宋_GBK" w:hAnsi="黑体" w:eastAsia="方正小标宋_GBK"/>
          <w:snapToGrid w:val="0"/>
          <w:sz w:val="38"/>
          <w:szCs w:val="38"/>
        </w:rPr>
        <w:t>建设项目污染物排放量汇总表</w:t>
      </w:r>
    </w:p>
    <w:tbl>
      <w:tblPr>
        <w:tblStyle w:val="22"/>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2885"/>
        <w:gridCol w:w="1382"/>
        <w:gridCol w:w="1078"/>
        <w:gridCol w:w="1349"/>
        <w:gridCol w:w="1415"/>
        <w:gridCol w:w="1306"/>
        <w:gridCol w:w="1540"/>
        <w:gridCol w:w="1245"/>
      </w:tblGrid>
      <w:tr w14:paraId="0A1483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tcBorders>
              <w:tl2br w:val="single" w:color="auto" w:sz="4" w:space="0"/>
            </w:tcBorders>
            <w:noWrap w:val="0"/>
            <w:tcMar>
              <w:left w:w="28" w:type="dxa"/>
              <w:right w:w="28" w:type="dxa"/>
            </w:tcMar>
            <w:vAlign w:val="center"/>
          </w:tcPr>
          <w:p w14:paraId="50F6EA93">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jc w:val="right"/>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项目</w:t>
            </w:r>
          </w:p>
          <w:p w14:paraId="7A4FF281">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jc w:val="left"/>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分类</w:t>
            </w:r>
          </w:p>
        </w:tc>
        <w:tc>
          <w:tcPr>
            <w:tcW w:w="2885" w:type="dxa"/>
            <w:noWrap w:val="0"/>
            <w:tcMar>
              <w:left w:w="28" w:type="dxa"/>
              <w:right w:w="28" w:type="dxa"/>
            </w:tcMar>
            <w:vAlign w:val="center"/>
          </w:tcPr>
          <w:p w14:paraId="1AD8C13F">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污染物名称</w:t>
            </w:r>
          </w:p>
        </w:tc>
        <w:tc>
          <w:tcPr>
            <w:tcW w:w="1382" w:type="dxa"/>
            <w:noWrap w:val="0"/>
            <w:tcMar>
              <w:left w:w="28" w:type="dxa"/>
              <w:right w:w="28" w:type="dxa"/>
            </w:tcMar>
            <w:vAlign w:val="center"/>
          </w:tcPr>
          <w:p w14:paraId="6833CF38">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现有工程</w:t>
            </w:r>
          </w:p>
          <w:p w14:paraId="00B53172">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排放量（固体废物产生量）</w:t>
            </w:r>
            <w:r>
              <w:rPr>
                <w:rFonts w:hint="default" w:asciiTheme="minorAscii" w:hAnsiTheme="minorAscii" w:eastAsiaTheme="majorEastAsia" w:cstheme="majorEastAsia"/>
                <w:snapToGrid w:val="0"/>
                <w:color w:val="000000"/>
                <w:spacing w:val="0"/>
                <w:kern w:val="21"/>
                <w:sz w:val="21"/>
                <w:szCs w:val="21"/>
                <w:lang w:val="en-US" w:eastAsia="zh-CN"/>
              </w:rPr>
              <w:fldChar w:fldCharType="begin"/>
            </w:r>
            <w:r>
              <w:rPr>
                <w:rFonts w:hint="default" w:asciiTheme="minorAscii" w:hAnsiTheme="minorAscii" w:eastAsiaTheme="majorEastAsia" w:cstheme="majorEastAsia"/>
                <w:snapToGrid w:val="0"/>
                <w:color w:val="000000"/>
                <w:spacing w:val="0"/>
                <w:kern w:val="21"/>
                <w:sz w:val="21"/>
                <w:szCs w:val="21"/>
                <w:lang w:val="en-US" w:eastAsia="zh-CN"/>
              </w:rPr>
              <w:instrText xml:space="preserve"> = 1 \* GB3 \* MERGEFORMAT </w:instrText>
            </w:r>
            <w:r>
              <w:rPr>
                <w:rFonts w:hint="default" w:asciiTheme="minorAscii" w:hAnsiTheme="minorAscii" w:eastAsiaTheme="majorEastAsia" w:cstheme="majorEastAsia"/>
                <w:snapToGrid w:val="0"/>
                <w:color w:val="000000"/>
                <w:spacing w:val="0"/>
                <w:kern w:val="21"/>
                <w:sz w:val="21"/>
                <w:szCs w:val="21"/>
                <w:lang w:val="en-US" w:eastAsia="zh-CN"/>
              </w:rPr>
              <w:fldChar w:fldCharType="separate"/>
            </w:r>
            <w:r>
              <w:rPr>
                <w:rFonts w:hint="default" w:asciiTheme="minorAscii" w:hAnsiTheme="minorAscii" w:eastAsiaTheme="majorEastAsia" w:cstheme="majorEastAsia"/>
                <w:spacing w:val="0"/>
                <w:kern w:val="2"/>
                <w:sz w:val="21"/>
                <w:szCs w:val="21"/>
                <w:lang w:val="en-US" w:eastAsia="zh-CN"/>
              </w:rPr>
              <w:t>①</w:t>
            </w:r>
            <w:r>
              <w:rPr>
                <w:rFonts w:hint="default" w:asciiTheme="minorAscii" w:hAnsiTheme="minorAscii" w:eastAsiaTheme="majorEastAsia" w:cstheme="majorEastAsia"/>
                <w:snapToGrid w:val="0"/>
                <w:color w:val="000000"/>
                <w:spacing w:val="0"/>
                <w:kern w:val="21"/>
                <w:sz w:val="21"/>
                <w:szCs w:val="21"/>
                <w:lang w:val="en-US" w:eastAsia="zh-CN"/>
              </w:rPr>
              <w:fldChar w:fldCharType="end"/>
            </w:r>
          </w:p>
        </w:tc>
        <w:tc>
          <w:tcPr>
            <w:tcW w:w="1078" w:type="dxa"/>
            <w:noWrap w:val="0"/>
            <w:tcMar>
              <w:left w:w="28" w:type="dxa"/>
              <w:right w:w="28" w:type="dxa"/>
            </w:tcMar>
            <w:vAlign w:val="center"/>
          </w:tcPr>
          <w:p w14:paraId="59CD136F">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现有工程</w:t>
            </w:r>
          </w:p>
          <w:p w14:paraId="57B8A2C1">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许可排放量</w:t>
            </w:r>
          </w:p>
          <w:p w14:paraId="7F0ABC4E">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fldChar w:fldCharType="begin"/>
            </w:r>
            <w:r>
              <w:rPr>
                <w:rFonts w:hint="default" w:asciiTheme="minorAscii" w:hAnsiTheme="minorAscii" w:eastAsiaTheme="majorEastAsia" w:cstheme="majorEastAsia"/>
                <w:snapToGrid w:val="0"/>
                <w:color w:val="000000"/>
                <w:spacing w:val="0"/>
                <w:kern w:val="21"/>
                <w:sz w:val="21"/>
                <w:szCs w:val="21"/>
                <w:lang w:val="en-US" w:eastAsia="zh-CN"/>
              </w:rPr>
              <w:instrText xml:space="preserve"> = 2 \* GB3 \* MERGEFORMAT </w:instrText>
            </w:r>
            <w:r>
              <w:rPr>
                <w:rFonts w:hint="default" w:asciiTheme="minorAscii" w:hAnsiTheme="minorAscii" w:eastAsiaTheme="majorEastAsia" w:cstheme="majorEastAsia"/>
                <w:snapToGrid w:val="0"/>
                <w:color w:val="000000"/>
                <w:spacing w:val="0"/>
                <w:kern w:val="21"/>
                <w:sz w:val="21"/>
                <w:szCs w:val="21"/>
                <w:lang w:val="en-US" w:eastAsia="zh-CN"/>
              </w:rPr>
              <w:fldChar w:fldCharType="separate"/>
            </w:r>
            <w:r>
              <w:rPr>
                <w:rFonts w:hint="default" w:asciiTheme="minorAscii" w:hAnsiTheme="minorAscii" w:eastAsiaTheme="majorEastAsia" w:cstheme="majorEastAsia"/>
                <w:snapToGrid w:val="0"/>
                <w:color w:val="000000"/>
                <w:spacing w:val="0"/>
                <w:kern w:val="21"/>
                <w:sz w:val="21"/>
                <w:szCs w:val="21"/>
                <w:lang w:val="en-US" w:eastAsia="zh-CN"/>
              </w:rPr>
              <w:t>②</w:t>
            </w:r>
            <w:r>
              <w:rPr>
                <w:rFonts w:hint="default" w:asciiTheme="minorAscii" w:hAnsiTheme="minorAscii" w:eastAsiaTheme="majorEastAsia" w:cstheme="majorEastAsia"/>
                <w:snapToGrid w:val="0"/>
                <w:color w:val="000000"/>
                <w:spacing w:val="0"/>
                <w:kern w:val="21"/>
                <w:sz w:val="21"/>
                <w:szCs w:val="21"/>
                <w:lang w:val="en-US" w:eastAsia="zh-CN"/>
              </w:rPr>
              <w:fldChar w:fldCharType="end"/>
            </w:r>
          </w:p>
        </w:tc>
        <w:tc>
          <w:tcPr>
            <w:tcW w:w="1349" w:type="dxa"/>
            <w:noWrap w:val="0"/>
            <w:tcMar>
              <w:left w:w="28" w:type="dxa"/>
              <w:right w:w="28" w:type="dxa"/>
            </w:tcMar>
            <w:vAlign w:val="center"/>
          </w:tcPr>
          <w:p w14:paraId="39A7C91F">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在建工程</w:t>
            </w:r>
          </w:p>
          <w:p w14:paraId="0796B1FD">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排放量（固体废物产生量）</w:t>
            </w:r>
            <w:r>
              <w:rPr>
                <w:rFonts w:hint="default" w:asciiTheme="minorAscii" w:hAnsiTheme="minorAscii" w:eastAsiaTheme="majorEastAsia" w:cstheme="majorEastAsia"/>
                <w:snapToGrid w:val="0"/>
                <w:color w:val="000000"/>
                <w:spacing w:val="0"/>
                <w:kern w:val="21"/>
                <w:sz w:val="21"/>
                <w:szCs w:val="21"/>
                <w:lang w:val="en-US" w:eastAsia="zh-CN"/>
              </w:rPr>
              <w:fldChar w:fldCharType="begin"/>
            </w:r>
            <w:r>
              <w:rPr>
                <w:rFonts w:hint="default" w:asciiTheme="minorAscii" w:hAnsiTheme="minorAscii" w:eastAsiaTheme="majorEastAsia" w:cstheme="majorEastAsia"/>
                <w:snapToGrid w:val="0"/>
                <w:color w:val="000000"/>
                <w:spacing w:val="0"/>
                <w:kern w:val="21"/>
                <w:sz w:val="21"/>
                <w:szCs w:val="21"/>
                <w:lang w:val="en-US" w:eastAsia="zh-CN"/>
              </w:rPr>
              <w:instrText xml:space="preserve"> = 3 \* GB3 \* MERGEFORMAT </w:instrText>
            </w:r>
            <w:r>
              <w:rPr>
                <w:rFonts w:hint="default" w:asciiTheme="minorAscii" w:hAnsiTheme="minorAscii" w:eastAsiaTheme="majorEastAsia" w:cstheme="majorEastAsia"/>
                <w:snapToGrid w:val="0"/>
                <w:color w:val="000000"/>
                <w:spacing w:val="0"/>
                <w:kern w:val="21"/>
                <w:sz w:val="21"/>
                <w:szCs w:val="21"/>
                <w:lang w:val="en-US" w:eastAsia="zh-CN"/>
              </w:rPr>
              <w:fldChar w:fldCharType="separate"/>
            </w:r>
            <w:r>
              <w:rPr>
                <w:rFonts w:hint="default" w:asciiTheme="minorAscii" w:hAnsiTheme="minorAscii" w:eastAsiaTheme="majorEastAsia" w:cstheme="majorEastAsia"/>
                <w:spacing w:val="0"/>
                <w:kern w:val="2"/>
                <w:sz w:val="21"/>
                <w:szCs w:val="21"/>
                <w:lang w:val="en-US" w:eastAsia="zh-CN"/>
              </w:rPr>
              <w:t>③</w:t>
            </w:r>
            <w:r>
              <w:rPr>
                <w:rFonts w:hint="default" w:asciiTheme="minorAscii" w:hAnsiTheme="minorAscii" w:eastAsiaTheme="majorEastAsia" w:cstheme="majorEastAsia"/>
                <w:snapToGrid w:val="0"/>
                <w:color w:val="000000"/>
                <w:spacing w:val="0"/>
                <w:kern w:val="21"/>
                <w:sz w:val="21"/>
                <w:szCs w:val="21"/>
                <w:lang w:val="en-US" w:eastAsia="zh-CN"/>
              </w:rPr>
              <w:fldChar w:fldCharType="end"/>
            </w:r>
          </w:p>
        </w:tc>
        <w:tc>
          <w:tcPr>
            <w:tcW w:w="1415" w:type="dxa"/>
            <w:noWrap w:val="0"/>
            <w:tcMar>
              <w:left w:w="28" w:type="dxa"/>
              <w:right w:w="28" w:type="dxa"/>
            </w:tcMar>
            <w:vAlign w:val="center"/>
          </w:tcPr>
          <w:p w14:paraId="186D0F0D">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本项目</w:t>
            </w:r>
          </w:p>
          <w:p w14:paraId="32AE1395">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排放量（固体废物产生量）</w:t>
            </w:r>
            <w:r>
              <w:rPr>
                <w:rFonts w:hint="default" w:asciiTheme="minorAscii" w:hAnsiTheme="minorAscii" w:eastAsiaTheme="majorEastAsia" w:cstheme="majorEastAsia"/>
                <w:snapToGrid w:val="0"/>
                <w:color w:val="000000"/>
                <w:spacing w:val="0"/>
                <w:kern w:val="21"/>
                <w:sz w:val="21"/>
                <w:szCs w:val="21"/>
                <w:lang w:val="en-US" w:eastAsia="zh-CN"/>
              </w:rPr>
              <w:fldChar w:fldCharType="begin"/>
            </w:r>
            <w:r>
              <w:rPr>
                <w:rFonts w:hint="default" w:asciiTheme="minorAscii" w:hAnsiTheme="minorAscii" w:eastAsiaTheme="majorEastAsia" w:cstheme="majorEastAsia"/>
                <w:snapToGrid w:val="0"/>
                <w:color w:val="000000"/>
                <w:spacing w:val="0"/>
                <w:kern w:val="21"/>
                <w:sz w:val="21"/>
                <w:szCs w:val="21"/>
                <w:lang w:val="en-US" w:eastAsia="zh-CN"/>
              </w:rPr>
              <w:instrText xml:space="preserve"> = 4 \* GB3 \* MERGEFORMAT </w:instrText>
            </w:r>
            <w:r>
              <w:rPr>
                <w:rFonts w:hint="default" w:asciiTheme="minorAscii" w:hAnsiTheme="minorAscii" w:eastAsiaTheme="majorEastAsia" w:cstheme="majorEastAsia"/>
                <w:snapToGrid w:val="0"/>
                <w:color w:val="000000"/>
                <w:spacing w:val="0"/>
                <w:kern w:val="21"/>
                <w:sz w:val="21"/>
                <w:szCs w:val="21"/>
                <w:lang w:val="en-US" w:eastAsia="zh-CN"/>
              </w:rPr>
              <w:fldChar w:fldCharType="separate"/>
            </w:r>
            <w:r>
              <w:rPr>
                <w:rFonts w:hint="default" w:asciiTheme="minorAscii" w:hAnsiTheme="minorAscii" w:eastAsiaTheme="majorEastAsia" w:cstheme="majorEastAsia"/>
                <w:spacing w:val="0"/>
                <w:kern w:val="2"/>
                <w:sz w:val="21"/>
                <w:szCs w:val="21"/>
                <w:lang w:val="en-US" w:eastAsia="zh-CN"/>
              </w:rPr>
              <w:t>④</w:t>
            </w:r>
            <w:r>
              <w:rPr>
                <w:rFonts w:hint="default" w:asciiTheme="minorAscii" w:hAnsiTheme="minorAscii" w:eastAsiaTheme="majorEastAsia" w:cstheme="majorEastAsia"/>
                <w:snapToGrid w:val="0"/>
                <w:color w:val="000000"/>
                <w:spacing w:val="0"/>
                <w:kern w:val="21"/>
                <w:sz w:val="21"/>
                <w:szCs w:val="21"/>
                <w:lang w:val="en-US" w:eastAsia="zh-CN"/>
              </w:rPr>
              <w:fldChar w:fldCharType="end"/>
            </w:r>
          </w:p>
        </w:tc>
        <w:tc>
          <w:tcPr>
            <w:tcW w:w="1306" w:type="dxa"/>
            <w:noWrap w:val="0"/>
            <w:tcMar>
              <w:left w:w="28" w:type="dxa"/>
              <w:right w:w="28" w:type="dxa"/>
            </w:tcMar>
            <w:vAlign w:val="center"/>
          </w:tcPr>
          <w:p w14:paraId="42384DF0">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以新带老削减量</w:t>
            </w:r>
          </w:p>
          <w:p w14:paraId="54016199">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（新建项目不填）</w:t>
            </w:r>
            <w:r>
              <w:rPr>
                <w:rFonts w:hint="default" w:asciiTheme="minorAscii" w:hAnsiTheme="minorAscii" w:eastAsiaTheme="majorEastAsia" w:cstheme="majorEastAsia"/>
                <w:snapToGrid w:val="0"/>
                <w:color w:val="000000"/>
                <w:spacing w:val="0"/>
                <w:kern w:val="21"/>
                <w:sz w:val="21"/>
                <w:szCs w:val="21"/>
                <w:lang w:val="en-US" w:eastAsia="zh-CN"/>
              </w:rPr>
              <w:fldChar w:fldCharType="begin"/>
            </w:r>
            <w:r>
              <w:rPr>
                <w:rFonts w:hint="default" w:asciiTheme="minorAscii" w:hAnsiTheme="minorAscii" w:eastAsiaTheme="majorEastAsia" w:cstheme="majorEastAsia"/>
                <w:snapToGrid w:val="0"/>
                <w:color w:val="000000"/>
                <w:spacing w:val="0"/>
                <w:kern w:val="21"/>
                <w:sz w:val="21"/>
                <w:szCs w:val="21"/>
                <w:lang w:val="en-US" w:eastAsia="zh-CN"/>
              </w:rPr>
              <w:instrText xml:space="preserve"> = 5 \* GB3 \* MERGEFORMAT </w:instrText>
            </w:r>
            <w:r>
              <w:rPr>
                <w:rFonts w:hint="default" w:asciiTheme="minorAscii" w:hAnsiTheme="minorAscii" w:eastAsiaTheme="majorEastAsia" w:cstheme="majorEastAsia"/>
                <w:snapToGrid w:val="0"/>
                <w:color w:val="000000"/>
                <w:spacing w:val="0"/>
                <w:kern w:val="21"/>
                <w:sz w:val="21"/>
                <w:szCs w:val="21"/>
                <w:lang w:val="en-US" w:eastAsia="zh-CN"/>
              </w:rPr>
              <w:fldChar w:fldCharType="separate"/>
            </w:r>
            <w:r>
              <w:rPr>
                <w:rFonts w:hint="default" w:asciiTheme="minorAscii" w:hAnsiTheme="minorAscii" w:eastAsiaTheme="majorEastAsia" w:cstheme="majorEastAsia"/>
                <w:spacing w:val="0"/>
                <w:kern w:val="2"/>
                <w:sz w:val="21"/>
                <w:szCs w:val="21"/>
                <w:lang w:val="en-US" w:eastAsia="zh-CN"/>
              </w:rPr>
              <w:t>⑤</w:t>
            </w:r>
            <w:r>
              <w:rPr>
                <w:rFonts w:hint="default" w:asciiTheme="minorAscii" w:hAnsiTheme="minorAscii" w:eastAsiaTheme="majorEastAsia" w:cstheme="majorEastAsia"/>
                <w:snapToGrid w:val="0"/>
                <w:color w:val="000000"/>
                <w:spacing w:val="0"/>
                <w:kern w:val="21"/>
                <w:sz w:val="21"/>
                <w:szCs w:val="21"/>
                <w:lang w:val="en-US" w:eastAsia="zh-CN"/>
              </w:rPr>
              <w:fldChar w:fldCharType="end"/>
            </w:r>
          </w:p>
        </w:tc>
        <w:tc>
          <w:tcPr>
            <w:tcW w:w="1540" w:type="dxa"/>
            <w:noWrap w:val="0"/>
            <w:tcMar>
              <w:left w:w="28" w:type="dxa"/>
              <w:right w:w="28" w:type="dxa"/>
            </w:tcMar>
            <w:vAlign w:val="center"/>
          </w:tcPr>
          <w:p w14:paraId="50135E33">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本项目建成后</w:t>
            </w:r>
          </w:p>
          <w:p w14:paraId="79AB9473">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全厂排放量（固体废物产生量）</w:t>
            </w:r>
            <w:r>
              <w:rPr>
                <w:rFonts w:hint="default" w:asciiTheme="minorAscii" w:hAnsiTheme="minorAscii" w:eastAsiaTheme="majorEastAsia" w:cstheme="majorEastAsia"/>
                <w:snapToGrid w:val="0"/>
                <w:color w:val="000000"/>
                <w:spacing w:val="0"/>
                <w:kern w:val="21"/>
                <w:sz w:val="21"/>
                <w:szCs w:val="21"/>
                <w:lang w:val="en-US" w:eastAsia="zh-CN"/>
              </w:rPr>
              <w:fldChar w:fldCharType="begin"/>
            </w:r>
            <w:r>
              <w:rPr>
                <w:rFonts w:hint="default" w:asciiTheme="minorAscii" w:hAnsiTheme="minorAscii" w:eastAsiaTheme="majorEastAsia" w:cstheme="majorEastAsia"/>
                <w:snapToGrid w:val="0"/>
                <w:color w:val="000000"/>
                <w:spacing w:val="0"/>
                <w:kern w:val="21"/>
                <w:sz w:val="21"/>
                <w:szCs w:val="21"/>
                <w:lang w:val="en-US" w:eastAsia="zh-CN"/>
              </w:rPr>
              <w:instrText xml:space="preserve"> = 6 \* GB3 \* MERGEFORMAT </w:instrText>
            </w:r>
            <w:r>
              <w:rPr>
                <w:rFonts w:hint="default" w:asciiTheme="minorAscii" w:hAnsiTheme="minorAscii" w:eastAsiaTheme="majorEastAsia" w:cstheme="majorEastAsia"/>
                <w:snapToGrid w:val="0"/>
                <w:color w:val="000000"/>
                <w:spacing w:val="0"/>
                <w:kern w:val="21"/>
                <w:sz w:val="21"/>
                <w:szCs w:val="21"/>
                <w:lang w:val="en-US" w:eastAsia="zh-CN"/>
              </w:rPr>
              <w:fldChar w:fldCharType="separate"/>
            </w:r>
            <w:r>
              <w:rPr>
                <w:rFonts w:hint="default" w:asciiTheme="minorAscii" w:hAnsiTheme="minorAscii" w:eastAsiaTheme="majorEastAsia" w:cstheme="majorEastAsia"/>
                <w:spacing w:val="0"/>
                <w:kern w:val="2"/>
                <w:sz w:val="21"/>
                <w:szCs w:val="21"/>
                <w:lang w:val="en-US" w:eastAsia="zh-CN"/>
              </w:rPr>
              <w:t>⑥</w:t>
            </w:r>
            <w:r>
              <w:rPr>
                <w:rFonts w:hint="default" w:asciiTheme="minorAscii" w:hAnsiTheme="minorAscii" w:eastAsiaTheme="majorEastAsia" w:cstheme="majorEastAsia"/>
                <w:snapToGrid w:val="0"/>
                <w:color w:val="000000"/>
                <w:spacing w:val="0"/>
                <w:kern w:val="21"/>
                <w:sz w:val="21"/>
                <w:szCs w:val="21"/>
                <w:lang w:val="en-US" w:eastAsia="zh-CN"/>
              </w:rPr>
              <w:fldChar w:fldCharType="end"/>
            </w:r>
          </w:p>
        </w:tc>
        <w:tc>
          <w:tcPr>
            <w:tcW w:w="1245" w:type="dxa"/>
            <w:noWrap w:val="0"/>
            <w:tcMar>
              <w:left w:w="28" w:type="dxa"/>
              <w:right w:w="28" w:type="dxa"/>
            </w:tcMar>
            <w:vAlign w:val="center"/>
          </w:tcPr>
          <w:p w14:paraId="690BAF12">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变化量</w:t>
            </w:r>
          </w:p>
          <w:p w14:paraId="5B5E4AE1">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fldChar w:fldCharType="begin"/>
            </w:r>
            <w:r>
              <w:rPr>
                <w:rFonts w:hint="default" w:asciiTheme="minorAscii" w:hAnsiTheme="minorAscii" w:eastAsiaTheme="majorEastAsia" w:cstheme="majorEastAsia"/>
                <w:snapToGrid w:val="0"/>
                <w:color w:val="000000"/>
                <w:spacing w:val="0"/>
                <w:kern w:val="21"/>
                <w:sz w:val="21"/>
                <w:szCs w:val="21"/>
                <w:lang w:val="en-US" w:eastAsia="zh-CN"/>
              </w:rPr>
              <w:instrText xml:space="preserve"> = 7 \* GB3 \* MERGEFORMAT </w:instrText>
            </w:r>
            <w:r>
              <w:rPr>
                <w:rFonts w:hint="default" w:asciiTheme="minorAscii" w:hAnsiTheme="minorAscii" w:eastAsiaTheme="majorEastAsia" w:cstheme="majorEastAsia"/>
                <w:snapToGrid w:val="0"/>
                <w:color w:val="000000"/>
                <w:spacing w:val="0"/>
                <w:kern w:val="21"/>
                <w:sz w:val="21"/>
                <w:szCs w:val="21"/>
                <w:lang w:val="en-US" w:eastAsia="zh-CN"/>
              </w:rPr>
              <w:fldChar w:fldCharType="separate"/>
            </w:r>
            <w:r>
              <w:rPr>
                <w:rFonts w:hint="default" w:asciiTheme="minorAscii" w:hAnsiTheme="minorAscii" w:eastAsiaTheme="majorEastAsia" w:cstheme="majorEastAsia"/>
                <w:spacing w:val="0"/>
                <w:kern w:val="2"/>
                <w:sz w:val="21"/>
                <w:szCs w:val="21"/>
                <w:lang w:val="en-US" w:eastAsia="zh-CN"/>
              </w:rPr>
              <w:t>⑦</w:t>
            </w:r>
            <w:r>
              <w:rPr>
                <w:rFonts w:hint="default" w:asciiTheme="minorAscii" w:hAnsiTheme="minorAscii" w:eastAsiaTheme="majorEastAsia" w:cstheme="majorEastAsia"/>
                <w:snapToGrid w:val="0"/>
                <w:color w:val="000000"/>
                <w:spacing w:val="0"/>
                <w:kern w:val="21"/>
                <w:sz w:val="21"/>
                <w:szCs w:val="21"/>
                <w:lang w:val="en-US" w:eastAsia="zh-CN"/>
              </w:rPr>
              <w:fldChar w:fldCharType="end"/>
            </w:r>
          </w:p>
        </w:tc>
      </w:tr>
      <w:tr w14:paraId="1AD5AA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restart"/>
            <w:noWrap w:val="0"/>
            <w:vAlign w:val="center"/>
          </w:tcPr>
          <w:p w14:paraId="3B82BA38">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废气</w:t>
            </w:r>
          </w:p>
        </w:tc>
        <w:tc>
          <w:tcPr>
            <w:tcW w:w="2885" w:type="dxa"/>
            <w:noWrap w:val="0"/>
            <w:vAlign w:val="center"/>
          </w:tcPr>
          <w:p w14:paraId="09CDCBBF">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硫化氢</w:t>
            </w:r>
          </w:p>
        </w:tc>
        <w:tc>
          <w:tcPr>
            <w:tcW w:w="1382" w:type="dxa"/>
            <w:noWrap w:val="0"/>
            <w:vAlign w:val="center"/>
          </w:tcPr>
          <w:p w14:paraId="6C903CE7">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497F5F01">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5FD1B510">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415" w:type="dxa"/>
            <w:noWrap w:val="0"/>
            <w:vAlign w:val="center"/>
          </w:tcPr>
          <w:p w14:paraId="4F59E23E">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0.447t/a</w:t>
            </w:r>
          </w:p>
        </w:tc>
        <w:tc>
          <w:tcPr>
            <w:tcW w:w="1306" w:type="dxa"/>
            <w:noWrap w:val="0"/>
            <w:vAlign w:val="center"/>
          </w:tcPr>
          <w:p w14:paraId="38D3E7FE">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20D10B60">
            <w:pPr>
              <w:pStyle w:val="42"/>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0.447t/a</w:t>
            </w:r>
          </w:p>
        </w:tc>
        <w:tc>
          <w:tcPr>
            <w:tcW w:w="1245" w:type="dxa"/>
            <w:noWrap w:val="0"/>
            <w:vAlign w:val="center"/>
          </w:tcPr>
          <w:p w14:paraId="0582EAF7">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r>
      <w:tr w14:paraId="243B32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66231D64">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p>
        </w:tc>
        <w:tc>
          <w:tcPr>
            <w:tcW w:w="2885" w:type="dxa"/>
            <w:noWrap w:val="0"/>
            <w:vAlign w:val="center"/>
          </w:tcPr>
          <w:p w14:paraId="65A59E11">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氨</w:t>
            </w:r>
          </w:p>
        </w:tc>
        <w:tc>
          <w:tcPr>
            <w:tcW w:w="1382" w:type="dxa"/>
            <w:noWrap w:val="0"/>
            <w:vAlign w:val="center"/>
          </w:tcPr>
          <w:p w14:paraId="7E929174">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787524B6">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44C6C74D">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415" w:type="dxa"/>
            <w:noWrap w:val="0"/>
            <w:vAlign w:val="center"/>
          </w:tcPr>
          <w:p w14:paraId="42B13F5D">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0.037t/a</w:t>
            </w:r>
          </w:p>
        </w:tc>
        <w:tc>
          <w:tcPr>
            <w:tcW w:w="1306" w:type="dxa"/>
            <w:noWrap w:val="0"/>
            <w:vAlign w:val="center"/>
          </w:tcPr>
          <w:p w14:paraId="5E0AE7C8">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395AB236">
            <w:pPr>
              <w:pStyle w:val="42"/>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0.037t/a</w:t>
            </w:r>
          </w:p>
        </w:tc>
        <w:tc>
          <w:tcPr>
            <w:tcW w:w="1245" w:type="dxa"/>
            <w:noWrap w:val="0"/>
            <w:vAlign w:val="center"/>
          </w:tcPr>
          <w:p w14:paraId="6C527A7F">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r>
      <w:tr w14:paraId="1DD07A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restart"/>
            <w:noWrap w:val="0"/>
            <w:vAlign w:val="center"/>
          </w:tcPr>
          <w:p w14:paraId="6A5A6794">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废水</w:t>
            </w:r>
          </w:p>
        </w:tc>
        <w:tc>
          <w:tcPr>
            <w:tcW w:w="2885" w:type="dxa"/>
            <w:noWrap w:val="0"/>
            <w:vAlign w:val="center"/>
          </w:tcPr>
          <w:p w14:paraId="59127E9B">
            <w:pPr>
              <w:keepNext w:val="0"/>
              <w:keepLines w:val="0"/>
              <w:pageBreakBefore w:val="0"/>
              <w:widowControl w:val="0"/>
              <w:kinsoku/>
              <w:wordWrap/>
              <w:overflowPunct/>
              <w:topLinePunct w:val="0"/>
              <w:autoSpaceDE/>
              <w:autoSpaceDN/>
              <w:bidi w:val="0"/>
              <w:ind w:left="0" w:firstLine="0" w:firstLineChars="0"/>
              <w:jc w:val="center"/>
              <w:textAlignment w:val="auto"/>
              <w:rPr>
                <w:rFonts w:hint="eastAsia"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pacing w:val="0"/>
                <w:sz w:val="21"/>
                <w:szCs w:val="21"/>
                <w:lang w:eastAsia="zh-CN"/>
              </w:rPr>
              <w:t>CODcr</w:t>
            </w:r>
          </w:p>
        </w:tc>
        <w:tc>
          <w:tcPr>
            <w:tcW w:w="1382" w:type="dxa"/>
            <w:noWrap w:val="0"/>
            <w:vAlign w:val="center"/>
          </w:tcPr>
          <w:p w14:paraId="55B15889">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2811F62A">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39A54724">
            <w:pPr>
              <w:keepNext w:val="0"/>
              <w:keepLines w:val="0"/>
              <w:pageBreakBefore w:val="0"/>
              <w:widowControl w:val="0"/>
              <w:tabs>
                <w:tab w:val="left" w:pos="2148"/>
              </w:tabs>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napToGrid w:val="0"/>
                <w:color w:val="000000"/>
                <w:spacing w:val="0"/>
                <w:kern w:val="21"/>
                <w:sz w:val="21"/>
                <w:szCs w:val="21"/>
              </w:rPr>
              <w:t>/</w:t>
            </w:r>
          </w:p>
        </w:tc>
        <w:tc>
          <w:tcPr>
            <w:tcW w:w="1415" w:type="dxa"/>
            <w:noWrap w:val="0"/>
            <w:vAlign w:val="center"/>
          </w:tcPr>
          <w:p w14:paraId="0C9D441E">
            <w:pPr>
              <w:keepNext w:val="0"/>
              <w:keepLines w:val="0"/>
              <w:pageBreakBefore w:val="0"/>
              <w:widowControl w:val="0"/>
              <w:kinsoku/>
              <w:wordWrap/>
              <w:overflowPunct/>
              <w:topLinePunct w:val="0"/>
              <w:autoSpaceDE/>
              <w:autoSpaceDN/>
              <w:bidi w:val="0"/>
              <w:jc w:val="center"/>
              <w:textAlignment w:val="auto"/>
              <w:rPr>
                <w:rFonts w:hint="eastAsia" w:eastAsia="宋体" w:asciiTheme="minorAscii" w:hAnsiTheme="minorAscii" w:cstheme="majorEastAsia"/>
                <w:snapToGrid w:val="0"/>
                <w:color w:val="000000"/>
                <w:spacing w:val="0"/>
                <w:kern w:val="21"/>
                <w:sz w:val="21"/>
                <w:szCs w:val="21"/>
                <w:lang w:val="en-US" w:eastAsia="zh-CN"/>
              </w:rPr>
            </w:pPr>
            <w:r>
              <w:rPr>
                <w:rFonts w:hint="eastAsia"/>
                <w:spacing w:val="0"/>
                <w:sz w:val="21"/>
              </w:rPr>
              <w:t>18.25</w:t>
            </w:r>
            <w:r>
              <w:rPr>
                <w:rFonts w:hint="eastAsia"/>
                <w:spacing w:val="0"/>
                <w:sz w:val="21"/>
                <w:lang w:val="en-US" w:eastAsia="zh-CN"/>
              </w:rPr>
              <w:t>t/a</w:t>
            </w:r>
          </w:p>
        </w:tc>
        <w:tc>
          <w:tcPr>
            <w:tcW w:w="1306" w:type="dxa"/>
            <w:noWrap w:val="0"/>
            <w:vAlign w:val="center"/>
          </w:tcPr>
          <w:p w14:paraId="4CA4288B">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5FA12C11">
            <w:pPr>
              <w:keepNext w:val="0"/>
              <w:keepLines w:val="0"/>
              <w:pageBreakBefore w:val="0"/>
              <w:widowControl w:val="0"/>
              <w:kinsoku/>
              <w:wordWrap/>
              <w:overflowPunct/>
              <w:topLinePunct w:val="0"/>
              <w:autoSpaceDE/>
              <w:autoSpaceDN/>
              <w:bidi w:val="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spacing w:val="0"/>
                <w:sz w:val="21"/>
              </w:rPr>
              <w:t>18.25</w:t>
            </w:r>
            <w:r>
              <w:rPr>
                <w:rFonts w:hint="eastAsia"/>
                <w:spacing w:val="0"/>
                <w:sz w:val="21"/>
                <w:lang w:val="en-US" w:eastAsia="zh-CN"/>
              </w:rPr>
              <w:t>t/a</w:t>
            </w:r>
          </w:p>
        </w:tc>
        <w:tc>
          <w:tcPr>
            <w:tcW w:w="1245" w:type="dxa"/>
            <w:noWrap w:val="0"/>
            <w:vAlign w:val="center"/>
          </w:tcPr>
          <w:p w14:paraId="5E3DA836">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napToGrid w:val="0"/>
                <w:color w:val="000000"/>
                <w:spacing w:val="0"/>
                <w:kern w:val="21"/>
                <w:sz w:val="21"/>
                <w:szCs w:val="21"/>
                <w:lang w:val="en-US" w:eastAsia="zh-CN"/>
              </w:rPr>
              <w:t>/</w:t>
            </w:r>
          </w:p>
        </w:tc>
      </w:tr>
      <w:tr w14:paraId="00DD50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223DA601">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p>
        </w:tc>
        <w:tc>
          <w:tcPr>
            <w:tcW w:w="2885" w:type="dxa"/>
            <w:noWrap w:val="0"/>
            <w:vAlign w:val="center"/>
          </w:tcPr>
          <w:p w14:paraId="2FAA5928">
            <w:pPr>
              <w:keepNext w:val="0"/>
              <w:keepLines w:val="0"/>
              <w:pageBreakBefore w:val="0"/>
              <w:widowControl w:val="0"/>
              <w:kinsoku/>
              <w:wordWrap/>
              <w:overflowPunct/>
              <w:topLinePunct w:val="0"/>
              <w:autoSpaceDE/>
              <w:autoSpaceDN/>
              <w:bidi w:val="0"/>
              <w:ind w:left="0" w:firstLine="0" w:firstLineChars="0"/>
              <w:jc w:val="center"/>
              <w:textAlignment w:val="auto"/>
              <w:rPr>
                <w:rFonts w:hint="eastAsia"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pacing w:val="0"/>
                <w:sz w:val="21"/>
                <w:szCs w:val="21"/>
              </w:rPr>
              <w:t>BOD</w:t>
            </w:r>
            <w:r>
              <w:rPr>
                <w:rFonts w:hint="eastAsia" w:asciiTheme="minorAscii" w:hAnsiTheme="minorAscii" w:eastAsiaTheme="majorEastAsia" w:cstheme="majorEastAsia"/>
                <w:spacing w:val="0"/>
                <w:sz w:val="21"/>
                <w:szCs w:val="21"/>
                <w:vertAlign w:val="subscript"/>
                <w:lang w:val="en-US" w:eastAsia="zh-CN"/>
              </w:rPr>
              <w:t>5</w:t>
            </w:r>
          </w:p>
        </w:tc>
        <w:tc>
          <w:tcPr>
            <w:tcW w:w="1382" w:type="dxa"/>
            <w:noWrap w:val="0"/>
            <w:vAlign w:val="center"/>
          </w:tcPr>
          <w:p w14:paraId="176F21F9">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2D079647">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3DAC9031">
            <w:pPr>
              <w:keepNext w:val="0"/>
              <w:keepLines w:val="0"/>
              <w:pageBreakBefore w:val="0"/>
              <w:widowControl w:val="0"/>
              <w:tabs>
                <w:tab w:val="left" w:pos="2148"/>
              </w:tabs>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napToGrid w:val="0"/>
                <w:color w:val="000000"/>
                <w:spacing w:val="0"/>
                <w:kern w:val="21"/>
                <w:sz w:val="21"/>
                <w:szCs w:val="21"/>
              </w:rPr>
              <w:t>/</w:t>
            </w:r>
          </w:p>
        </w:tc>
        <w:tc>
          <w:tcPr>
            <w:tcW w:w="1415" w:type="dxa"/>
            <w:noWrap w:val="0"/>
            <w:vAlign w:val="center"/>
          </w:tcPr>
          <w:p w14:paraId="20D90C13">
            <w:pPr>
              <w:keepNext w:val="0"/>
              <w:keepLines w:val="0"/>
              <w:pageBreakBefore w:val="0"/>
              <w:widowControl w:val="0"/>
              <w:kinsoku/>
              <w:wordWrap/>
              <w:overflowPunct/>
              <w:topLinePunct w:val="0"/>
              <w:autoSpaceDE/>
              <w:autoSpaceDN/>
              <w:bidi w:val="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eastAsia"/>
                <w:spacing w:val="0"/>
                <w:sz w:val="21"/>
              </w:rPr>
              <w:t>3.65</w:t>
            </w:r>
            <w:r>
              <w:rPr>
                <w:rFonts w:hint="eastAsia"/>
                <w:spacing w:val="0"/>
                <w:sz w:val="21"/>
                <w:lang w:val="en-US" w:eastAsia="zh-CN"/>
              </w:rPr>
              <w:t>t/a</w:t>
            </w:r>
          </w:p>
        </w:tc>
        <w:tc>
          <w:tcPr>
            <w:tcW w:w="1306" w:type="dxa"/>
            <w:noWrap w:val="0"/>
            <w:vAlign w:val="center"/>
          </w:tcPr>
          <w:p w14:paraId="5F8B1362">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30E8CE03">
            <w:pPr>
              <w:keepNext w:val="0"/>
              <w:keepLines w:val="0"/>
              <w:pageBreakBefore w:val="0"/>
              <w:widowControl w:val="0"/>
              <w:kinsoku/>
              <w:wordWrap/>
              <w:overflowPunct/>
              <w:topLinePunct w:val="0"/>
              <w:autoSpaceDE/>
              <w:autoSpaceDN/>
              <w:bidi w:val="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spacing w:val="0"/>
                <w:sz w:val="21"/>
              </w:rPr>
              <w:t>3.65</w:t>
            </w:r>
            <w:r>
              <w:rPr>
                <w:rFonts w:hint="eastAsia"/>
                <w:spacing w:val="0"/>
                <w:sz w:val="21"/>
                <w:lang w:val="en-US" w:eastAsia="zh-CN"/>
              </w:rPr>
              <w:t>t/a</w:t>
            </w:r>
          </w:p>
        </w:tc>
        <w:tc>
          <w:tcPr>
            <w:tcW w:w="1245" w:type="dxa"/>
            <w:noWrap w:val="0"/>
            <w:vAlign w:val="center"/>
          </w:tcPr>
          <w:p w14:paraId="705346AA">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napToGrid w:val="0"/>
                <w:color w:val="000000"/>
                <w:spacing w:val="0"/>
                <w:kern w:val="21"/>
                <w:sz w:val="21"/>
                <w:szCs w:val="21"/>
                <w:lang w:val="en-US" w:eastAsia="zh-CN"/>
              </w:rPr>
              <w:t>/</w:t>
            </w:r>
          </w:p>
        </w:tc>
      </w:tr>
      <w:tr w14:paraId="0A7741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7FD21248">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p>
        </w:tc>
        <w:tc>
          <w:tcPr>
            <w:tcW w:w="2885" w:type="dxa"/>
            <w:noWrap w:val="0"/>
            <w:vAlign w:val="center"/>
          </w:tcPr>
          <w:p w14:paraId="3F290675">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pacing w:val="0"/>
                <w:sz w:val="21"/>
                <w:szCs w:val="21"/>
              </w:rPr>
              <w:t>SS</w:t>
            </w:r>
          </w:p>
        </w:tc>
        <w:tc>
          <w:tcPr>
            <w:tcW w:w="1382" w:type="dxa"/>
            <w:noWrap w:val="0"/>
            <w:vAlign w:val="center"/>
          </w:tcPr>
          <w:p w14:paraId="0022F970">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6360B50F">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53D0C4AD">
            <w:pPr>
              <w:keepNext w:val="0"/>
              <w:keepLines w:val="0"/>
              <w:pageBreakBefore w:val="0"/>
              <w:widowControl w:val="0"/>
              <w:tabs>
                <w:tab w:val="left" w:pos="2148"/>
              </w:tabs>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napToGrid w:val="0"/>
                <w:color w:val="000000"/>
                <w:spacing w:val="0"/>
                <w:kern w:val="21"/>
                <w:sz w:val="21"/>
                <w:szCs w:val="21"/>
              </w:rPr>
              <w:t>/</w:t>
            </w:r>
          </w:p>
        </w:tc>
        <w:tc>
          <w:tcPr>
            <w:tcW w:w="1415" w:type="dxa"/>
            <w:noWrap w:val="0"/>
            <w:vAlign w:val="center"/>
          </w:tcPr>
          <w:p w14:paraId="64A64144">
            <w:pPr>
              <w:keepNext w:val="0"/>
              <w:keepLines w:val="0"/>
              <w:pageBreakBefore w:val="0"/>
              <w:widowControl w:val="0"/>
              <w:kinsoku/>
              <w:wordWrap/>
              <w:overflowPunct/>
              <w:topLinePunct w:val="0"/>
              <w:autoSpaceDE/>
              <w:autoSpaceDN/>
              <w:bidi w:val="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eastAsia"/>
                <w:spacing w:val="0"/>
                <w:sz w:val="21"/>
              </w:rPr>
              <w:t>3.65</w:t>
            </w:r>
            <w:r>
              <w:rPr>
                <w:rFonts w:hint="eastAsia"/>
                <w:spacing w:val="0"/>
                <w:sz w:val="21"/>
                <w:lang w:val="en-US" w:eastAsia="zh-CN"/>
              </w:rPr>
              <w:t>t/a</w:t>
            </w:r>
          </w:p>
        </w:tc>
        <w:tc>
          <w:tcPr>
            <w:tcW w:w="1306" w:type="dxa"/>
            <w:noWrap w:val="0"/>
            <w:vAlign w:val="center"/>
          </w:tcPr>
          <w:p w14:paraId="1EE163BC">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722255AB">
            <w:pPr>
              <w:keepNext w:val="0"/>
              <w:keepLines w:val="0"/>
              <w:pageBreakBefore w:val="0"/>
              <w:widowControl w:val="0"/>
              <w:kinsoku/>
              <w:wordWrap/>
              <w:overflowPunct/>
              <w:topLinePunct w:val="0"/>
              <w:autoSpaceDE/>
              <w:autoSpaceDN/>
              <w:bidi w:val="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spacing w:val="0"/>
                <w:sz w:val="21"/>
              </w:rPr>
              <w:t>3.65</w:t>
            </w:r>
            <w:r>
              <w:rPr>
                <w:rFonts w:hint="eastAsia"/>
                <w:spacing w:val="0"/>
                <w:sz w:val="21"/>
                <w:lang w:val="en-US" w:eastAsia="zh-CN"/>
              </w:rPr>
              <w:t>t/a</w:t>
            </w:r>
          </w:p>
        </w:tc>
        <w:tc>
          <w:tcPr>
            <w:tcW w:w="1245" w:type="dxa"/>
            <w:noWrap w:val="0"/>
            <w:vAlign w:val="center"/>
          </w:tcPr>
          <w:p w14:paraId="623AB85A">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napToGrid w:val="0"/>
                <w:color w:val="000000"/>
                <w:spacing w:val="0"/>
                <w:kern w:val="21"/>
                <w:sz w:val="21"/>
                <w:szCs w:val="21"/>
                <w:lang w:val="en-US" w:eastAsia="zh-CN"/>
              </w:rPr>
              <w:t>/</w:t>
            </w:r>
          </w:p>
        </w:tc>
      </w:tr>
      <w:tr w14:paraId="3EB9FE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794C8E9B">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p>
        </w:tc>
        <w:tc>
          <w:tcPr>
            <w:tcW w:w="2885" w:type="dxa"/>
            <w:noWrap w:val="0"/>
            <w:vAlign w:val="center"/>
          </w:tcPr>
          <w:p w14:paraId="2CD5D3DB">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pacing w:val="0"/>
                <w:sz w:val="21"/>
                <w:szCs w:val="21"/>
              </w:rPr>
            </w:pPr>
            <w:r>
              <w:rPr>
                <w:rFonts w:hint="default" w:asciiTheme="minorAscii" w:hAnsiTheme="minorAscii" w:eastAsiaTheme="majorEastAsia" w:cstheme="majorEastAsia"/>
                <w:spacing w:val="0"/>
                <w:sz w:val="21"/>
                <w:szCs w:val="21"/>
              </w:rPr>
              <w:t>NH</w:t>
            </w:r>
            <w:r>
              <w:rPr>
                <w:rFonts w:hint="default" w:asciiTheme="minorAscii" w:hAnsiTheme="minorAscii" w:eastAsiaTheme="majorEastAsia" w:cstheme="majorEastAsia"/>
                <w:spacing w:val="0"/>
                <w:sz w:val="21"/>
                <w:szCs w:val="21"/>
                <w:vertAlign w:val="subscript"/>
              </w:rPr>
              <w:t>3</w:t>
            </w:r>
            <w:r>
              <w:rPr>
                <w:rFonts w:hint="default" w:asciiTheme="minorAscii" w:hAnsiTheme="minorAscii" w:eastAsiaTheme="majorEastAsia" w:cstheme="majorEastAsia"/>
                <w:spacing w:val="0"/>
                <w:sz w:val="21"/>
                <w:szCs w:val="21"/>
              </w:rPr>
              <w:t>-N</w:t>
            </w:r>
          </w:p>
        </w:tc>
        <w:tc>
          <w:tcPr>
            <w:tcW w:w="1382" w:type="dxa"/>
            <w:noWrap w:val="0"/>
            <w:vAlign w:val="center"/>
          </w:tcPr>
          <w:p w14:paraId="21EF39B9">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2F898608">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6315CA3D">
            <w:pPr>
              <w:keepNext w:val="0"/>
              <w:keepLines w:val="0"/>
              <w:pageBreakBefore w:val="0"/>
              <w:widowControl w:val="0"/>
              <w:tabs>
                <w:tab w:val="left" w:pos="2148"/>
              </w:tabs>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napToGrid w:val="0"/>
                <w:color w:val="000000"/>
                <w:spacing w:val="0"/>
                <w:kern w:val="21"/>
                <w:sz w:val="21"/>
                <w:szCs w:val="21"/>
              </w:rPr>
              <w:t>/</w:t>
            </w:r>
          </w:p>
        </w:tc>
        <w:tc>
          <w:tcPr>
            <w:tcW w:w="1415" w:type="dxa"/>
            <w:noWrap w:val="0"/>
            <w:vAlign w:val="center"/>
          </w:tcPr>
          <w:p w14:paraId="57BDFC96">
            <w:pPr>
              <w:keepNext w:val="0"/>
              <w:keepLines w:val="0"/>
              <w:pageBreakBefore w:val="0"/>
              <w:widowControl w:val="0"/>
              <w:kinsoku/>
              <w:wordWrap/>
              <w:overflowPunct/>
              <w:topLinePunct w:val="0"/>
              <w:autoSpaceDE/>
              <w:autoSpaceDN/>
              <w:bidi w:val="0"/>
              <w:jc w:val="center"/>
              <w:textAlignment w:val="auto"/>
              <w:rPr>
                <w:rFonts w:hint="default" w:asciiTheme="minorAscii" w:hAnsiTheme="minorAscii" w:eastAsiaTheme="majorEastAsia" w:cstheme="majorEastAsia"/>
                <w:spacing w:val="0"/>
                <w:kern w:val="0"/>
                <w:sz w:val="21"/>
                <w:szCs w:val="21"/>
                <w:lang w:bidi="ar"/>
              </w:rPr>
            </w:pPr>
            <w:r>
              <w:rPr>
                <w:rFonts w:hint="eastAsia"/>
                <w:spacing w:val="0"/>
                <w:sz w:val="21"/>
              </w:rPr>
              <w:t>1.825</w:t>
            </w:r>
            <w:r>
              <w:rPr>
                <w:rFonts w:hint="eastAsia"/>
                <w:spacing w:val="0"/>
                <w:sz w:val="21"/>
                <w:lang w:val="en-US" w:eastAsia="zh-CN"/>
              </w:rPr>
              <w:t>t/a</w:t>
            </w:r>
          </w:p>
        </w:tc>
        <w:tc>
          <w:tcPr>
            <w:tcW w:w="1306" w:type="dxa"/>
            <w:noWrap w:val="0"/>
            <w:vAlign w:val="center"/>
          </w:tcPr>
          <w:p w14:paraId="0FF7EB9C">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77747B54">
            <w:pPr>
              <w:keepNext w:val="0"/>
              <w:keepLines w:val="0"/>
              <w:pageBreakBefore w:val="0"/>
              <w:widowControl w:val="0"/>
              <w:kinsoku/>
              <w:wordWrap/>
              <w:overflowPunct/>
              <w:topLinePunct w:val="0"/>
              <w:autoSpaceDE/>
              <w:autoSpaceDN/>
              <w:bidi w:val="0"/>
              <w:jc w:val="center"/>
              <w:textAlignment w:val="auto"/>
              <w:rPr>
                <w:rFonts w:hint="default" w:asciiTheme="minorAscii" w:hAnsiTheme="minorAscii" w:eastAsiaTheme="majorEastAsia" w:cstheme="majorEastAsia"/>
                <w:spacing w:val="0"/>
                <w:sz w:val="21"/>
                <w:szCs w:val="21"/>
                <w:lang w:val="en-US" w:eastAsia="zh-CN" w:bidi="ar"/>
              </w:rPr>
            </w:pPr>
            <w:r>
              <w:rPr>
                <w:rFonts w:hint="eastAsia"/>
                <w:spacing w:val="0"/>
                <w:sz w:val="21"/>
              </w:rPr>
              <w:t>1.825</w:t>
            </w:r>
            <w:r>
              <w:rPr>
                <w:rFonts w:hint="eastAsia"/>
                <w:spacing w:val="0"/>
                <w:sz w:val="21"/>
                <w:lang w:val="en-US" w:eastAsia="zh-CN"/>
              </w:rPr>
              <w:t>t/a</w:t>
            </w:r>
          </w:p>
        </w:tc>
        <w:tc>
          <w:tcPr>
            <w:tcW w:w="1245" w:type="dxa"/>
            <w:noWrap w:val="0"/>
            <w:vAlign w:val="center"/>
          </w:tcPr>
          <w:p w14:paraId="1343F1D2">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pacing w:val="0"/>
                <w:kern w:val="0"/>
                <w:sz w:val="21"/>
                <w:szCs w:val="21"/>
                <w:lang w:bidi="ar"/>
              </w:rPr>
            </w:pPr>
            <w:r>
              <w:rPr>
                <w:rFonts w:hint="default" w:asciiTheme="minorAscii" w:hAnsiTheme="minorAscii" w:eastAsiaTheme="majorEastAsia" w:cstheme="majorEastAsia"/>
                <w:snapToGrid w:val="0"/>
                <w:color w:val="000000"/>
                <w:spacing w:val="0"/>
                <w:kern w:val="21"/>
                <w:sz w:val="21"/>
                <w:szCs w:val="21"/>
                <w:lang w:val="en-US" w:eastAsia="zh-CN"/>
              </w:rPr>
              <w:t>/</w:t>
            </w:r>
          </w:p>
        </w:tc>
      </w:tr>
      <w:tr w14:paraId="05250D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508BDEBE">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p>
        </w:tc>
        <w:tc>
          <w:tcPr>
            <w:tcW w:w="2885" w:type="dxa"/>
            <w:noWrap w:val="0"/>
            <w:vAlign w:val="center"/>
          </w:tcPr>
          <w:p w14:paraId="01F48923">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pacing w:val="0"/>
                <w:sz w:val="21"/>
                <w:szCs w:val="21"/>
              </w:rPr>
              <w:t>总氮</w:t>
            </w:r>
          </w:p>
        </w:tc>
        <w:tc>
          <w:tcPr>
            <w:tcW w:w="1382" w:type="dxa"/>
            <w:noWrap w:val="0"/>
            <w:vAlign w:val="center"/>
          </w:tcPr>
          <w:p w14:paraId="1DC9001D">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6FD806F5">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3AA680D0">
            <w:pPr>
              <w:keepNext w:val="0"/>
              <w:keepLines w:val="0"/>
              <w:pageBreakBefore w:val="0"/>
              <w:widowControl w:val="0"/>
              <w:tabs>
                <w:tab w:val="left" w:pos="2148"/>
              </w:tabs>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napToGrid w:val="0"/>
                <w:color w:val="000000"/>
                <w:spacing w:val="0"/>
                <w:kern w:val="21"/>
                <w:sz w:val="21"/>
                <w:szCs w:val="21"/>
              </w:rPr>
              <w:t>/</w:t>
            </w:r>
          </w:p>
        </w:tc>
        <w:tc>
          <w:tcPr>
            <w:tcW w:w="1415" w:type="dxa"/>
            <w:noWrap w:val="0"/>
            <w:vAlign w:val="center"/>
          </w:tcPr>
          <w:p w14:paraId="487B7F87">
            <w:pPr>
              <w:keepNext w:val="0"/>
              <w:keepLines w:val="0"/>
              <w:pageBreakBefore w:val="0"/>
              <w:widowControl w:val="0"/>
              <w:kinsoku/>
              <w:wordWrap/>
              <w:overflowPunct/>
              <w:topLinePunct w:val="0"/>
              <w:autoSpaceDE/>
              <w:autoSpaceDN/>
              <w:bidi w:val="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eastAsia"/>
                <w:spacing w:val="0"/>
                <w:sz w:val="21"/>
              </w:rPr>
              <w:t>5.475</w:t>
            </w:r>
            <w:r>
              <w:rPr>
                <w:rFonts w:hint="eastAsia"/>
                <w:spacing w:val="0"/>
                <w:sz w:val="21"/>
                <w:lang w:val="en-US" w:eastAsia="zh-CN"/>
              </w:rPr>
              <w:t>t/a</w:t>
            </w:r>
          </w:p>
        </w:tc>
        <w:tc>
          <w:tcPr>
            <w:tcW w:w="1306" w:type="dxa"/>
            <w:noWrap w:val="0"/>
            <w:vAlign w:val="center"/>
          </w:tcPr>
          <w:p w14:paraId="4494FA47">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4C257D33">
            <w:pPr>
              <w:keepNext w:val="0"/>
              <w:keepLines w:val="0"/>
              <w:pageBreakBefore w:val="0"/>
              <w:widowControl w:val="0"/>
              <w:kinsoku/>
              <w:wordWrap/>
              <w:overflowPunct/>
              <w:topLinePunct w:val="0"/>
              <w:autoSpaceDE/>
              <w:autoSpaceDN/>
              <w:bidi w:val="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spacing w:val="0"/>
                <w:sz w:val="21"/>
              </w:rPr>
              <w:t>5.475</w:t>
            </w:r>
            <w:r>
              <w:rPr>
                <w:rFonts w:hint="eastAsia"/>
                <w:spacing w:val="0"/>
                <w:sz w:val="21"/>
                <w:lang w:val="en-US" w:eastAsia="zh-CN"/>
              </w:rPr>
              <w:t>t/a</w:t>
            </w:r>
          </w:p>
        </w:tc>
        <w:tc>
          <w:tcPr>
            <w:tcW w:w="1245" w:type="dxa"/>
            <w:noWrap w:val="0"/>
            <w:vAlign w:val="center"/>
          </w:tcPr>
          <w:p w14:paraId="696890E8">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napToGrid w:val="0"/>
                <w:color w:val="000000"/>
                <w:spacing w:val="0"/>
                <w:kern w:val="21"/>
                <w:sz w:val="21"/>
                <w:szCs w:val="21"/>
                <w:lang w:val="en-US" w:eastAsia="zh-CN"/>
              </w:rPr>
              <w:t>/</w:t>
            </w:r>
          </w:p>
        </w:tc>
      </w:tr>
      <w:tr w14:paraId="6AE4BB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7B448715">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p>
        </w:tc>
        <w:tc>
          <w:tcPr>
            <w:tcW w:w="2885" w:type="dxa"/>
            <w:noWrap w:val="0"/>
            <w:vAlign w:val="center"/>
          </w:tcPr>
          <w:p w14:paraId="35D27162">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pacing w:val="0"/>
                <w:sz w:val="21"/>
                <w:szCs w:val="21"/>
              </w:rPr>
            </w:pPr>
            <w:r>
              <w:rPr>
                <w:rFonts w:hint="default" w:asciiTheme="minorAscii" w:hAnsiTheme="minorAscii" w:eastAsiaTheme="majorEastAsia" w:cstheme="majorEastAsia"/>
                <w:spacing w:val="0"/>
                <w:sz w:val="21"/>
                <w:szCs w:val="21"/>
              </w:rPr>
              <w:t>总磷</w:t>
            </w:r>
          </w:p>
        </w:tc>
        <w:tc>
          <w:tcPr>
            <w:tcW w:w="1382" w:type="dxa"/>
            <w:noWrap w:val="0"/>
            <w:vAlign w:val="center"/>
          </w:tcPr>
          <w:p w14:paraId="1A678172">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1EAF0A24">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53529DA6">
            <w:pPr>
              <w:keepNext w:val="0"/>
              <w:keepLines w:val="0"/>
              <w:pageBreakBefore w:val="0"/>
              <w:widowControl w:val="0"/>
              <w:tabs>
                <w:tab w:val="left" w:pos="2148"/>
              </w:tabs>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napToGrid w:val="0"/>
                <w:color w:val="000000"/>
                <w:spacing w:val="0"/>
                <w:kern w:val="21"/>
                <w:sz w:val="21"/>
                <w:szCs w:val="21"/>
              </w:rPr>
              <w:t>/</w:t>
            </w:r>
          </w:p>
        </w:tc>
        <w:tc>
          <w:tcPr>
            <w:tcW w:w="1415" w:type="dxa"/>
            <w:noWrap w:val="0"/>
            <w:vAlign w:val="center"/>
          </w:tcPr>
          <w:p w14:paraId="7B85045F">
            <w:pPr>
              <w:keepNext w:val="0"/>
              <w:keepLines w:val="0"/>
              <w:pageBreakBefore w:val="0"/>
              <w:widowControl w:val="0"/>
              <w:kinsoku/>
              <w:wordWrap/>
              <w:overflowPunct/>
              <w:topLinePunct w:val="0"/>
              <w:autoSpaceDE/>
              <w:autoSpaceDN/>
              <w:bidi w:val="0"/>
              <w:jc w:val="center"/>
              <w:textAlignment w:val="auto"/>
              <w:rPr>
                <w:rFonts w:hint="default" w:asciiTheme="minorAscii" w:hAnsiTheme="minorAscii" w:eastAsiaTheme="majorEastAsia" w:cstheme="majorEastAsia"/>
                <w:spacing w:val="0"/>
                <w:kern w:val="0"/>
                <w:sz w:val="21"/>
                <w:szCs w:val="21"/>
                <w:lang w:bidi="ar"/>
              </w:rPr>
            </w:pPr>
            <w:r>
              <w:rPr>
                <w:rFonts w:hint="eastAsia"/>
                <w:spacing w:val="0"/>
                <w:sz w:val="21"/>
              </w:rPr>
              <w:t>0.1825</w:t>
            </w:r>
            <w:r>
              <w:rPr>
                <w:rFonts w:hint="eastAsia"/>
                <w:spacing w:val="0"/>
                <w:sz w:val="21"/>
                <w:lang w:val="en-US" w:eastAsia="zh-CN"/>
              </w:rPr>
              <w:t>t/a</w:t>
            </w:r>
          </w:p>
        </w:tc>
        <w:tc>
          <w:tcPr>
            <w:tcW w:w="1306" w:type="dxa"/>
            <w:noWrap w:val="0"/>
            <w:vAlign w:val="center"/>
          </w:tcPr>
          <w:p w14:paraId="486A4FCA">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776E4725">
            <w:pPr>
              <w:keepNext w:val="0"/>
              <w:keepLines w:val="0"/>
              <w:pageBreakBefore w:val="0"/>
              <w:widowControl w:val="0"/>
              <w:kinsoku/>
              <w:wordWrap/>
              <w:overflowPunct/>
              <w:topLinePunct w:val="0"/>
              <w:autoSpaceDE/>
              <w:autoSpaceDN/>
              <w:bidi w:val="0"/>
              <w:jc w:val="center"/>
              <w:textAlignment w:val="auto"/>
              <w:rPr>
                <w:rFonts w:hint="default" w:asciiTheme="minorAscii" w:hAnsiTheme="minorAscii" w:eastAsiaTheme="majorEastAsia" w:cstheme="majorEastAsia"/>
                <w:color w:val="000000"/>
                <w:spacing w:val="0"/>
                <w:sz w:val="21"/>
                <w:szCs w:val="21"/>
                <w:lang w:val="en-US" w:eastAsia="zh-CN" w:bidi="ar"/>
              </w:rPr>
            </w:pPr>
            <w:r>
              <w:rPr>
                <w:rFonts w:hint="eastAsia"/>
                <w:spacing w:val="0"/>
                <w:sz w:val="21"/>
              </w:rPr>
              <w:t>0.1825</w:t>
            </w:r>
            <w:r>
              <w:rPr>
                <w:rFonts w:hint="eastAsia"/>
                <w:spacing w:val="0"/>
                <w:sz w:val="21"/>
                <w:lang w:val="en-US" w:eastAsia="zh-CN"/>
              </w:rPr>
              <w:t>t/a</w:t>
            </w:r>
          </w:p>
        </w:tc>
        <w:tc>
          <w:tcPr>
            <w:tcW w:w="1245" w:type="dxa"/>
            <w:noWrap w:val="0"/>
            <w:vAlign w:val="center"/>
          </w:tcPr>
          <w:p w14:paraId="6897685B">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color w:val="000000"/>
                <w:spacing w:val="0"/>
                <w:kern w:val="0"/>
                <w:sz w:val="21"/>
                <w:szCs w:val="21"/>
                <w:lang w:bidi="ar"/>
              </w:rPr>
            </w:pPr>
            <w:r>
              <w:rPr>
                <w:rFonts w:hint="default" w:asciiTheme="minorAscii" w:hAnsiTheme="minorAscii" w:eastAsiaTheme="majorEastAsia" w:cstheme="majorEastAsia"/>
                <w:snapToGrid w:val="0"/>
                <w:color w:val="000000"/>
                <w:spacing w:val="0"/>
                <w:kern w:val="21"/>
                <w:sz w:val="21"/>
                <w:szCs w:val="21"/>
                <w:lang w:val="en-US" w:eastAsia="zh-CN"/>
              </w:rPr>
              <w:t>/</w:t>
            </w:r>
          </w:p>
        </w:tc>
      </w:tr>
      <w:tr w14:paraId="3CA211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7F34E252">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p>
        </w:tc>
        <w:tc>
          <w:tcPr>
            <w:tcW w:w="2885" w:type="dxa"/>
            <w:noWrap w:val="0"/>
            <w:vAlign w:val="center"/>
          </w:tcPr>
          <w:p w14:paraId="5F098311">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pacing w:val="0"/>
                <w:sz w:val="21"/>
                <w:szCs w:val="21"/>
                <w:lang w:val="en-US" w:eastAsia="zh-CN"/>
              </w:rPr>
            </w:pPr>
            <w:r>
              <w:rPr>
                <w:rFonts w:hint="eastAsia" w:asciiTheme="minorAscii" w:hAnsiTheme="minorAscii" w:eastAsiaTheme="majorEastAsia" w:cstheme="majorEastAsia"/>
                <w:spacing w:val="0"/>
                <w:sz w:val="21"/>
                <w:szCs w:val="21"/>
                <w:lang w:val="en-US" w:eastAsia="zh-CN"/>
              </w:rPr>
              <w:t>动植物油</w:t>
            </w:r>
          </w:p>
        </w:tc>
        <w:tc>
          <w:tcPr>
            <w:tcW w:w="1382" w:type="dxa"/>
            <w:noWrap w:val="0"/>
            <w:vAlign w:val="center"/>
          </w:tcPr>
          <w:p w14:paraId="7DABF38E">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3FEBA5BB">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53DB2949">
            <w:pPr>
              <w:keepNext w:val="0"/>
              <w:keepLines w:val="0"/>
              <w:pageBreakBefore w:val="0"/>
              <w:widowControl w:val="0"/>
              <w:tabs>
                <w:tab w:val="left" w:pos="2148"/>
              </w:tabs>
              <w:kinsoku/>
              <w:wordWrap/>
              <w:overflowPunct/>
              <w:topLinePunct w:val="0"/>
              <w:autoSpaceDE/>
              <w:autoSpaceDN/>
              <w:bidi w:val="0"/>
              <w:ind w:left="0" w:firstLine="0" w:firstLineChars="0"/>
              <w:jc w:val="center"/>
              <w:textAlignment w:val="auto"/>
              <w:rPr>
                <w:rFonts w:hint="eastAsia"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415" w:type="dxa"/>
            <w:noWrap w:val="0"/>
            <w:vAlign w:val="center"/>
          </w:tcPr>
          <w:p w14:paraId="15D5DC1C">
            <w:pPr>
              <w:keepNext w:val="0"/>
              <w:keepLines w:val="0"/>
              <w:pageBreakBefore w:val="0"/>
              <w:widowControl w:val="0"/>
              <w:kinsoku/>
              <w:wordWrap/>
              <w:overflowPunct/>
              <w:topLinePunct w:val="0"/>
              <w:autoSpaceDE/>
              <w:autoSpaceDN/>
              <w:bidi w:val="0"/>
              <w:jc w:val="center"/>
              <w:textAlignment w:val="auto"/>
              <w:rPr>
                <w:rFonts w:hint="eastAsia" w:asciiTheme="minorAscii" w:hAnsiTheme="minorAscii" w:eastAsiaTheme="majorEastAsia" w:cstheme="majorEastAsia"/>
                <w:spacing w:val="0"/>
                <w:kern w:val="0"/>
                <w:sz w:val="21"/>
                <w:szCs w:val="21"/>
                <w:lang w:val="en-US" w:eastAsia="zh-CN" w:bidi="ar"/>
              </w:rPr>
            </w:pPr>
            <w:r>
              <w:rPr>
                <w:rFonts w:hint="eastAsia"/>
                <w:spacing w:val="0"/>
                <w:sz w:val="21"/>
              </w:rPr>
              <w:t>0.365</w:t>
            </w:r>
            <w:r>
              <w:rPr>
                <w:rFonts w:hint="eastAsia"/>
                <w:spacing w:val="0"/>
                <w:sz w:val="21"/>
                <w:lang w:val="en-US" w:eastAsia="zh-CN"/>
              </w:rPr>
              <w:t>t/a</w:t>
            </w:r>
          </w:p>
        </w:tc>
        <w:tc>
          <w:tcPr>
            <w:tcW w:w="1306" w:type="dxa"/>
            <w:noWrap w:val="0"/>
            <w:vAlign w:val="center"/>
          </w:tcPr>
          <w:p w14:paraId="6DD81A00">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6B9EBC5E">
            <w:pPr>
              <w:keepNext w:val="0"/>
              <w:keepLines w:val="0"/>
              <w:pageBreakBefore w:val="0"/>
              <w:widowControl w:val="0"/>
              <w:kinsoku/>
              <w:wordWrap/>
              <w:overflowPunct/>
              <w:topLinePunct w:val="0"/>
              <w:autoSpaceDE/>
              <w:autoSpaceDN/>
              <w:bidi w:val="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spacing w:val="0"/>
                <w:sz w:val="21"/>
              </w:rPr>
              <w:t>0.365</w:t>
            </w:r>
            <w:r>
              <w:rPr>
                <w:rFonts w:hint="eastAsia"/>
                <w:spacing w:val="0"/>
                <w:sz w:val="21"/>
                <w:lang w:val="en-US" w:eastAsia="zh-CN"/>
              </w:rPr>
              <w:t>t/a</w:t>
            </w:r>
          </w:p>
        </w:tc>
        <w:tc>
          <w:tcPr>
            <w:tcW w:w="1245" w:type="dxa"/>
            <w:noWrap w:val="0"/>
            <w:vAlign w:val="center"/>
          </w:tcPr>
          <w:p w14:paraId="6B394C53">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r>
      <w:tr w14:paraId="61A453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restart"/>
            <w:noWrap w:val="0"/>
            <w:vAlign w:val="center"/>
          </w:tcPr>
          <w:p w14:paraId="5D7E72A9">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一般工业</w:t>
            </w:r>
          </w:p>
          <w:p w14:paraId="0732543F">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固体废物</w:t>
            </w:r>
          </w:p>
        </w:tc>
        <w:tc>
          <w:tcPr>
            <w:tcW w:w="2885" w:type="dxa"/>
            <w:noWrap w:val="0"/>
            <w:vAlign w:val="center"/>
          </w:tcPr>
          <w:p w14:paraId="343B7C2F">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pacing w:val="0"/>
                <w:sz w:val="21"/>
                <w:szCs w:val="21"/>
              </w:rPr>
              <w:t>栅渣</w:t>
            </w:r>
          </w:p>
        </w:tc>
        <w:tc>
          <w:tcPr>
            <w:tcW w:w="1382" w:type="dxa"/>
            <w:noWrap w:val="0"/>
            <w:vAlign w:val="center"/>
          </w:tcPr>
          <w:p w14:paraId="28B343E2">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2750CF25">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38C594C1">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415" w:type="dxa"/>
            <w:noWrap w:val="0"/>
            <w:vAlign w:val="center"/>
          </w:tcPr>
          <w:p w14:paraId="577D3377">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100t/a</w:t>
            </w:r>
          </w:p>
        </w:tc>
        <w:tc>
          <w:tcPr>
            <w:tcW w:w="1306" w:type="dxa"/>
            <w:noWrap w:val="0"/>
            <w:vAlign w:val="center"/>
          </w:tcPr>
          <w:p w14:paraId="73E83E28">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368D4C45">
            <w:pPr>
              <w:keepNext w:val="0"/>
              <w:keepLines w:val="0"/>
              <w:pageBreakBefore w:val="0"/>
              <w:widowControl w:val="0"/>
              <w:kinsoku/>
              <w:wordWrap/>
              <w:overflowPunct/>
              <w:topLinePunct w:val="0"/>
              <w:autoSpaceDE/>
              <w:autoSpaceDN/>
              <w:bidi w:val="0"/>
              <w:ind w:left="0" w:leftChars="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eastAsia" w:asciiTheme="minorAscii" w:hAnsiTheme="minorAscii" w:eastAsiaTheme="majorEastAsia" w:cstheme="majorEastAsia"/>
                <w:snapToGrid w:val="0"/>
                <w:color w:val="000000"/>
                <w:spacing w:val="0"/>
                <w:kern w:val="21"/>
                <w:sz w:val="21"/>
                <w:szCs w:val="21"/>
                <w:lang w:val="en-US" w:eastAsia="zh-CN"/>
              </w:rPr>
              <w:t>100t/a</w:t>
            </w:r>
          </w:p>
        </w:tc>
        <w:tc>
          <w:tcPr>
            <w:tcW w:w="1245" w:type="dxa"/>
            <w:noWrap w:val="0"/>
            <w:vAlign w:val="center"/>
          </w:tcPr>
          <w:p w14:paraId="0D05C44A">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napToGrid w:val="0"/>
                <w:color w:val="000000"/>
                <w:spacing w:val="0"/>
                <w:kern w:val="21"/>
                <w:sz w:val="21"/>
                <w:szCs w:val="21"/>
                <w:lang w:val="en-US" w:eastAsia="zh-CN"/>
              </w:rPr>
              <w:t>/</w:t>
            </w:r>
          </w:p>
        </w:tc>
      </w:tr>
      <w:tr w14:paraId="04FEF8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19C3C0FA">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p>
        </w:tc>
        <w:tc>
          <w:tcPr>
            <w:tcW w:w="2885" w:type="dxa"/>
            <w:noWrap w:val="0"/>
            <w:vAlign w:val="center"/>
          </w:tcPr>
          <w:p w14:paraId="7ACD411E">
            <w:pPr>
              <w:keepNext w:val="0"/>
              <w:keepLines w:val="0"/>
              <w:pageBreakBefore w:val="0"/>
              <w:widowControl w:val="0"/>
              <w:kinsoku/>
              <w:wordWrap/>
              <w:overflowPunct/>
              <w:topLinePunct w:val="0"/>
              <w:autoSpaceDE/>
              <w:autoSpaceDN/>
              <w:bidi w:val="0"/>
              <w:ind w:left="0" w:firstLine="0" w:firstLineChars="0"/>
              <w:jc w:val="center"/>
              <w:textAlignment w:val="auto"/>
              <w:rPr>
                <w:rFonts w:hint="eastAsia" w:asciiTheme="minorAscii" w:hAnsiTheme="minorAscii" w:eastAsiaTheme="majorEastAsia" w:cstheme="majorEastAsia"/>
                <w:spacing w:val="0"/>
                <w:sz w:val="21"/>
                <w:szCs w:val="21"/>
                <w:lang w:val="en-US" w:eastAsia="zh-CN"/>
              </w:rPr>
            </w:pPr>
            <w:r>
              <w:rPr>
                <w:rFonts w:hint="eastAsia" w:asciiTheme="minorAscii" w:hAnsiTheme="minorAscii" w:eastAsiaTheme="majorEastAsia" w:cstheme="majorEastAsia"/>
                <w:spacing w:val="0"/>
                <w:sz w:val="21"/>
                <w:szCs w:val="21"/>
                <w:lang w:val="en-US" w:eastAsia="zh-CN"/>
              </w:rPr>
              <w:t>浮油、浮渣</w:t>
            </w:r>
          </w:p>
        </w:tc>
        <w:tc>
          <w:tcPr>
            <w:tcW w:w="1382" w:type="dxa"/>
            <w:noWrap w:val="0"/>
            <w:vAlign w:val="center"/>
          </w:tcPr>
          <w:p w14:paraId="5A5936C0">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10B8BBC3">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2C88EB02">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415" w:type="dxa"/>
            <w:noWrap w:val="0"/>
            <w:vAlign w:val="center"/>
          </w:tcPr>
          <w:p w14:paraId="78EA47C9">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30t/a</w:t>
            </w:r>
          </w:p>
        </w:tc>
        <w:tc>
          <w:tcPr>
            <w:tcW w:w="1306" w:type="dxa"/>
            <w:noWrap w:val="0"/>
            <w:vAlign w:val="center"/>
          </w:tcPr>
          <w:p w14:paraId="5B696DA3">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6EDB9B8D">
            <w:pPr>
              <w:keepNext w:val="0"/>
              <w:keepLines w:val="0"/>
              <w:pageBreakBefore w:val="0"/>
              <w:widowControl w:val="0"/>
              <w:kinsoku/>
              <w:wordWrap/>
              <w:overflowPunct/>
              <w:topLinePunct w:val="0"/>
              <w:autoSpaceDE/>
              <w:autoSpaceDN/>
              <w:bidi w:val="0"/>
              <w:ind w:left="0" w:leftChars="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eastAsia" w:asciiTheme="minorAscii" w:hAnsiTheme="minorAscii" w:eastAsiaTheme="majorEastAsia" w:cstheme="majorEastAsia"/>
                <w:snapToGrid w:val="0"/>
                <w:color w:val="000000"/>
                <w:spacing w:val="0"/>
                <w:kern w:val="21"/>
                <w:sz w:val="21"/>
                <w:szCs w:val="21"/>
                <w:lang w:val="en-US" w:eastAsia="zh-CN"/>
              </w:rPr>
              <w:t>30t/a</w:t>
            </w:r>
          </w:p>
        </w:tc>
        <w:tc>
          <w:tcPr>
            <w:tcW w:w="1245" w:type="dxa"/>
            <w:noWrap w:val="0"/>
            <w:vAlign w:val="center"/>
          </w:tcPr>
          <w:p w14:paraId="1946F4DA">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r>
      <w:tr w14:paraId="3E3FFF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05CC37C5">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p>
        </w:tc>
        <w:tc>
          <w:tcPr>
            <w:tcW w:w="2885" w:type="dxa"/>
            <w:noWrap w:val="0"/>
            <w:vAlign w:val="center"/>
          </w:tcPr>
          <w:p w14:paraId="31B3AF6B">
            <w:pPr>
              <w:keepNext w:val="0"/>
              <w:keepLines w:val="0"/>
              <w:pageBreakBefore w:val="0"/>
              <w:widowControl w:val="0"/>
              <w:kinsoku/>
              <w:wordWrap/>
              <w:overflowPunct/>
              <w:topLinePunct w:val="0"/>
              <w:autoSpaceDE/>
              <w:autoSpaceDN/>
              <w:bidi w:val="0"/>
              <w:ind w:left="0" w:firstLine="0" w:firstLineChars="0"/>
              <w:jc w:val="center"/>
              <w:textAlignment w:val="auto"/>
              <w:rPr>
                <w:rFonts w:hint="eastAsia" w:asciiTheme="minorAscii" w:hAnsiTheme="minorAscii" w:eastAsiaTheme="majorEastAsia" w:cstheme="majorEastAsia"/>
                <w:spacing w:val="0"/>
                <w:sz w:val="21"/>
                <w:szCs w:val="21"/>
                <w:lang w:val="en-US" w:eastAsia="zh-CN"/>
              </w:rPr>
            </w:pPr>
            <w:r>
              <w:rPr>
                <w:rFonts w:hint="eastAsia" w:asciiTheme="minorAscii" w:hAnsiTheme="minorAscii" w:eastAsiaTheme="majorEastAsia" w:cstheme="majorEastAsia"/>
                <w:spacing w:val="0"/>
                <w:sz w:val="21"/>
                <w:szCs w:val="21"/>
                <w:lang w:val="en-US" w:eastAsia="zh-CN"/>
              </w:rPr>
              <w:t>污泥</w:t>
            </w:r>
          </w:p>
        </w:tc>
        <w:tc>
          <w:tcPr>
            <w:tcW w:w="1382" w:type="dxa"/>
            <w:noWrap w:val="0"/>
            <w:vAlign w:val="center"/>
          </w:tcPr>
          <w:p w14:paraId="267D7E04">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5D274749">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03F6008B">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415" w:type="dxa"/>
            <w:noWrap w:val="0"/>
            <w:vAlign w:val="center"/>
          </w:tcPr>
          <w:p w14:paraId="636354CC">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310.25t/a</w:t>
            </w:r>
          </w:p>
        </w:tc>
        <w:tc>
          <w:tcPr>
            <w:tcW w:w="1306" w:type="dxa"/>
            <w:noWrap w:val="0"/>
            <w:vAlign w:val="center"/>
          </w:tcPr>
          <w:p w14:paraId="27296B84">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3D2240DA">
            <w:pPr>
              <w:keepNext w:val="0"/>
              <w:keepLines w:val="0"/>
              <w:pageBreakBefore w:val="0"/>
              <w:widowControl w:val="0"/>
              <w:kinsoku/>
              <w:wordWrap/>
              <w:overflowPunct/>
              <w:topLinePunct w:val="0"/>
              <w:autoSpaceDE/>
              <w:autoSpaceDN/>
              <w:bidi w:val="0"/>
              <w:ind w:left="0" w:leftChars="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eastAsia" w:asciiTheme="minorAscii" w:hAnsiTheme="minorAscii" w:eastAsiaTheme="majorEastAsia" w:cstheme="majorEastAsia"/>
                <w:snapToGrid w:val="0"/>
                <w:color w:val="000000"/>
                <w:spacing w:val="0"/>
                <w:kern w:val="21"/>
                <w:sz w:val="21"/>
                <w:szCs w:val="21"/>
                <w:lang w:val="en-US" w:eastAsia="zh-CN"/>
              </w:rPr>
              <w:t>310.25t/a</w:t>
            </w:r>
          </w:p>
        </w:tc>
        <w:tc>
          <w:tcPr>
            <w:tcW w:w="1245" w:type="dxa"/>
            <w:noWrap w:val="0"/>
            <w:vAlign w:val="center"/>
          </w:tcPr>
          <w:p w14:paraId="0E5A2813">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r>
      <w:tr w14:paraId="289EF7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71A4999A">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p>
        </w:tc>
        <w:tc>
          <w:tcPr>
            <w:tcW w:w="2885" w:type="dxa"/>
            <w:noWrap w:val="0"/>
            <w:vAlign w:val="center"/>
          </w:tcPr>
          <w:p w14:paraId="67ACC897">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pacing w:val="0"/>
                <w:sz w:val="21"/>
                <w:szCs w:val="21"/>
                <w:lang w:val="en-US" w:eastAsia="zh-CN"/>
              </w:rPr>
            </w:pPr>
            <w:r>
              <w:rPr>
                <w:rFonts w:hint="eastAsia" w:asciiTheme="minorAscii" w:hAnsiTheme="minorAscii" w:eastAsiaTheme="majorEastAsia" w:cstheme="majorEastAsia"/>
                <w:spacing w:val="0"/>
                <w:sz w:val="21"/>
                <w:szCs w:val="21"/>
                <w:lang w:val="en-US" w:eastAsia="zh-CN"/>
              </w:rPr>
              <w:t>废包装材料</w:t>
            </w:r>
          </w:p>
        </w:tc>
        <w:tc>
          <w:tcPr>
            <w:tcW w:w="1382" w:type="dxa"/>
            <w:noWrap w:val="0"/>
            <w:vAlign w:val="center"/>
          </w:tcPr>
          <w:p w14:paraId="5AF2F2F2">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4FF41D2F">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6328623D">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415" w:type="dxa"/>
            <w:noWrap w:val="0"/>
            <w:vAlign w:val="center"/>
          </w:tcPr>
          <w:p w14:paraId="7E2BB336">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bCs/>
                <w:spacing w:val="0"/>
                <w:sz w:val="21"/>
                <w:szCs w:val="21"/>
                <w:lang w:val="en-US" w:eastAsia="zh-CN"/>
              </w:rPr>
            </w:pPr>
            <w:r>
              <w:rPr>
                <w:rFonts w:hint="eastAsia" w:asciiTheme="minorAscii" w:hAnsiTheme="minorAscii" w:eastAsiaTheme="majorEastAsia" w:cstheme="majorEastAsia"/>
                <w:bCs/>
                <w:spacing w:val="0"/>
                <w:sz w:val="21"/>
                <w:szCs w:val="21"/>
                <w:lang w:val="en-US" w:eastAsia="zh-CN"/>
              </w:rPr>
              <w:t>0.37t/a</w:t>
            </w:r>
          </w:p>
        </w:tc>
        <w:tc>
          <w:tcPr>
            <w:tcW w:w="1306" w:type="dxa"/>
            <w:noWrap w:val="0"/>
            <w:vAlign w:val="center"/>
          </w:tcPr>
          <w:p w14:paraId="4F67DF4D">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496C9913">
            <w:pPr>
              <w:keepNext w:val="0"/>
              <w:keepLines w:val="0"/>
              <w:pageBreakBefore w:val="0"/>
              <w:widowControl w:val="0"/>
              <w:kinsoku/>
              <w:wordWrap/>
              <w:overflowPunct/>
              <w:topLinePunct w:val="0"/>
              <w:autoSpaceDE/>
              <w:autoSpaceDN/>
              <w:bidi w:val="0"/>
              <w:ind w:left="0" w:leftChars="0" w:firstLine="0" w:firstLineChars="0"/>
              <w:jc w:val="center"/>
              <w:textAlignment w:val="auto"/>
              <w:rPr>
                <w:rFonts w:hint="default" w:asciiTheme="minorAscii" w:hAnsiTheme="minorAscii" w:eastAsiaTheme="majorEastAsia" w:cstheme="majorEastAsia"/>
                <w:bCs/>
                <w:spacing w:val="0"/>
                <w:sz w:val="21"/>
                <w:szCs w:val="21"/>
              </w:rPr>
            </w:pPr>
            <w:r>
              <w:rPr>
                <w:rFonts w:hint="eastAsia" w:asciiTheme="minorAscii" w:hAnsiTheme="minorAscii" w:eastAsiaTheme="majorEastAsia" w:cstheme="majorEastAsia"/>
                <w:bCs/>
                <w:spacing w:val="0"/>
                <w:sz w:val="21"/>
                <w:szCs w:val="21"/>
                <w:lang w:val="en-US" w:eastAsia="zh-CN"/>
              </w:rPr>
              <w:t>0.37t/a</w:t>
            </w:r>
          </w:p>
        </w:tc>
        <w:tc>
          <w:tcPr>
            <w:tcW w:w="1245" w:type="dxa"/>
            <w:noWrap w:val="0"/>
            <w:vAlign w:val="center"/>
          </w:tcPr>
          <w:p w14:paraId="6BA4CC99">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bCs/>
                <w:spacing w:val="0"/>
                <w:sz w:val="21"/>
                <w:szCs w:val="21"/>
              </w:rPr>
            </w:pPr>
            <w:r>
              <w:rPr>
                <w:rFonts w:hint="default" w:asciiTheme="minorAscii" w:hAnsiTheme="minorAscii" w:eastAsiaTheme="majorEastAsia" w:cstheme="majorEastAsia"/>
                <w:snapToGrid w:val="0"/>
                <w:color w:val="000000"/>
                <w:spacing w:val="0"/>
                <w:kern w:val="21"/>
                <w:sz w:val="21"/>
                <w:szCs w:val="21"/>
                <w:lang w:val="en-US" w:eastAsia="zh-CN"/>
              </w:rPr>
              <w:t>/</w:t>
            </w:r>
          </w:p>
        </w:tc>
      </w:tr>
      <w:tr w14:paraId="790973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1E5902C4">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p>
        </w:tc>
        <w:tc>
          <w:tcPr>
            <w:tcW w:w="2885" w:type="dxa"/>
            <w:noWrap w:val="0"/>
            <w:vAlign w:val="center"/>
          </w:tcPr>
          <w:p w14:paraId="469067CE">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pacing w:val="0"/>
                <w:sz w:val="21"/>
                <w:szCs w:val="21"/>
                <w:lang w:val="en-US" w:eastAsia="zh-CN"/>
              </w:rPr>
            </w:pPr>
            <w:r>
              <w:rPr>
                <w:rFonts w:hint="eastAsia" w:asciiTheme="minorAscii" w:hAnsiTheme="minorAscii" w:eastAsiaTheme="majorEastAsia" w:cstheme="majorEastAsia"/>
                <w:spacing w:val="0"/>
                <w:sz w:val="21"/>
                <w:szCs w:val="21"/>
                <w:lang w:val="en-US" w:eastAsia="zh-CN"/>
              </w:rPr>
              <w:t>生活垃圾</w:t>
            </w:r>
          </w:p>
        </w:tc>
        <w:tc>
          <w:tcPr>
            <w:tcW w:w="1382" w:type="dxa"/>
            <w:noWrap w:val="0"/>
            <w:vAlign w:val="center"/>
          </w:tcPr>
          <w:p w14:paraId="0F2D8971">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32C9E270">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3D5F8BE3">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415" w:type="dxa"/>
            <w:noWrap w:val="0"/>
            <w:vAlign w:val="center"/>
          </w:tcPr>
          <w:p w14:paraId="4C1F94DE">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bCs/>
                <w:spacing w:val="0"/>
                <w:sz w:val="21"/>
                <w:szCs w:val="21"/>
                <w:lang w:val="en-US" w:eastAsia="zh-CN"/>
              </w:rPr>
            </w:pPr>
            <w:r>
              <w:rPr>
                <w:rFonts w:hint="eastAsia" w:asciiTheme="minorAscii" w:hAnsiTheme="minorAscii" w:eastAsiaTheme="majorEastAsia" w:cstheme="majorEastAsia"/>
                <w:bCs/>
                <w:spacing w:val="0"/>
                <w:sz w:val="21"/>
                <w:szCs w:val="21"/>
                <w:lang w:val="en-US" w:eastAsia="zh-CN"/>
              </w:rPr>
              <w:t>0.548t/a</w:t>
            </w:r>
          </w:p>
        </w:tc>
        <w:tc>
          <w:tcPr>
            <w:tcW w:w="1306" w:type="dxa"/>
            <w:noWrap w:val="0"/>
            <w:vAlign w:val="center"/>
          </w:tcPr>
          <w:p w14:paraId="136B7014">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441B887D">
            <w:pPr>
              <w:keepNext w:val="0"/>
              <w:keepLines w:val="0"/>
              <w:pageBreakBefore w:val="0"/>
              <w:widowControl w:val="0"/>
              <w:kinsoku/>
              <w:wordWrap/>
              <w:overflowPunct/>
              <w:topLinePunct w:val="0"/>
              <w:autoSpaceDE/>
              <w:autoSpaceDN/>
              <w:bidi w:val="0"/>
              <w:ind w:left="0" w:leftChars="0" w:firstLine="0" w:firstLineChars="0"/>
              <w:jc w:val="center"/>
              <w:textAlignment w:val="auto"/>
              <w:rPr>
                <w:rFonts w:hint="default" w:asciiTheme="minorAscii" w:hAnsiTheme="minorAscii" w:eastAsiaTheme="majorEastAsia" w:cstheme="majorEastAsia"/>
                <w:bCs/>
                <w:spacing w:val="0"/>
                <w:sz w:val="21"/>
                <w:szCs w:val="21"/>
              </w:rPr>
            </w:pPr>
            <w:r>
              <w:rPr>
                <w:rFonts w:hint="eastAsia" w:asciiTheme="minorAscii" w:hAnsiTheme="minorAscii" w:eastAsiaTheme="majorEastAsia" w:cstheme="majorEastAsia"/>
                <w:bCs/>
                <w:spacing w:val="0"/>
                <w:sz w:val="21"/>
                <w:szCs w:val="21"/>
                <w:lang w:val="en-US" w:eastAsia="zh-CN"/>
              </w:rPr>
              <w:t>0.548t/a</w:t>
            </w:r>
          </w:p>
        </w:tc>
        <w:tc>
          <w:tcPr>
            <w:tcW w:w="1245" w:type="dxa"/>
            <w:noWrap w:val="0"/>
            <w:vAlign w:val="center"/>
          </w:tcPr>
          <w:p w14:paraId="0822AD82">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r>
      <w:tr w14:paraId="32FFE9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restart"/>
            <w:noWrap w:val="0"/>
            <w:vAlign w:val="center"/>
          </w:tcPr>
          <w:p w14:paraId="09AD33D9">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危险废物</w:t>
            </w:r>
          </w:p>
        </w:tc>
        <w:tc>
          <w:tcPr>
            <w:tcW w:w="2885" w:type="dxa"/>
            <w:noWrap w:val="0"/>
            <w:vAlign w:val="center"/>
          </w:tcPr>
          <w:p w14:paraId="7A9A5C1B">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eastAsia="zh-CN"/>
              </w:rPr>
            </w:pPr>
            <w:r>
              <w:rPr>
                <w:rFonts w:hint="default" w:asciiTheme="minorAscii" w:hAnsiTheme="minorAscii" w:eastAsiaTheme="majorEastAsia" w:cstheme="majorEastAsia"/>
                <w:snapToGrid w:val="0"/>
                <w:color w:val="000000"/>
                <w:spacing w:val="0"/>
                <w:kern w:val="21"/>
                <w:sz w:val="21"/>
                <w:szCs w:val="21"/>
                <w:lang w:eastAsia="zh-CN"/>
              </w:rPr>
              <w:t>废活性炭</w:t>
            </w:r>
          </w:p>
        </w:tc>
        <w:tc>
          <w:tcPr>
            <w:tcW w:w="1382" w:type="dxa"/>
            <w:noWrap w:val="0"/>
            <w:vAlign w:val="center"/>
          </w:tcPr>
          <w:p w14:paraId="59B3E27E">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2EE3571E">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7D2057EC">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415" w:type="dxa"/>
            <w:noWrap w:val="0"/>
            <w:vAlign w:val="center"/>
          </w:tcPr>
          <w:p w14:paraId="63F62FE3">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6.12t/a</w:t>
            </w:r>
          </w:p>
        </w:tc>
        <w:tc>
          <w:tcPr>
            <w:tcW w:w="1306" w:type="dxa"/>
            <w:noWrap w:val="0"/>
            <w:vAlign w:val="center"/>
          </w:tcPr>
          <w:p w14:paraId="5B8A00D5">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113B2783">
            <w:pPr>
              <w:keepNext w:val="0"/>
              <w:keepLines w:val="0"/>
              <w:pageBreakBefore w:val="0"/>
              <w:widowControl w:val="0"/>
              <w:kinsoku/>
              <w:wordWrap/>
              <w:overflowPunct/>
              <w:topLinePunct w:val="0"/>
              <w:autoSpaceDE/>
              <w:autoSpaceDN/>
              <w:bidi w:val="0"/>
              <w:ind w:left="0" w:leftChars="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eastAsia" w:asciiTheme="minorAscii" w:hAnsiTheme="minorAscii" w:eastAsiaTheme="majorEastAsia" w:cstheme="majorEastAsia"/>
                <w:snapToGrid w:val="0"/>
                <w:color w:val="000000"/>
                <w:spacing w:val="0"/>
                <w:kern w:val="21"/>
                <w:sz w:val="21"/>
                <w:szCs w:val="21"/>
                <w:lang w:val="en-US" w:eastAsia="zh-CN"/>
              </w:rPr>
              <w:t>6.12t/a</w:t>
            </w:r>
          </w:p>
        </w:tc>
        <w:tc>
          <w:tcPr>
            <w:tcW w:w="1245" w:type="dxa"/>
            <w:noWrap w:val="0"/>
            <w:vAlign w:val="center"/>
          </w:tcPr>
          <w:p w14:paraId="27492A37">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napToGrid w:val="0"/>
                <w:color w:val="000000"/>
                <w:spacing w:val="0"/>
                <w:kern w:val="21"/>
                <w:sz w:val="21"/>
                <w:szCs w:val="21"/>
                <w:lang w:val="en-US" w:eastAsia="zh-CN"/>
              </w:rPr>
              <w:t>/</w:t>
            </w:r>
          </w:p>
        </w:tc>
      </w:tr>
      <w:tr w14:paraId="23E2E7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4E1D2AB9">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p>
        </w:tc>
        <w:tc>
          <w:tcPr>
            <w:tcW w:w="2885" w:type="dxa"/>
            <w:noWrap w:val="0"/>
            <w:vAlign w:val="center"/>
          </w:tcPr>
          <w:p w14:paraId="5DF436AA">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废包装桶</w:t>
            </w:r>
          </w:p>
        </w:tc>
        <w:tc>
          <w:tcPr>
            <w:tcW w:w="1382" w:type="dxa"/>
            <w:noWrap w:val="0"/>
            <w:vAlign w:val="center"/>
          </w:tcPr>
          <w:p w14:paraId="3C267704">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70B5E7E6">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0B5D2EFD">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415" w:type="dxa"/>
            <w:noWrap w:val="0"/>
            <w:vAlign w:val="center"/>
          </w:tcPr>
          <w:p w14:paraId="50F40194">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0.2t/a</w:t>
            </w:r>
          </w:p>
        </w:tc>
        <w:tc>
          <w:tcPr>
            <w:tcW w:w="1306" w:type="dxa"/>
            <w:noWrap w:val="0"/>
            <w:vAlign w:val="center"/>
          </w:tcPr>
          <w:p w14:paraId="25423278">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69B8576A">
            <w:pPr>
              <w:keepNext w:val="0"/>
              <w:keepLines w:val="0"/>
              <w:pageBreakBefore w:val="0"/>
              <w:widowControl w:val="0"/>
              <w:kinsoku/>
              <w:wordWrap/>
              <w:overflowPunct/>
              <w:topLinePunct w:val="0"/>
              <w:autoSpaceDE/>
              <w:autoSpaceDN/>
              <w:bidi w:val="0"/>
              <w:ind w:left="0" w:leftChars="0" w:firstLine="0" w:firstLineChars="0"/>
              <w:jc w:val="center"/>
              <w:textAlignment w:val="auto"/>
              <w:rPr>
                <w:rFonts w:hint="eastAsia"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0.2t/a</w:t>
            </w:r>
          </w:p>
        </w:tc>
        <w:tc>
          <w:tcPr>
            <w:tcW w:w="1245" w:type="dxa"/>
            <w:noWrap w:val="0"/>
            <w:vAlign w:val="center"/>
          </w:tcPr>
          <w:p w14:paraId="7A569337">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w:t>
            </w:r>
          </w:p>
        </w:tc>
      </w:tr>
      <w:tr w14:paraId="262D57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43173C16">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p>
        </w:tc>
        <w:tc>
          <w:tcPr>
            <w:tcW w:w="2885" w:type="dxa"/>
            <w:noWrap w:val="0"/>
            <w:vAlign w:val="center"/>
          </w:tcPr>
          <w:p w14:paraId="61D31B77">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废润滑油、废油桶</w:t>
            </w:r>
          </w:p>
        </w:tc>
        <w:tc>
          <w:tcPr>
            <w:tcW w:w="1382" w:type="dxa"/>
            <w:noWrap w:val="0"/>
            <w:vAlign w:val="center"/>
          </w:tcPr>
          <w:p w14:paraId="503D0D7B">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078" w:type="dxa"/>
            <w:noWrap w:val="0"/>
            <w:vAlign w:val="center"/>
          </w:tcPr>
          <w:p w14:paraId="1F1E8A79">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349" w:type="dxa"/>
            <w:noWrap w:val="0"/>
            <w:vAlign w:val="center"/>
          </w:tcPr>
          <w:p w14:paraId="22FB936A">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415" w:type="dxa"/>
            <w:noWrap w:val="0"/>
            <w:vAlign w:val="center"/>
          </w:tcPr>
          <w:p w14:paraId="0C6004CC">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eastAsia" w:asciiTheme="minorAscii" w:hAnsiTheme="minorAscii" w:eastAsiaTheme="majorEastAsia" w:cstheme="majorEastAsia"/>
                <w:snapToGrid w:val="0"/>
                <w:color w:val="000000"/>
                <w:spacing w:val="0"/>
                <w:kern w:val="21"/>
                <w:sz w:val="21"/>
                <w:szCs w:val="21"/>
                <w:lang w:val="en-US" w:eastAsia="zh-CN"/>
              </w:rPr>
              <w:t>0.11t/a</w:t>
            </w:r>
          </w:p>
        </w:tc>
        <w:tc>
          <w:tcPr>
            <w:tcW w:w="1306" w:type="dxa"/>
            <w:noWrap w:val="0"/>
            <w:vAlign w:val="center"/>
          </w:tcPr>
          <w:p w14:paraId="7B5E82E4">
            <w:pPr>
              <w:pStyle w:val="42"/>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Theme="minorAscii" w:hAnsiTheme="minorAscii" w:eastAsiaTheme="majorEastAsia" w:cstheme="majorEastAsia"/>
                <w:snapToGrid w:val="0"/>
                <w:color w:val="000000"/>
                <w:spacing w:val="0"/>
                <w:kern w:val="21"/>
                <w:sz w:val="21"/>
                <w:szCs w:val="21"/>
                <w:lang w:val="en-US" w:eastAsia="zh-CN"/>
              </w:rPr>
            </w:pPr>
            <w:r>
              <w:rPr>
                <w:rFonts w:hint="default" w:asciiTheme="minorAscii" w:hAnsiTheme="minorAscii" w:eastAsiaTheme="majorEastAsia" w:cstheme="majorEastAsia"/>
                <w:snapToGrid w:val="0"/>
                <w:color w:val="000000"/>
                <w:spacing w:val="0"/>
                <w:kern w:val="21"/>
                <w:sz w:val="21"/>
                <w:szCs w:val="21"/>
                <w:lang w:val="en-US" w:eastAsia="zh-CN"/>
              </w:rPr>
              <w:t>/</w:t>
            </w:r>
          </w:p>
        </w:tc>
        <w:tc>
          <w:tcPr>
            <w:tcW w:w="1540" w:type="dxa"/>
            <w:noWrap w:val="0"/>
            <w:vAlign w:val="center"/>
          </w:tcPr>
          <w:p w14:paraId="5AFBEFCF">
            <w:pPr>
              <w:keepNext w:val="0"/>
              <w:keepLines w:val="0"/>
              <w:pageBreakBefore w:val="0"/>
              <w:widowControl w:val="0"/>
              <w:kinsoku/>
              <w:wordWrap/>
              <w:overflowPunct/>
              <w:topLinePunct w:val="0"/>
              <w:autoSpaceDE/>
              <w:autoSpaceDN/>
              <w:bidi w:val="0"/>
              <w:ind w:left="0" w:leftChars="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eastAsia" w:asciiTheme="minorAscii" w:hAnsiTheme="minorAscii" w:eastAsiaTheme="majorEastAsia" w:cstheme="majorEastAsia"/>
                <w:snapToGrid w:val="0"/>
                <w:color w:val="000000"/>
                <w:spacing w:val="0"/>
                <w:kern w:val="21"/>
                <w:sz w:val="21"/>
                <w:szCs w:val="21"/>
                <w:lang w:val="en-US" w:eastAsia="zh-CN"/>
              </w:rPr>
              <w:t>0.11t/a</w:t>
            </w:r>
          </w:p>
        </w:tc>
        <w:tc>
          <w:tcPr>
            <w:tcW w:w="1245" w:type="dxa"/>
            <w:noWrap w:val="0"/>
            <w:vAlign w:val="center"/>
          </w:tcPr>
          <w:p w14:paraId="0EE0E495">
            <w:pPr>
              <w:keepNext w:val="0"/>
              <w:keepLines w:val="0"/>
              <w:pageBreakBefore w:val="0"/>
              <w:widowControl w:val="0"/>
              <w:kinsoku/>
              <w:wordWrap/>
              <w:overflowPunct/>
              <w:topLinePunct w:val="0"/>
              <w:autoSpaceDE/>
              <w:autoSpaceDN/>
              <w:bidi w:val="0"/>
              <w:ind w:left="0" w:firstLine="0" w:firstLineChars="0"/>
              <w:jc w:val="center"/>
              <w:textAlignment w:val="auto"/>
              <w:rPr>
                <w:rFonts w:hint="default" w:asciiTheme="minorAscii" w:hAnsiTheme="minorAscii" w:eastAsiaTheme="majorEastAsia" w:cstheme="majorEastAsia"/>
                <w:snapToGrid w:val="0"/>
                <w:color w:val="000000"/>
                <w:spacing w:val="0"/>
                <w:kern w:val="21"/>
                <w:sz w:val="21"/>
                <w:szCs w:val="21"/>
              </w:rPr>
            </w:pPr>
            <w:r>
              <w:rPr>
                <w:rFonts w:hint="default" w:asciiTheme="minorAscii" w:hAnsiTheme="minorAscii" w:eastAsiaTheme="majorEastAsia" w:cstheme="majorEastAsia"/>
                <w:snapToGrid w:val="0"/>
                <w:color w:val="000000"/>
                <w:spacing w:val="0"/>
                <w:kern w:val="21"/>
                <w:sz w:val="21"/>
                <w:szCs w:val="21"/>
                <w:lang w:val="en-US" w:eastAsia="zh-CN"/>
              </w:rPr>
              <w:t>/</w:t>
            </w:r>
          </w:p>
        </w:tc>
      </w:tr>
    </w:tbl>
    <w:p w14:paraId="3AAC52BA">
      <w:pPr>
        <w:pStyle w:val="42"/>
        <w:spacing w:before="192" w:beforeLines="80" w:after="24"/>
        <w:jc w:val="left"/>
        <w:rPr>
          <w:rFonts w:hAnsi="宋体"/>
          <w:snapToGrid w:val="0"/>
          <w:color w:val="000000"/>
          <w:spacing w:val="-6"/>
          <w:kern w:val="21"/>
          <w:sz w:val="21"/>
          <w:szCs w:val="21"/>
        </w:rPr>
      </w:pPr>
      <w:r>
        <w:rPr>
          <w:rFonts w:hAnsi="宋体"/>
          <w:snapToGrid w:val="0"/>
          <w:color w:val="000000"/>
          <w:kern w:val="21"/>
          <w:sz w:val="21"/>
          <w:szCs w:val="21"/>
        </w:rPr>
        <w:t>注：</w:t>
      </w:r>
      <w:r>
        <w:rPr>
          <w:rFonts w:hAnsi="宋体"/>
          <w:snapToGrid w:val="0"/>
          <w:color w:val="000000"/>
          <w:spacing w:val="-16"/>
          <w:kern w:val="21"/>
          <w:sz w:val="21"/>
          <w:szCs w:val="21"/>
        </w:rPr>
        <w:fldChar w:fldCharType="begin"/>
      </w:r>
      <w:r>
        <w:rPr>
          <w:rFonts w:hAnsi="宋体"/>
          <w:snapToGrid w:val="0"/>
          <w:color w:val="000000"/>
          <w:spacing w:val="-16"/>
          <w:kern w:val="21"/>
          <w:sz w:val="21"/>
          <w:szCs w:val="21"/>
        </w:rPr>
        <w:instrText xml:space="preserve"> = 6 \* GB3 \* MERGEFORMAT </w:instrText>
      </w:r>
      <w:r>
        <w:rPr>
          <w:rFonts w:hAnsi="宋体"/>
          <w:snapToGrid w:val="0"/>
          <w:color w:val="000000"/>
          <w:spacing w:val="-16"/>
          <w:kern w:val="21"/>
          <w:sz w:val="21"/>
          <w:szCs w:val="21"/>
        </w:rPr>
        <w:fldChar w:fldCharType="separate"/>
      </w:r>
      <w:r>
        <w:rPr>
          <w:rFonts w:hint="eastAsia" w:hAnsi="宋体"/>
          <w:sz w:val="21"/>
          <w:szCs w:val="21"/>
        </w:rPr>
        <w:t>⑥</w:t>
      </w:r>
      <w:r>
        <w:rPr>
          <w:rFonts w:hAnsi="宋体"/>
          <w:snapToGrid w:val="0"/>
          <w:color w:val="000000"/>
          <w:spacing w:val="-16"/>
          <w:kern w:val="21"/>
          <w:sz w:val="21"/>
          <w:szCs w:val="21"/>
        </w:rPr>
        <w:fldChar w:fldCharType="end"/>
      </w:r>
      <w:r>
        <w:rPr>
          <w:rFonts w:hAnsi="宋体"/>
          <w:snapToGrid w:val="0"/>
          <w:color w:val="000000"/>
          <w:spacing w:val="-16"/>
          <w:kern w:val="21"/>
          <w:sz w:val="21"/>
          <w:szCs w:val="21"/>
        </w:rPr>
        <w:t>=</w:t>
      </w:r>
      <w:r>
        <w:rPr>
          <w:rFonts w:hAnsi="宋体"/>
          <w:snapToGrid w:val="0"/>
          <w:color w:val="000000"/>
          <w:spacing w:val="-6"/>
          <w:kern w:val="21"/>
          <w:sz w:val="21"/>
          <w:szCs w:val="21"/>
        </w:rPr>
        <w:fldChar w:fldCharType="begin"/>
      </w:r>
      <w:r>
        <w:rPr>
          <w:rFonts w:hAnsi="宋体"/>
          <w:snapToGrid w:val="0"/>
          <w:color w:val="000000"/>
          <w:spacing w:val="-6"/>
          <w:kern w:val="21"/>
          <w:sz w:val="21"/>
          <w:szCs w:val="21"/>
        </w:rPr>
        <w:instrText xml:space="preserve"> = 1 \* GB3 \* MERGEFORMAT </w:instrText>
      </w:r>
      <w:r>
        <w:rPr>
          <w:rFonts w:hAnsi="宋体"/>
          <w:snapToGrid w:val="0"/>
          <w:color w:val="000000"/>
          <w:spacing w:val="-6"/>
          <w:kern w:val="21"/>
          <w:sz w:val="21"/>
          <w:szCs w:val="21"/>
        </w:rPr>
        <w:fldChar w:fldCharType="separate"/>
      </w:r>
      <w:r>
        <w:rPr>
          <w:rFonts w:hint="eastAsia" w:hAnsi="宋体"/>
          <w:sz w:val="21"/>
          <w:szCs w:val="21"/>
        </w:rPr>
        <w:t>①</w:t>
      </w:r>
      <w:r>
        <w:rPr>
          <w:rFonts w:hAnsi="宋体"/>
          <w:snapToGrid w:val="0"/>
          <w:color w:val="000000"/>
          <w:spacing w:val="-6"/>
          <w:kern w:val="21"/>
          <w:sz w:val="21"/>
          <w:szCs w:val="21"/>
        </w:rPr>
        <w:fldChar w:fldCharType="end"/>
      </w:r>
      <w:r>
        <w:rPr>
          <w:rFonts w:hAnsi="宋体"/>
          <w:snapToGrid w:val="0"/>
          <w:color w:val="000000"/>
          <w:spacing w:val="-6"/>
          <w:kern w:val="21"/>
          <w:sz w:val="21"/>
          <w:szCs w:val="21"/>
        </w:rPr>
        <w:t>+</w:t>
      </w:r>
      <w:r>
        <w:rPr>
          <w:rFonts w:hAnsi="宋体"/>
          <w:snapToGrid w:val="0"/>
          <w:color w:val="000000"/>
          <w:spacing w:val="-6"/>
          <w:kern w:val="21"/>
          <w:sz w:val="21"/>
          <w:szCs w:val="21"/>
        </w:rPr>
        <w:fldChar w:fldCharType="begin"/>
      </w:r>
      <w:r>
        <w:rPr>
          <w:rFonts w:hAnsi="宋体"/>
          <w:snapToGrid w:val="0"/>
          <w:color w:val="000000"/>
          <w:spacing w:val="-6"/>
          <w:kern w:val="21"/>
          <w:sz w:val="21"/>
          <w:szCs w:val="21"/>
        </w:rPr>
        <w:instrText xml:space="preserve"> = 3 \* GB3 \* MERGEFORMAT </w:instrText>
      </w:r>
      <w:r>
        <w:rPr>
          <w:rFonts w:hAnsi="宋体"/>
          <w:snapToGrid w:val="0"/>
          <w:color w:val="000000"/>
          <w:spacing w:val="-6"/>
          <w:kern w:val="21"/>
          <w:sz w:val="21"/>
          <w:szCs w:val="21"/>
        </w:rPr>
        <w:fldChar w:fldCharType="separate"/>
      </w:r>
      <w:r>
        <w:rPr>
          <w:rFonts w:hint="eastAsia" w:hAnsi="宋体"/>
          <w:sz w:val="21"/>
          <w:szCs w:val="21"/>
        </w:rPr>
        <w:t>③</w:t>
      </w:r>
      <w:r>
        <w:rPr>
          <w:rFonts w:hAnsi="宋体"/>
          <w:snapToGrid w:val="0"/>
          <w:color w:val="000000"/>
          <w:spacing w:val="-6"/>
          <w:kern w:val="21"/>
          <w:sz w:val="21"/>
          <w:szCs w:val="21"/>
        </w:rPr>
        <w:fldChar w:fldCharType="end"/>
      </w:r>
      <w:r>
        <w:rPr>
          <w:rFonts w:hAnsi="宋体"/>
          <w:snapToGrid w:val="0"/>
          <w:color w:val="000000"/>
          <w:spacing w:val="-6"/>
          <w:kern w:val="21"/>
          <w:sz w:val="21"/>
          <w:szCs w:val="21"/>
        </w:rPr>
        <w:t>+</w:t>
      </w:r>
      <w:r>
        <w:rPr>
          <w:rFonts w:hAnsi="宋体"/>
          <w:snapToGrid w:val="0"/>
          <w:color w:val="000000"/>
          <w:spacing w:val="-6"/>
          <w:kern w:val="21"/>
          <w:sz w:val="21"/>
          <w:szCs w:val="21"/>
        </w:rPr>
        <w:fldChar w:fldCharType="begin"/>
      </w:r>
      <w:r>
        <w:rPr>
          <w:rFonts w:hAnsi="宋体"/>
          <w:snapToGrid w:val="0"/>
          <w:color w:val="000000"/>
          <w:spacing w:val="-6"/>
          <w:kern w:val="21"/>
          <w:sz w:val="21"/>
          <w:szCs w:val="21"/>
        </w:rPr>
        <w:instrText xml:space="preserve"> = 4 \* GB3 \* MERGEFORMAT </w:instrText>
      </w:r>
      <w:r>
        <w:rPr>
          <w:rFonts w:hAnsi="宋体"/>
          <w:snapToGrid w:val="0"/>
          <w:color w:val="000000"/>
          <w:spacing w:val="-6"/>
          <w:kern w:val="21"/>
          <w:sz w:val="21"/>
          <w:szCs w:val="21"/>
        </w:rPr>
        <w:fldChar w:fldCharType="separate"/>
      </w:r>
      <w:r>
        <w:rPr>
          <w:rFonts w:hint="eastAsia" w:hAnsi="宋体"/>
          <w:sz w:val="21"/>
          <w:szCs w:val="21"/>
        </w:rPr>
        <w:t>④</w:t>
      </w:r>
      <w:r>
        <w:rPr>
          <w:rFonts w:hAnsi="宋体"/>
          <w:snapToGrid w:val="0"/>
          <w:color w:val="000000"/>
          <w:spacing w:val="-6"/>
          <w:kern w:val="21"/>
          <w:sz w:val="21"/>
          <w:szCs w:val="21"/>
        </w:rPr>
        <w:fldChar w:fldCharType="end"/>
      </w:r>
      <w:r>
        <w:rPr>
          <w:rFonts w:hAnsi="宋体"/>
          <w:snapToGrid w:val="0"/>
          <w:color w:val="000000"/>
          <w:spacing w:val="-6"/>
          <w:kern w:val="21"/>
          <w:sz w:val="21"/>
          <w:szCs w:val="21"/>
        </w:rPr>
        <w:t>-</w:t>
      </w:r>
      <w:r>
        <w:rPr>
          <w:rFonts w:hAnsi="宋体"/>
          <w:snapToGrid w:val="0"/>
          <w:color w:val="000000"/>
          <w:spacing w:val="-16"/>
          <w:kern w:val="21"/>
          <w:sz w:val="21"/>
          <w:szCs w:val="21"/>
        </w:rPr>
        <w:fldChar w:fldCharType="begin"/>
      </w:r>
      <w:r>
        <w:rPr>
          <w:rFonts w:hAnsi="宋体"/>
          <w:snapToGrid w:val="0"/>
          <w:color w:val="000000"/>
          <w:spacing w:val="-16"/>
          <w:kern w:val="21"/>
          <w:sz w:val="21"/>
          <w:szCs w:val="21"/>
        </w:rPr>
        <w:instrText xml:space="preserve"> = 5 \* GB3 \* MERGEFORMAT </w:instrText>
      </w:r>
      <w:r>
        <w:rPr>
          <w:rFonts w:hAnsi="宋体"/>
          <w:snapToGrid w:val="0"/>
          <w:color w:val="000000"/>
          <w:spacing w:val="-16"/>
          <w:kern w:val="21"/>
          <w:sz w:val="21"/>
          <w:szCs w:val="21"/>
        </w:rPr>
        <w:fldChar w:fldCharType="separate"/>
      </w:r>
      <w:r>
        <w:rPr>
          <w:rFonts w:hint="eastAsia" w:hAnsi="宋体"/>
          <w:sz w:val="21"/>
          <w:szCs w:val="21"/>
        </w:rPr>
        <w:t>⑤</w:t>
      </w:r>
      <w:r>
        <w:rPr>
          <w:rFonts w:hAnsi="宋体"/>
          <w:snapToGrid w:val="0"/>
          <w:color w:val="000000"/>
          <w:spacing w:val="-16"/>
          <w:kern w:val="21"/>
          <w:sz w:val="21"/>
          <w:szCs w:val="21"/>
        </w:rPr>
        <w:fldChar w:fldCharType="end"/>
      </w:r>
      <w:r>
        <w:rPr>
          <w:rFonts w:hAnsi="宋体"/>
          <w:snapToGrid w:val="0"/>
          <w:color w:val="000000"/>
          <w:spacing w:val="-16"/>
          <w:kern w:val="21"/>
          <w:sz w:val="21"/>
          <w:szCs w:val="21"/>
        </w:rPr>
        <w:t>；</w:t>
      </w:r>
      <w:r>
        <w:rPr>
          <w:rFonts w:hAnsi="宋体"/>
          <w:snapToGrid w:val="0"/>
          <w:color w:val="000000"/>
          <w:spacing w:val="-6"/>
          <w:kern w:val="21"/>
          <w:sz w:val="21"/>
          <w:szCs w:val="21"/>
        </w:rPr>
        <w:fldChar w:fldCharType="begin"/>
      </w:r>
      <w:r>
        <w:rPr>
          <w:rFonts w:hAnsi="宋体"/>
          <w:snapToGrid w:val="0"/>
          <w:color w:val="000000"/>
          <w:spacing w:val="-6"/>
          <w:kern w:val="21"/>
          <w:sz w:val="21"/>
          <w:szCs w:val="21"/>
        </w:rPr>
        <w:instrText xml:space="preserve"> = 7 \* GB3 \* MERGEFORMAT </w:instrText>
      </w:r>
      <w:r>
        <w:rPr>
          <w:rFonts w:hAnsi="宋体"/>
          <w:snapToGrid w:val="0"/>
          <w:color w:val="000000"/>
          <w:spacing w:val="-6"/>
          <w:kern w:val="21"/>
          <w:sz w:val="21"/>
          <w:szCs w:val="21"/>
        </w:rPr>
        <w:fldChar w:fldCharType="separate"/>
      </w:r>
      <w:r>
        <w:rPr>
          <w:rFonts w:hint="eastAsia" w:hAnsi="宋体"/>
          <w:sz w:val="21"/>
          <w:szCs w:val="21"/>
        </w:rPr>
        <w:t>⑦</w:t>
      </w:r>
      <w:r>
        <w:rPr>
          <w:rFonts w:hAnsi="宋体"/>
          <w:snapToGrid w:val="0"/>
          <w:color w:val="000000"/>
          <w:spacing w:val="-6"/>
          <w:kern w:val="21"/>
          <w:sz w:val="21"/>
          <w:szCs w:val="21"/>
        </w:rPr>
        <w:fldChar w:fldCharType="end"/>
      </w:r>
      <w:r>
        <w:rPr>
          <w:rFonts w:hAnsi="宋体"/>
          <w:snapToGrid w:val="0"/>
          <w:color w:val="000000"/>
          <w:spacing w:val="-6"/>
          <w:kern w:val="21"/>
          <w:sz w:val="21"/>
          <w:szCs w:val="21"/>
        </w:rPr>
        <w:t>=</w:t>
      </w:r>
      <w:r>
        <w:rPr>
          <w:rFonts w:hAnsi="宋体"/>
          <w:snapToGrid w:val="0"/>
          <w:color w:val="000000"/>
          <w:spacing w:val="-16"/>
          <w:kern w:val="21"/>
          <w:sz w:val="21"/>
          <w:szCs w:val="21"/>
        </w:rPr>
        <w:fldChar w:fldCharType="begin"/>
      </w:r>
      <w:r>
        <w:rPr>
          <w:rFonts w:hAnsi="宋体"/>
          <w:snapToGrid w:val="0"/>
          <w:color w:val="000000"/>
          <w:spacing w:val="-16"/>
          <w:kern w:val="21"/>
          <w:sz w:val="21"/>
          <w:szCs w:val="21"/>
        </w:rPr>
        <w:instrText xml:space="preserve"> = 6 \* GB3 \* MERGEFORMAT </w:instrText>
      </w:r>
      <w:r>
        <w:rPr>
          <w:rFonts w:hAnsi="宋体"/>
          <w:snapToGrid w:val="0"/>
          <w:color w:val="000000"/>
          <w:spacing w:val="-16"/>
          <w:kern w:val="21"/>
          <w:sz w:val="21"/>
          <w:szCs w:val="21"/>
        </w:rPr>
        <w:fldChar w:fldCharType="separate"/>
      </w:r>
      <w:r>
        <w:rPr>
          <w:rFonts w:hint="eastAsia" w:hAnsi="宋体"/>
          <w:sz w:val="21"/>
          <w:szCs w:val="21"/>
        </w:rPr>
        <w:t>⑥</w:t>
      </w:r>
      <w:r>
        <w:rPr>
          <w:rFonts w:hAnsi="宋体"/>
          <w:snapToGrid w:val="0"/>
          <w:color w:val="000000"/>
          <w:spacing w:val="-16"/>
          <w:kern w:val="21"/>
          <w:sz w:val="21"/>
          <w:szCs w:val="21"/>
        </w:rPr>
        <w:fldChar w:fldCharType="end"/>
      </w:r>
      <w:r>
        <w:rPr>
          <w:rFonts w:hAnsi="宋体"/>
          <w:snapToGrid w:val="0"/>
          <w:color w:val="000000"/>
          <w:spacing w:val="-16"/>
          <w:kern w:val="21"/>
          <w:sz w:val="21"/>
          <w:szCs w:val="21"/>
        </w:rPr>
        <w:t>-</w:t>
      </w:r>
      <w:r>
        <w:rPr>
          <w:rFonts w:hAnsi="宋体"/>
          <w:snapToGrid w:val="0"/>
          <w:color w:val="000000"/>
          <w:spacing w:val="-6"/>
          <w:kern w:val="21"/>
          <w:sz w:val="21"/>
          <w:szCs w:val="21"/>
        </w:rPr>
        <w:fldChar w:fldCharType="begin"/>
      </w:r>
      <w:r>
        <w:rPr>
          <w:rFonts w:hAnsi="宋体"/>
          <w:snapToGrid w:val="0"/>
          <w:color w:val="000000"/>
          <w:spacing w:val="-6"/>
          <w:kern w:val="21"/>
          <w:sz w:val="21"/>
          <w:szCs w:val="21"/>
        </w:rPr>
        <w:instrText xml:space="preserve"> = 1 \* GB3 \* MERGEFORMAT </w:instrText>
      </w:r>
      <w:r>
        <w:rPr>
          <w:rFonts w:hAnsi="宋体"/>
          <w:snapToGrid w:val="0"/>
          <w:color w:val="000000"/>
          <w:spacing w:val="-6"/>
          <w:kern w:val="21"/>
          <w:sz w:val="21"/>
          <w:szCs w:val="21"/>
        </w:rPr>
        <w:fldChar w:fldCharType="separate"/>
      </w:r>
      <w:r>
        <w:rPr>
          <w:rFonts w:hint="eastAsia" w:hAnsi="宋体"/>
          <w:sz w:val="21"/>
          <w:szCs w:val="21"/>
        </w:rPr>
        <w:t>①</w:t>
      </w:r>
      <w:r>
        <w:rPr>
          <w:rFonts w:hAnsi="宋体"/>
          <w:snapToGrid w:val="0"/>
          <w:color w:val="000000"/>
          <w:spacing w:val="-6"/>
          <w:kern w:val="21"/>
          <w:sz w:val="21"/>
          <w:szCs w:val="21"/>
        </w:rPr>
        <w:fldChar w:fldCharType="end"/>
      </w:r>
    </w:p>
    <w:p w14:paraId="45A6A5DF">
      <w:pPr>
        <w:rPr>
          <w:rFonts w:ascii="宋体" w:hAnsi="宋体" w:eastAsia="黑体"/>
        </w:rPr>
      </w:pPr>
    </w:p>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3A4BB">
    <w:pPr>
      <w:pStyle w:val="14"/>
      <w:ind w:right="360"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42295C">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p>
                      </w:txbxContent>
                    </wps:txbx>
                    <wps:bodyPr wrap="none" lIns="0" tIns="0" rIns="0" bIns="0" upright="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HhgpdnLAQAAnAMAAA4AAAAAAAAAAQAgAAAAHgEAAGRycy9lMm9E&#10;b2MueG1sUEsFBgAAAAAGAAYAWQEAAFsFAAAAAA==&#10;">
              <v:fill on="f" focussize="0,0"/>
              <v:stroke on="f"/>
              <v:imagedata o:title=""/>
              <o:lock v:ext="edit" aspectratio="f"/>
              <v:textbox inset="0mm,0mm,0mm,0mm" style="mso-fit-shape-to-text:t;">
                <w:txbxContent>
                  <w:p w14:paraId="0C42295C">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3FBDC">
    <w:pPr>
      <w:pStyle w:val="14"/>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E25767">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wps:txbx>
                    <wps:bodyPr wrap="none" lIns="0" tIns="0" rIns="0" bIns="0" upright="0">
                      <a:spAutoFit/>
                    </wps:bodyPr>
                  </wps:wsp>
                </a:graphicData>
              </a:graphic>
            </wp:anchor>
          </w:drawing>
        </mc:Choice>
        <mc:Fallback>
          <w:pict>
            <v:shape id="文本框 205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GPr2coBAACcAwAADgAAAGRycy9lMm9Eb2MueG1srVPNjtMwEL4j8Q6W&#10;79RpJ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bEcYsDv3z/dvnx6/LzK1lV&#10;L5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aGPr2coBAACcAwAADgAAAAAAAAABACAAAAAeAQAAZHJzL2Uyb0Rv&#10;Yy54bWxQSwUGAAAAAAYABgBZAQAAWgUAAAAA&#10;">
              <v:fill on="f" focussize="0,0"/>
              <v:stroke on="f"/>
              <v:imagedata o:title=""/>
              <o:lock v:ext="edit" aspectratio="f"/>
              <v:textbox inset="0mm,0mm,0mm,0mm" style="mso-fit-shape-to-text:t;">
                <w:txbxContent>
                  <w:p w14:paraId="32E25767">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9801C1"/>
    <w:multiLevelType w:val="singleLevel"/>
    <w:tmpl w:val="6F9801C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xMDZiYWExMzI4MTZkM2NkMjRhM2Y4M2Q5NjVlM2EifQ=="/>
  </w:docVars>
  <w:rsids>
    <w:rsidRoot w:val="00A14947"/>
    <w:rsid w:val="000049A3"/>
    <w:rsid w:val="000060B3"/>
    <w:rsid w:val="0004364B"/>
    <w:rsid w:val="00061B1F"/>
    <w:rsid w:val="000733C4"/>
    <w:rsid w:val="00074783"/>
    <w:rsid w:val="00077308"/>
    <w:rsid w:val="0008070B"/>
    <w:rsid w:val="000810AC"/>
    <w:rsid w:val="00081A02"/>
    <w:rsid w:val="00082231"/>
    <w:rsid w:val="00092D38"/>
    <w:rsid w:val="0009377B"/>
    <w:rsid w:val="00096A8E"/>
    <w:rsid w:val="000A20C9"/>
    <w:rsid w:val="000A2143"/>
    <w:rsid w:val="000B058F"/>
    <w:rsid w:val="000B4467"/>
    <w:rsid w:val="000B4DB9"/>
    <w:rsid w:val="000C09AC"/>
    <w:rsid w:val="000C767F"/>
    <w:rsid w:val="000D5A44"/>
    <w:rsid w:val="000E3ED2"/>
    <w:rsid w:val="001023D9"/>
    <w:rsid w:val="001220B1"/>
    <w:rsid w:val="0012732C"/>
    <w:rsid w:val="00131F42"/>
    <w:rsid w:val="001357F1"/>
    <w:rsid w:val="00140FA8"/>
    <w:rsid w:val="00142FEB"/>
    <w:rsid w:val="00143A2D"/>
    <w:rsid w:val="00145A41"/>
    <w:rsid w:val="00151675"/>
    <w:rsid w:val="00157435"/>
    <w:rsid w:val="0017504D"/>
    <w:rsid w:val="00176384"/>
    <w:rsid w:val="0017671A"/>
    <w:rsid w:val="00177422"/>
    <w:rsid w:val="00184590"/>
    <w:rsid w:val="001870D1"/>
    <w:rsid w:val="0018781E"/>
    <w:rsid w:val="0019262D"/>
    <w:rsid w:val="001A1B35"/>
    <w:rsid w:val="001A48A2"/>
    <w:rsid w:val="001A6F61"/>
    <w:rsid w:val="001B2CDE"/>
    <w:rsid w:val="001B72B8"/>
    <w:rsid w:val="001C69B3"/>
    <w:rsid w:val="001C710E"/>
    <w:rsid w:val="001D5595"/>
    <w:rsid w:val="001D7874"/>
    <w:rsid w:val="001D7F22"/>
    <w:rsid w:val="001E6F73"/>
    <w:rsid w:val="001F0F17"/>
    <w:rsid w:val="001F3347"/>
    <w:rsid w:val="001F69E4"/>
    <w:rsid w:val="002125B4"/>
    <w:rsid w:val="002155B8"/>
    <w:rsid w:val="00224839"/>
    <w:rsid w:val="002249B2"/>
    <w:rsid w:val="00226574"/>
    <w:rsid w:val="002278EC"/>
    <w:rsid w:val="0023280E"/>
    <w:rsid w:val="0023346C"/>
    <w:rsid w:val="00236024"/>
    <w:rsid w:val="002377D1"/>
    <w:rsid w:val="00246CE7"/>
    <w:rsid w:val="002506BC"/>
    <w:rsid w:val="00253FE4"/>
    <w:rsid w:val="00254345"/>
    <w:rsid w:val="00264557"/>
    <w:rsid w:val="002805AB"/>
    <w:rsid w:val="00284204"/>
    <w:rsid w:val="00291773"/>
    <w:rsid w:val="002A0972"/>
    <w:rsid w:val="002A168C"/>
    <w:rsid w:val="002A3DC7"/>
    <w:rsid w:val="002B49E2"/>
    <w:rsid w:val="002B4B7C"/>
    <w:rsid w:val="002B7B00"/>
    <w:rsid w:val="002B7C44"/>
    <w:rsid w:val="002C2B17"/>
    <w:rsid w:val="002C50A4"/>
    <w:rsid w:val="002D3DD0"/>
    <w:rsid w:val="002D51BA"/>
    <w:rsid w:val="002D555B"/>
    <w:rsid w:val="002E1F3A"/>
    <w:rsid w:val="002E298A"/>
    <w:rsid w:val="002E6CC5"/>
    <w:rsid w:val="002F6DFE"/>
    <w:rsid w:val="00301978"/>
    <w:rsid w:val="0030332C"/>
    <w:rsid w:val="003051C2"/>
    <w:rsid w:val="00312296"/>
    <w:rsid w:val="00314F0E"/>
    <w:rsid w:val="00321D8E"/>
    <w:rsid w:val="00325928"/>
    <w:rsid w:val="00332863"/>
    <w:rsid w:val="0033684D"/>
    <w:rsid w:val="00337B42"/>
    <w:rsid w:val="00341B42"/>
    <w:rsid w:val="0034348F"/>
    <w:rsid w:val="0035273D"/>
    <w:rsid w:val="00356653"/>
    <w:rsid w:val="0035743F"/>
    <w:rsid w:val="00357BE2"/>
    <w:rsid w:val="0036170C"/>
    <w:rsid w:val="003628C4"/>
    <w:rsid w:val="00366E0F"/>
    <w:rsid w:val="00381A72"/>
    <w:rsid w:val="00384676"/>
    <w:rsid w:val="00385B88"/>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0EA7"/>
    <w:rsid w:val="00431E6C"/>
    <w:rsid w:val="00433CE7"/>
    <w:rsid w:val="00452738"/>
    <w:rsid w:val="00456091"/>
    <w:rsid w:val="00466321"/>
    <w:rsid w:val="0047420C"/>
    <w:rsid w:val="00484B9B"/>
    <w:rsid w:val="004855F6"/>
    <w:rsid w:val="0048661E"/>
    <w:rsid w:val="00494670"/>
    <w:rsid w:val="004A2BBF"/>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3C23"/>
    <w:rsid w:val="00554A7B"/>
    <w:rsid w:val="0055572C"/>
    <w:rsid w:val="0056106A"/>
    <w:rsid w:val="005720AE"/>
    <w:rsid w:val="005841D2"/>
    <w:rsid w:val="00594D77"/>
    <w:rsid w:val="005951AD"/>
    <w:rsid w:val="005969E4"/>
    <w:rsid w:val="005A06B7"/>
    <w:rsid w:val="005A1759"/>
    <w:rsid w:val="005A68A7"/>
    <w:rsid w:val="005D36AB"/>
    <w:rsid w:val="005E7061"/>
    <w:rsid w:val="00617CC3"/>
    <w:rsid w:val="006360BD"/>
    <w:rsid w:val="006377A6"/>
    <w:rsid w:val="00637A3D"/>
    <w:rsid w:val="006411EF"/>
    <w:rsid w:val="006520CE"/>
    <w:rsid w:val="006748B8"/>
    <w:rsid w:val="006775C3"/>
    <w:rsid w:val="0069290A"/>
    <w:rsid w:val="0069775A"/>
    <w:rsid w:val="00697813"/>
    <w:rsid w:val="006A3EE8"/>
    <w:rsid w:val="006A72BF"/>
    <w:rsid w:val="006B03F2"/>
    <w:rsid w:val="006B37DC"/>
    <w:rsid w:val="006B4F68"/>
    <w:rsid w:val="006C0592"/>
    <w:rsid w:val="006C272E"/>
    <w:rsid w:val="006C5479"/>
    <w:rsid w:val="006C7376"/>
    <w:rsid w:val="006D13B5"/>
    <w:rsid w:val="006E12FF"/>
    <w:rsid w:val="006E607E"/>
    <w:rsid w:val="006F2A80"/>
    <w:rsid w:val="006F3B88"/>
    <w:rsid w:val="0070009A"/>
    <w:rsid w:val="00706C5D"/>
    <w:rsid w:val="00732922"/>
    <w:rsid w:val="007452EB"/>
    <w:rsid w:val="0075162E"/>
    <w:rsid w:val="00753F81"/>
    <w:rsid w:val="00754034"/>
    <w:rsid w:val="00756556"/>
    <w:rsid w:val="007569D4"/>
    <w:rsid w:val="0076020B"/>
    <w:rsid w:val="007618C4"/>
    <w:rsid w:val="00767980"/>
    <w:rsid w:val="00770B19"/>
    <w:rsid w:val="00771B28"/>
    <w:rsid w:val="00773615"/>
    <w:rsid w:val="0077463F"/>
    <w:rsid w:val="00777B6D"/>
    <w:rsid w:val="007836EA"/>
    <w:rsid w:val="00784CDA"/>
    <w:rsid w:val="007906C4"/>
    <w:rsid w:val="007940EA"/>
    <w:rsid w:val="007967E8"/>
    <w:rsid w:val="007A2170"/>
    <w:rsid w:val="007A22BF"/>
    <w:rsid w:val="007A3323"/>
    <w:rsid w:val="007B72B8"/>
    <w:rsid w:val="007B7A58"/>
    <w:rsid w:val="007C21B5"/>
    <w:rsid w:val="007C4522"/>
    <w:rsid w:val="007C79E5"/>
    <w:rsid w:val="007D629A"/>
    <w:rsid w:val="007E4BD2"/>
    <w:rsid w:val="007F5044"/>
    <w:rsid w:val="007F77C7"/>
    <w:rsid w:val="00801393"/>
    <w:rsid w:val="00802F88"/>
    <w:rsid w:val="0081293E"/>
    <w:rsid w:val="00815465"/>
    <w:rsid w:val="00817E9A"/>
    <w:rsid w:val="008306BD"/>
    <w:rsid w:val="00831A80"/>
    <w:rsid w:val="00833743"/>
    <w:rsid w:val="008340A4"/>
    <w:rsid w:val="0087135F"/>
    <w:rsid w:val="00872D94"/>
    <w:rsid w:val="00880364"/>
    <w:rsid w:val="00880DFD"/>
    <w:rsid w:val="00887EA7"/>
    <w:rsid w:val="00891592"/>
    <w:rsid w:val="00891E9E"/>
    <w:rsid w:val="008A2F68"/>
    <w:rsid w:val="008B4FA6"/>
    <w:rsid w:val="008B5282"/>
    <w:rsid w:val="008B7C17"/>
    <w:rsid w:val="008C2D01"/>
    <w:rsid w:val="008C40E6"/>
    <w:rsid w:val="008D0F7A"/>
    <w:rsid w:val="008D3D2B"/>
    <w:rsid w:val="008D68E4"/>
    <w:rsid w:val="008E0506"/>
    <w:rsid w:val="008E0CFF"/>
    <w:rsid w:val="008E3B94"/>
    <w:rsid w:val="008E5D6B"/>
    <w:rsid w:val="008E76F0"/>
    <w:rsid w:val="008F15FE"/>
    <w:rsid w:val="008F2D29"/>
    <w:rsid w:val="008F5187"/>
    <w:rsid w:val="008F60D8"/>
    <w:rsid w:val="0090115F"/>
    <w:rsid w:val="00902727"/>
    <w:rsid w:val="0090312B"/>
    <w:rsid w:val="009031FC"/>
    <w:rsid w:val="0091736D"/>
    <w:rsid w:val="0093037A"/>
    <w:rsid w:val="0094154D"/>
    <w:rsid w:val="0095155F"/>
    <w:rsid w:val="00954429"/>
    <w:rsid w:val="009563CE"/>
    <w:rsid w:val="009573EF"/>
    <w:rsid w:val="00976328"/>
    <w:rsid w:val="0097680D"/>
    <w:rsid w:val="00982438"/>
    <w:rsid w:val="0098404C"/>
    <w:rsid w:val="00985283"/>
    <w:rsid w:val="00995992"/>
    <w:rsid w:val="009A03E5"/>
    <w:rsid w:val="009A0F3B"/>
    <w:rsid w:val="009A1BB4"/>
    <w:rsid w:val="009A2628"/>
    <w:rsid w:val="009A3200"/>
    <w:rsid w:val="009B0897"/>
    <w:rsid w:val="009B79C5"/>
    <w:rsid w:val="009B7BD9"/>
    <w:rsid w:val="009C7DD5"/>
    <w:rsid w:val="009E227D"/>
    <w:rsid w:val="009E3713"/>
    <w:rsid w:val="009E5019"/>
    <w:rsid w:val="00A04F1B"/>
    <w:rsid w:val="00A0501B"/>
    <w:rsid w:val="00A14947"/>
    <w:rsid w:val="00A32A83"/>
    <w:rsid w:val="00A368DB"/>
    <w:rsid w:val="00A423AA"/>
    <w:rsid w:val="00A53EC6"/>
    <w:rsid w:val="00A55C0F"/>
    <w:rsid w:val="00A67122"/>
    <w:rsid w:val="00A70E8B"/>
    <w:rsid w:val="00A731CC"/>
    <w:rsid w:val="00A8713F"/>
    <w:rsid w:val="00A90BA1"/>
    <w:rsid w:val="00A92455"/>
    <w:rsid w:val="00A94FFC"/>
    <w:rsid w:val="00A97A9A"/>
    <w:rsid w:val="00AA0671"/>
    <w:rsid w:val="00AA1E92"/>
    <w:rsid w:val="00AA2531"/>
    <w:rsid w:val="00AB1E09"/>
    <w:rsid w:val="00AB5330"/>
    <w:rsid w:val="00AB7747"/>
    <w:rsid w:val="00AC14CE"/>
    <w:rsid w:val="00AC2A56"/>
    <w:rsid w:val="00AD055E"/>
    <w:rsid w:val="00AD47A7"/>
    <w:rsid w:val="00AF0CBF"/>
    <w:rsid w:val="00AF257F"/>
    <w:rsid w:val="00AF33CF"/>
    <w:rsid w:val="00AF4D50"/>
    <w:rsid w:val="00AF6179"/>
    <w:rsid w:val="00B018F6"/>
    <w:rsid w:val="00B1295A"/>
    <w:rsid w:val="00B158F9"/>
    <w:rsid w:val="00B20A45"/>
    <w:rsid w:val="00B22C5C"/>
    <w:rsid w:val="00B24F30"/>
    <w:rsid w:val="00B31ABF"/>
    <w:rsid w:val="00B33BE3"/>
    <w:rsid w:val="00B53B5D"/>
    <w:rsid w:val="00B6055E"/>
    <w:rsid w:val="00B6317D"/>
    <w:rsid w:val="00B73BF9"/>
    <w:rsid w:val="00B7723F"/>
    <w:rsid w:val="00B80534"/>
    <w:rsid w:val="00B8433C"/>
    <w:rsid w:val="00B87491"/>
    <w:rsid w:val="00BA29E9"/>
    <w:rsid w:val="00BA7142"/>
    <w:rsid w:val="00BB1990"/>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143F"/>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C7A62"/>
    <w:rsid w:val="00CD2BCD"/>
    <w:rsid w:val="00CD3A4C"/>
    <w:rsid w:val="00CE10E9"/>
    <w:rsid w:val="00CE2910"/>
    <w:rsid w:val="00CE5393"/>
    <w:rsid w:val="00CE7BF8"/>
    <w:rsid w:val="00CF36BE"/>
    <w:rsid w:val="00CF6000"/>
    <w:rsid w:val="00D003F3"/>
    <w:rsid w:val="00D0364F"/>
    <w:rsid w:val="00D06834"/>
    <w:rsid w:val="00D308ED"/>
    <w:rsid w:val="00D36D86"/>
    <w:rsid w:val="00D428AA"/>
    <w:rsid w:val="00D50A34"/>
    <w:rsid w:val="00D53EFA"/>
    <w:rsid w:val="00D70258"/>
    <w:rsid w:val="00D94A7C"/>
    <w:rsid w:val="00D95896"/>
    <w:rsid w:val="00DB2983"/>
    <w:rsid w:val="00DC1257"/>
    <w:rsid w:val="00DC3DC0"/>
    <w:rsid w:val="00DC5B2B"/>
    <w:rsid w:val="00DD318D"/>
    <w:rsid w:val="00DE15FE"/>
    <w:rsid w:val="00DF2E12"/>
    <w:rsid w:val="00DF514A"/>
    <w:rsid w:val="00DF6690"/>
    <w:rsid w:val="00DF6804"/>
    <w:rsid w:val="00DF7B27"/>
    <w:rsid w:val="00E0358D"/>
    <w:rsid w:val="00E04323"/>
    <w:rsid w:val="00E070A2"/>
    <w:rsid w:val="00E2656A"/>
    <w:rsid w:val="00E412D0"/>
    <w:rsid w:val="00E44B87"/>
    <w:rsid w:val="00E56322"/>
    <w:rsid w:val="00E60982"/>
    <w:rsid w:val="00E62C62"/>
    <w:rsid w:val="00E654C1"/>
    <w:rsid w:val="00E65D97"/>
    <w:rsid w:val="00E6749F"/>
    <w:rsid w:val="00E7060D"/>
    <w:rsid w:val="00E72A5A"/>
    <w:rsid w:val="00E73354"/>
    <w:rsid w:val="00E86D88"/>
    <w:rsid w:val="00E9242D"/>
    <w:rsid w:val="00EB5255"/>
    <w:rsid w:val="00EB5C47"/>
    <w:rsid w:val="00EC20BA"/>
    <w:rsid w:val="00EC6E34"/>
    <w:rsid w:val="00ED0639"/>
    <w:rsid w:val="00EE2D49"/>
    <w:rsid w:val="00EF4755"/>
    <w:rsid w:val="00EF7135"/>
    <w:rsid w:val="00F027DB"/>
    <w:rsid w:val="00F14A7A"/>
    <w:rsid w:val="00F22985"/>
    <w:rsid w:val="00F3383E"/>
    <w:rsid w:val="00F465A7"/>
    <w:rsid w:val="00F50B7C"/>
    <w:rsid w:val="00F550E6"/>
    <w:rsid w:val="00F60DB9"/>
    <w:rsid w:val="00F74345"/>
    <w:rsid w:val="00F80A0A"/>
    <w:rsid w:val="00F82B19"/>
    <w:rsid w:val="00F8455D"/>
    <w:rsid w:val="00F9212D"/>
    <w:rsid w:val="00F965DA"/>
    <w:rsid w:val="00FA406A"/>
    <w:rsid w:val="00FB503A"/>
    <w:rsid w:val="00FB516C"/>
    <w:rsid w:val="00FD0236"/>
    <w:rsid w:val="00FD18F4"/>
    <w:rsid w:val="00FD54DB"/>
    <w:rsid w:val="00FD619F"/>
    <w:rsid w:val="01290F7E"/>
    <w:rsid w:val="014005F4"/>
    <w:rsid w:val="014914C1"/>
    <w:rsid w:val="015D1E09"/>
    <w:rsid w:val="0214329F"/>
    <w:rsid w:val="023A3BB1"/>
    <w:rsid w:val="02566D2E"/>
    <w:rsid w:val="02697903"/>
    <w:rsid w:val="02F96569"/>
    <w:rsid w:val="030E0C3D"/>
    <w:rsid w:val="033C4C19"/>
    <w:rsid w:val="03A37CCD"/>
    <w:rsid w:val="03EA7B21"/>
    <w:rsid w:val="04073203"/>
    <w:rsid w:val="053B56AE"/>
    <w:rsid w:val="05BE0A4C"/>
    <w:rsid w:val="05F83EAE"/>
    <w:rsid w:val="063E7D85"/>
    <w:rsid w:val="0666627F"/>
    <w:rsid w:val="06C028AA"/>
    <w:rsid w:val="07293586"/>
    <w:rsid w:val="07295285"/>
    <w:rsid w:val="07636392"/>
    <w:rsid w:val="07770C56"/>
    <w:rsid w:val="07A03BCC"/>
    <w:rsid w:val="07A842E0"/>
    <w:rsid w:val="07B07345"/>
    <w:rsid w:val="07C95B2F"/>
    <w:rsid w:val="08AB3984"/>
    <w:rsid w:val="08AF307A"/>
    <w:rsid w:val="09151F1E"/>
    <w:rsid w:val="092217DD"/>
    <w:rsid w:val="093A7294"/>
    <w:rsid w:val="09D173E4"/>
    <w:rsid w:val="09DF2EF6"/>
    <w:rsid w:val="09E31ABC"/>
    <w:rsid w:val="0A263993"/>
    <w:rsid w:val="0A2B00C0"/>
    <w:rsid w:val="0A2D3AC2"/>
    <w:rsid w:val="0A3C0CF1"/>
    <w:rsid w:val="0AA755DF"/>
    <w:rsid w:val="0AB373E9"/>
    <w:rsid w:val="0B06045D"/>
    <w:rsid w:val="0B120D44"/>
    <w:rsid w:val="0B2504D3"/>
    <w:rsid w:val="0B621AB9"/>
    <w:rsid w:val="0BA07E29"/>
    <w:rsid w:val="0BD27BF6"/>
    <w:rsid w:val="0BF8789D"/>
    <w:rsid w:val="0C2B378A"/>
    <w:rsid w:val="0C3B3C7D"/>
    <w:rsid w:val="0CAB2EAE"/>
    <w:rsid w:val="0D621C7D"/>
    <w:rsid w:val="0D760881"/>
    <w:rsid w:val="0DF714C0"/>
    <w:rsid w:val="0DFD321A"/>
    <w:rsid w:val="0E6B36AA"/>
    <w:rsid w:val="0E73034D"/>
    <w:rsid w:val="0E8F5B13"/>
    <w:rsid w:val="0E9577A4"/>
    <w:rsid w:val="0EA663F2"/>
    <w:rsid w:val="0EBB0833"/>
    <w:rsid w:val="0EC11B40"/>
    <w:rsid w:val="0F104465"/>
    <w:rsid w:val="0F13775A"/>
    <w:rsid w:val="0F5F45FE"/>
    <w:rsid w:val="0F946BD9"/>
    <w:rsid w:val="0F9A112B"/>
    <w:rsid w:val="0FFF72B7"/>
    <w:rsid w:val="10644022"/>
    <w:rsid w:val="106D2F64"/>
    <w:rsid w:val="10B63710"/>
    <w:rsid w:val="10F10820"/>
    <w:rsid w:val="111C2F7A"/>
    <w:rsid w:val="11665CA1"/>
    <w:rsid w:val="11F719F4"/>
    <w:rsid w:val="11FB4658"/>
    <w:rsid w:val="12434332"/>
    <w:rsid w:val="1245669D"/>
    <w:rsid w:val="12905E7D"/>
    <w:rsid w:val="12A453A0"/>
    <w:rsid w:val="13236AF1"/>
    <w:rsid w:val="13951726"/>
    <w:rsid w:val="140620D9"/>
    <w:rsid w:val="14396509"/>
    <w:rsid w:val="14B0295C"/>
    <w:rsid w:val="14DD2C3C"/>
    <w:rsid w:val="15000080"/>
    <w:rsid w:val="16087E1D"/>
    <w:rsid w:val="16B34884"/>
    <w:rsid w:val="17701D14"/>
    <w:rsid w:val="17735226"/>
    <w:rsid w:val="17A93FD7"/>
    <w:rsid w:val="18003E44"/>
    <w:rsid w:val="182D55DF"/>
    <w:rsid w:val="183A41EA"/>
    <w:rsid w:val="18514AE0"/>
    <w:rsid w:val="18840A4C"/>
    <w:rsid w:val="189F624C"/>
    <w:rsid w:val="19107C61"/>
    <w:rsid w:val="192F350F"/>
    <w:rsid w:val="19333D48"/>
    <w:rsid w:val="193568F2"/>
    <w:rsid w:val="1A06790E"/>
    <w:rsid w:val="1A1C66C0"/>
    <w:rsid w:val="1A311044"/>
    <w:rsid w:val="1A42393B"/>
    <w:rsid w:val="1A547984"/>
    <w:rsid w:val="1AAD45DE"/>
    <w:rsid w:val="1B046F80"/>
    <w:rsid w:val="1B322073"/>
    <w:rsid w:val="1B3267B5"/>
    <w:rsid w:val="1B40161D"/>
    <w:rsid w:val="1B441859"/>
    <w:rsid w:val="1B6606B1"/>
    <w:rsid w:val="1BB27830"/>
    <w:rsid w:val="1C5E7925"/>
    <w:rsid w:val="1C78744B"/>
    <w:rsid w:val="1CCD70D9"/>
    <w:rsid w:val="1CF8358A"/>
    <w:rsid w:val="1CFD070F"/>
    <w:rsid w:val="1D0F4FBB"/>
    <w:rsid w:val="1D337690"/>
    <w:rsid w:val="1D410B85"/>
    <w:rsid w:val="1D5F6196"/>
    <w:rsid w:val="1D6132A5"/>
    <w:rsid w:val="1D6B0DA3"/>
    <w:rsid w:val="1D8E56D5"/>
    <w:rsid w:val="1DA42224"/>
    <w:rsid w:val="1DAB6A1B"/>
    <w:rsid w:val="1DB82657"/>
    <w:rsid w:val="1E051444"/>
    <w:rsid w:val="1E173CE8"/>
    <w:rsid w:val="1E217B56"/>
    <w:rsid w:val="1E7A43DA"/>
    <w:rsid w:val="1E917E41"/>
    <w:rsid w:val="1F386500"/>
    <w:rsid w:val="1F43134E"/>
    <w:rsid w:val="1F730A15"/>
    <w:rsid w:val="1F806F02"/>
    <w:rsid w:val="1F84228A"/>
    <w:rsid w:val="1FBC7969"/>
    <w:rsid w:val="1FE7539E"/>
    <w:rsid w:val="1FEF12DB"/>
    <w:rsid w:val="20671BE0"/>
    <w:rsid w:val="20963CB8"/>
    <w:rsid w:val="20A81A1B"/>
    <w:rsid w:val="20B07FB6"/>
    <w:rsid w:val="20B646FB"/>
    <w:rsid w:val="213B74B1"/>
    <w:rsid w:val="215A2310"/>
    <w:rsid w:val="21895B1C"/>
    <w:rsid w:val="21C91B54"/>
    <w:rsid w:val="21DE318A"/>
    <w:rsid w:val="21EF5B80"/>
    <w:rsid w:val="224B18E9"/>
    <w:rsid w:val="22576990"/>
    <w:rsid w:val="227259E7"/>
    <w:rsid w:val="22F47480"/>
    <w:rsid w:val="230C095D"/>
    <w:rsid w:val="231D61E8"/>
    <w:rsid w:val="234E69A5"/>
    <w:rsid w:val="23621144"/>
    <w:rsid w:val="23DE1C48"/>
    <w:rsid w:val="240210CD"/>
    <w:rsid w:val="248D0670"/>
    <w:rsid w:val="24AF6528"/>
    <w:rsid w:val="24BF09F7"/>
    <w:rsid w:val="25267582"/>
    <w:rsid w:val="252D53FE"/>
    <w:rsid w:val="2550443F"/>
    <w:rsid w:val="25CB7B73"/>
    <w:rsid w:val="25EC2D81"/>
    <w:rsid w:val="26096CE0"/>
    <w:rsid w:val="26140F9C"/>
    <w:rsid w:val="26544264"/>
    <w:rsid w:val="26BD23FA"/>
    <w:rsid w:val="26E54394"/>
    <w:rsid w:val="277057A2"/>
    <w:rsid w:val="28E45A8A"/>
    <w:rsid w:val="28E842D2"/>
    <w:rsid w:val="29177BDF"/>
    <w:rsid w:val="29206EB8"/>
    <w:rsid w:val="29320B95"/>
    <w:rsid w:val="293217F9"/>
    <w:rsid w:val="29595666"/>
    <w:rsid w:val="29874881"/>
    <w:rsid w:val="299031CA"/>
    <w:rsid w:val="29B005AB"/>
    <w:rsid w:val="29BD7CB2"/>
    <w:rsid w:val="29CA0379"/>
    <w:rsid w:val="29E325E0"/>
    <w:rsid w:val="2A452503"/>
    <w:rsid w:val="2A842727"/>
    <w:rsid w:val="2ACC62C4"/>
    <w:rsid w:val="2BA936A8"/>
    <w:rsid w:val="2BD3621F"/>
    <w:rsid w:val="2BEF40A5"/>
    <w:rsid w:val="2C315A5A"/>
    <w:rsid w:val="2C3B72B9"/>
    <w:rsid w:val="2C4B1C25"/>
    <w:rsid w:val="2C711509"/>
    <w:rsid w:val="2D1B36F8"/>
    <w:rsid w:val="2D4405FA"/>
    <w:rsid w:val="2D4443B2"/>
    <w:rsid w:val="2D5B0533"/>
    <w:rsid w:val="2D6D2891"/>
    <w:rsid w:val="2D9E56F5"/>
    <w:rsid w:val="2DC2603F"/>
    <w:rsid w:val="2E667F96"/>
    <w:rsid w:val="2E8226AB"/>
    <w:rsid w:val="2EF761FB"/>
    <w:rsid w:val="2FD065E6"/>
    <w:rsid w:val="2FD96870"/>
    <w:rsid w:val="2FF35C1E"/>
    <w:rsid w:val="3036673D"/>
    <w:rsid w:val="304F0078"/>
    <w:rsid w:val="30545C50"/>
    <w:rsid w:val="30580BC9"/>
    <w:rsid w:val="30587558"/>
    <w:rsid w:val="305F5D95"/>
    <w:rsid w:val="30705F6A"/>
    <w:rsid w:val="30CB7696"/>
    <w:rsid w:val="30CE7A3E"/>
    <w:rsid w:val="30DE1C85"/>
    <w:rsid w:val="30F123EC"/>
    <w:rsid w:val="311254F8"/>
    <w:rsid w:val="311E2ED7"/>
    <w:rsid w:val="31512C68"/>
    <w:rsid w:val="315619EE"/>
    <w:rsid w:val="315C449C"/>
    <w:rsid w:val="31A76F92"/>
    <w:rsid w:val="31B82709"/>
    <w:rsid w:val="31D05482"/>
    <w:rsid w:val="31EC3D61"/>
    <w:rsid w:val="32262F84"/>
    <w:rsid w:val="32400B34"/>
    <w:rsid w:val="329E6876"/>
    <w:rsid w:val="32C6541A"/>
    <w:rsid w:val="32D36E63"/>
    <w:rsid w:val="32FD0D95"/>
    <w:rsid w:val="333015F2"/>
    <w:rsid w:val="334B6320"/>
    <w:rsid w:val="338E4628"/>
    <w:rsid w:val="33967C42"/>
    <w:rsid w:val="33D934D4"/>
    <w:rsid w:val="33EA02BB"/>
    <w:rsid w:val="33EA45FC"/>
    <w:rsid w:val="33FE2F6A"/>
    <w:rsid w:val="340023E4"/>
    <w:rsid w:val="340E07E5"/>
    <w:rsid w:val="34235BF7"/>
    <w:rsid w:val="346A7BCF"/>
    <w:rsid w:val="34B12BD1"/>
    <w:rsid w:val="358C5FA8"/>
    <w:rsid w:val="35C15DF1"/>
    <w:rsid w:val="36074A7F"/>
    <w:rsid w:val="366C6846"/>
    <w:rsid w:val="36923549"/>
    <w:rsid w:val="36B75FBF"/>
    <w:rsid w:val="36BD0C45"/>
    <w:rsid w:val="36D87710"/>
    <w:rsid w:val="37A61949"/>
    <w:rsid w:val="37B837AD"/>
    <w:rsid w:val="37E00298"/>
    <w:rsid w:val="380115A0"/>
    <w:rsid w:val="38162503"/>
    <w:rsid w:val="38505EB4"/>
    <w:rsid w:val="38B302F9"/>
    <w:rsid w:val="38B93A09"/>
    <w:rsid w:val="38C574B9"/>
    <w:rsid w:val="38F12CD3"/>
    <w:rsid w:val="38F94775"/>
    <w:rsid w:val="39013FF0"/>
    <w:rsid w:val="392971ED"/>
    <w:rsid w:val="39325651"/>
    <w:rsid w:val="39883A1B"/>
    <w:rsid w:val="399275AE"/>
    <w:rsid w:val="39C83BBD"/>
    <w:rsid w:val="3A2B7F6D"/>
    <w:rsid w:val="3A872856"/>
    <w:rsid w:val="3B3763D1"/>
    <w:rsid w:val="3B6746DE"/>
    <w:rsid w:val="3B9F65DF"/>
    <w:rsid w:val="3BB27FDF"/>
    <w:rsid w:val="3C095AAF"/>
    <w:rsid w:val="3C2F6E1E"/>
    <w:rsid w:val="3C4F64BA"/>
    <w:rsid w:val="3C547D1B"/>
    <w:rsid w:val="3C620993"/>
    <w:rsid w:val="3C672344"/>
    <w:rsid w:val="3C8F792D"/>
    <w:rsid w:val="3CB242F2"/>
    <w:rsid w:val="3CDA245A"/>
    <w:rsid w:val="3D1E06B7"/>
    <w:rsid w:val="3DF23C3B"/>
    <w:rsid w:val="3DF406FB"/>
    <w:rsid w:val="3DFF7F47"/>
    <w:rsid w:val="3EDA0523"/>
    <w:rsid w:val="3F4701C0"/>
    <w:rsid w:val="3F6447D6"/>
    <w:rsid w:val="3F7059D7"/>
    <w:rsid w:val="3FC4355D"/>
    <w:rsid w:val="407A6407"/>
    <w:rsid w:val="40D617EE"/>
    <w:rsid w:val="414E270C"/>
    <w:rsid w:val="416B6135"/>
    <w:rsid w:val="41B43898"/>
    <w:rsid w:val="41E44448"/>
    <w:rsid w:val="4200449D"/>
    <w:rsid w:val="421C74C2"/>
    <w:rsid w:val="423A3BCC"/>
    <w:rsid w:val="424E57D2"/>
    <w:rsid w:val="42B26C49"/>
    <w:rsid w:val="4322163C"/>
    <w:rsid w:val="433A6FE6"/>
    <w:rsid w:val="43480868"/>
    <w:rsid w:val="4350713C"/>
    <w:rsid w:val="436653E0"/>
    <w:rsid w:val="43694BAC"/>
    <w:rsid w:val="436C4013"/>
    <w:rsid w:val="43C4431A"/>
    <w:rsid w:val="43C77B19"/>
    <w:rsid w:val="43F47383"/>
    <w:rsid w:val="43FB4A63"/>
    <w:rsid w:val="44177216"/>
    <w:rsid w:val="44B819DB"/>
    <w:rsid w:val="44B951CC"/>
    <w:rsid w:val="44CD14E0"/>
    <w:rsid w:val="44F20B0B"/>
    <w:rsid w:val="452E5F4C"/>
    <w:rsid w:val="45612018"/>
    <w:rsid w:val="45780B8D"/>
    <w:rsid w:val="458946E9"/>
    <w:rsid w:val="45A47C0E"/>
    <w:rsid w:val="46577FD6"/>
    <w:rsid w:val="468E1A7B"/>
    <w:rsid w:val="46D51E7A"/>
    <w:rsid w:val="46D955A7"/>
    <w:rsid w:val="47133957"/>
    <w:rsid w:val="478C09E7"/>
    <w:rsid w:val="47A07E0C"/>
    <w:rsid w:val="483B4F1C"/>
    <w:rsid w:val="48423435"/>
    <w:rsid w:val="485B7807"/>
    <w:rsid w:val="486C37D2"/>
    <w:rsid w:val="4870272E"/>
    <w:rsid w:val="48955CEE"/>
    <w:rsid w:val="489F1A11"/>
    <w:rsid w:val="48DA26E4"/>
    <w:rsid w:val="49177AC5"/>
    <w:rsid w:val="496C4A2D"/>
    <w:rsid w:val="49DC7715"/>
    <w:rsid w:val="4A023139"/>
    <w:rsid w:val="4A7B576F"/>
    <w:rsid w:val="4A8212B6"/>
    <w:rsid w:val="4A914868"/>
    <w:rsid w:val="4AF561A9"/>
    <w:rsid w:val="4BF66E19"/>
    <w:rsid w:val="4C4A0649"/>
    <w:rsid w:val="4C7E5ECA"/>
    <w:rsid w:val="4C876AA5"/>
    <w:rsid w:val="4CE026C7"/>
    <w:rsid w:val="4D0E00FB"/>
    <w:rsid w:val="4D176606"/>
    <w:rsid w:val="4D2978BF"/>
    <w:rsid w:val="4D746B93"/>
    <w:rsid w:val="4DD332C0"/>
    <w:rsid w:val="4DEC4FB0"/>
    <w:rsid w:val="4E075D8A"/>
    <w:rsid w:val="4E4E53A4"/>
    <w:rsid w:val="4E573921"/>
    <w:rsid w:val="4E6B568A"/>
    <w:rsid w:val="4E6D2AD7"/>
    <w:rsid w:val="4E8711FE"/>
    <w:rsid w:val="4E8B1908"/>
    <w:rsid w:val="4E956024"/>
    <w:rsid w:val="4EC00FAD"/>
    <w:rsid w:val="4ECA0561"/>
    <w:rsid w:val="4ED04B71"/>
    <w:rsid w:val="4EEF255D"/>
    <w:rsid w:val="4F9843DC"/>
    <w:rsid w:val="4FC62A8C"/>
    <w:rsid w:val="4FE20F0D"/>
    <w:rsid w:val="4FE51552"/>
    <w:rsid w:val="50504C4B"/>
    <w:rsid w:val="509C6E7C"/>
    <w:rsid w:val="5162104E"/>
    <w:rsid w:val="51A526B9"/>
    <w:rsid w:val="51D37393"/>
    <w:rsid w:val="51FC427A"/>
    <w:rsid w:val="52297273"/>
    <w:rsid w:val="52DB31DD"/>
    <w:rsid w:val="53A039CC"/>
    <w:rsid w:val="53A1505A"/>
    <w:rsid w:val="53B46AF5"/>
    <w:rsid w:val="53E0496C"/>
    <w:rsid w:val="54063E08"/>
    <w:rsid w:val="541E1FFB"/>
    <w:rsid w:val="543437E8"/>
    <w:rsid w:val="544A44E3"/>
    <w:rsid w:val="54C11212"/>
    <w:rsid w:val="54F73313"/>
    <w:rsid w:val="54F80955"/>
    <w:rsid w:val="555170A7"/>
    <w:rsid w:val="556D3EEF"/>
    <w:rsid w:val="5587536D"/>
    <w:rsid w:val="558D23A0"/>
    <w:rsid w:val="559B174B"/>
    <w:rsid w:val="55AF771D"/>
    <w:rsid w:val="55B404B9"/>
    <w:rsid w:val="55CE0CF4"/>
    <w:rsid w:val="560D1531"/>
    <w:rsid w:val="564F155D"/>
    <w:rsid w:val="56B22A9C"/>
    <w:rsid w:val="56E13AF1"/>
    <w:rsid w:val="57B13110"/>
    <w:rsid w:val="57B72A76"/>
    <w:rsid w:val="57C3426C"/>
    <w:rsid w:val="57CE1F93"/>
    <w:rsid w:val="57D96961"/>
    <w:rsid w:val="58473E80"/>
    <w:rsid w:val="5884321D"/>
    <w:rsid w:val="588743D1"/>
    <w:rsid w:val="5887701A"/>
    <w:rsid w:val="58B610FB"/>
    <w:rsid w:val="58DF0438"/>
    <w:rsid w:val="59654E37"/>
    <w:rsid w:val="59925891"/>
    <w:rsid w:val="59C0439F"/>
    <w:rsid w:val="59FF517E"/>
    <w:rsid w:val="5A301CF0"/>
    <w:rsid w:val="5ABE2233"/>
    <w:rsid w:val="5AC81982"/>
    <w:rsid w:val="5AF80325"/>
    <w:rsid w:val="5B46230F"/>
    <w:rsid w:val="5B5636AE"/>
    <w:rsid w:val="5BDF5D95"/>
    <w:rsid w:val="5BFE7528"/>
    <w:rsid w:val="5C7635A7"/>
    <w:rsid w:val="5D0F1303"/>
    <w:rsid w:val="5D223793"/>
    <w:rsid w:val="5D2C1757"/>
    <w:rsid w:val="5D59034E"/>
    <w:rsid w:val="5E2467F1"/>
    <w:rsid w:val="5E406E87"/>
    <w:rsid w:val="5E423DD6"/>
    <w:rsid w:val="5E9259E6"/>
    <w:rsid w:val="5ED47A94"/>
    <w:rsid w:val="5F1A2B43"/>
    <w:rsid w:val="5F38557B"/>
    <w:rsid w:val="5F502D51"/>
    <w:rsid w:val="5FB837BB"/>
    <w:rsid w:val="604B1255"/>
    <w:rsid w:val="608E1E00"/>
    <w:rsid w:val="609A1E24"/>
    <w:rsid w:val="60CC405A"/>
    <w:rsid w:val="614E2FAD"/>
    <w:rsid w:val="61925F00"/>
    <w:rsid w:val="61B70CBB"/>
    <w:rsid w:val="61E215D8"/>
    <w:rsid w:val="621B3775"/>
    <w:rsid w:val="62226728"/>
    <w:rsid w:val="62364782"/>
    <w:rsid w:val="62DA1723"/>
    <w:rsid w:val="62FE15A1"/>
    <w:rsid w:val="632C5010"/>
    <w:rsid w:val="6372705A"/>
    <w:rsid w:val="6394356A"/>
    <w:rsid w:val="63A62B7C"/>
    <w:rsid w:val="63C61B2C"/>
    <w:rsid w:val="63D40BE9"/>
    <w:rsid w:val="63D92218"/>
    <w:rsid w:val="640F079B"/>
    <w:rsid w:val="64102431"/>
    <w:rsid w:val="642B52C7"/>
    <w:rsid w:val="64A5243A"/>
    <w:rsid w:val="64E30792"/>
    <w:rsid w:val="64F531DE"/>
    <w:rsid w:val="650E114B"/>
    <w:rsid w:val="65373578"/>
    <w:rsid w:val="65464642"/>
    <w:rsid w:val="657A4758"/>
    <w:rsid w:val="65E50F2C"/>
    <w:rsid w:val="662B01B0"/>
    <w:rsid w:val="6710176C"/>
    <w:rsid w:val="671F124A"/>
    <w:rsid w:val="67200E35"/>
    <w:rsid w:val="67353C37"/>
    <w:rsid w:val="67360FAF"/>
    <w:rsid w:val="67503D79"/>
    <w:rsid w:val="67511F65"/>
    <w:rsid w:val="67617ADE"/>
    <w:rsid w:val="67632FB0"/>
    <w:rsid w:val="677A33C6"/>
    <w:rsid w:val="67A573D5"/>
    <w:rsid w:val="681F6961"/>
    <w:rsid w:val="68297A03"/>
    <w:rsid w:val="68610A2F"/>
    <w:rsid w:val="68805514"/>
    <w:rsid w:val="69316E2F"/>
    <w:rsid w:val="694E2071"/>
    <w:rsid w:val="69766163"/>
    <w:rsid w:val="697A3B33"/>
    <w:rsid w:val="69D44760"/>
    <w:rsid w:val="6A520EC7"/>
    <w:rsid w:val="6A5E24CB"/>
    <w:rsid w:val="6AF32DCE"/>
    <w:rsid w:val="6AF87E20"/>
    <w:rsid w:val="6B322639"/>
    <w:rsid w:val="6B615E86"/>
    <w:rsid w:val="6C202C08"/>
    <w:rsid w:val="6C636C38"/>
    <w:rsid w:val="6C666E05"/>
    <w:rsid w:val="6CF30547"/>
    <w:rsid w:val="6D163E21"/>
    <w:rsid w:val="6D8C57D6"/>
    <w:rsid w:val="6DAF7825"/>
    <w:rsid w:val="6DB34098"/>
    <w:rsid w:val="6DB545B6"/>
    <w:rsid w:val="6DE02FB4"/>
    <w:rsid w:val="6E514CED"/>
    <w:rsid w:val="6E8532B8"/>
    <w:rsid w:val="6E967886"/>
    <w:rsid w:val="6EB563D5"/>
    <w:rsid w:val="6ED3625C"/>
    <w:rsid w:val="6ED92677"/>
    <w:rsid w:val="6F1D1B84"/>
    <w:rsid w:val="6F1F2AF1"/>
    <w:rsid w:val="6F225983"/>
    <w:rsid w:val="6F262B46"/>
    <w:rsid w:val="6F321C00"/>
    <w:rsid w:val="6FD45136"/>
    <w:rsid w:val="6FFC5590"/>
    <w:rsid w:val="702C4D26"/>
    <w:rsid w:val="704F4C42"/>
    <w:rsid w:val="706D1DD0"/>
    <w:rsid w:val="70856B87"/>
    <w:rsid w:val="70D527EE"/>
    <w:rsid w:val="70E42EA5"/>
    <w:rsid w:val="715B5300"/>
    <w:rsid w:val="71A37FEB"/>
    <w:rsid w:val="71A94C2F"/>
    <w:rsid w:val="71D27F8A"/>
    <w:rsid w:val="71D90A11"/>
    <w:rsid w:val="71DB657E"/>
    <w:rsid w:val="71DE64D4"/>
    <w:rsid w:val="72342A30"/>
    <w:rsid w:val="72553024"/>
    <w:rsid w:val="72C76EB2"/>
    <w:rsid w:val="72D51220"/>
    <w:rsid w:val="73122968"/>
    <w:rsid w:val="731F5D5E"/>
    <w:rsid w:val="735C7AD5"/>
    <w:rsid w:val="736C687E"/>
    <w:rsid w:val="73954AEA"/>
    <w:rsid w:val="73C51AD5"/>
    <w:rsid w:val="74133792"/>
    <w:rsid w:val="741E793C"/>
    <w:rsid w:val="745620E6"/>
    <w:rsid w:val="745E3944"/>
    <w:rsid w:val="74981250"/>
    <w:rsid w:val="7512548F"/>
    <w:rsid w:val="751F4734"/>
    <w:rsid w:val="752D102D"/>
    <w:rsid w:val="75313AD6"/>
    <w:rsid w:val="759B6401"/>
    <w:rsid w:val="75BE57DA"/>
    <w:rsid w:val="75DC3B04"/>
    <w:rsid w:val="75E949E3"/>
    <w:rsid w:val="7635099D"/>
    <w:rsid w:val="77762421"/>
    <w:rsid w:val="77867EA1"/>
    <w:rsid w:val="77B56B1F"/>
    <w:rsid w:val="77D07592"/>
    <w:rsid w:val="780F09F4"/>
    <w:rsid w:val="787B5CB5"/>
    <w:rsid w:val="78A90480"/>
    <w:rsid w:val="79807874"/>
    <w:rsid w:val="7A364017"/>
    <w:rsid w:val="7A5F652B"/>
    <w:rsid w:val="7A8265E1"/>
    <w:rsid w:val="7AC774AE"/>
    <w:rsid w:val="7ADD6564"/>
    <w:rsid w:val="7B390816"/>
    <w:rsid w:val="7B63003D"/>
    <w:rsid w:val="7B686D42"/>
    <w:rsid w:val="7B841746"/>
    <w:rsid w:val="7B8B6266"/>
    <w:rsid w:val="7BDE2698"/>
    <w:rsid w:val="7C1933FD"/>
    <w:rsid w:val="7C3A4809"/>
    <w:rsid w:val="7C6C5AC7"/>
    <w:rsid w:val="7CC6544B"/>
    <w:rsid w:val="7CE65B39"/>
    <w:rsid w:val="7CF20095"/>
    <w:rsid w:val="7D0239FF"/>
    <w:rsid w:val="7D5E40CD"/>
    <w:rsid w:val="7DCD56F2"/>
    <w:rsid w:val="7DEF3D62"/>
    <w:rsid w:val="7E35327A"/>
    <w:rsid w:val="7E5E40D5"/>
    <w:rsid w:val="7EA23D41"/>
    <w:rsid w:val="7ECB52E3"/>
    <w:rsid w:val="7EE35751"/>
    <w:rsid w:val="7EE963EE"/>
    <w:rsid w:val="7F001CE7"/>
    <w:rsid w:val="7F40305D"/>
    <w:rsid w:val="7FD80C0D"/>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nhideWhenUsed="0" w:uiPriority="1"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iPriority="0" w:semiHidden="0" w:name="Body Text First Indent 2" w:locked="1"/>
    <w:lsdException w:unhideWhenUsed="0" w:uiPriority="0" w:semiHidden="0" w:name="Note Heading" w:locked="1"/>
    <w:lsdException w:qFormat="1" w:unhideWhenUsed="0" w:uiPriority="0" w:semiHidden="0" w:name="Body Text 2" w:locked="1"/>
    <w:lsdException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3"/>
    <w:basedOn w:val="1"/>
    <w:next w:val="1"/>
    <w:qFormat/>
    <w:locked/>
    <w:uiPriority w:val="1"/>
    <w:pPr>
      <w:ind w:left="1132"/>
      <w:outlineLvl w:val="2"/>
    </w:pPr>
    <w:rPr>
      <w:rFonts w:ascii="宋体" w:hAnsi="宋体" w:eastAsia="宋体" w:cs="宋体"/>
      <w:b/>
      <w:bCs/>
      <w:sz w:val="24"/>
      <w:szCs w:val="24"/>
      <w:lang w:val="zh-CN" w:eastAsia="zh-CN" w:bidi="zh-CN"/>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4">
    <w:name w:val="Normal Indent"/>
    <w:basedOn w:val="1"/>
    <w:qFormat/>
    <w:locked/>
    <w:uiPriority w:val="0"/>
    <w:pPr>
      <w:ind w:firstLine="420" w:firstLineChars="200"/>
    </w:pPr>
    <w:rPr>
      <w:rFonts w:eastAsia="仿宋_GB2312"/>
      <w:bCs/>
      <w:sz w:val="32"/>
      <w:szCs w:val="20"/>
    </w:rPr>
  </w:style>
  <w:style w:type="paragraph" w:styleId="5">
    <w:name w:val="annotation text"/>
    <w:basedOn w:val="1"/>
    <w:link w:val="30"/>
    <w:semiHidden/>
    <w:qFormat/>
    <w:uiPriority w:val="0"/>
    <w:pPr>
      <w:jc w:val="left"/>
    </w:pPr>
    <w:rPr>
      <w:kern w:val="0"/>
      <w:sz w:val="24"/>
      <w:szCs w:val="20"/>
    </w:rPr>
  </w:style>
  <w:style w:type="paragraph" w:styleId="6">
    <w:name w:val="Body Text"/>
    <w:basedOn w:val="1"/>
    <w:next w:val="7"/>
    <w:link w:val="31"/>
    <w:qFormat/>
    <w:uiPriority w:val="0"/>
    <w:pPr>
      <w:widowControl/>
      <w:snapToGrid w:val="0"/>
      <w:spacing w:before="60" w:after="160" w:line="259" w:lineRule="auto"/>
      <w:ind w:right="113"/>
    </w:pPr>
    <w:rPr>
      <w:kern w:val="0"/>
      <w:sz w:val="18"/>
      <w:szCs w:val="20"/>
    </w:rPr>
  </w:style>
  <w:style w:type="paragraph" w:customStyle="1" w:styleId="7">
    <w:name w:val="Date1"/>
    <w:basedOn w:val="1"/>
    <w:next w:val="1"/>
    <w:qFormat/>
    <w:uiPriority w:val="0"/>
    <w:rPr>
      <w:sz w:val="21"/>
      <w:szCs w:val="20"/>
    </w:rPr>
  </w:style>
  <w:style w:type="paragraph" w:styleId="8">
    <w:name w:val="Body Text Indent"/>
    <w:basedOn w:val="1"/>
    <w:next w:val="9"/>
    <w:link w:val="32"/>
    <w:qFormat/>
    <w:uiPriority w:val="0"/>
    <w:pPr>
      <w:spacing w:after="120"/>
      <w:ind w:left="420" w:leftChars="200"/>
    </w:pPr>
    <w:rPr>
      <w:kern w:val="0"/>
      <w:sz w:val="24"/>
      <w:szCs w:val="20"/>
    </w:rPr>
  </w:style>
  <w:style w:type="paragraph" w:styleId="9">
    <w:name w:val="Body Text First Indent 2"/>
    <w:basedOn w:val="8"/>
    <w:next w:val="1"/>
    <w:unhideWhenUsed/>
    <w:qFormat/>
    <w:locked/>
    <w:uiPriority w:val="0"/>
    <w:pPr>
      <w:spacing w:after="120" w:line="240" w:lineRule="auto"/>
      <w:ind w:left="420" w:leftChars="200" w:firstLine="420" w:firstLineChars="200"/>
    </w:pPr>
  </w:style>
  <w:style w:type="paragraph" w:styleId="10">
    <w:name w:val="Plain Text"/>
    <w:basedOn w:val="1"/>
    <w:qFormat/>
    <w:locked/>
    <w:uiPriority w:val="0"/>
    <w:pPr>
      <w:spacing w:line="360" w:lineRule="auto"/>
    </w:pPr>
    <w:rPr>
      <w:spacing w:val="8"/>
      <w:sz w:val="24"/>
      <w:szCs w:val="20"/>
    </w:rPr>
  </w:style>
  <w:style w:type="paragraph" w:styleId="11">
    <w:name w:val="Date"/>
    <w:basedOn w:val="1"/>
    <w:next w:val="1"/>
    <w:link w:val="33"/>
    <w:qFormat/>
    <w:uiPriority w:val="0"/>
    <w:pPr>
      <w:ind w:left="100" w:leftChars="2500"/>
    </w:pPr>
    <w:rPr>
      <w:kern w:val="0"/>
      <w:sz w:val="24"/>
      <w:szCs w:val="20"/>
    </w:rPr>
  </w:style>
  <w:style w:type="paragraph" w:styleId="12">
    <w:name w:val="Body Text Indent 2"/>
    <w:basedOn w:val="1"/>
    <w:qFormat/>
    <w:locked/>
    <w:uiPriority w:val="0"/>
    <w:pPr>
      <w:spacing w:line="500" w:lineRule="exact"/>
      <w:ind w:firstLine="556"/>
    </w:pPr>
    <w:rPr>
      <w:bCs/>
      <w:sz w:val="28"/>
    </w:rPr>
  </w:style>
  <w:style w:type="paragraph" w:styleId="13">
    <w:name w:val="Balloon Text"/>
    <w:basedOn w:val="1"/>
    <w:link w:val="34"/>
    <w:semiHidden/>
    <w:qFormat/>
    <w:uiPriority w:val="0"/>
    <w:rPr>
      <w:kern w:val="0"/>
      <w:sz w:val="18"/>
      <w:szCs w:val="20"/>
    </w:rPr>
  </w:style>
  <w:style w:type="paragraph" w:styleId="14">
    <w:name w:val="footer"/>
    <w:basedOn w:val="1"/>
    <w:link w:val="35"/>
    <w:qFormat/>
    <w:uiPriority w:val="99"/>
    <w:pPr>
      <w:tabs>
        <w:tab w:val="center" w:pos="4153"/>
        <w:tab w:val="right" w:pos="8306"/>
      </w:tabs>
      <w:snapToGrid w:val="0"/>
      <w:jc w:val="left"/>
    </w:pPr>
    <w:rPr>
      <w:kern w:val="0"/>
      <w:sz w:val="18"/>
      <w:szCs w:val="20"/>
    </w:rPr>
  </w:style>
  <w:style w:type="paragraph" w:styleId="15">
    <w:name w:val="header"/>
    <w:basedOn w:val="1"/>
    <w:next w:val="1"/>
    <w:link w:val="36"/>
    <w:qFormat/>
    <w:uiPriority w:val="0"/>
    <w:pPr>
      <w:pBdr>
        <w:bottom w:val="single" w:color="auto" w:sz="6" w:space="1"/>
      </w:pBdr>
      <w:tabs>
        <w:tab w:val="center" w:pos="4153"/>
        <w:tab w:val="right" w:pos="8306"/>
      </w:tabs>
      <w:snapToGrid w:val="0"/>
      <w:jc w:val="center"/>
    </w:pPr>
    <w:rPr>
      <w:kern w:val="0"/>
      <w:sz w:val="18"/>
      <w:szCs w:val="20"/>
    </w:rPr>
  </w:style>
  <w:style w:type="paragraph" w:styleId="16">
    <w:name w:val="List"/>
    <w:basedOn w:val="1"/>
    <w:qFormat/>
    <w:locked/>
    <w:uiPriority w:val="0"/>
    <w:pPr>
      <w:ind w:left="200" w:hanging="200" w:hangingChars="200"/>
    </w:pPr>
    <w:rPr>
      <w:rFonts w:ascii="Times New Roman" w:hAnsi="Times New Roman" w:eastAsia="宋体" w:cs="Times New Roman"/>
      <w:szCs w:val="24"/>
    </w:rPr>
  </w:style>
  <w:style w:type="paragraph" w:styleId="17">
    <w:name w:val="Body Text Indent 3"/>
    <w:basedOn w:val="1"/>
    <w:qFormat/>
    <w:locked/>
    <w:uiPriority w:val="0"/>
    <w:pPr>
      <w:spacing w:line="560" w:lineRule="exact"/>
      <w:ind w:firstLine="560" w:firstLineChars="200"/>
    </w:pPr>
    <w:rPr>
      <w:rFonts w:ascii="宋体" w:hAnsi="宋体"/>
      <w:bCs/>
      <w:sz w:val="28"/>
      <w:szCs w:val="20"/>
    </w:rPr>
  </w:style>
  <w:style w:type="paragraph" w:styleId="18">
    <w:name w:val="Body Text 2"/>
    <w:basedOn w:val="1"/>
    <w:qFormat/>
    <w:locked/>
    <w:uiPriority w:val="0"/>
    <w:pPr>
      <w:spacing w:line="400" w:lineRule="exact"/>
    </w:pPr>
    <w:rPr>
      <w:bCs/>
      <w:sz w:val="30"/>
      <w:szCs w:val="20"/>
    </w:rPr>
  </w:style>
  <w:style w:type="paragraph" w:styleId="19">
    <w:name w:val="Normal (Web)"/>
    <w:basedOn w:val="1"/>
    <w:link w:val="37"/>
    <w:qFormat/>
    <w:uiPriority w:val="0"/>
    <w:pPr>
      <w:widowControl/>
      <w:spacing w:before="100" w:beforeAutospacing="1" w:after="100" w:afterAutospacing="1"/>
      <w:jc w:val="left"/>
    </w:pPr>
    <w:rPr>
      <w:rFonts w:ascii="宋体" w:hAnsi="宋体"/>
      <w:kern w:val="0"/>
      <w:sz w:val="24"/>
      <w:szCs w:val="20"/>
    </w:rPr>
  </w:style>
  <w:style w:type="paragraph" w:styleId="20">
    <w:name w:val="annotation subject"/>
    <w:basedOn w:val="5"/>
    <w:next w:val="5"/>
    <w:link w:val="38"/>
    <w:semiHidden/>
    <w:qFormat/>
    <w:uiPriority w:val="0"/>
    <w:rPr>
      <w:b/>
      <w:kern w:val="2"/>
    </w:rPr>
  </w:style>
  <w:style w:type="paragraph" w:styleId="21">
    <w:name w:val="Body Text First Indent"/>
    <w:basedOn w:val="6"/>
    <w:qFormat/>
    <w:locked/>
    <w:uiPriority w:val="0"/>
    <w:pPr>
      <w:ind w:firstLine="420" w:firstLineChars="100"/>
    </w:pPr>
  </w:style>
  <w:style w:type="table" w:styleId="23">
    <w:name w:val="Table Grid"/>
    <w:basedOn w:val="22"/>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locked/>
    <w:uiPriority w:val="0"/>
    <w:rPr>
      <w:b/>
    </w:rPr>
  </w:style>
  <w:style w:type="character" w:styleId="26">
    <w:name w:val="page number"/>
    <w:basedOn w:val="24"/>
    <w:qFormat/>
    <w:locked/>
    <w:uiPriority w:val="0"/>
  </w:style>
  <w:style w:type="character" w:styleId="27">
    <w:name w:val="Emphasis"/>
    <w:basedOn w:val="24"/>
    <w:qFormat/>
    <w:locked/>
    <w:uiPriority w:val="0"/>
    <w:rPr>
      <w:i/>
    </w:rPr>
  </w:style>
  <w:style w:type="character" w:styleId="28">
    <w:name w:val="Hyperlink"/>
    <w:basedOn w:val="24"/>
    <w:qFormat/>
    <w:locked/>
    <w:uiPriority w:val="0"/>
    <w:rPr>
      <w:color w:val="0000FF"/>
      <w:u w:val="single"/>
    </w:rPr>
  </w:style>
  <w:style w:type="character" w:styleId="29">
    <w:name w:val="annotation reference"/>
    <w:basedOn w:val="24"/>
    <w:semiHidden/>
    <w:qFormat/>
    <w:uiPriority w:val="0"/>
    <w:rPr>
      <w:sz w:val="21"/>
    </w:rPr>
  </w:style>
  <w:style w:type="character" w:customStyle="1" w:styleId="30">
    <w:name w:val="批注文字 Char"/>
    <w:link w:val="5"/>
    <w:qFormat/>
    <w:locked/>
    <w:uiPriority w:val="0"/>
    <w:rPr>
      <w:rFonts w:ascii="Times New Roman" w:hAnsi="Times New Roman" w:eastAsia="宋体"/>
      <w:sz w:val="24"/>
    </w:rPr>
  </w:style>
  <w:style w:type="character" w:customStyle="1" w:styleId="31">
    <w:name w:val="正文文本 Char"/>
    <w:link w:val="6"/>
    <w:qFormat/>
    <w:locked/>
    <w:uiPriority w:val="0"/>
    <w:rPr>
      <w:sz w:val="18"/>
    </w:rPr>
  </w:style>
  <w:style w:type="character" w:customStyle="1" w:styleId="32">
    <w:name w:val="正文文本缩进 Char"/>
    <w:link w:val="8"/>
    <w:semiHidden/>
    <w:qFormat/>
    <w:locked/>
    <w:uiPriority w:val="0"/>
    <w:rPr>
      <w:rFonts w:ascii="Times New Roman" w:hAnsi="Times New Roman" w:eastAsia="宋体"/>
      <w:sz w:val="24"/>
    </w:rPr>
  </w:style>
  <w:style w:type="character" w:customStyle="1" w:styleId="33">
    <w:name w:val="日期 Char"/>
    <w:link w:val="11"/>
    <w:qFormat/>
    <w:locked/>
    <w:uiPriority w:val="0"/>
    <w:rPr>
      <w:rFonts w:ascii="Times New Roman" w:hAnsi="Times New Roman" w:eastAsia="宋体"/>
      <w:sz w:val="24"/>
    </w:rPr>
  </w:style>
  <w:style w:type="character" w:customStyle="1" w:styleId="34">
    <w:name w:val="批注框文本 Char"/>
    <w:link w:val="13"/>
    <w:semiHidden/>
    <w:qFormat/>
    <w:locked/>
    <w:uiPriority w:val="0"/>
    <w:rPr>
      <w:rFonts w:ascii="Times New Roman" w:hAnsi="Times New Roman" w:eastAsia="宋体"/>
      <w:sz w:val="18"/>
    </w:rPr>
  </w:style>
  <w:style w:type="character" w:customStyle="1" w:styleId="35">
    <w:name w:val="页脚 Char"/>
    <w:link w:val="14"/>
    <w:qFormat/>
    <w:locked/>
    <w:uiPriority w:val="99"/>
    <w:rPr>
      <w:sz w:val="18"/>
    </w:rPr>
  </w:style>
  <w:style w:type="character" w:customStyle="1" w:styleId="36">
    <w:name w:val="页眉 Char"/>
    <w:link w:val="15"/>
    <w:qFormat/>
    <w:locked/>
    <w:uiPriority w:val="0"/>
    <w:rPr>
      <w:sz w:val="18"/>
    </w:rPr>
  </w:style>
  <w:style w:type="character" w:customStyle="1" w:styleId="37">
    <w:name w:val="普通(网站) Char"/>
    <w:link w:val="19"/>
    <w:qFormat/>
    <w:locked/>
    <w:uiPriority w:val="0"/>
    <w:rPr>
      <w:rFonts w:ascii="宋体" w:hAnsi="宋体" w:eastAsia="宋体"/>
      <w:sz w:val="24"/>
    </w:rPr>
  </w:style>
  <w:style w:type="character" w:customStyle="1" w:styleId="38">
    <w:name w:val="批注主题 Char"/>
    <w:link w:val="20"/>
    <w:semiHidden/>
    <w:qFormat/>
    <w:locked/>
    <w:uiPriority w:val="0"/>
    <w:rPr>
      <w:rFonts w:ascii="Times New Roman" w:hAnsi="Times New Roman" w:eastAsia="宋体"/>
      <w:b/>
      <w:kern w:val="2"/>
      <w:sz w:val="24"/>
    </w:rPr>
  </w:style>
  <w:style w:type="paragraph" w:customStyle="1" w:styleId="39">
    <w:name w:val="Default"/>
    <w:basedOn w:val="40"/>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
    <w:name w:val="1 表头"/>
    <w:basedOn w:val="1"/>
    <w:qFormat/>
    <w:uiPriority w:val="0"/>
    <w:pPr>
      <w:adjustRightInd w:val="0"/>
      <w:snapToGrid w:val="0"/>
      <w:spacing w:line="240" w:lineRule="auto"/>
      <w:ind w:firstLine="0" w:firstLineChars="0"/>
      <w:jc w:val="center"/>
    </w:pPr>
    <w:rPr>
      <w:b/>
      <w:color w:val="000000"/>
      <w:sz w:val="21"/>
      <w:szCs w:val="21"/>
    </w:rPr>
  </w:style>
  <w:style w:type="character" w:customStyle="1" w:styleId="41">
    <w:name w:val="表格 Char"/>
    <w:link w:val="42"/>
    <w:qFormat/>
    <w:locked/>
    <w:uiPriority w:val="0"/>
    <w:rPr>
      <w:rFonts w:ascii="宋体"/>
      <w:sz w:val="21"/>
    </w:rPr>
  </w:style>
  <w:style w:type="paragraph" w:customStyle="1" w:styleId="42">
    <w:name w:val="表格"/>
    <w:basedOn w:val="4"/>
    <w:next w:val="1"/>
    <w:link w:val="41"/>
    <w:qFormat/>
    <w:uiPriority w:val="0"/>
    <w:pPr>
      <w:adjustRightInd w:val="0"/>
      <w:snapToGrid w:val="0"/>
      <w:spacing w:beforeLines="10" w:afterLines="10" w:line="259" w:lineRule="auto"/>
      <w:jc w:val="center"/>
    </w:pPr>
    <w:rPr>
      <w:rFonts w:ascii="宋体"/>
      <w:kern w:val="0"/>
      <w:szCs w:val="20"/>
    </w:rPr>
  </w:style>
  <w:style w:type="character" w:customStyle="1" w:styleId="43">
    <w:name w:val="批注文字 字符1"/>
    <w:semiHidden/>
    <w:qFormat/>
    <w:uiPriority w:val="0"/>
    <w:rPr>
      <w:rFonts w:ascii="Times New Roman" w:hAnsi="Times New Roman" w:eastAsia="宋体"/>
      <w:sz w:val="24"/>
    </w:rPr>
  </w:style>
  <w:style w:type="character" w:customStyle="1" w:styleId="44">
    <w:name w:val="页脚 字符"/>
    <w:basedOn w:val="24"/>
    <w:qFormat/>
    <w:uiPriority w:val="99"/>
  </w:style>
  <w:style w:type="character" w:customStyle="1" w:styleId="45">
    <w:name w:val="_Style 40"/>
    <w:basedOn w:val="24"/>
    <w:qFormat/>
    <w:uiPriority w:val="0"/>
    <w:rPr>
      <w:b/>
      <w:smallCaps/>
      <w:spacing w:val="5"/>
    </w:rPr>
  </w:style>
  <w:style w:type="character" w:customStyle="1" w:styleId="46">
    <w:name w:val="正文文本缩进 2 Char"/>
    <w:basedOn w:val="24"/>
    <w:qFormat/>
    <w:uiPriority w:val="0"/>
    <w:rPr>
      <w:rFonts w:eastAsia="宋体"/>
      <w:kern w:val="2"/>
      <w:sz w:val="28"/>
      <w:szCs w:val="24"/>
      <w:lang w:val="en-US" w:eastAsia="zh-CN" w:bidi="ar-SA"/>
    </w:rPr>
  </w:style>
  <w:style w:type="character" w:customStyle="1" w:styleId="47">
    <w:name w:val="正文文本 字符1"/>
    <w:semiHidden/>
    <w:qFormat/>
    <w:uiPriority w:val="0"/>
    <w:rPr>
      <w:rFonts w:ascii="Times New Roman" w:hAnsi="Times New Roman" w:eastAsia="宋体"/>
      <w:sz w:val="24"/>
    </w:rPr>
  </w:style>
  <w:style w:type="character" w:customStyle="1" w:styleId="48">
    <w:name w:val="_Style 1"/>
    <w:basedOn w:val="24"/>
    <w:qFormat/>
    <w:uiPriority w:val="0"/>
    <w:rPr>
      <w:b/>
      <w:smallCaps/>
      <w:spacing w:val="5"/>
    </w:rPr>
  </w:style>
  <w:style w:type="character" w:customStyle="1" w:styleId="49">
    <w:name w:val="_Style 11"/>
    <w:basedOn w:val="24"/>
    <w:qFormat/>
    <w:uiPriority w:val="0"/>
    <w:rPr>
      <w:b/>
      <w:smallCaps/>
      <w:spacing w:val="5"/>
    </w:rPr>
  </w:style>
  <w:style w:type="character" w:customStyle="1" w:styleId="50">
    <w:name w:val="日期 字符"/>
    <w:semiHidden/>
    <w:qFormat/>
    <w:uiPriority w:val="0"/>
    <w:rPr>
      <w:rFonts w:ascii="Times New Roman" w:hAnsi="Times New Roman" w:eastAsia="宋体"/>
      <w:sz w:val="24"/>
    </w:rPr>
  </w:style>
  <w:style w:type="character" w:customStyle="1" w:styleId="51">
    <w:name w:val="content1"/>
    <w:basedOn w:val="24"/>
    <w:qFormat/>
    <w:uiPriority w:val="0"/>
    <w:rPr>
      <w:color w:val="000000"/>
      <w:sz w:val="20"/>
      <w:szCs w:val="20"/>
    </w:rPr>
  </w:style>
  <w:style w:type="character" w:customStyle="1" w:styleId="52">
    <w:name w:val="unnamed11"/>
    <w:qFormat/>
    <w:uiPriority w:val="0"/>
    <w:rPr>
      <w:sz w:val="21"/>
      <w:szCs w:val="21"/>
    </w:rPr>
  </w:style>
  <w:style w:type="paragraph" w:customStyle="1" w:styleId="53">
    <w:name w:val="表格文字"/>
    <w:basedOn w:val="6"/>
    <w:qFormat/>
    <w:uiPriority w:val="0"/>
    <w:pPr>
      <w:tabs>
        <w:tab w:val="left" w:pos="972"/>
      </w:tabs>
      <w:spacing w:after="0"/>
      <w:jc w:val="center"/>
    </w:pPr>
    <w:rPr>
      <w:rFonts w:ascii="宋体" w:hAnsi="宋体"/>
      <w:color w:val="000000"/>
      <w:kern w:val="40"/>
      <w:sz w:val="18"/>
      <w:szCs w:val="30"/>
    </w:rPr>
  </w:style>
  <w:style w:type="paragraph" w:customStyle="1" w:styleId="54">
    <w:name w:val="标1"/>
    <w:basedOn w:val="1"/>
    <w:qFormat/>
    <w:uiPriority w:val="0"/>
    <w:pPr>
      <w:spacing w:before="60" w:beforeLines="0" w:beforeAutospacing="0" w:line="460" w:lineRule="exact"/>
      <w:outlineLvl w:val="0"/>
    </w:pPr>
    <w:rPr>
      <w:rFonts w:ascii="Times New Roman" w:hAnsi="Times New Roman" w:eastAsia="宋体" w:cs="Times New Roman"/>
      <w:b/>
      <w:kern w:val="2"/>
      <w:sz w:val="32"/>
      <w:lang w:val="en-US" w:eastAsia="zh-CN"/>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paragraph" w:customStyle="1" w:styleId="56">
    <w:name w:val="表中文字"/>
    <w:basedOn w:val="57"/>
    <w:qFormat/>
    <w:uiPriority w:val="0"/>
    <w:pPr>
      <w:widowControl/>
      <w:jc w:val="center"/>
    </w:pPr>
    <w:rPr>
      <w:kern w:val="0"/>
      <w:sz w:val="21"/>
    </w:rPr>
  </w:style>
  <w:style w:type="paragraph" w:customStyle="1" w:styleId="57">
    <w:name w:val="Table Text"/>
    <w:basedOn w:val="1"/>
    <w:semiHidden/>
    <w:qFormat/>
    <w:uiPriority w:val="0"/>
    <w:pPr>
      <w:widowControl/>
      <w:kinsoku w:val="0"/>
      <w:autoSpaceDE w:val="0"/>
      <w:autoSpaceDN w:val="0"/>
      <w:spacing w:line="240" w:lineRule="auto"/>
      <w:ind w:firstLine="0" w:firstLineChars="0"/>
      <w:jc w:val="left"/>
    </w:pPr>
    <w:rPr>
      <w:rFonts w:ascii="宋体" w:hAnsi="宋体" w:cs="宋体"/>
      <w:color w:val="000000"/>
      <w:kern w:val="0"/>
      <w:sz w:val="20"/>
      <w:szCs w:val="20"/>
      <w:lang w:eastAsia="en-US"/>
    </w:rPr>
  </w:style>
  <w:style w:type="paragraph" w:customStyle="1" w:styleId="58">
    <w:name w:val="中文报告书样式"/>
    <w:basedOn w:val="1"/>
    <w:qFormat/>
    <w:uiPriority w:val="0"/>
    <w:pPr>
      <w:adjustRightInd w:val="0"/>
      <w:spacing w:line="480" w:lineRule="atLeast"/>
      <w:ind w:firstLine="482"/>
      <w:textAlignment w:val="baseline"/>
    </w:pPr>
    <w:rPr>
      <w:rFonts w:ascii="Times New Roman" w:hAnsi="Times New Roman" w:eastAsia="宋体" w:cs="Times New Roman"/>
      <w:kern w:val="24"/>
      <w:sz w:val="24"/>
    </w:rPr>
  </w:style>
  <w:style w:type="paragraph" w:customStyle="1" w:styleId="59">
    <w:name w:val="正文文字缩进"/>
    <w:basedOn w:val="1"/>
    <w:qFormat/>
    <w:uiPriority w:val="0"/>
    <w:pPr>
      <w:spacing w:line="440" w:lineRule="exact"/>
      <w:ind w:firstLine="425" w:firstLineChars="177"/>
    </w:pPr>
    <w:rPr>
      <w:rFonts w:ascii="Calibri" w:hAnsi="Calibri"/>
      <w:bCs/>
      <w:sz w:val="24"/>
      <w:szCs w:val="22"/>
    </w:rPr>
  </w:style>
  <w:style w:type="paragraph" w:customStyle="1" w:styleId="60">
    <w:name w:val="aa正文 Char Char"/>
    <w:basedOn w:val="1"/>
    <w:qFormat/>
    <w:uiPriority w:val="0"/>
    <w:pPr>
      <w:spacing w:line="500" w:lineRule="exact"/>
      <w:ind w:firstLine="561"/>
    </w:pPr>
    <w:rPr>
      <w:rFonts w:eastAsia="Times New Roman"/>
      <w:sz w:val="24"/>
    </w:rPr>
  </w:style>
  <w:style w:type="paragraph" w:customStyle="1" w:styleId="61">
    <w:name w:val="正文的的3"/>
    <w:basedOn w:val="1"/>
    <w:qFormat/>
    <w:uiPriority w:val="0"/>
    <w:pPr>
      <w:spacing w:line="360" w:lineRule="auto"/>
      <w:ind w:firstLine="200" w:firstLineChars="200"/>
      <w:jc w:val="left"/>
    </w:pPr>
    <w:rPr>
      <w:rFonts w:cs="Arial"/>
      <w:bCs/>
      <w:sz w:val="28"/>
      <w:szCs w:val="28"/>
    </w:rPr>
  </w:style>
  <w:style w:type="paragraph" w:customStyle="1" w:styleId="62">
    <w:name w:val="表"/>
    <w:basedOn w:val="1"/>
    <w:qFormat/>
    <w:uiPriority w:val="0"/>
    <w:pPr>
      <w:snapToGrid w:val="0"/>
      <w:jc w:val="center"/>
    </w:pPr>
    <w:rPr>
      <w:rFonts w:ascii="Times New Roman" w:hAnsi="Times New Roman" w:eastAsia="宋体" w:cs="Times New Roman"/>
      <w:spacing w:val="2"/>
    </w:rPr>
  </w:style>
  <w:style w:type="paragraph" w:customStyle="1" w:styleId="63">
    <w:name w:val="正文 New New New New New New New New New New New New New New New New New New New New New New New New New New New New New New New New New New New New New New New New New New New New New New New New New New New New New New New New New New New New New New 3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表格内容"/>
    <w:basedOn w:val="1"/>
    <w:qFormat/>
    <w:uiPriority w:val="0"/>
    <w:pPr>
      <w:widowControl/>
      <w:suppressAutoHyphens/>
      <w:spacing w:line="280" w:lineRule="exact"/>
      <w:ind w:firstLine="0" w:firstLineChars="0"/>
      <w:jc w:val="center"/>
    </w:pPr>
    <w:rPr>
      <w:spacing w:val="0"/>
      <w:kern w:val="1"/>
      <w:sz w:val="21"/>
      <w:szCs w:val="20"/>
      <w:lang w:eastAsia="ar-SA"/>
    </w:rPr>
  </w:style>
  <w:style w:type="paragraph" w:customStyle="1" w:styleId="65">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66">
    <w:name w:val="样式 样式 (中文) 楷体_GB2312 四号 行距: 固定值 26 磅 +"/>
    <w:basedOn w:val="1"/>
    <w:qFormat/>
    <w:uiPriority w:val="0"/>
    <w:pPr>
      <w:spacing w:line="360" w:lineRule="auto"/>
      <w:ind w:firstLine="480" w:firstLineChars="200"/>
    </w:pPr>
    <w:rPr>
      <w:kern w:val="0"/>
      <w:sz w:val="24"/>
    </w:rPr>
  </w:style>
  <w:style w:type="paragraph" w:customStyle="1" w:styleId="67">
    <w:name w:val="表头1"/>
    <w:basedOn w:val="1"/>
    <w:qFormat/>
    <w:uiPriority w:val="0"/>
    <w:pPr>
      <w:tabs>
        <w:tab w:val="left" w:pos="5280"/>
      </w:tabs>
      <w:autoSpaceDE w:val="0"/>
      <w:autoSpaceDN w:val="0"/>
      <w:adjustRightInd w:val="0"/>
      <w:snapToGrid w:val="0"/>
      <w:ind w:firstLine="422"/>
      <w:jc w:val="center"/>
      <w:textAlignment w:val="baseline"/>
    </w:pPr>
    <w:rPr>
      <w:b/>
      <w:color w:val="auto"/>
      <w:spacing w:val="0"/>
      <w:kern w:val="16"/>
      <w:sz w:val="21"/>
      <w:szCs w:val="20"/>
    </w:rPr>
  </w:style>
  <w:style w:type="paragraph" w:customStyle="1" w:styleId="68">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Table Paragraph"/>
    <w:basedOn w:val="1"/>
    <w:qFormat/>
    <w:uiPriority w:val="1"/>
    <w:rPr>
      <w:rFonts w:ascii="宋体" w:hAnsi="宋体" w:eastAsia="宋体" w:cs="宋体"/>
      <w:lang w:val="zh-CN" w:eastAsia="zh-CN" w:bidi="zh-CN"/>
    </w:rPr>
  </w:style>
  <w:style w:type="paragraph" w:customStyle="1" w:styleId="70">
    <w:name w:val="新表格"/>
    <w:basedOn w:val="1"/>
    <w:qFormat/>
    <w:uiPriority w:val="0"/>
    <w:pPr>
      <w:snapToGrid w:val="0"/>
      <w:spacing w:line="264" w:lineRule="auto"/>
      <w:jc w:val="center"/>
    </w:pPr>
    <w:rPr>
      <w:bCs/>
      <w:kern w:val="0"/>
      <w:szCs w:val="21"/>
    </w:rPr>
  </w:style>
  <w:style w:type="paragraph" w:customStyle="1" w:styleId="71">
    <w:name w:val="正文缩进 New New New New New"/>
    <w:basedOn w:val="63"/>
    <w:qFormat/>
    <w:uiPriority w:val="0"/>
    <w:pPr>
      <w:spacing w:beforeLines="50" w:afterLines="50" w:line="460" w:lineRule="exact"/>
      <w:ind w:firstLine="420" w:firstLineChars="200"/>
      <w:jc w:val="left"/>
    </w:pPr>
    <w:rPr>
      <w:b/>
      <w:sz w:val="24"/>
    </w:rPr>
  </w:style>
  <w:style w:type="paragraph" w:customStyle="1" w:styleId="72">
    <w:name w:val="图表名称"/>
    <w:basedOn w:val="6"/>
    <w:next w:val="1"/>
    <w:qFormat/>
    <w:uiPriority w:val="0"/>
    <w:pPr>
      <w:spacing w:line="360" w:lineRule="auto"/>
      <w:jc w:val="center"/>
    </w:pPr>
    <w:rPr>
      <w:b/>
      <w:bCs/>
      <w:spacing w:val="5"/>
      <w:szCs w:val="20"/>
      <w:lang w:eastAsia="zh-CN"/>
    </w:rPr>
  </w:style>
  <w:style w:type="table" w:customStyle="1" w:styleId="73">
    <w:name w:val="Table Normal"/>
    <w:semiHidden/>
    <w:qFormat/>
    <w:uiPriority w:val="0"/>
    <w:pPr>
      <w:snapToGrid w:val="0"/>
    </w:pPr>
    <w:rPr>
      <w:rFonts w:ascii="Arial" w:hAnsi="Arial" w:eastAsia="Times New Roman" w:cs="Arial"/>
      <w:color w:val="000000"/>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TE0MTQ4MjU3NTEyIiwKCSJHcm91cElkIiA6ICI2Nzc4ODA5NjkiLAoJIkltYWdlIiA6ICJpVkJPUncwS0dnb0FBQUFOU1VoRVVnQUFCTGNBQUFMV0NBWUFBQUMwZ0hITEFBQUFBWE5TUjBJQXJzNGM2UUFBSUFCSlJFRlVlSnpzM1hsOFZOWGR4L0h2dVRPVGhKQWdLQUpGTEZoUU1FQXlkeUtJV3hVVnE3aTBWZ3RxclZWeEtRL1lJZ3B0VlZSQXE2Z1ZxNlYxeFkzSEtoYXRpcmJTdXRWSGNjdk1KRUFRUVVDSlVoWWhCTWcrOXp4L1pKSm1KeUF3R2ZpOFh5OWZ6Tng3enJtL083NjRZYjQ1OTF3Sk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tCZC94L09pNWtvUjdRd0tnQUFBQUJKUlU1RXJrSmdnZz09IiwKCSJUaGVtZSIgOiAiIiwKCSJUeXBlIiA6ICJmbG93IiwKCSJVc2VySWQiIDogIjU5ODM4MzM1NCIsCgkiVmVyc2lvbiIgOiAiNjkiCn0K"/>
    </extobj>
    <extobj name="ECB019B1-382A-4266-B25C-5B523AA43C14-2">
      <extobjdata type="ECB019B1-382A-4266-B25C-5B523AA43C14" data="ewoJIkZpbGVJZCIgOiAiNTA4OTQ4NzUxMTE3IiwKCSJHcm91cElkIiA6ICI2Nzc4ODA5NjkiLAoJIkltYWdlIiA6ICJpVkJPUncwS0dnb0FBQUFOU1VoRVVnQUFCTUlBQUFXTENBWUFBQURSVnhxd0FBQUFBWE5TUjBJQXJzNGM2UUFBSUFCSlJFRlVlSnpzM1hsOFZPWGQvLy8zNTh4a1l3MGdGaFZycWxFUk1KbHpzRUtyVnV0YXJiWFdhbnZmMWE3NmRhblZXamU4cTYzVjF2cnJyYmJlNnEzaVVyWGFZaXRZdFZhcHQzV3BDeUFtTXdraGdGSkV4UVdSTllRc00zT3UzeCtaaWRtQUFDRUR6T3Y1ZU9UaHpIV3VjODdueEF5VGVlZTZyaU1C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mUS93ZEQ1V3pITFJENVh3QUFBQUJKUlU1RXJrSmdnZz09IiwKCSJUaGVtZSIgOiAiIiwKCSJUeXBlIiA6ICJmbG93IiwKCSJVc2VySWQiIDogIjU5ODM4MzM1NCIsCgkiVmVyc2lvbiIgOiAiNzUiCn0K"/>
    </extobj>
  </extobjs>
</s:customData>
</file>

<file path=customXml/item2.xml><?xml version="1.0" encoding="utf-8"?>
<contractReview xmlns="http://schemas.wps.cn/vas-ai-hub/contract-review">
  <reviewItems>
    <reviewItem>
      <errorID>146b479a-077b-4a04-bbab-a6843e537e54</errorID>
      <errorWord>古</errorWord>
      <group>L1_Word</group>
      <groupName>字词问题</groupName>
      <ability>L2_Typo</ability>
      <abilityName>字词错误</abilityName>
      <candidateList>
        <item>古族</item>
      </candidateList>
      <explain/>
      <paraID>19C40AFB</paraID>
      <start>6</start>
      <end>7</end>
      <status>ignored</status>
      <modifiedWord/>
      <trackRevisions>false</trackRevisions>
    </reviewItem>
    <reviewItem>
      <errorID>23f118bb-5f58-4458-a65a-18c33c1966a9</errorID>
      <errorWord>大区污染</errorWord>
      <group>L1_Word</group>
      <groupName>字词问题</groupName>
      <ability>L2_Typo</ability>
      <abilityName>字词错误</abilityName>
      <candidateList>
        <item>大气污染</item>
      </candidateList>
      <explain/>
      <paraID> 51E9DF8</paraID>
      <start>48</start>
      <end>52</end>
      <status>modified</status>
      <modifiedWord>大气污染</modifiedWord>
      <trackRevisions>false</trackRevisions>
    </reviewItem>
    <reviewItem>
      <errorID>ca9aaec5-b0e6-4b30-a55e-d7cbe37055a7</errorID>
      <errorWord>程</errorWord>
      <group>L1_Word</group>
      <groupName>字词问题</groupName>
      <ability>L2_Typo</ability>
      <abilityName>字词错误</abilityName>
      <candidateList>
        <item>程中</item>
      </candidateList>
      <explain/>
      <paraID>6729DDFF</paraID>
      <start>104</start>
      <end>106</end>
      <status>modified</status>
      <modifiedWord>程中</modifiedWord>
      <trackRevisions>false</trackRevisions>
    </reviewItem>
    <reviewItem>
      <errorID>e1c2163c-4b98-4e46-b360-f78debc1c85c</errorID>
      <errorWord>放控</errorWord>
      <group>L1_Word</group>
      <groupName>字词问题</groupName>
      <ability>L2_Typo</ability>
      <abilityName>字词错误</abilityName>
      <candidateList>
        <item>防控</item>
      </candidateList>
      <explain/>
      <paraID>1FDA6FC6</paraID>
      <start>0</start>
      <end>2</end>
      <status>ignored</status>
      <modifiedWord/>
      <trackRevisions>false</trackRevisions>
    </reviewItem>
    <reviewItem>
      <errorID>d89b2c5e-94bc-4699-86c9-1396934073d1</errorID>
      <errorWord>*</errorWord>
      <group>L1_Punc</group>
      <groupName>标点问题</groupName>
      <ability>L2_Punc_CN</ability>
      <abilityName>标点符号问题</abilityName>
      <candidateList/>
      <explain/>
      <paraID>313BE4DD</paraID>
      <start>0</start>
      <end>1</end>
      <status>unmodified</status>
      <modifiedWord/>
      <trackRevisions>false</trackRevisions>
    </reviewItem>
    <reviewItem>
      <errorID>be430815-0f18-4b5f-b494-e4014abca09c</errorID>
      <errorWord>-</errorWord>
      <group>L1_Format</group>
      <groupName>格式问题</groupName>
      <ability>L2_HalfPunc_CN</ability>
      <abilityName>全半角问题</abilityName>
      <candidateList>
        <item>－</item>
      </candidateList>
      <explain>文本全半角错误。</explain>
      <paraID>  B63661</paraID>
      <start>58</start>
      <end>59</end>
      <status>unmodified</status>
      <modifiedWord/>
      <trackRevisions>false</trackRevisions>
    </reviewItem>
    <reviewItem>
      <errorID>b089750b-8459-4b39-b115-190fee2e804f</errorID>
      <errorWord>-</errorWord>
      <group>L1_Format</group>
      <groupName>格式问题</groupName>
      <ability>L2_HalfPunc_CN</ability>
      <abilityName>全半角问题</abilityName>
      <candidateList>
        <item>－</item>
      </candidateList>
      <explain>文本全半角错误。</explain>
      <paraID>2C063974</paraID>
      <start>166</start>
      <end>167</end>
      <status>unmodified</status>
      <modifiedWord/>
      <trackRevisions>false</trackRevisions>
    </reviewItem>
    <reviewItem>
      <errorID>809d6053-116a-402e-9dfa-6a5675bbd29d</errorID>
      <errorWord>)</errorWord>
      <group>L1_Format</group>
      <groupName>格式问题</groupName>
      <ability>L2_HalfPunc_CN</ability>
      <abilityName>全半角问题</abilityName>
      <candidateList>
        <item>）</item>
      </candidateList>
      <explain>文本全半角错误。</explain>
      <paraID>17FE15A3</paraID>
      <start>48</start>
      <end>49</end>
      <status>unmodified</status>
      <modifiedWord/>
      <trackRevisions>false</trackRevisions>
    </reviewItem>
    <reviewItem>
      <errorID>8582fd3b-707d-4d96-a335-e8d97220f790</errorID>
      <errorWord>北</errorWord>
      <group>L1_Word</group>
      <groupName>字词问题</groupName>
      <ability>L2_Typo</ability>
      <abilityName>字词错误</abilityName>
      <candidateList>
        <item>被</item>
      </candidateList>
      <explain/>
      <paraID>2C8EB320</paraID>
      <start>0</start>
      <end>1</end>
      <status>unmodified</status>
      <modifiedWord/>
      <trackRevisions>false</trackRevisions>
    </reviewItem>
    <reviewItem>
      <errorID>5fc2097f-1c73-4cb3-bd6d-9d7e49c241f8</errorID>
      <errorWord>北</errorWord>
      <group>L1_Word</group>
      <groupName>字词问题</groupName>
      <ability>L2_Typo</ability>
      <abilityName>字词错误</abilityName>
      <candidateList>
        <item>被</item>
      </candidateList>
      <explain/>
      <paraID>778B3D94</paraID>
      <start>0</start>
      <end>1</end>
      <status>unmodified</status>
      <modifiedWord/>
      <trackRevisions>false</trackRevisions>
    </reviewItem>
    <reviewItem>
      <errorID>bad1b228-ac27-42b8-901e-83dcf6bc403f</errorID>
      <errorWord>北</errorWord>
      <group>L1_Word</group>
      <groupName>字词问题</groupName>
      <ability>L2_Typo</ability>
      <abilityName>字词错误</abilityName>
      <candidateList>
        <item>被</item>
      </candidateList>
      <explain/>
      <paraID>796C5155</paraID>
      <start>0</start>
      <end>1</end>
      <status>unmodified</status>
      <modifiedWord/>
      <trackRevisions>false</trackRevisions>
    </reviewItem>
    <reviewItem>
      <errorID>004c8022-4c60-4e4e-8b37-ebab2d02ec8a</errorID>
      <errorWord>北</errorWord>
      <group>L1_Word</group>
      <groupName>字词问题</groupName>
      <ability>L2_Typo</ability>
      <abilityName>字词错误</abilityName>
      <candidateList>
        <item>被</item>
      </candidateList>
      <explain/>
      <paraID>3076A9C3</paraID>
      <start>0</start>
      <end>1</end>
      <status>unmodified</status>
      <modifiedWord/>
      <trackRevisions>false</trackRevisions>
    </reviewItem>
    <reviewItem>
      <errorID>8b6cebab-e26d-432f-8ebd-def1bca8290f</errorID>
      <errorWord>（</errorWord>
      <group>L1_Punc</group>
      <groupName>标点问题</groupName>
      <ability>L2_Punc_CN</ability>
      <abilityName>标点符号问题</abilityName>
      <candidateList/>
      <explain>同一形式括号套用。</explain>
      <paraID>5DF6713E</paraID>
      <start>3</start>
      <end>4</end>
      <status>unmodified</status>
      <modifiedWord/>
      <trackRevisions>false</trackRevisions>
    </reviewItem>
    <reviewItem>
      <errorID>9fa7c75b-d4af-4d2f-8594-79638a789ed3</errorID>
      <errorWord>(</errorWord>
      <group>L1_Punc</group>
      <groupName>标点问题</groupName>
      <ability>L2_Punc_CN</ability>
      <abilityName>标点符号问题</abilityName>
      <candidateList/>
      <explain>同一形式括号套用。</explain>
      <paraID>5DF6713E</paraID>
      <start>6</start>
      <end>7</end>
      <status>unmodified</status>
      <modifiedWord/>
      <trackRevisions>false</trackRevisions>
    </reviewItem>
    <reviewItem>
      <errorID>4587e96a-efd6-4d72-8fc9-a93153ca1c08</errorID>
      <errorWord>)</errorWord>
      <group>L1_Punc</group>
      <groupName>标点问题</groupName>
      <ability>L2_Punc_CN</ability>
      <abilityName>标点符号问题</abilityName>
      <candidateList/>
      <explain>同一形式括号套用。</explain>
      <paraID>5DF6713E</paraID>
      <start>8</start>
      <end>9</end>
      <status>unmodified</status>
      <modifiedWord/>
      <trackRevisions>false</trackRevisions>
    </reviewItem>
    <reviewItem>
      <errorID>f2977e90-d6a0-4dbe-a0d5-1039897bea92</errorID>
      <errorWord>）</errorWord>
      <group>L1_Punc</group>
      <groupName>标点问题</groupName>
      <ability>L2_Punc_CN</ability>
      <abilityName>标点符号问题</abilityName>
      <candidateList/>
      <explain>同一形式括号套用。</explain>
      <paraID>5DF6713E</paraID>
      <start>9</start>
      <end>10</end>
      <status>unmodified</status>
      <modifiedWord/>
      <trackRevisions>false</trackRevisions>
    </reviewItem>
    <reviewItem>
      <errorID>a3ca40a6-031c-43cb-85b3-84cd75054b77</errorID>
      <errorWord>（</errorWord>
      <group>L1_Punc</group>
      <groupName>标点问题</groupName>
      <ability>L2_Punc_CN</ability>
      <abilityName>标点符号问题</abilityName>
      <candidateList/>
      <explain>同一形式括号套用。</explain>
      <paraID>262B515D</paraID>
      <start>4</start>
      <end>5</end>
      <status>unmodified</status>
      <modifiedWord/>
      <trackRevisions>false</trackRevisions>
    </reviewItem>
    <reviewItem>
      <errorID>e868da5d-3fdb-4869-bcb2-915a6beb17eb</errorID>
      <errorWord>(</errorWord>
      <group>L1_Punc</group>
      <groupName>标点问题</groupName>
      <ability>L2_Punc_CN</ability>
      <abilityName>标点符号问题</abilityName>
      <candidateList/>
      <explain>同一形式括号套用。</explain>
      <paraID>262B515D</paraID>
      <start>7</start>
      <end>8</end>
      <status>unmodified</status>
      <modifiedWord/>
      <trackRevisions>false</trackRevisions>
    </reviewItem>
    <reviewItem>
      <errorID>565b461d-bcd5-4b5b-a9e2-eecdb55ea418</errorID>
      <errorWord>)</errorWord>
      <group>L1_Punc</group>
      <groupName>标点问题</groupName>
      <ability>L2_Punc_CN</ability>
      <abilityName>标点符号问题</abilityName>
      <candidateList/>
      <explain>同一形式括号套用。</explain>
      <paraID>262B515D</paraID>
      <start>9</start>
      <end>10</end>
      <status>unmodified</status>
      <modifiedWord/>
      <trackRevisions>false</trackRevisions>
    </reviewItem>
    <reviewItem>
      <errorID>c3d84799-550b-45b9-9f12-0c8efdd9f4ab</errorID>
      <errorWord>）</errorWord>
      <group>L1_Punc</group>
      <groupName>标点问题</groupName>
      <ability>L2_Punc_CN</ability>
      <abilityName>标点符号问题</abilityName>
      <candidateList/>
      <explain>同一形式括号套用。</explain>
      <paraID>262B515D</paraID>
      <start>10</start>
      <end>11</end>
      <status>unmodified</status>
      <modifiedWord/>
      <trackRevisions>false</trackRevisions>
    </reviewItem>
    <reviewItem>
      <errorID>97af0e30-2801-4f39-a2b0-a1c982209af1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FF884A8</paraID>
      <start>73</start>
      <end>74</end>
      <status>unmodified</status>
      <modifiedWord/>
      <trackRevisions>false</trackRevisions>
    </reviewItem>
    <reviewItem>
      <errorID>7076c471-468e-4aaa-b9a7-154e8a50a8f1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FF884A8</paraID>
      <start>112</start>
      <end>113</end>
      <status>unmodified</status>
      <modifiedWord/>
      <trackRevisions>false</trackRevisions>
    </reviewItem>
    <reviewItem>
      <errorID>29838d68-7829-4574-bef5-69ab0afae8cb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6BE81AE1</paraID>
      <start>89</start>
      <end>90</end>
      <status>unmodified</status>
      <modifiedWord/>
      <trackRevisions>false</trackRevisions>
    </reviewItem>
    <reviewItem>
      <errorID>df470277-b523-44ba-9609-09a0f4760388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6BE81AE1</paraID>
      <start>133</start>
      <end>134</end>
      <status>unmodified</status>
      <modifiedWord/>
      <trackRevisions>false</trackRevisions>
    </reviewItem>
    <reviewItem>
      <errorID>4443a664-e64a-4dc7-81c3-5e60172a6f6b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38736E71</paraID>
      <start>348</start>
      <end>349</end>
      <status>unmodified</status>
      <modifiedWord/>
      <trackRevisions>false</trackRevisions>
    </reviewItem>
    <reviewItem>
      <errorID>d5d6ce57-23b3-49d7-8bf3-2fbda4c9fc87</errorID>
      <errorWord>程</errorWord>
      <group>L1_Word</group>
      <groupName>字词问题</groupName>
      <ability>L2_Typo</ability>
      <abilityName>字词错误</abilityName>
      <candidateList>
        <item>程中</item>
      </candidateList>
      <explain/>
      <paraID>5F557814</paraID>
      <start>36</start>
      <end>38</end>
      <status>modified</status>
      <modifiedWord>程中</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3ff0f3-aa8a-4b59-b7b1-2fd240a12c5a}">
  <ds:schemaRefs/>
</ds:datastoreItem>
</file>

<file path=docProps/app.xml><?xml version="1.0" encoding="utf-8"?>
<Properties xmlns="http://schemas.openxmlformats.org/officeDocument/2006/extended-properties" xmlns:vt="http://schemas.openxmlformats.org/officeDocument/2006/docPropsVTypes">
  <Template>wdzx97.dot</Template>
  <Company>微软中国</Company>
  <Pages>66</Pages>
  <Words>13248</Words>
  <Characters>14460</Characters>
  <Lines>213</Lines>
  <Paragraphs>60</Paragraphs>
  <TotalTime>0</TotalTime>
  <ScaleCrop>false</ScaleCrop>
  <LinksUpToDate>false</LinksUpToDate>
  <CharactersWithSpaces>14591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2021-09-29T10:18:00Z</dcterms:created>
  <dc:creator>lhj</dc:creator>
  <cp:lastModifiedBy>不是没有木鱼吗</cp:lastModifiedBy>
  <cp:lastPrinted>2022-06-21T04:28:00Z</cp:lastPrinted>
  <dcterms:modified xsi:type="dcterms:W3CDTF">2026-09-14T04:57:47Z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EA07D1AEDC7D427398F90E09E1653082_13</vt:lpwstr>
  </property>
  <property fmtid="{D5CDD505-2E9C-101B-9397-08002B2CF9AE}" pid="4" name="KSOTemplateDocerSaveRecord">
    <vt:lpwstr>eyJoZGlkIjoiZjNiMjU4ZWEzZDg4MjQ2NjMyZTA2YWExZmM2YjNlNGIiLCJ1c2VySWQiOiI1OTgzODMzNTQifQ==</vt:lpwstr>
  </property>
</Properties>
</file>