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emf" ContentType="image/x-emf"/>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D7360C">
      <w:pPr>
        <w:rPr>
          <w:rFonts w:hint="eastAsia" w:ascii="仿宋_GB2312" w:hAnsi="仿宋_GB2312" w:eastAsia="仿宋_GB2312" w:cs="仿宋_GB2312"/>
          <w:sz w:val="36"/>
          <w:szCs w:val="36"/>
          <w:lang w:eastAsia="zh-CN"/>
        </w:rPr>
      </w:pPr>
    </w:p>
    <w:p w14:paraId="0D382F63">
      <w:pPr>
        <w:rPr>
          <w:rFonts w:ascii="仿宋_GB2312" w:hAnsi="仿宋_GB2312" w:eastAsia="仿宋_GB2312" w:cs="仿宋_GB2312"/>
          <w:sz w:val="36"/>
          <w:szCs w:val="36"/>
        </w:rPr>
      </w:pPr>
    </w:p>
    <w:p w14:paraId="3996F806">
      <w:pPr>
        <w:rPr>
          <w:rFonts w:hint="eastAsia" w:ascii="仿宋_GB2312" w:hAnsi="仿宋_GB2312" w:eastAsia="仿宋_GB2312" w:cs="仿宋_GB2312"/>
          <w:sz w:val="36"/>
          <w:szCs w:val="36"/>
        </w:rPr>
      </w:pPr>
    </w:p>
    <w:p w14:paraId="626B1BB0">
      <w:pPr>
        <w:adjustRightInd w:val="0"/>
        <w:snapToGrid w:val="0"/>
        <w:jc w:val="center"/>
        <w:outlineLvl w:val="0"/>
        <w:rPr>
          <w:rFonts w:hint="eastAsia" w:ascii="方正小标宋_GBK" w:eastAsia="方正小标宋_GBK"/>
          <w:bCs/>
          <w:sz w:val="60"/>
          <w:szCs w:val="60"/>
        </w:rPr>
      </w:pPr>
      <w:r>
        <w:rPr>
          <w:rFonts w:hint="eastAsia" w:ascii="方正小标宋_GBK" w:eastAsia="方正小标宋_GBK"/>
          <w:bCs/>
          <w:sz w:val="60"/>
          <w:szCs w:val="60"/>
        </w:rPr>
        <w:t>建设项目</w:t>
      </w:r>
      <w:r>
        <w:rPr>
          <w:rFonts w:hint="eastAsia" w:ascii="方正小标宋_GBK" w:eastAsia="方正小标宋_GBK"/>
          <w:bCs/>
          <w:sz w:val="60"/>
          <w:szCs w:val="60"/>
          <w:lang w:val="en-US" w:eastAsia="zh-CN"/>
        </w:rPr>
        <w:t>生态</w:t>
      </w:r>
      <w:r>
        <w:rPr>
          <w:rFonts w:hint="eastAsia" w:ascii="方正小标宋_GBK" w:eastAsia="方正小标宋_GBK"/>
          <w:bCs/>
          <w:sz w:val="60"/>
          <w:szCs w:val="60"/>
        </w:rPr>
        <w:t>环境影响报告表</w:t>
      </w:r>
    </w:p>
    <w:p w14:paraId="1F6853DB">
      <w:pPr>
        <w:adjustRightInd w:val="0"/>
        <w:snapToGrid w:val="0"/>
        <w:spacing w:before="192" w:beforeLines="80"/>
        <w:jc w:val="center"/>
        <w:rPr>
          <w:rFonts w:hint="eastAsia" w:ascii="楷体_GB2312" w:eastAsia="楷体_GB2312"/>
          <w:bCs/>
          <w:sz w:val="48"/>
          <w:szCs w:val="48"/>
        </w:rPr>
      </w:pPr>
      <w:r>
        <w:rPr>
          <w:rFonts w:hint="eastAsia" w:ascii="楷体_GB2312" w:eastAsia="楷体_GB2312"/>
          <w:bCs/>
          <w:sz w:val="48"/>
          <w:szCs w:val="48"/>
        </w:rPr>
        <w:t>（污染影响类）</w:t>
      </w:r>
    </w:p>
    <w:p w14:paraId="399D5D0F">
      <w:pPr>
        <w:adjustRightInd w:val="0"/>
        <w:snapToGrid w:val="0"/>
        <w:spacing w:line="288" w:lineRule="auto"/>
        <w:jc w:val="center"/>
        <w:outlineLvl w:val="0"/>
        <w:rPr>
          <w:rFonts w:ascii="华文仿宋" w:hAnsi="华文仿宋" w:eastAsia="华文仿宋" w:cs="华文仿宋"/>
          <w:color w:val="000000"/>
          <w:kern w:val="44"/>
          <w:sz w:val="44"/>
          <w:szCs w:val="44"/>
        </w:rPr>
      </w:pPr>
    </w:p>
    <w:p w14:paraId="6F00C90A">
      <w:pPr>
        <w:jc w:val="center"/>
        <w:rPr>
          <w:rFonts w:eastAsia="仿宋"/>
          <w:sz w:val="52"/>
          <w:szCs w:val="52"/>
        </w:rPr>
      </w:pPr>
    </w:p>
    <w:p w14:paraId="54BEBDCB">
      <w:pPr>
        <w:ind w:firstLine="1040"/>
        <w:rPr>
          <w:rFonts w:eastAsia="仿宋"/>
          <w:sz w:val="44"/>
          <w:szCs w:val="44"/>
        </w:rPr>
      </w:pPr>
    </w:p>
    <w:p w14:paraId="7732EB22">
      <w:pPr>
        <w:ind w:firstLine="1040"/>
        <w:rPr>
          <w:rFonts w:eastAsia="仿宋"/>
          <w:sz w:val="44"/>
          <w:szCs w:val="44"/>
        </w:rPr>
      </w:pPr>
    </w:p>
    <w:p w14:paraId="61742E99">
      <w:pPr>
        <w:ind w:firstLine="1040"/>
        <w:rPr>
          <w:rFonts w:eastAsia="仿宋"/>
          <w:sz w:val="44"/>
          <w:szCs w:val="44"/>
        </w:rPr>
      </w:pPr>
    </w:p>
    <w:p w14:paraId="394CC40F">
      <w:pPr>
        <w:ind w:firstLine="1040"/>
        <w:rPr>
          <w:rFonts w:eastAsia="仿宋"/>
          <w:sz w:val="44"/>
          <w:szCs w:val="44"/>
        </w:rPr>
      </w:pPr>
    </w:p>
    <w:p w14:paraId="0855A0DA">
      <w:pPr>
        <w:keepNext w:val="0"/>
        <w:keepLines w:val="0"/>
        <w:pageBreakBefore w:val="0"/>
        <w:widowControl w:val="0"/>
        <w:kinsoku/>
        <w:wordWrap/>
        <w:overflowPunct/>
        <w:topLinePunct w:val="0"/>
        <w:autoSpaceDE/>
        <w:autoSpaceDN/>
        <w:bidi w:val="0"/>
        <w:adjustRightInd w:val="0"/>
        <w:snapToGrid w:val="0"/>
        <w:spacing w:line="360" w:lineRule="auto"/>
        <w:ind w:firstLine="1080" w:firstLineChars="300"/>
        <w:jc w:val="both"/>
        <w:textAlignment w:val="auto"/>
        <w:rPr>
          <w:rFonts w:hint="eastAsia" w:ascii="仿宋_GB2312" w:hAnsi="Times New Roman" w:eastAsia="仿宋_GB2312" w:cs="Times New Roman"/>
          <w:sz w:val="36"/>
          <w:szCs w:val="36"/>
          <w:u w:val="single"/>
          <w:lang w:val="en-US" w:eastAsia="zh-CN"/>
        </w:rPr>
      </w:pPr>
      <w:r>
        <w:rPr>
          <w:rFonts w:hint="eastAsia" w:ascii="仿宋_GB2312" w:eastAsia="仿宋_GB2312"/>
          <w:sz w:val="36"/>
          <w:szCs w:val="36"/>
        </w:rPr>
        <w:t>项目名称：</w:t>
      </w:r>
      <w:r>
        <w:rPr>
          <w:rFonts w:hint="eastAsia" w:ascii="仿宋_GB2312" w:hAnsi="Times New Roman" w:eastAsia="仿宋_GB2312" w:cs="Times New Roman"/>
          <w:sz w:val="36"/>
          <w:szCs w:val="36"/>
          <w:u w:val="single"/>
        </w:rPr>
        <w:t>库尔勒大存立远能源有限公司30万吨</w:t>
      </w:r>
    </w:p>
    <w:p w14:paraId="47E5713B">
      <w:pPr>
        <w:keepNext w:val="0"/>
        <w:keepLines w:val="0"/>
        <w:pageBreakBefore w:val="0"/>
        <w:widowControl w:val="0"/>
        <w:kinsoku/>
        <w:wordWrap/>
        <w:overflowPunct/>
        <w:topLinePunct w:val="0"/>
        <w:autoSpaceDE/>
        <w:autoSpaceDN/>
        <w:bidi w:val="0"/>
        <w:adjustRightInd w:val="0"/>
        <w:snapToGrid w:val="0"/>
        <w:spacing w:line="360" w:lineRule="auto"/>
        <w:ind w:firstLine="1080" w:firstLineChars="300"/>
        <w:jc w:val="both"/>
        <w:textAlignment w:val="auto"/>
        <w:rPr>
          <w:rFonts w:hint="eastAsia" w:ascii="仿宋_GB2312" w:eastAsia="仿宋_GB2312"/>
          <w:sz w:val="36"/>
          <w:szCs w:val="36"/>
          <w:u w:val="single"/>
          <w:lang w:val="en-US" w:eastAsia="zh-CN"/>
        </w:rPr>
      </w:pPr>
      <w:r>
        <w:rPr>
          <w:rFonts w:hint="eastAsia" w:ascii="仿宋_GB2312" w:hAnsi="Times New Roman" w:eastAsia="仿宋_GB2312" w:cs="Times New Roman"/>
          <w:sz w:val="36"/>
          <w:szCs w:val="36"/>
          <w:u w:val="single"/>
        </w:rPr>
        <w:t>煤泥循环利用生产基地和煤炭储存运营示范项</w:t>
      </w:r>
      <w:r>
        <w:rPr>
          <w:rFonts w:hint="eastAsia" w:ascii="仿宋_GB2312" w:hAnsi="Times New Roman" w:eastAsia="仿宋_GB2312" w:cs="Times New Roman"/>
          <w:sz w:val="36"/>
          <w:szCs w:val="36"/>
          <w:u w:val="single"/>
          <w:lang w:val="en-US" w:eastAsia="zh-CN"/>
        </w:rPr>
        <w:t>目</w:t>
      </w:r>
    </w:p>
    <w:p w14:paraId="5F9167C6">
      <w:pPr>
        <w:keepNext w:val="0"/>
        <w:keepLines w:val="0"/>
        <w:pageBreakBefore w:val="0"/>
        <w:widowControl w:val="0"/>
        <w:kinsoku/>
        <w:wordWrap/>
        <w:overflowPunct/>
        <w:topLinePunct w:val="0"/>
        <w:autoSpaceDE/>
        <w:autoSpaceDN/>
        <w:bidi w:val="0"/>
        <w:adjustRightInd w:val="0"/>
        <w:snapToGrid w:val="0"/>
        <w:spacing w:line="360" w:lineRule="auto"/>
        <w:ind w:firstLine="1040"/>
        <w:jc w:val="both"/>
        <w:textAlignment w:val="auto"/>
        <w:rPr>
          <w:rFonts w:ascii="仿宋_GB2312" w:eastAsia="仿宋_GB2312"/>
          <w:sz w:val="36"/>
          <w:szCs w:val="36"/>
          <w:u w:val="single"/>
        </w:rPr>
      </w:pPr>
      <w:r>
        <w:rPr>
          <w:rFonts w:hint="eastAsia" w:ascii="仿宋_GB2312" w:eastAsia="仿宋_GB2312"/>
          <w:sz w:val="36"/>
          <w:szCs w:val="36"/>
        </w:rPr>
        <w:t>建设单位（盖章）：</w:t>
      </w:r>
      <w:r>
        <w:rPr>
          <w:rFonts w:hint="eastAsia" w:ascii="仿宋_GB2312" w:hAnsi="Times New Roman" w:eastAsia="仿宋_GB2312" w:cs="Times New Roman"/>
          <w:sz w:val="36"/>
          <w:szCs w:val="36"/>
          <w:u w:val="single"/>
        </w:rPr>
        <w:t>库尔勒大存立远能源有限公司</w:t>
      </w:r>
      <w:r>
        <w:rPr>
          <w:rFonts w:hint="eastAsia" w:ascii="仿宋_GB2312" w:eastAsia="仿宋_GB2312"/>
          <w:sz w:val="36"/>
          <w:szCs w:val="36"/>
          <w:u w:val="single"/>
        </w:rPr>
        <w:t xml:space="preserve">         </w:t>
      </w:r>
    </w:p>
    <w:p w14:paraId="2D30F9B6">
      <w:pPr>
        <w:keepNext w:val="0"/>
        <w:keepLines w:val="0"/>
        <w:pageBreakBefore w:val="0"/>
        <w:widowControl w:val="0"/>
        <w:kinsoku/>
        <w:wordWrap/>
        <w:overflowPunct/>
        <w:topLinePunct w:val="0"/>
        <w:autoSpaceDE/>
        <w:autoSpaceDN/>
        <w:bidi w:val="0"/>
        <w:adjustRightInd w:val="0"/>
        <w:snapToGrid w:val="0"/>
        <w:spacing w:line="360" w:lineRule="auto"/>
        <w:ind w:firstLine="1040"/>
        <w:jc w:val="both"/>
        <w:textAlignment w:val="auto"/>
        <w:rPr>
          <w:rFonts w:hint="eastAsia" w:ascii="仿宋_GB2312" w:eastAsia="仿宋_GB2312"/>
          <w:sz w:val="36"/>
          <w:szCs w:val="36"/>
          <w:u w:val="single"/>
        </w:rPr>
      </w:pPr>
      <w:r>
        <w:rPr>
          <w:rFonts w:hint="eastAsia" w:ascii="仿宋_GB2312" w:eastAsia="仿宋_GB2312"/>
          <w:sz w:val="36"/>
          <w:szCs w:val="36"/>
        </w:rPr>
        <w:t>编制日期：</w:t>
      </w:r>
      <w:r>
        <w:rPr>
          <w:rFonts w:hint="eastAsia" w:ascii="仿宋_GB2312" w:eastAsia="仿宋_GB2312"/>
          <w:sz w:val="36"/>
          <w:szCs w:val="36"/>
          <w:u w:val="single"/>
          <w:lang w:val="en-US" w:eastAsia="zh-CN"/>
        </w:rPr>
        <w:t>2026年9月</w:t>
      </w:r>
    </w:p>
    <w:p w14:paraId="48D739CA">
      <w:pPr>
        <w:keepNext w:val="0"/>
        <w:keepLines w:val="0"/>
        <w:pageBreakBefore w:val="0"/>
        <w:widowControl w:val="0"/>
        <w:kinsoku/>
        <w:wordWrap/>
        <w:overflowPunct/>
        <w:topLinePunct w:val="0"/>
        <w:autoSpaceDE/>
        <w:autoSpaceDN/>
        <w:bidi w:val="0"/>
        <w:adjustRightInd w:val="0"/>
        <w:snapToGrid w:val="0"/>
        <w:spacing w:line="360" w:lineRule="auto"/>
        <w:ind w:firstLine="1040"/>
        <w:textAlignment w:val="auto"/>
        <w:rPr>
          <w:rFonts w:ascii="仿宋_GB2312" w:eastAsia="仿宋_GB2312"/>
          <w:sz w:val="36"/>
          <w:szCs w:val="36"/>
          <w:u w:val="single"/>
        </w:rPr>
      </w:pPr>
      <w:bookmarkStart w:id="0" w:name="_Hlk57884087"/>
    </w:p>
    <w:p w14:paraId="37AF3FA1">
      <w:pPr>
        <w:adjustRightInd w:val="0"/>
        <w:snapToGrid w:val="0"/>
        <w:spacing w:line="288" w:lineRule="auto"/>
        <w:ind w:firstLine="1040"/>
        <w:rPr>
          <w:rFonts w:ascii="仿宋_GB2312" w:eastAsia="仿宋_GB2312"/>
          <w:sz w:val="36"/>
          <w:szCs w:val="36"/>
        </w:rPr>
      </w:pPr>
    </w:p>
    <w:p w14:paraId="598537B0">
      <w:pPr>
        <w:adjustRightInd w:val="0"/>
        <w:snapToGrid w:val="0"/>
        <w:spacing w:line="288" w:lineRule="auto"/>
        <w:ind w:firstLine="1040"/>
        <w:rPr>
          <w:rFonts w:ascii="仿宋_GB2312" w:eastAsia="仿宋_GB2312"/>
          <w:sz w:val="36"/>
          <w:szCs w:val="36"/>
        </w:rPr>
      </w:pPr>
    </w:p>
    <w:p w14:paraId="3FB63755">
      <w:pPr>
        <w:adjustRightInd w:val="0"/>
        <w:snapToGrid w:val="0"/>
        <w:spacing w:line="288" w:lineRule="auto"/>
        <w:ind w:firstLine="1040"/>
        <w:rPr>
          <w:rFonts w:hint="eastAsia" w:ascii="仿宋_GB2312" w:eastAsia="仿宋_GB2312"/>
          <w:sz w:val="36"/>
          <w:szCs w:val="36"/>
        </w:rPr>
      </w:pPr>
    </w:p>
    <w:p w14:paraId="53F47E75">
      <w:pPr>
        <w:adjustRightInd w:val="0"/>
        <w:snapToGrid w:val="0"/>
        <w:spacing w:line="288" w:lineRule="auto"/>
        <w:ind w:firstLine="1040"/>
        <w:rPr>
          <w:rFonts w:hint="eastAsia" w:ascii="仿宋_GB2312" w:eastAsia="仿宋_GB2312"/>
          <w:sz w:val="36"/>
          <w:szCs w:val="36"/>
        </w:rPr>
      </w:pPr>
    </w:p>
    <w:bookmarkEnd w:id="0"/>
    <w:p w14:paraId="1BFF8670">
      <w:pPr>
        <w:adjustRightInd w:val="0"/>
        <w:snapToGrid w:val="0"/>
        <w:spacing w:line="288" w:lineRule="auto"/>
        <w:jc w:val="center"/>
        <w:rPr>
          <w:rFonts w:hint="eastAsia" w:ascii="楷体_GB2312" w:eastAsia="楷体_GB2312"/>
          <w:sz w:val="36"/>
          <w:szCs w:val="36"/>
        </w:rPr>
      </w:pPr>
      <w:r>
        <w:rPr>
          <w:rFonts w:hint="eastAsia" w:ascii="楷体_GB2312" w:eastAsia="楷体_GB2312"/>
          <w:sz w:val="36"/>
          <w:szCs w:val="36"/>
        </w:rPr>
        <w:t>中华人民共和国生态环境部制</w:t>
      </w:r>
    </w:p>
    <w:p w14:paraId="22674946">
      <w:pPr>
        <w:adjustRightInd w:val="0"/>
        <w:snapToGrid w:val="0"/>
        <w:spacing w:line="288" w:lineRule="auto"/>
        <w:ind w:firstLine="1040"/>
        <w:rPr>
          <w:rFonts w:ascii="仿宋_GB2312" w:eastAsia="仿宋_GB2312"/>
          <w:sz w:val="36"/>
          <w:szCs w:val="36"/>
        </w:rPr>
        <w:sectPr>
          <w:footerReference r:id="rId3" w:type="default"/>
          <w:footerReference r:id="rId4" w:type="even"/>
          <w:pgSz w:w="11906" w:h="16838"/>
          <w:pgMar w:top="1701" w:right="1531" w:bottom="1701" w:left="1531" w:header="851" w:footer="1077" w:gutter="0"/>
          <w:pgBorders>
            <w:top w:val="none" w:sz="0" w:space="0"/>
            <w:left w:val="none" w:sz="0" w:space="0"/>
            <w:bottom w:val="none" w:sz="0" w:space="0"/>
            <w:right w:val="none" w:sz="0" w:space="0"/>
          </w:pgBorders>
          <w:pgNumType w:fmt="decimal" w:start="3"/>
          <w:cols w:space="720" w:num="1"/>
          <w:docGrid w:linePitch="312" w:charSpace="0"/>
        </w:sectPr>
      </w:pPr>
    </w:p>
    <w:p w14:paraId="3B155058">
      <w:pPr>
        <w:pStyle w:val="21"/>
        <w:jc w:val="center"/>
        <w:outlineLvl w:val="0"/>
        <w:rPr>
          <w:rFonts w:hint="eastAsia" w:ascii="黑体" w:hAnsi="黑体" w:eastAsia="黑体"/>
          <w:snapToGrid w:val="0"/>
          <w:sz w:val="30"/>
          <w:szCs w:val="30"/>
        </w:rPr>
      </w:pPr>
      <w:r>
        <w:rPr>
          <w:rFonts w:hint="eastAsia" w:ascii="黑体" w:hAnsi="黑体" w:eastAsia="黑体"/>
          <w:snapToGrid w:val="0"/>
          <w:sz w:val="30"/>
          <w:szCs w:val="30"/>
        </w:rPr>
        <w:t>一、建设项目基本情况</w:t>
      </w:r>
    </w:p>
    <w:tbl>
      <w:tblPr>
        <w:tblStyle w:val="25"/>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414"/>
        <w:gridCol w:w="2594"/>
        <w:gridCol w:w="2206"/>
        <w:gridCol w:w="2656"/>
      </w:tblGrid>
      <w:tr w14:paraId="6900D7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418" w:type="dxa"/>
            <w:noWrap w:val="0"/>
            <w:tcMar>
              <w:top w:w="16" w:type="dxa"/>
              <w:left w:w="16" w:type="dxa"/>
              <w:right w:w="16" w:type="dxa"/>
            </w:tcMar>
            <w:vAlign w:val="center"/>
          </w:tcPr>
          <w:p w14:paraId="68E88C25">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建设项目名称</w:t>
            </w:r>
          </w:p>
        </w:tc>
        <w:tc>
          <w:tcPr>
            <w:tcW w:w="7452" w:type="dxa"/>
            <w:gridSpan w:val="3"/>
            <w:noWrap w:val="0"/>
            <w:vAlign w:val="center"/>
          </w:tcPr>
          <w:p w14:paraId="5661BD1C">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cs="Times New Roman"/>
                <w:sz w:val="24"/>
                <w:szCs w:val="24"/>
              </w:rPr>
            </w:pPr>
            <w:r>
              <w:rPr>
                <w:rFonts w:hint="default" w:ascii="Times New Roman" w:hAnsi="Times New Roman" w:eastAsia="宋体" w:cs="Times New Roman"/>
                <w:sz w:val="24"/>
                <w:szCs w:val="24"/>
              </w:rPr>
              <w:t>库尔勒大存立远能源有限公司30万吨煤泥循环利用生产基地和煤炭储存运营示范项</w:t>
            </w:r>
            <w:r>
              <w:rPr>
                <w:rFonts w:hint="default" w:ascii="Times New Roman" w:hAnsi="Times New Roman" w:eastAsia="宋体" w:cs="Times New Roman"/>
                <w:sz w:val="24"/>
                <w:szCs w:val="24"/>
                <w:lang w:val="en-US" w:eastAsia="zh-CN"/>
              </w:rPr>
              <w:t>目</w:t>
            </w:r>
          </w:p>
        </w:tc>
      </w:tr>
      <w:tr w14:paraId="2649CB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418" w:type="dxa"/>
            <w:noWrap w:val="0"/>
            <w:tcMar>
              <w:top w:w="16" w:type="dxa"/>
              <w:left w:w="16" w:type="dxa"/>
              <w:right w:w="16" w:type="dxa"/>
            </w:tcMar>
            <w:vAlign w:val="center"/>
          </w:tcPr>
          <w:p w14:paraId="69A5C3A0">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项目代码</w:t>
            </w:r>
          </w:p>
        </w:tc>
        <w:tc>
          <w:tcPr>
            <w:tcW w:w="7452" w:type="dxa"/>
            <w:gridSpan w:val="3"/>
            <w:noWrap w:val="0"/>
            <w:vAlign w:val="center"/>
          </w:tcPr>
          <w:p w14:paraId="29488AFF">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cs="Times New Roman"/>
                <w:sz w:val="24"/>
                <w:szCs w:val="24"/>
              </w:rPr>
            </w:pPr>
          </w:p>
        </w:tc>
      </w:tr>
      <w:tr w14:paraId="6989AD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418" w:type="dxa"/>
            <w:noWrap w:val="0"/>
            <w:tcMar>
              <w:top w:w="16" w:type="dxa"/>
              <w:left w:w="16" w:type="dxa"/>
              <w:right w:w="16" w:type="dxa"/>
            </w:tcMar>
            <w:vAlign w:val="center"/>
          </w:tcPr>
          <w:p w14:paraId="40F61790">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建设单位联系人</w:t>
            </w:r>
          </w:p>
        </w:tc>
        <w:tc>
          <w:tcPr>
            <w:tcW w:w="2601" w:type="dxa"/>
            <w:noWrap w:val="0"/>
            <w:vAlign w:val="center"/>
          </w:tcPr>
          <w:p w14:paraId="351ACFD1">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cs="Times New Roman"/>
                <w:sz w:val="24"/>
                <w:szCs w:val="24"/>
              </w:rPr>
            </w:pPr>
          </w:p>
        </w:tc>
        <w:tc>
          <w:tcPr>
            <w:tcW w:w="2212" w:type="dxa"/>
            <w:noWrap w:val="0"/>
            <w:vAlign w:val="center"/>
          </w:tcPr>
          <w:p w14:paraId="66190567">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cs="Times New Roman"/>
                <w:sz w:val="24"/>
                <w:szCs w:val="24"/>
              </w:rPr>
            </w:pPr>
          </w:p>
        </w:tc>
        <w:tc>
          <w:tcPr>
            <w:tcW w:w="2639" w:type="dxa"/>
            <w:noWrap w:val="0"/>
            <w:vAlign w:val="center"/>
          </w:tcPr>
          <w:p w14:paraId="43C29695">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cs="Times New Roman"/>
                <w:sz w:val="24"/>
                <w:szCs w:val="24"/>
              </w:rPr>
            </w:pPr>
          </w:p>
        </w:tc>
      </w:tr>
      <w:tr w14:paraId="31867D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418" w:type="dxa"/>
            <w:noWrap w:val="0"/>
            <w:tcMar>
              <w:top w:w="16" w:type="dxa"/>
              <w:left w:w="16" w:type="dxa"/>
              <w:right w:w="16" w:type="dxa"/>
            </w:tcMar>
            <w:vAlign w:val="center"/>
          </w:tcPr>
          <w:p w14:paraId="1B28108A">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建设地点</w:t>
            </w:r>
          </w:p>
        </w:tc>
        <w:tc>
          <w:tcPr>
            <w:tcW w:w="7452" w:type="dxa"/>
            <w:gridSpan w:val="3"/>
            <w:noWrap w:val="0"/>
            <w:vAlign w:val="center"/>
          </w:tcPr>
          <w:p w14:paraId="5B21F5ED">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cs="Times New Roman"/>
                <w:sz w:val="24"/>
                <w:szCs w:val="24"/>
                <w:lang w:val="en-US"/>
              </w:rPr>
            </w:pPr>
            <w:r>
              <w:rPr>
                <w:rFonts w:hint="default" w:ascii="Times New Roman" w:hAnsi="Times New Roman" w:cs="Times New Roman"/>
                <w:sz w:val="24"/>
                <w:szCs w:val="24"/>
                <w:lang w:val="en-US" w:eastAsia="zh-CN"/>
              </w:rPr>
              <w:t>新疆维吾尔自治区巴音郭楞蒙古自治州库尔勒</w:t>
            </w:r>
            <w:r>
              <w:rPr>
                <w:rFonts w:hint="eastAsia" w:ascii="Times New Roman" w:hAnsi="Times New Roman" w:cs="Times New Roman"/>
                <w:sz w:val="24"/>
                <w:szCs w:val="24"/>
                <w:lang w:val="en-US" w:eastAsia="zh-CN"/>
              </w:rPr>
              <w:t>市</w:t>
            </w:r>
            <w:r>
              <w:rPr>
                <w:rFonts w:hint="default" w:ascii="Times New Roman" w:hAnsi="Times New Roman" w:cs="Times New Roman"/>
                <w:sz w:val="24"/>
                <w:szCs w:val="24"/>
                <w:lang w:val="en-US" w:eastAsia="zh-CN"/>
              </w:rPr>
              <w:t>塔什店镇</w:t>
            </w:r>
          </w:p>
        </w:tc>
      </w:tr>
      <w:tr w14:paraId="164558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418" w:type="dxa"/>
            <w:noWrap w:val="0"/>
            <w:tcMar>
              <w:top w:w="16" w:type="dxa"/>
              <w:left w:w="16" w:type="dxa"/>
              <w:right w:w="16" w:type="dxa"/>
            </w:tcMar>
            <w:vAlign w:val="center"/>
          </w:tcPr>
          <w:p w14:paraId="3EBEC2D1">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地理坐标</w:t>
            </w:r>
          </w:p>
        </w:tc>
        <w:tc>
          <w:tcPr>
            <w:tcW w:w="7452" w:type="dxa"/>
            <w:gridSpan w:val="3"/>
            <w:noWrap w:val="0"/>
            <w:vAlign w:val="center"/>
          </w:tcPr>
          <w:p w14:paraId="38416D21">
            <w:pPr>
              <w:keepNext w:val="0"/>
              <w:keepLines w:val="0"/>
              <w:pageBreakBefore w:val="0"/>
              <w:widowControl w:val="0"/>
              <w:kinsoku/>
              <w:wordWrap/>
              <w:overflowPunct/>
              <w:topLinePunct w:val="0"/>
              <w:bidi w:val="0"/>
              <w:jc w:val="center"/>
              <w:textAlignment w:val="auto"/>
              <w:rPr>
                <w:rFonts w:hint="default" w:ascii="Times New Roman" w:hAnsi="Times New Roman" w:eastAsia="宋体" w:cs="Times New Roman"/>
                <w:sz w:val="24"/>
                <w:szCs w:val="24"/>
                <w:lang w:val="en-US" w:eastAsia="zh-CN"/>
              </w:rPr>
            </w:pPr>
            <w:bookmarkStart w:id="26" w:name="_GoBack"/>
            <w:bookmarkEnd w:id="26"/>
          </w:p>
        </w:tc>
      </w:tr>
      <w:tr w14:paraId="27240C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1418" w:type="dxa"/>
            <w:noWrap w:val="0"/>
            <w:tcMar>
              <w:top w:w="16" w:type="dxa"/>
              <w:left w:w="16" w:type="dxa"/>
              <w:right w:w="16" w:type="dxa"/>
            </w:tcMar>
            <w:vAlign w:val="center"/>
          </w:tcPr>
          <w:p w14:paraId="2B632B5E">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国民经济行业类别</w:t>
            </w:r>
          </w:p>
        </w:tc>
        <w:tc>
          <w:tcPr>
            <w:tcW w:w="2601" w:type="dxa"/>
            <w:noWrap w:val="0"/>
            <w:vAlign w:val="center"/>
          </w:tcPr>
          <w:p w14:paraId="518DB676">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N7723固体废物治理</w:t>
            </w:r>
          </w:p>
        </w:tc>
        <w:tc>
          <w:tcPr>
            <w:tcW w:w="2212" w:type="dxa"/>
            <w:noWrap w:val="0"/>
            <w:vAlign w:val="center"/>
          </w:tcPr>
          <w:p w14:paraId="75C76FDD">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cs="Times New Roman"/>
                <w:sz w:val="24"/>
                <w:szCs w:val="24"/>
              </w:rPr>
            </w:pPr>
            <w:bookmarkStart w:id="1" w:name="_Hlk49843745"/>
            <w:r>
              <w:rPr>
                <w:rFonts w:hint="default" w:ascii="Times New Roman" w:hAnsi="Times New Roman" w:cs="Times New Roman"/>
                <w:sz w:val="24"/>
                <w:szCs w:val="24"/>
              </w:rPr>
              <w:t>建设项目行业类别</w:t>
            </w:r>
            <w:bookmarkEnd w:id="1"/>
          </w:p>
        </w:tc>
        <w:tc>
          <w:tcPr>
            <w:tcW w:w="2639" w:type="dxa"/>
            <w:noWrap w:val="0"/>
            <w:vAlign w:val="center"/>
          </w:tcPr>
          <w:p w14:paraId="375D4368">
            <w:pPr>
              <w:keepNext w:val="0"/>
              <w:keepLines w:val="0"/>
              <w:pageBreakBefore w:val="0"/>
              <w:widowControl w:val="0"/>
              <w:kinsoku/>
              <w:wordWrap/>
              <w:overflowPunct/>
              <w:topLinePunct w:val="0"/>
              <w:bidi w:val="0"/>
              <w:adjustRightInd w:val="0"/>
              <w:snapToGrid w:val="0"/>
              <w:textAlignment w:val="auto"/>
              <w:rPr>
                <w:rFonts w:hint="default" w:ascii="Times New Roman" w:hAnsi="Times New Roman" w:cs="Times New Roman"/>
                <w:sz w:val="24"/>
                <w:szCs w:val="24"/>
              </w:rPr>
            </w:pPr>
            <w:r>
              <w:rPr>
                <w:rFonts w:hint="default" w:ascii="Times New Roman" w:hAnsi="Times New Roman" w:cs="Times New Roman"/>
                <w:sz w:val="24"/>
                <w:szCs w:val="24"/>
              </w:rPr>
              <w:t>四十七、生态保护和环境治理业、一般工业固体废物（含污水处理污泥）、建筑施工废弃物处置及综合利用-其它</w:t>
            </w:r>
          </w:p>
        </w:tc>
      </w:tr>
      <w:tr w14:paraId="5EC69B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1418" w:type="dxa"/>
            <w:noWrap w:val="0"/>
            <w:tcMar>
              <w:top w:w="16" w:type="dxa"/>
              <w:left w:w="16" w:type="dxa"/>
              <w:right w:w="16" w:type="dxa"/>
            </w:tcMar>
            <w:vAlign w:val="center"/>
          </w:tcPr>
          <w:p w14:paraId="3AAC1CB8">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建设性质</w:t>
            </w:r>
          </w:p>
        </w:tc>
        <w:tc>
          <w:tcPr>
            <w:tcW w:w="2601" w:type="dxa"/>
            <w:noWrap w:val="0"/>
            <w:vAlign w:val="center"/>
          </w:tcPr>
          <w:p w14:paraId="73B9C4D9">
            <w:pPr>
              <w:keepNext w:val="0"/>
              <w:keepLines w:val="0"/>
              <w:pageBreakBefore w:val="0"/>
              <w:widowControl w:val="0"/>
              <w:kinsoku/>
              <w:wordWrap/>
              <w:overflowPunct/>
              <w:topLinePunct w:val="0"/>
              <w:bidi w:val="0"/>
              <w:jc w:val="left"/>
              <w:textAlignment w:val="auto"/>
              <w:rPr>
                <w:rFonts w:hint="default" w:ascii="Times New Roman" w:hAnsi="Times New Roman" w:cs="Times New Roman"/>
                <w:sz w:val="24"/>
                <w:szCs w:val="24"/>
              </w:rPr>
            </w:pPr>
            <w:r>
              <w:rPr>
                <w:rFonts w:hint="default" w:ascii="Times New Roman" w:hAnsi="Times New Roman" w:cs="Times New Roman"/>
                <w:sz w:val="24"/>
                <w:szCs w:val="24"/>
                <w:lang w:eastAsia="zh-CN"/>
              </w:rPr>
              <w:t>☑</w:t>
            </w:r>
            <w:r>
              <w:rPr>
                <w:rFonts w:hint="default" w:ascii="Times New Roman" w:hAnsi="Times New Roman" w:cs="Times New Roman"/>
                <w:sz w:val="24"/>
                <w:szCs w:val="24"/>
              </w:rPr>
              <w:t>新建（迁建）</w:t>
            </w:r>
          </w:p>
          <w:p w14:paraId="19CC56AB">
            <w:pPr>
              <w:keepNext w:val="0"/>
              <w:keepLines w:val="0"/>
              <w:pageBreakBefore w:val="0"/>
              <w:widowControl w:val="0"/>
              <w:kinsoku/>
              <w:wordWrap/>
              <w:overflowPunct/>
              <w:topLinePunct w:val="0"/>
              <w:bidi w:val="0"/>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□改建</w:t>
            </w:r>
          </w:p>
          <w:p w14:paraId="59DB4E83">
            <w:pPr>
              <w:keepNext w:val="0"/>
              <w:keepLines w:val="0"/>
              <w:pageBreakBefore w:val="0"/>
              <w:widowControl w:val="0"/>
              <w:kinsoku/>
              <w:wordWrap/>
              <w:overflowPunct/>
              <w:topLinePunct w:val="0"/>
              <w:bidi w:val="0"/>
              <w:jc w:val="left"/>
              <w:textAlignment w:val="auto"/>
              <w:rPr>
                <w:rFonts w:hint="default" w:ascii="Times New Roman" w:hAnsi="Times New Roman" w:cs="Times New Roman"/>
                <w:sz w:val="24"/>
                <w:szCs w:val="24"/>
              </w:rPr>
            </w:pPr>
            <w:r>
              <w:rPr>
                <w:rFonts w:hint="default" w:ascii="Times New Roman" w:hAnsi="Times New Roman" w:cs="Times New Roman"/>
                <w:sz w:val="24"/>
                <w:szCs w:val="24"/>
                <w:lang w:eastAsia="zh-CN"/>
              </w:rPr>
              <w:t>□</w:t>
            </w:r>
            <w:r>
              <w:rPr>
                <w:rFonts w:hint="default" w:ascii="Times New Roman" w:hAnsi="Times New Roman" w:cs="Times New Roman"/>
                <w:sz w:val="24"/>
                <w:szCs w:val="24"/>
              </w:rPr>
              <w:t>扩建</w:t>
            </w:r>
          </w:p>
          <w:p w14:paraId="0288BA72">
            <w:pPr>
              <w:keepNext w:val="0"/>
              <w:keepLines w:val="0"/>
              <w:pageBreakBefore w:val="0"/>
              <w:widowControl w:val="0"/>
              <w:kinsoku/>
              <w:wordWrap/>
              <w:overflowPunct/>
              <w:topLinePunct w:val="0"/>
              <w:bidi w:val="0"/>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□技术改造</w:t>
            </w:r>
          </w:p>
        </w:tc>
        <w:tc>
          <w:tcPr>
            <w:tcW w:w="2212" w:type="dxa"/>
            <w:noWrap w:val="0"/>
            <w:vAlign w:val="center"/>
          </w:tcPr>
          <w:p w14:paraId="2707E7E0">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建设项目申报情形</w:t>
            </w:r>
          </w:p>
        </w:tc>
        <w:tc>
          <w:tcPr>
            <w:tcW w:w="2639" w:type="dxa"/>
            <w:noWrap w:val="0"/>
            <w:vAlign w:val="center"/>
          </w:tcPr>
          <w:p w14:paraId="226BF062">
            <w:pPr>
              <w:keepNext w:val="0"/>
              <w:keepLines w:val="0"/>
              <w:pageBreakBefore w:val="0"/>
              <w:widowControl w:val="0"/>
              <w:kinsoku/>
              <w:wordWrap/>
              <w:overflowPunct/>
              <w:topLinePunct w:val="0"/>
              <w:bidi w:val="0"/>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sym w:font="Wingdings 2" w:char="0052"/>
            </w:r>
            <w:r>
              <w:rPr>
                <w:rFonts w:hint="default" w:ascii="Times New Roman" w:hAnsi="Times New Roman" w:cs="Times New Roman"/>
                <w:sz w:val="24"/>
                <w:szCs w:val="24"/>
              </w:rPr>
              <w:t xml:space="preserve">首次申报项目             </w:t>
            </w:r>
          </w:p>
          <w:p w14:paraId="7C317831">
            <w:pPr>
              <w:keepNext w:val="0"/>
              <w:keepLines w:val="0"/>
              <w:pageBreakBefore w:val="0"/>
              <w:widowControl w:val="0"/>
              <w:kinsoku/>
              <w:wordWrap/>
              <w:overflowPunct/>
              <w:topLinePunct w:val="0"/>
              <w:bidi w:val="0"/>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□不予批准后再次申报项目</w:t>
            </w:r>
          </w:p>
          <w:p w14:paraId="451FA1B7">
            <w:pPr>
              <w:keepNext w:val="0"/>
              <w:keepLines w:val="0"/>
              <w:pageBreakBefore w:val="0"/>
              <w:widowControl w:val="0"/>
              <w:kinsoku/>
              <w:wordWrap/>
              <w:overflowPunct/>
              <w:topLinePunct w:val="0"/>
              <w:bidi w:val="0"/>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sym w:font="Wingdings 2" w:char="00A3"/>
            </w:r>
            <w:r>
              <w:rPr>
                <w:rFonts w:hint="default" w:ascii="Times New Roman" w:hAnsi="Times New Roman" w:cs="Times New Roman"/>
                <w:sz w:val="24"/>
                <w:szCs w:val="24"/>
              </w:rPr>
              <w:t xml:space="preserve">超五年重新审核项目     </w:t>
            </w:r>
          </w:p>
          <w:p w14:paraId="12191F3B">
            <w:pPr>
              <w:keepNext w:val="0"/>
              <w:keepLines w:val="0"/>
              <w:pageBreakBefore w:val="0"/>
              <w:widowControl w:val="0"/>
              <w:kinsoku/>
              <w:wordWrap/>
              <w:overflowPunct/>
              <w:topLinePunct w:val="0"/>
              <w:bidi w:val="0"/>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□重大变动重新报批项目</w:t>
            </w:r>
          </w:p>
        </w:tc>
      </w:tr>
      <w:tr w14:paraId="3C1FC6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1418" w:type="dxa"/>
            <w:noWrap w:val="0"/>
            <w:tcMar>
              <w:top w:w="16" w:type="dxa"/>
              <w:left w:w="16" w:type="dxa"/>
              <w:right w:w="16" w:type="dxa"/>
            </w:tcMar>
            <w:vAlign w:val="center"/>
          </w:tcPr>
          <w:p w14:paraId="374D11F0">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项目审批（核准/备案）部门（选填）</w:t>
            </w:r>
          </w:p>
        </w:tc>
        <w:tc>
          <w:tcPr>
            <w:tcW w:w="2601" w:type="dxa"/>
            <w:noWrap w:val="0"/>
            <w:vAlign w:val="center"/>
          </w:tcPr>
          <w:p w14:paraId="582024F3">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sz w:val="24"/>
                <w:szCs w:val="24"/>
                <w:lang w:val="en-US" w:eastAsia="zh-CN"/>
              </w:rPr>
            </w:pPr>
            <w:r>
              <w:rPr>
                <w:rFonts w:hint="eastAsia" w:ascii="Times New Roman" w:hAnsi="Times New Roman" w:cs="Times New Roman"/>
                <w:sz w:val="24"/>
                <w:szCs w:val="24"/>
                <w:lang w:val="en-US" w:eastAsia="zh-CN"/>
              </w:rPr>
              <w:t>库尔勒市发展和改革委员会</w:t>
            </w:r>
          </w:p>
        </w:tc>
        <w:tc>
          <w:tcPr>
            <w:tcW w:w="2212" w:type="dxa"/>
            <w:noWrap w:val="0"/>
            <w:vAlign w:val="center"/>
          </w:tcPr>
          <w:p w14:paraId="5438CD62">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项目审批（核准/备案）文号（选填）</w:t>
            </w:r>
          </w:p>
        </w:tc>
        <w:tc>
          <w:tcPr>
            <w:tcW w:w="2639" w:type="dxa"/>
            <w:noWrap w:val="0"/>
            <w:vAlign w:val="center"/>
          </w:tcPr>
          <w:p w14:paraId="3C862099">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2608071765652801000176</w:t>
            </w:r>
          </w:p>
        </w:tc>
      </w:tr>
      <w:tr w14:paraId="5D0C52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418" w:type="dxa"/>
            <w:noWrap w:val="0"/>
            <w:tcMar>
              <w:top w:w="16" w:type="dxa"/>
              <w:left w:w="16" w:type="dxa"/>
              <w:right w:w="16" w:type="dxa"/>
            </w:tcMar>
            <w:vAlign w:val="center"/>
          </w:tcPr>
          <w:p w14:paraId="1F2152D7">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总投资（万元）</w:t>
            </w:r>
          </w:p>
        </w:tc>
        <w:tc>
          <w:tcPr>
            <w:tcW w:w="2601" w:type="dxa"/>
            <w:noWrap w:val="0"/>
            <w:vAlign w:val="center"/>
          </w:tcPr>
          <w:p w14:paraId="2D5EB402">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sz w:val="24"/>
                <w:szCs w:val="24"/>
                <w:lang w:val="en-US" w:eastAsia="zh-CN"/>
              </w:rPr>
            </w:pPr>
            <w:r>
              <w:rPr>
                <w:rFonts w:hint="eastAsia" w:ascii="Times New Roman" w:hAnsi="Times New Roman" w:cs="Times New Roman"/>
                <w:sz w:val="24"/>
                <w:szCs w:val="24"/>
                <w:lang w:val="en-US" w:eastAsia="zh-CN"/>
              </w:rPr>
              <w:t>5000</w:t>
            </w:r>
          </w:p>
        </w:tc>
        <w:tc>
          <w:tcPr>
            <w:tcW w:w="2212" w:type="dxa"/>
            <w:noWrap w:val="0"/>
            <w:tcMar>
              <w:top w:w="16" w:type="dxa"/>
              <w:left w:w="16" w:type="dxa"/>
              <w:right w:w="16" w:type="dxa"/>
            </w:tcMar>
            <w:vAlign w:val="center"/>
          </w:tcPr>
          <w:p w14:paraId="1C3DEA88">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环保投资（万元）</w:t>
            </w:r>
          </w:p>
        </w:tc>
        <w:tc>
          <w:tcPr>
            <w:tcW w:w="2639" w:type="dxa"/>
            <w:noWrap w:val="0"/>
            <w:vAlign w:val="center"/>
          </w:tcPr>
          <w:p w14:paraId="21AAC6F4">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sz w:val="24"/>
                <w:szCs w:val="24"/>
                <w:lang w:val="en-US" w:eastAsia="zh-CN"/>
              </w:rPr>
            </w:pPr>
            <w:r>
              <w:rPr>
                <w:rFonts w:hint="eastAsia" w:ascii="Times New Roman" w:hAnsi="Times New Roman" w:cs="Times New Roman"/>
                <w:sz w:val="24"/>
                <w:szCs w:val="24"/>
                <w:lang w:val="en-US" w:eastAsia="zh-CN"/>
              </w:rPr>
              <w:t>118</w:t>
            </w:r>
          </w:p>
        </w:tc>
      </w:tr>
      <w:tr w14:paraId="00DE66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418" w:type="dxa"/>
            <w:noWrap w:val="0"/>
            <w:tcMar>
              <w:top w:w="16" w:type="dxa"/>
              <w:left w:w="16" w:type="dxa"/>
              <w:right w:w="16" w:type="dxa"/>
            </w:tcMar>
            <w:vAlign w:val="center"/>
          </w:tcPr>
          <w:p w14:paraId="6A67E395">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环保投资占比（%）</w:t>
            </w:r>
          </w:p>
        </w:tc>
        <w:tc>
          <w:tcPr>
            <w:tcW w:w="2601" w:type="dxa"/>
            <w:noWrap w:val="0"/>
            <w:vAlign w:val="center"/>
          </w:tcPr>
          <w:p w14:paraId="55570F0C">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sz w:val="24"/>
                <w:szCs w:val="24"/>
                <w:lang w:val="en-US" w:eastAsia="zh-CN"/>
              </w:rPr>
            </w:pPr>
            <w:r>
              <w:rPr>
                <w:rFonts w:hint="eastAsia" w:ascii="Times New Roman" w:hAnsi="Times New Roman" w:cs="Times New Roman"/>
                <w:sz w:val="24"/>
                <w:szCs w:val="24"/>
                <w:lang w:val="en-US" w:eastAsia="zh-CN"/>
              </w:rPr>
              <w:t>2.36</w:t>
            </w:r>
          </w:p>
        </w:tc>
        <w:tc>
          <w:tcPr>
            <w:tcW w:w="2212" w:type="dxa"/>
            <w:noWrap w:val="0"/>
            <w:tcMar>
              <w:top w:w="16" w:type="dxa"/>
              <w:left w:w="16" w:type="dxa"/>
              <w:right w:w="16" w:type="dxa"/>
            </w:tcMar>
            <w:vAlign w:val="center"/>
          </w:tcPr>
          <w:p w14:paraId="72688829">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施工工期</w:t>
            </w:r>
          </w:p>
        </w:tc>
        <w:tc>
          <w:tcPr>
            <w:tcW w:w="2639" w:type="dxa"/>
            <w:noWrap w:val="0"/>
            <w:vAlign w:val="center"/>
          </w:tcPr>
          <w:p w14:paraId="70D7AE9F">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sz w:val="24"/>
                <w:szCs w:val="24"/>
                <w:lang w:val="en-US" w:eastAsia="zh-CN"/>
              </w:rPr>
            </w:pPr>
            <w:r>
              <w:rPr>
                <w:rFonts w:hint="eastAsia" w:ascii="Times New Roman" w:hAnsi="Times New Roman" w:cs="Times New Roman"/>
                <w:sz w:val="24"/>
                <w:szCs w:val="24"/>
                <w:lang w:val="en-US" w:eastAsia="zh-CN"/>
              </w:rPr>
              <w:t>16个月</w:t>
            </w:r>
          </w:p>
        </w:tc>
      </w:tr>
      <w:tr w14:paraId="0113B6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418" w:type="dxa"/>
            <w:noWrap w:val="0"/>
            <w:tcMar>
              <w:top w:w="16" w:type="dxa"/>
              <w:left w:w="16" w:type="dxa"/>
              <w:right w:w="16" w:type="dxa"/>
            </w:tcMar>
            <w:vAlign w:val="center"/>
          </w:tcPr>
          <w:p w14:paraId="08334A20">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是否开工建设</w:t>
            </w:r>
          </w:p>
        </w:tc>
        <w:tc>
          <w:tcPr>
            <w:tcW w:w="2601" w:type="dxa"/>
            <w:noWrap w:val="0"/>
            <w:vAlign w:val="center"/>
          </w:tcPr>
          <w:p w14:paraId="14770E1D">
            <w:pPr>
              <w:keepNext w:val="0"/>
              <w:keepLines w:val="0"/>
              <w:pageBreakBefore w:val="0"/>
              <w:widowControl w:val="0"/>
              <w:kinsoku/>
              <w:wordWrap/>
              <w:overflowPunct/>
              <w:topLinePunct w:val="0"/>
              <w:bidi w:val="0"/>
              <w:adjustRightInd w:val="0"/>
              <w:snapToGrid w:val="0"/>
              <w:textAlignment w:val="auto"/>
              <w:rPr>
                <w:rFonts w:hint="default" w:ascii="Times New Roman" w:hAnsi="Times New Roman" w:cs="Times New Roman"/>
                <w:sz w:val="24"/>
                <w:szCs w:val="24"/>
              </w:rPr>
            </w:pPr>
            <w:r>
              <w:rPr>
                <w:rFonts w:hint="default" w:ascii="Times New Roman" w:hAnsi="Times New Roman" w:cs="Times New Roman"/>
                <w:sz w:val="24"/>
                <w:szCs w:val="24"/>
              </w:rPr>
              <w:sym w:font="Wingdings 2" w:char="0052"/>
            </w:r>
            <w:r>
              <w:rPr>
                <w:rFonts w:hint="default" w:ascii="Times New Roman" w:hAnsi="Times New Roman" w:cs="Times New Roman"/>
                <w:sz w:val="24"/>
                <w:szCs w:val="24"/>
              </w:rPr>
              <w:t>否</w:t>
            </w:r>
          </w:p>
          <w:p w14:paraId="3611482F">
            <w:pPr>
              <w:keepNext w:val="0"/>
              <w:keepLines w:val="0"/>
              <w:pageBreakBefore w:val="0"/>
              <w:widowControl w:val="0"/>
              <w:kinsoku/>
              <w:wordWrap/>
              <w:overflowPunct/>
              <w:topLinePunct w:val="0"/>
              <w:bidi w:val="0"/>
              <w:adjustRightInd w:val="0"/>
              <w:snapToGrid w:val="0"/>
              <w:textAlignment w:val="auto"/>
              <w:rPr>
                <w:rFonts w:hint="default" w:ascii="Times New Roman" w:hAnsi="Times New Roman" w:cs="Times New Roman"/>
                <w:sz w:val="24"/>
                <w:szCs w:val="24"/>
              </w:rPr>
            </w:pPr>
            <w:r>
              <w:rPr>
                <w:rFonts w:hint="default" w:ascii="Times New Roman" w:hAnsi="Times New Roman" w:cs="Times New Roman"/>
                <w:sz w:val="24"/>
                <w:szCs w:val="24"/>
              </w:rPr>
              <w:sym w:font="Wingdings 2" w:char="00A3"/>
            </w:r>
            <w:r>
              <w:rPr>
                <w:rFonts w:hint="default" w:ascii="Times New Roman" w:hAnsi="Times New Roman" w:cs="Times New Roman"/>
                <w:sz w:val="24"/>
                <w:szCs w:val="24"/>
              </w:rPr>
              <w:t>是：</w:t>
            </w:r>
            <w:r>
              <w:rPr>
                <w:rFonts w:hint="default" w:ascii="Times New Roman" w:hAnsi="Times New Roman" w:cs="Times New Roman"/>
                <w:sz w:val="24"/>
                <w:szCs w:val="24"/>
                <w:u w:val="single"/>
              </w:rPr>
              <w:t xml:space="preserve">             </w:t>
            </w:r>
          </w:p>
        </w:tc>
        <w:tc>
          <w:tcPr>
            <w:tcW w:w="2212" w:type="dxa"/>
            <w:noWrap w:val="0"/>
            <w:tcMar>
              <w:top w:w="16" w:type="dxa"/>
              <w:left w:w="16" w:type="dxa"/>
              <w:right w:w="16" w:type="dxa"/>
            </w:tcMar>
            <w:vAlign w:val="center"/>
          </w:tcPr>
          <w:p w14:paraId="04802A40">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cs="Times New Roman"/>
                <w:sz w:val="24"/>
                <w:szCs w:val="24"/>
              </w:rPr>
            </w:pPr>
            <w:r>
              <w:rPr>
                <w:rFonts w:hint="default" w:ascii="Times New Roman" w:hAnsi="Times New Roman" w:cs="Times New Roman"/>
                <w:spacing w:val="-6"/>
                <w:sz w:val="24"/>
                <w:szCs w:val="24"/>
              </w:rPr>
              <w:t>用地（用海）面积（m</w:t>
            </w:r>
            <w:r>
              <w:rPr>
                <w:rFonts w:hint="default" w:ascii="Times New Roman" w:hAnsi="Times New Roman" w:cs="Times New Roman"/>
                <w:spacing w:val="-6"/>
                <w:sz w:val="24"/>
                <w:szCs w:val="24"/>
                <w:vertAlign w:val="superscript"/>
              </w:rPr>
              <w:t>2</w:t>
            </w:r>
            <w:r>
              <w:rPr>
                <w:rFonts w:hint="default" w:ascii="Times New Roman" w:hAnsi="Times New Roman" w:cs="Times New Roman"/>
                <w:spacing w:val="-6"/>
                <w:sz w:val="24"/>
                <w:szCs w:val="24"/>
              </w:rPr>
              <w:t>）</w:t>
            </w:r>
          </w:p>
        </w:tc>
        <w:tc>
          <w:tcPr>
            <w:tcW w:w="2639" w:type="dxa"/>
            <w:noWrap w:val="0"/>
            <w:vAlign w:val="center"/>
          </w:tcPr>
          <w:p w14:paraId="7A99180B">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sz w:val="24"/>
                <w:szCs w:val="24"/>
                <w:lang w:val="en-US" w:eastAsia="zh-CN"/>
              </w:rPr>
            </w:pPr>
            <w:r>
              <w:rPr>
                <w:rFonts w:hint="eastAsia" w:ascii="Times New Roman" w:hAnsi="Times New Roman" w:cs="Times New Roman"/>
                <w:sz w:val="24"/>
                <w:szCs w:val="24"/>
                <w:lang w:val="en-US" w:eastAsia="zh-CN"/>
              </w:rPr>
              <w:t>53339.59</w:t>
            </w:r>
          </w:p>
        </w:tc>
      </w:tr>
      <w:tr w14:paraId="7D82BB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418" w:type="dxa"/>
            <w:noWrap w:val="0"/>
            <w:vAlign w:val="center"/>
          </w:tcPr>
          <w:p w14:paraId="3E0C7097">
            <w:pPr>
              <w:keepNext w:val="0"/>
              <w:keepLines w:val="0"/>
              <w:pageBreakBefore w:val="0"/>
              <w:widowControl w:val="0"/>
              <w:kinsoku/>
              <w:wordWrap/>
              <w:overflowPunct/>
              <w:topLinePunct w:val="0"/>
              <w:autoSpaceDE w:val="0"/>
              <w:autoSpaceDN w:val="0"/>
              <w:bidi w:val="0"/>
              <w:adjustRightInd w:val="0"/>
              <w:snapToGrid w:val="0"/>
              <w:jc w:val="center"/>
              <w:textAlignment w:val="auto"/>
              <w:rPr>
                <w:rFonts w:hint="default" w:ascii="Times New Roman" w:hAnsi="Times New Roman" w:cs="Times New Roman"/>
                <w:kern w:val="0"/>
                <w:sz w:val="24"/>
                <w:szCs w:val="24"/>
              </w:rPr>
            </w:pPr>
            <w:r>
              <w:rPr>
                <w:rFonts w:hint="default" w:ascii="Times New Roman" w:hAnsi="Times New Roman" w:cs="Times New Roman"/>
                <w:kern w:val="0"/>
                <w:sz w:val="24"/>
                <w:szCs w:val="24"/>
              </w:rPr>
              <w:t>专项评价设置情况</w:t>
            </w:r>
          </w:p>
        </w:tc>
        <w:tc>
          <w:tcPr>
            <w:tcW w:w="7452" w:type="dxa"/>
            <w:gridSpan w:val="3"/>
            <w:noWrap w:val="0"/>
            <w:vAlign w:val="center"/>
          </w:tcPr>
          <w:p w14:paraId="21B93A2F">
            <w:pPr>
              <w:keepNext w:val="0"/>
              <w:keepLines w:val="0"/>
              <w:pageBreakBefore w:val="0"/>
              <w:widowControl w:val="0"/>
              <w:kinsoku/>
              <w:wordWrap/>
              <w:overflowPunct/>
              <w:topLinePunct w:val="0"/>
              <w:autoSpaceDE w:val="0"/>
              <w:autoSpaceDN w:val="0"/>
              <w:bidi w:val="0"/>
              <w:adjustRightInd w:val="0"/>
              <w:snapToGrid w:val="0"/>
              <w:jc w:val="center"/>
              <w:textAlignment w:val="auto"/>
              <w:rPr>
                <w:rFonts w:hint="default" w:ascii="Times New Roman" w:hAnsi="Times New Roman" w:eastAsia="宋体" w:cs="Times New Roman"/>
                <w:kern w:val="0"/>
                <w:sz w:val="24"/>
                <w:szCs w:val="24"/>
                <w:lang w:val="en-US" w:eastAsia="zh-CN"/>
              </w:rPr>
            </w:pPr>
            <w:r>
              <w:rPr>
                <w:rFonts w:hint="default" w:ascii="Times New Roman" w:hAnsi="Times New Roman" w:cs="Times New Roman"/>
                <w:kern w:val="0"/>
                <w:sz w:val="24"/>
                <w:szCs w:val="24"/>
                <w:lang w:val="en-US" w:eastAsia="zh-CN"/>
              </w:rPr>
              <w:t>无</w:t>
            </w:r>
          </w:p>
        </w:tc>
      </w:tr>
      <w:tr w14:paraId="1E9DF1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418" w:type="dxa"/>
            <w:noWrap w:val="0"/>
            <w:vAlign w:val="center"/>
          </w:tcPr>
          <w:p w14:paraId="1B9C119D">
            <w:pPr>
              <w:keepNext w:val="0"/>
              <w:keepLines w:val="0"/>
              <w:pageBreakBefore w:val="0"/>
              <w:widowControl w:val="0"/>
              <w:kinsoku/>
              <w:wordWrap/>
              <w:overflowPunct/>
              <w:topLinePunct w:val="0"/>
              <w:autoSpaceDE w:val="0"/>
              <w:autoSpaceDN w:val="0"/>
              <w:bidi w:val="0"/>
              <w:adjustRightInd w:val="0"/>
              <w:snapToGrid w:val="0"/>
              <w:jc w:val="center"/>
              <w:textAlignment w:val="auto"/>
              <w:rPr>
                <w:rFonts w:hint="default" w:ascii="Times New Roman" w:hAnsi="Times New Roman" w:cs="Times New Roman"/>
                <w:kern w:val="0"/>
                <w:sz w:val="24"/>
                <w:szCs w:val="24"/>
              </w:rPr>
            </w:pPr>
            <w:r>
              <w:rPr>
                <w:rFonts w:hint="default" w:ascii="Times New Roman" w:hAnsi="Times New Roman" w:cs="Times New Roman"/>
                <w:sz w:val="24"/>
                <w:szCs w:val="24"/>
              </w:rPr>
              <w:t>规划情况</w:t>
            </w:r>
          </w:p>
        </w:tc>
        <w:tc>
          <w:tcPr>
            <w:tcW w:w="7452" w:type="dxa"/>
            <w:gridSpan w:val="3"/>
            <w:noWrap w:val="0"/>
            <w:vAlign w:val="center"/>
          </w:tcPr>
          <w:p w14:paraId="0F6582FF">
            <w:pPr>
              <w:keepNext w:val="0"/>
              <w:keepLines w:val="0"/>
              <w:pageBreakBefore w:val="0"/>
              <w:widowControl w:val="0"/>
              <w:kinsoku/>
              <w:wordWrap/>
              <w:overflowPunct/>
              <w:topLinePunct w:val="0"/>
              <w:autoSpaceDE w:val="0"/>
              <w:autoSpaceDN w:val="0"/>
              <w:bidi w:val="0"/>
              <w:adjustRightInd w:val="0"/>
              <w:snapToGrid w:val="0"/>
              <w:jc w:val="center"/>
              <w:textAlignment w:val="auto"/>
              <w:rPr>
                <w:rFonts w:hint="default" w:ascii="Times New Roman" w:hAnsi="Times New Roman" w:eastAsia="宋体" w:cs="Times New Roman"/>
                <w:kern w:val="0"/>
                <w:sz w:val="24"/>
                <w:szCs w:val="24"/>
                <w:lang w:val="en-US" w:eastAsia="zh-CN"/>
              </w:rPr>
            </w:pPr>
            <w:r>
              <w:rPr>
                <w:rFonts w:hint="default" w:ascii="Times New Roman" w:hAnsi="Times New Roman" w:cs="Times New Roman"/>
                <w:kern w:val="0"/>
                <w:sz w:val="24"/>
                <w:szCs w:val="24"/>
                <w:lang w:val="en-US" w:eastAsia="zh-CN"/>
              </w:rPr>
              <w:t>无</w:t>
            </w:r>
          </w:p>
        </w:tc>
      </w:tr>
      <w:tr w14:paraId="7662AC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418" w:type="dxa"/>
            <w:noWrap w:val="0"/>
            <w:vAlign w:val="center"/>
          </w:tcPr>
          <w:p w14:paraId="4D701FA9">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cs="Times New Roman"/>
                <w:kern w:val="0"/>
                <w:sz w:val="24"/>
                <w:szCs w:val="24"/>
              </w:rPr>
            </w:pPr>
            <w:r>
              <w:rPr>
                <w:rFonts w:hint="default" w:ascii="Times New Roman" w:hAnsi="Times New Roman" w:cs="Times New Roman"/>
                <w:sz w:val="24"/>
                <w:szCs w:val="24"/>
              </w:rPr>
              <w:t>规划环境影响评价情况</w:t>
            </w:r>
          </w:p>
        </w:tc>
        <w:tc>
          <w:tcPr>
            <w:tcW w:w="7452" w:type="dxa"/>
            <w:gridSpan w:val="3"/>
            <w:noWrap w:val="0"/>
            <w:vAlign w:val="center"/>
          </w:tcPr>
          <w:p w14:paraId="177798EF">
            <w:pPr>
              <w:keepNext w:val="0"/>
              <w:keepLines w:val="0"/>
              <w:pageBreakBefore w:val="0"/>
              <w:widowControl w:val="0"/>
              <w:kinsoku/>
              <w:wordWrap/>
              <w:overflowPunct/>
              <w:topLinePunct w:val="0"/>
              <w:autoSpaceDE w:val="0"/>
              <w:autoSpaceDN w:val="0"/>
              <w:bidi w:val="0"/>
              <w:adjustRightInd w:val="0"/>
              <w:snapToGrid w:val="0"/>
              <w:jc w:val="center"/>
              <w:textAlignment w:val="auto"/>
              <w:rPr>
                <w:rFonts w:hint="default" w:ascii="Times New Roman" w:hAnsi="Times New Roman" w:eastAsia="宋体" w:cs="Times New Roman"/>
                <w:kern w:val="0"/>
                <w:sz w:val="24"/>
                <w:szCs w:val="24"/>
                <w:lang w:val="en-US" w:eastAsia="zh-CN"/>
              </w:rPr>
            </w:pPr>
            <w:r>
              <w:rPr>
                <w:rFonts w:hint="default" w:ascii="Times New Roman" w:hAnsi="Times New Roman" w:cs="Times New Roman"/>
                <w:kern w:val="0"/>
                <w:sz w:val="24"/>
                <w:szCs w:val="24"/>
                <w:lang w:val="en-US" w:eastAsia="zh-CN"/>
              </w:rPr>
              <w:t>无</w:t>
            </w:r>
          </w:p>
        </w:tc>
      </w:tr>
      <w:tr w14:paraId="6366EB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418" w:type="dxa"/>
            <w:noWrap w:val="0"/>
            <w:vAlign w:val="center"/>
          </w:tcPr>
          <w:p w14:paraId="6DD86887">
            <w:pPr>
              <w:keepNext w:val="0"/>
              <w:keepLines w:val="0"/>
              <w:pageBreakBefore w:val="0"/>
              <w:widowControl w:val="0"/>
              <w:kinsoku/>
              <w:wordWrap/>
              <w:overflowPunct/>
              <w:topLinePunct w:val="0"/>
              <w:autoSpaceDE w:val="0"/>
              <w:autoSpaceDN w:val="0"/>
              <w:bidi w:val="0"/>
              <w:adjustRightInd w:val="0"/>
              <w:snapToGrid w:val="0"/>
              <w:jc w:val="center"/>
              <w:textAlignment w:val="auto"/>
              <w:rPr>
                <w:rFonts w:hint="default" w:ascii="Times New Roman" w:hAnsi="Times New Roman" w:cs="Times New Roman"/>
                <w:kern w:val="0"/>
                <w:sz w:val="24"/>
                <w:szCs w:val="24"/>
              </w:rPr>
            </w:pPr>
            <w:r>
              <w:rPr>
                <w:rFonts w:hint="default" w:ascii="Times New Roman" w:hAnsi="Times New Roman" w:cs="Times New Roman"/>
                <w:kern w:val="0"/>
                <w:sz w:val="24"/>
                <w:szCs w:val="24"/>
              </w:rPr>
              <w:t>规划及规划环境影响评价符合性分析</w:t>
            </w:r>
          </w:p>
        </w:tc>
        <w:tc>
          <w:tcPr>
            <w:tcW w:w="7452" w:type="dxa"/>
            <w:gridSpan w:val="3"/>
            <w:noWrap w:val="0"/>
            <w:vAlign w:val="center"/>
          </w:tcPr>
          <w:p w14:paraId="337E114D">
            <w:pPr>
              <w:keepNext w:val="0"/>
              <w:keepLines w:val="0"/>
              <w:pageBreakBefore w:val="0"/>
              <w:widowControl w:val="0"/>
              <w:kinsoku/>
              <w:wordWrap/>
              <w:overflowPunct/>
              <w:topLinePunct w:val="0"/>
              <w:autoSpaceDE w:val="0"/>
              <w:autoSpaceDN w:val="0"/>
              <w:bidi w:val="0"/>
              <w:adjustRightInd w:val="0"/>
              <w:snapToGrid w:val="0"/>
              <w:jc w:val="center"/>
              <w:textAlignment w:val="auto"/>
              <w:rPr>
                <w:rFonts w:hint="default" w:ascii="Times New Roman" w:hAnsi="Times New Roman" w:eastAsia="宋体" w:cs="Times New Roman"/>
                <w:kern w:val="0"/>
                <w:sz w:val="24"/>
                <w:szCs w:val="24"/>
                <w:lang w:val="en-US" w:eastAsia="zh-CN"/>
              </w:rPr>
            </w:pPr>
            <w:r>
              <w:rPr>
                <w:rFonts w:hint="default" w:ascii="Times New Roman" w:hAnsi="Times New Roman" w:cs="Times New Roman"/>
                <w:kern w:val="0"/>
                <w:sz w:val="24"/>
                <w:szCs w:val="24"/>
                <w:lang w:val="en-US" w:eastAsia="zh-CN"/>
              </w:rPr>
              <w:t>无</w:t>
            </w:r>
          </w:p>
        </w:tc>
      </w:tr>
      <w:tr w14:paraId="2FF3ED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418" w:type="dxa"/>
            <w:noWrap w:val="0"/>
            <w:vAlign w:val="center"/>
          </w:tcPr>
          <w:p w14:paraId="26992040">
            <w:pPr>
              <w:autoSpaceDE w:val="0"/>
              <w:autoSpaceDN w:val="0"/>
              <w:adjustRightInd w:val="0"/>
              <w:snapToGrid w:val="0"/>
              <w:jc w:val="center"/>
              <w:rPr>
                <w:rFonts w:hint="eastAsia" w:ascii="宋体" w:hAnsi="宋体" w:cs="宋体"/>
                <w:kern w:val="0"/>
                <w:szCs w:val="21"/>
              </w:rPr>
            </w:pPr>
            <w:r>
              <w:rPr>
                <w:rFonts w:hint="default" w:ascii="Times New Roman" w:hAnsi="Times New Roman" w:cs="Times New Roman"/>
                <w:kern w:val="0"/>
                <w:sz w:val="24"/>
                <w:szCs w:val="24"/>
              </w:rPr>
              <w:t>其他符合性分析</w:t>
            </w:r>
          </w:p>
        </w:tc>
        <w:tc>
          <w:tcPr>
            <w:tcW w:w="7452" w:type="dxa"/>
            <w:gridSpan w:val="3"/>
            <w:noWrap w:val="0"/>
            <w:vAlign w:val="center"/>
          </w:tcPr>
          <w:p w14:paraId="315201F9">
            <w:pPr>
              <w:keepNext w:val="0"/>
              <w:keepLines w:val="0"/>
              <w:pageBreakBefore w:val="0"/>
              <w:widowControl w:val="0"/>
              <w:kinsoku/>
              <w:wordWrap/>
              <w:overflowPunct/>
              <w:topLinePunct w:val="0"/>
              <w:autoSpaceDE w:val="0"/>
              <w:autoSpaceDN w:val="0"/>
              <w:bidi w:val="0"/>
              <w:adjustRightInd w:val="0"/>
              <w:snapToGrid w:val="0"/>
              <w:spacing w:line="440" w:lineRule="exact"/>
              <w:ind w:firstLine="480" w:firstLineChars="200"/>
              <w:jc w:val="both"/>
              <w:textAlignment w:val="auto"/>
              <w:rPr>
                <w:rFonts w:hint="default" w:ascii="Times New Roman" w:hAnsi="Times New Roman" w:cs="Times New Roman"/>
                <w:kern w:val="0"/>
                <w:sz w:val="24"/>
                <w:szCs w:val="24"/>
              </w:rPr>
            </w:pPr>
            <w:r>
              <w:rPr>
                <w:rFonts w:hint="default" w:ascii="Times New Roman" w:hAnsi="Times New Roman" w:cs="Times New Roman"/>
                <w:kern w:val="0"/>
                <w:sz w:val="24"/>
                <w:szCs w:val="24"/>
              </w:rPr>
              <w:t>1</w:t>
            </w:r>
            <w:r>
              <w:rPr>
                <w:rFonts w:hint="default" w:ascii="Times New Roman" w:hAnsi="Times New Roman" w:cs="Times New Roman"/>
                <w:kern w:val="0"/>
                <w:sz w:val="24"/>
                <w:szCs w:val="24"/>
                <w:lang w:eastAsia="zh-CN"/>
              </w:rPr>
              <w:t>、</w:t>
            </w:r>
            <w:r>
              <w:rPr>
                <w:rFonts w:hint="default" w:ascii="Times New Roman" w:hAnsi="Times New Roman" w:cs="Times New Roman"/>
                <w:kern w:val="0"/>
                <w:sz w:val="24"/>
                <w:szCs w:val="24"/>
              </w:rPr>
              <w:t>产业政策符合性分析</w:t>
            </w:r>
          </w:p>
          <w:p w14:paraId="11D10DE6">
            <w:pPr>
              <w:pStyle w:val="10"/>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b w:val="0"/>
                <w:bCs w:val="0"/>
                <w:color w:val="000000"/>
                <w:kern w:val="0"/>
                <w:sz w:val="24"/>
                <w:szCs w:val="24"/>
                <w:highlight w:val="none"/>
                <w:lang w:val="en-US" w:eastAsia="zh-CN"/>
              </w:rPr>
            </w:pPr>
            <w:r>
              <w:rPr>
                <w:rFonts w:hint="default" w:ascii="Times New Roman" w:hAnsi="Times New Roman" w:cs="Times New Roman"/>
                <w:b w:val="0"/>
                <w:bCs w:val="0"/>
                <w:color w:val="000000"/>
                <w:kern w:val="0"/>
                <w:sz w:val="24"/>
                <w:szCs w:val="24"/>
                <w:highlight w:val="none"/>
                <w:lang w:val="en-US" w:eastAsia="zh-CN"/>
              </w:rPr>
              <w:t>根据《国民经济行业分类》（GB/T4754—2017）</w:t>
            </w:r>
            <w:r>
              <w:rPr>
                <w:rFonts w:hint="default" w:ascii="Times New Roman" w:hAnsi="Times New Roman" w:cs="Times New Roman"/>
                <w:lang w:eastAsia="zh-CN"/>
              </w:rPr>
              <w:t>（</w:t>
            </w:r>
            <w:r>
              <w:rPr>
                <w:rFonts w:hint="default" w:ascii="Times New Roman" w:hAnsi="Times New Roman" w:cs="Times New Roman"/>
                <w:lang w:val="en-US" w:eastAsia="zh-CN"/>
              </w:rPr>
              <w:t>2019年修改</w:t>
            </w:r>
            <w:r>
              <w:rPr>
                <w:rFonts w:hint="default" w:ascii="Times New Roman" w:hAnsi="Times New Roman" w:cs="Times New Roman"/>
                <w:lang w:eastAsia="zh-CN"/>
              </w:rPr>
              <w:t>）</w:t>
            </w:r>
            <w:r>
              <w:rPr>
                <w:rFonts w:hint="default" w:ascii="Times New Roman" w:hAnsi="Times New Roman" w:cs="Times New Roman"/>
                <w:b w:val="0"/>
                <w:bCs w:val="0"/>
                <w:color w:val="000000"/>
                <w:kern w:val="0"/>
                <w:sz w:val="24"/>
                <w:szCs w:val="24"/>
                <w:highlight w:val="none"/>
                <w:lang w:val="en-US" w:eastAsia="zh-CN"/>
              </w:rPr>
              <w:t>，本项目属于</w:t>
            </w:r>
            <w:r>
              <w:rPr>
                <w:rFonts w:hint="default" w:ascii="Times New Roman" w:hAnsi="Times New Roman" w:cs="Times New Roman"/>
                <w:szCs w:val="21"/>
              </w:rPr>
              <w:t>N7723固体废物治理</w:t>
            </w:r>
            <w:r>
              <w:rPr>
                <w:rFonts w:hint="default" w:ascii="Times New Roman" w:hAnsi="Times New Roman" w:cs="Times New Roman"/>
                <w:szCs w:val="21"/>
                <w:lang w:val="en-US" w:eastAsia="zh-CN"/>
              </w:rPr>
              <w:t>行业</w:t>
            </w:r>
            <w:r>
              <w:rPr>
                <w:rFonts w:hint="default" w:ascii="Times New Roman" w:hAnsi="Times New Roman" w:cs="Times New Roman"/>
                <w:b w:val="0"/>
                <w:bCs w:val="0"/>
                <w:color w:val="000000"/>
                <w:kern w:val="0"/>
                <w:sz w:val="24"/>
                <w:szCs w:val="24"/>
                <w:highlight w:val="none"/>
                <w:lang w:val="en-US" w:eastAsia="zh-CN"/>
              </w:rPr>
              <w:t>，根据《产业结构调整指导目录（2024年本）》本项目属于鼓励类建设项目中的四十二、环境保护与资源节约综合利用-8.废弃物循环利用：煤矸石、粉煤灰、尾矿（共伴生矿）、冶炼渣、工业副产石膏、赤泥、建筑垃圾等工业废弃物循环利用。</w:t>
            </w:r>
          </w:p>
          <w:p w14:paraId="13023E89">
            <w:pPr>
              <w:pStyle w:val="10"/>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本项目于2026年</w:t>
            </w:r>
            <w:r>
              <w:rPr>
                <w:rFonts w:hint="eastAsia" w:ascii="Times New Roman" w:hAnsi="Times New Roman" w:cs="Times New Roman"/>
                <w:lang w:val="en-US" w:eastAsia="zh-CN"/>
              </w:rPr>
              <w:t>8</w:t>
            </w:r>
            <w:r>
              <w:rPr>
                <w:rFonts w:hint="default" w:ascii="Times New Roman" w:hAnsi="Times New Roman" w:cs="Times New Roman"/>
                <w:lang w:val="en-US" w:eastAsia="zh-CN"/>
              </w:rPr>
              <w:t>月取得</w:t>
            </w:r>
            <w:r>
              <w:rPr>
                <w:rFonts w:hint="eastAsia" w:ascii="Times New Roman" w:hAnsi="Times New Roman" w:cs="Times New Roman"/>
                <w:lang w:val="en-US" w:eastAsia="zh-CN"/>
              </w:rPr>
              <w:t>库尔勒市</w:t>
            </w:r>
            <w:r>
              <w:rPr>
                <w:rFonts w:hint="default" w:ascii="Times New Roman" w:hAnsi="Times New Roman" w:cs="Times New Roman"/>
                <w:lang w:val="en-US" w:eastAsia="zh-CN"/>
              </w:rPr>
              <w:t>发展和改革委员会发的</w:t>
            </w:r>
            <w:r>
              <w:rPr>
                <w:rFonts w:hint="eastAsia" w:ascii="Times New Roman" w:hAnsi="Times New Roman" w:cs="Times New Roman"/>
                <w:lang w:val="en-US" w:eastAsia="zh-CN"/>
              </w:rPr>
              <w:t>投资项目备案证</w:t>
            </w:r>
            <w:r>
              <w:rPr>
                <w:rFonts w:hint="default" w:ascii="Times New Roman" w:hAnsi="Times New Roman" w:cs="Times New Roman"/>
                <w:lang w:val="en-US" w:eastAsia="zh-CN"/>
              </w:rPr>
              <w:t>（备案文件项目代码：</w:t>
            </w:r>
            <w:r>
              <w:rPr>
                <w:rFonts w:hint="default" w:ascii="Times New Roman" w:hAnsi="Times New Roman" w:cs="Times New Roman"/>
                <w:sz w:val="24"/>
                <w:szCs w:val="24"/>
              </w:rPr>
              <w:t>2607-652801-60-03-407023</w:t>
            </w:r>
            <w:r>
              <w:rPr>
                <w:rFonts w:hint="default" w:ascii="Times New Roman" w:hAnsi="Times New Roman" w:cs="Times New Roman"/>
                <w:lang w:val="en-US" w:eastAsia="zh-CN"/>
              </w:rPr>
              <w:t>）。</w:t>
            </w:r>
          </w:p>
          <w:p w14:paraId="5C903F32">
            <w:pPr>
              <w:pStyle w:val="10"/>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因此，本项目符合国家及地方相关产业政策要求。</w:t>
            </w:r>
          </w:p>
          <w:p w14:paraId="482796F5">
            <w:pPr>
              <w:keepNext w:val="0"/>
              <w:keepLines w:val="0"/>
              <w:pageBreakBefore w:val="0"/>
              <w:widowControl w:val="0"/>
              <w:kinsoku/>
              <w:wordWrap/>
              <w:overflowPunct/>
              <w:topLinePunct w:val="0"/>
              <w:autoSpaceDE/>
              <w:autoSpaceDN/>
              <w:bidi w:val="0"/>
              <w:adjustRightInd/>
              <w:snapToGrid/>
              <w:spacing w:beforeAutospacing="0" w:line="440" w:lineRule="exact"/>
              <w:ind w:firstLine="480" w:firstLineChars="200"/>
              <w:textAlignment w:val="auto"/>
              <w:rPr>
                <w:rFonts w:hint="default" w:ascii="Times New Roman" w:hAnsi="Times New Roman" w:eastAsia="宋体" w:cs="Times New Roman"/>
                <w:b w:val="0"/>
                <w:bCs w:val="0"/>
                <w:i w:val="0"/>
                <w:iCs w:val="0"/>
                <w:color w:val="000000"/>
                <w:sz w:val="24"/>
                <w:szCs w:val="24"/>
                <w:highlight w:val="none"/>
              </w:rPr>
            </w:pPr>
            <w:r>
              <w:rPr>
                <w:rFonts w:hint="default" w:ascii="Times New Roman" w:hAnsi="Times New Roman" w:eastAsia="宋体" w:cs="Times New Roman"/>
                <w:b w:val="0"/>
                <w:bCs w:val="0"/>
                <w:sz w:val="24"/>
                <w:szCs w:val="24"/>
                <w:lang w:val="en-US" w:eastAsia="zh-CN"/>
              </w:rPr>
              <w:t>2、</w:t>
            </w:r>
            <w:r>
              <w:rPr>
                <w:rFonts w:hint="default" w:ascii="Times New Roman" w:hAnsi="Times New Roman" w:eastAsia="宋体" w:cs="Times New Roman"/>
                <w:b w:val="0"/>
                <w:bCs w:val="0"/>
                <w:i w:val="0"/>
                <w:iCs w:val="0"/>
                <w:color w:val="000000"/>
                <w:sz w:val="24"/>
                <w:szCs w:val="24"/>
                <w:highlight w:val="none"/>
                <w:lang w:val="en-US" w:eastAsia="zh-CN"/>
              </w:rPr>
              <w:t>生态环境分区管控</w:t>
            </w:r>
            <w:r>
              <w:rPr>
                <w:rFonts w:hint="default" w:ascii="Times New Roman" w:hAnsi="Times New Roman" w:eastAsia="宋体" w:cs="Times New Roman"/>
                <w:b w:val="0"/>
                <w:bCs w:val="0"/>
                <w:i w:val="0"/>
                <w:iCs w:val="0"/>
                <w:color w:val="000000"/>
                <w:sz w:val="24"/>
                <w:szCs w:val="24"/>
                <w:highlight w:val="none"/>
              </w:rPr>
              <w:t>符合性</w:t>
            </w:r>
          </w:p>
          <w:p w14:paraId="3A3B1BA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i w:val="0"/>
                <w:iCs w:val="0"/>
                <w:color w:val="000000"/>
                <w:sz w:val="24"/>
                <w:szCs w:val="24"/>
                <w:lang w:val="en-US" w:eastAsia="zh-CN"/>
              </w:rPr>
            </w:pPr>
            <w:r>
              <w:rPr>
                <w:rFonts w:hint="default" w:ascii="Times New Roman" w:hAnsi="Times New Roman" w:eastAsia="宋体" w:cs="Times New Roman"/>
                <w:i w:val="0"/>
                <w:iCs w:val="0"/>
                <w:color w:val="000000"/>
                <w:sz w:val="24"/>
                <w:szCs w:val="24"/>
                <w:lang w:val="en-US" w:eastAsia="zh-CN"/>
              </w:rPr>
              <w:t>根据</w:t>
            </w:r>
            <w:r>
              <w:rPr>
                <w:rFonts w:hint="default" w:ascii="Times New Roman" w:hAnsi="Times New Roman" w:eastAsia="宋体" w:cs="Times New Roman"/>
                <w:color w:val="000000"/>
                <w:sz w:val="24"/>
                <w:szCs w:val="24"/>
              </w:rPr>
              <w:t>《关于以改善环境质量为核心加强环境影响评价管理的通知》（环</w:t>
            </w:r>
            <w:r>
              <w:rPr>
                <w:rFonts w:hint="eastAsia" w:ascii="Times New Roman" w:hAnsi="Times New Roman" w:eastAsia="宋体" w:cs="Times New Roman"/>
                <w:color w:val="000000"/>
                <w:sz w:val="24"/>
                <w:szCs w:val="24"/>
                <w:lang w:val="en-US" w:eastAsia="zh-CN"/>
              </w:rPr>
              <w:t>环</w:t>
            </w:r>
            <w:r>
              <w:rPr>
                <w:rFonts w:hint="default" w:ascii="Times New Roman" w:hAnsi="Times New Roman" w:eastAsia="宋体" w:cs="Times New Roman"/>
                <w:color w:val="000000"/>
                <w:sz w:val="24"/>
                <w:szCs w:val="24"/>
              </w:rPr>
              <w:t>评</w:t>
            </w:r>
            <w:r>
              <w:rPr>
                <w:rFonts w:hint="default" w:ascii="Times New Roman" w:hAnsi="Times New Roman" w:eastAsia="宋体" w:cs="Times New Roman"/>
                <w:color w:val="000000"/>
                <w:sz w:val="24"/>
                <w:szCs w:val="24"/>
                <w:lang w:eastAsia="zh-CN"/>
              </w:rPr>
              <w:t>〔2016〕150号</w:t>
            </w:r>
            <w:r>
              <w:rPr>
                <w:rFonts w:hint="default" w:ascii="Times New Roman" w:hAnsi="Times New Roman" w:eastAsia="宋体" w:cs="Times New Roman"/>
                <w:color w:val="000000"/>
                <w:sz w:val="24"/>
                <w:szCs w:val="24"/>
              </w:rPr>
              <w:t>）</w:t>
            </w:r>
            <w:r>
              <w:rPr>
                <w:rFonts w:hint="default" w:ascii="Times New Roman" w:hAnsi="Times New Roman" w:eastAsia="宋体" w:cs="Times New Roman"/>
                <w:color w:val="000000"/>
                <w:sz w:val="24"/>
                <w:szCs w:val="24"/>
                <w:lang w:eastAsia="zh-CN"/>
              </w:rPr>
              <w:t>、</w:t>
            </w:r>
            <w:r>
              <w:rPr>
                <w:rFonts w:hint="default" w:ascii="Times New Roman" w:hAnsi="Times New Roman" w:eastAsia="宋体" w:cs="Times New Roman"/>
                <w:color w:val="000000"/>
                <w:sz w:val="24"/>
                <w:szCs w:val="24"/>
                <w:highlight w:val="none"/>
                <w:lang w:eastAsia="zh-CN"/>
              </w:rPr>
              <w:t>《新疆维吾尔自治区七大片区“三线一单”生态环境分区管控要求》《新疆维吾尔自治区生态环境分区管控动态更新成果》（新环环评发〔2024〕157号）、《</w:t>
            </w:r>
            <w:r>
              <w:rPr>
                <w:rFonts w:hint="default" w:ascii="Times New Roman" w:hAnsi="Times New Roman" w:eastAsia="宋体" w:cs="Times New Roman"/>
                <w:color w:val="000000"/>
                <w:sz w:val="24"/>
                <w:szCs w:val="24"/>
                <w:highlight w:val="none"/>
                <w:lang w:val="en-US" w:eastAsia="zh-CN"/>
              </w:rPr>
              <w:t>关于印发巴音郭楞蒙古自治州“三线一单”生态环境分区管控动态更新成果（2023年）的通知</w:t>
            </w:r>
            <w:r>
              <w:rPr>
                <w:rFonts w:hint="default" w:ascii="Times New Roman" w:hAnsi="Times New Roman" w:eastAsia="宋体" w:cs="Times New Roman"/>
                <w:color w:val="000000"/>
                <w:sz w:val="24"/>
                <w:szCs w:val="24"/>
                <w:highlight w:val="none"/>
                <w:lang w:eastAsia="zh-CN"/>
              </w:rPr>
              <w:t>》</w:t>
            </w:r>
            <w:r>
              <w:rPr>
                <w:rFonts w:hint="default" w:ascii="Times New Roman" w:hAnsi="Times New Roman" w:eastAsia="宋体" w:cs="Times New Roman"/>
                <w:color w:val="000000"/>
                <w:sz w:val="24"/>
                <w:szCs w:val="24"/>
                <w:lang w:eastAsia="zh-CN"/>
              </w:rPr>
              <w:t>等文件，</w:t>
            </w:r>
            <w:r>
              <w:rPr>
                <w:rFonts w:hint="default" w:ascii="Times New Roman" w:hAnsi="Times New Roman" w:eastAsia="宋体" w:cs="Times New Roman"/>
                <w:color w:val="000000"/>
                <w:sz w:val="24"/>
                <w:szCs w:val="24"/>
              </w:rPr>
              <w:t>要求以生态保护红线、环境质量底线、资源利用上线和环境准入负面清单为手段</w:t>
            </w:r>
            <w:r>
              <w:rPr>
                <w:rFonts w:hint="default" w:ascii="Times New Roman" w:hAnsi="Times New Roman" w:eastAsia="宋体" w:cs="Times New Roman"/>
                <w:color w:val="000000"/>
                <w:sz w:val="24"/>
                <w:szCs w:val="24"/>
                <w:lang w:eastAsia="zh-CN"/>
              </w:rPr>
              <w:t>，以坚持底线思维、强化空间管控、坚持因地制宜、坚持统筹实施为基本原则，强化空间、总量和环境准入管理。</w:t>
            </w:r>
          </w:p>
          <w:p w14:paraId="6D60C25C">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highlight w:val="none"/>
                <w:lang w:val="en-US" w:eastAsia="zh-CN"/>
              </w:rPr>
              <w:t>（1）与</w:t>
            </w:r>
            <w:r>
              <w:rPr>
                <w:rFonts w:hint="default" w:ascii="Times New Roman" w:hAnsi="Times New Roman" w:eastAsia="宋体" w:cs="Times New Roman"/>
                <w:b w:val="0"/>
                <w:bCs w:val="0"/>
                <w:color w:val="000000"/>
                <w:sz w:val="24"/>
                <w:szCs w:val="24"/>
                <w:highlight w:val="none"/>
                <w:lang w:eastAsia="zh-CN"/>
              </w:rPr>
              <w:t>《新疆维吾尔自治区生态环境分区管控动态更新成果》（新环环评发〔2024〕157号）</w:t>
            </w:r>
            <w:r>
              <w:rPr>
                <w:rFonts w:hint="default" w:ascii="Times New Roman" w:hAnsi="Times New Roman" w:eastAsia="宋体" w:cs="Times New Roman"/>
                <w:b w:val="0"/>
                <w:bCs w:val="0"/>
                <w:color w:val="000000"/>
                <w:sz w:val="24"/>
                <w:szCs w:val="24"/>
                <w:highlight w:val="none"/>
                <w:lang w:val="en-US" w:eastAsia="zh-CN"/>
              </w:rPr>
              <w:t>符合性分析</w:t>
            </w:r>
          </w:p>
          <w:p w14:paraId="1E99C20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b w:val="0"/>
                <w:bCs w:val="0"/>
                <w:color w:val="000000"/>
                <w:sz w:val="24"/>
                <w:szCs w:val="24"/>
                <w:highlight w:val="none"/>
                <w:lang w:eastAsia="zh-CN"/>
              </w:rPr>
              <w:t>2024年11月，新疆维吾尔自治区生态环境厅发布了《关于印发〈新疆维吾尔自治区生态环境分区管控动态更新成果〉的通知》（新环环评发〔2024〕157号）与其符合性</w:t>
            </w:r>
            <w:r>
              <w:rPr>
                <w:rFonts w:hint="default" w:ascii="Times New Roman" w:hAnsi="Times New Roman" w:eastAsia="宋体" w:cs="Times New Roman"/>
                <w:color w:val="000000"/>
                <w:sz w:val="24"/>
                <w:szCs w:val="24"/>
                <w:highlight w:val="none"/>
                <w:lang w:val="en-US" w:eastAsia="zh-CN"/>
              </w:rPr>
              <w:t>分析内容见表1-</w:t>
            </w:r>
            <w:r>
              <w:rPr>
                <w:rFonts w:hint="eastAsia" w:ascii="Times New Roman" w:hAnsi="Times New Roman" w:eastAsia="宋体" w:cs="Times New Roman"/>
                <w:color w:val="000000"/>
                <w:sz w:val="24"/>
                <w:szCs w:val="24"/>
                <w:highlight w:val="none"/>
                <w:lang w:val="en-US" w:eastAsia="zh-CN"/>
              </w:rPr>
              <w:t>1</w:t>
            </w:r>
            <w:r>
              <w:rPr>
                <w:rFonts w:hint="default" w:ascii="Times New Roman" w:hAnsi="Times New Roman" w:eastAsia="宋体" w:cs="Times New Roman"/>
                <w:color w:val="000000"/>
                <w:sz w:val="24"/>
                <w:szCs w:val="24"/>
                <w:highlight w:val="none"/>
                <w:lang w:val="en-US" w:eastAsia="zh-CN"/>
              </w:rPr>
              <w:t>。</w:t>
            </w:r>
          </w:p>
          <w:p w14:paraId="292DFAD6">
            <w:pPr>
              <w:pStyle w:val="24"/>
              <w:keepNext w:val="0"/>
              <w:keepLines w:val="0"/>
              <w:pageBreakBefore w:val="0"/>
              <w:widowControl w:val="0"/>
              <w:kinsoku/>
              <w:wordWrap/>
              <w:overflowPunct/>
              <w:topLinePunct w:val="0"/>
              <w:autoSpaceDE/>
              <w:autoSpaceDN/>
              <w:bidi w:val="0"/>
              <w:adjustRightInd/>
              <w:snapToGrid/>
              <w:spacing w:after="0" w:afterLines="0" w:afterAutospacing="0" w:line="440" w:lineRule="exact"/>
              <w:ind w:left="0" w:leftChars="0" w:firstLine="0" w:firstLineChars="0"/>
              <w:jc w:val="center"/>
              <w:textAlignment w:val="auto"/>
              <w:rPr>
                <w:rFonts w:hint="default" w:ascii="Times New Roman" w:hAnsi="Times New Roman" w:eastAsia="宋体" w:cs="Times New Roman"/>
                <w:b/>
                <w:bCs/>
                <w:color w:val="000000"/>
                <w:kern w:val="2"/>
                <w:sz w:val="21"/>
                <w:szCs w:val="21"/>
                <w:highlight w:val="none"/>
                <w:lang w:val="en-US" w:eastAsia="zh-CN" w:bidi="ar-SA"/>
              </w:rPr>
            </w:pPr>
            <w:r>
              <w:rPr>
                <w:rFonts w:hint="default" w:ascii="Times New Roman" w:hAnsi="Times New Roman" w:eastAsia="宋体" w:cs="Times New Roman"/>
                <w:b/>
                <w:bCs/>
                <w:color w:val="000000"/>
                <w:kern w:val="2"/>
                <w:sz w:val="21"/>
                <w:szCs w:val="21"/>
                <w:highlight w:val="none"/>
                <w:lang w:val="en-US" w:eastAsia="zh-CN" w:bidi="ar-SA"/>
              </w:rPr>
              <w:t>表1-</w:t>
            </w:r>
            <w:r>
              <w:rPr>
                <w:rFonts w:hint="eastAsia" w:ascii="Times New Roman" w:hAnsi="Times New Roman" w:cs="Times New Roman"/>
                <w:b/>
                <w:bCs/>
                <w:color w:val="000000"/>
                <w:kern w:val="2"/>
                <w:sz w:val="21"/>
                <w:szCs w:val="21"/>
                <w:highlight w:val="none"/>
                <w:lang w:val="en-US" w:eastAsia="zh-CN" w:bidi="ar-SA"/>
              </w:rPr>
              <w:t>1</w:t>
            </w:r>
            <w:r>
              <w:rPr>
                <w:rFonts w:hint="default" w:ascii="Times New Roman" w:hAnsi="Times New Roman" w:eastAsia="宋体" w:cs="Times New Roman"/>
                <w:b/>
                <w:bCs/>
                <w:color w:val="000000"/>
                <w:kern w:val="2"/>
                <w:sz w:val="21"/>
                <w:szCs w:val="21"/>
                <w:highlight w:val="none"/>
                <w:lang w:val="en-US" w:eastAsia="zh-CN" w:bidi="ar-SA"/>
              </w:rPr>
              <w:t xml:space="preserve"> </w:t>
            </w:r>
            <w:r>
              <w:rPr>
                <w:rFonts w:hint="default" w:ascii="Times New Roman" w:hAnsi="Times New Roman" w:cs="Times New Roman"/>
                <w:b/>
                <w:bCs/>
                <w:color w:val="000000"/>
                <w:kern w:val="2"/>
                <w:sz w:val="21"/>
                <w:szCs w:val="21"/>
                <w:highlight w:val="none"/>
                <w:lang w:val="en-US" w:eastAsia="zh-CN" w:bidi="ar-SA"/>
              </w:rPr>
              <w:t xml:space="preserve"> </w:t>
            </w:r>
            <w:r>
              <w:rPr>
                <w:rFonts w:hint="default" w:ascii="Times New Roman" w:hAnsi="Times New Roman" w:eastAsia="宋体" w:cs="Times New Roman"/>
                <w:b/>
                <w:bCs/>
                <w:color w:val="000000"/>
                <w:kern w:val="2"/>
                <w:sz w:val="21"/>
                <w:szCs w:val="21"/>
                <w:highlight w:val="none"/>
                <w:lang w:val="en-US" w:eastAsia="zh-CN" w:bidi="ar-SA"/>
              </w:rPr>
              <w:t>与《新疆维吾尔自治区生态环境分区管控动态更新成果》（新环环评发〔2024〕157号）符合性分析一览表</w:t>
            </w:r>
          </w:p>
          <w:tbl>
            <w:tblPr>
              <w:tblStyle w:val="26"/>
              <w:tblW w:w="4998"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8"/>
              <w:gridCol w:w="549"/>
              <w:gridCol w:w="729"/>
              <w:gridCol w:w="2787"/>
              <w:gridCol w:w="2272"/>
              <w:gridCol w:w="442"/>
            </w:tblGrid>
            <w:tr w14:paraId="7974D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 w:type="pct"/>
                  <w:tcBorders>
                    <w:tl2br w:val="nil"/>
                    <w:tr2bl w:val="nil"/>
                  </w:tcBorders>
                  <w:noWrap w:val="0"/>
                  <w:vAlign w:val="center"/>
                </w:tcPr>
                <w:p w14:paraId="390CAFEE">
                  <w:pPr>
                    <w:pStyle w:val="48"/>
                    <w:keepNext w:val="0"/>
                    <w:keepLines w:val="0"/>
                    <w:pageBreakBefore w:val="0"/>
                    <w:widowControl w:val="0"/>
                    <w:kinsoku/>
                    <w:overflowPunct/>
                    <w:topLinePunct w:val="0"/>
                    <w:autoSpaceDE/>
                    <w:autoSpaceDN/>
                    <w:bidi w:val="0"/>
                    <w:adjustRightInd/>
                    <w:snapToGrid/>
                    <w:spacing w:beforeAutospacing="0" w:line="240" w:lineRule="auto"/>
                    <w:ind w:firstLine="0"/>
                    <w:jc w:val="center"/>
                    <w:textAlignment w:val="auto"/>
                    <w:rPr>
                      <w:rFonts w:hint="default" w:ascii="Times New Roman" w:hAnsi="Times New Roman" w:eastAsia="宋体" w:cs="Times New Roman"/>
                      <w:b w:val="0"/>
                      <w:bCs w:val="0"/>
                      <w:color w:val="000000"/>
                      <w:sz w:val="21"/>
                      <w:szCs w:val="21"/>
                      <w:highlight w:val="none"/>
                      <w:vertAlign w:val="baseline"/>
                      <w:lang w:eastAsia="zh-CN"/>
                    </w:rPr>
                  </w:pPr>
                  <w:r>
                    <w:rPr>
                      <w:rFonts w:hint="default" w:ascii="Times New Roman" w:hAnsi="Times New Roman" w:eastAsia="宋体" w:cs="Times New Roman"/>
                      <w:b w:val="0"/>
                      <w:bCs w:val="0"/>
                      <w:color w:val="000000"/>
                      <w:spacing w:val="8"/>
                      <w:sz w:val="21"/>
                      <w:szCs w:val="21"/>
                    </w:rPr>
                    <w:t>名称</w:t>
                  </w:r>
                </w:p>
              </w:tc>
              <w:tc>
                <w:tcPr>
                  <w:tcW w:w="2777" w:type="pct"/>
                  <w:gridSpan w:val="3"/>
                  <w:tcBorders>
                    <w:tl2br w:val="nil"/>
                    <w:tr2bl w:val="nil"/>
                  </w:tcBorders>
                  <w:noWrap w:val="0"/>
                  <w:vAlign w:val="center"/>
                </w:tcPr>
                <w:p w14:paraId="79292320">
                  <w:pPr>
                    <w:pStyle w:val="48"/>
                    <w:keepNext w:val="0"/>
                    <w:keepLines w:val="0"/>
                    <w:pageBreakBefore w:val="0"/>
                    <w:widowControl w:val="0"/>
                    <w:kinsoku/>
                    <w:overflowPunct/>
                    <w:topLinePunct w:val="0"/>
                    <w:autoSpaceDE/>
                    <w:autoSpaceDN/>
                    <w:bidi w:val="0"/>
                    <w:adjustRightInd/>
                    <w:snapToGrid/>
                    <w:spacing w:beforeAutospacing="0" w:line="240" w:lineRule="auto"/>
                    <w:ind w:firstLine="0"/>
                    <w:jc w:val="center"/>
                    <w:textAlignment w:val="auto"/>
                    <w:rPr>
                      <w:rFonts w:hint="default" w:ascii="Times New Roman" w:hAnsi="Times New Roman" w:eastAsia="宋体" w:cs="Times New Roman"/>
                      <w:b w:val="0"/>
                      <w:bCs w:val="0"/>
                      <w:color w:val="000000"/>
                      <w:sz w:val="21"/>
                      <w:szCs w:val="21"/>
                      <w:highlight w:val="none"/>
                      <w:vertAlign w:val="baseline"/>
                      <w:lang w:eastAsia="zh-CN"/>
                    </w:rPr>
                  </w:pPr>
                  <w:r>
                    <w:rPr>
                      <w:rFonts w:hint="default" w:ascii="Times New Roman" w:hAnsi="Times New Roman" w:eastAsia="宋体" w:cs="Times New Roman"/>
                      <w:b w:val="0"/>
                      <w:bCs w:val="0"/>
                      <w:color w:val="000000"/>
                      <w:spacing w:val="6"/>
                      <w:sz w:val="21"/>
                      <w:szCs w:val="21"/>
                    </w:rPr>
                    <w:t>管控要求</w:t>
                  </w:r>
                </w:p>
              </w:tc>
              <w:tc>
                <w:tcPr>
                  <w:tcW w:w="1621" w:type="pct"/>
                  <w:tcBorders>
                    <w:tl2br w:val="nil"/>
                    <w:tr2bl w:val="nil"/>
                  </w:tcBorders>
                  <w:noWrap w:val="0"/>
                  <w:vAlign w:val="center"/>
                </w:tcPr>
                <w:p w14:paraId="1CD2AF07">
                  <w:pPr>
                    <w:pStyle w:val="48"/>
                    <w:keepNext w:val="0"/>
                    <w:keepLines w:val="0"/>
                    <w:pageBreakBefore w:val="0"/>
                    <w:widowControl w:val="0"/>
                    <w:kinsoku/>
                    <w:overflowPunct/>
                    <w:topLinePunct w:val="0"/>
                    <w:autoSpaceDE/>
                    <w:autoSpaceDN/>
                    <w:bidi w:val="0"/>
                    <w:adjustRightInd/>
                    <w:snapToGrid/>
                    <w:spacing w:beforeAutospacing="0" w:line="240" w:lineRule="auto"/>
                    <w:ind w:firstLine="0"/>
                    <w:jc w:val="center"/>
                    <w:textAlignment w:val="auto"/>
                    <w:rPr>
                      <w:rFonts w:hint="eastAsia" w:ascii="Times New Roman" w:hAnsi="Times New Roman" w:eastAsia="宋体" w:cs="Times New Roman"/>
                      <w:b w:val="0"/>
                      <w:bCs w:val="0"/>
                      <w:color w:val="000000"/>
                      <w:sz w:val="21"/>
                      <w:szCs w:val="21"/>
                      <w:highlight w:val="none"/>
                      <w:vertAlign w:val="baseline"/>
                      <w:lang w:eastAsia="zh-CN"/>
                    </w:rPr>
                  </w:pPr>
                  <w:r>
                    <w:rPr>
                      <w:rFonts w:hint="eastAsia" w:ascii="Times New Roman" w:hAnsi="Times New Roman" w:cs="Times New Roman"/>
                      <w:b w:val="0"/>
                      <w:bCs w:val="0"/>
                      <w:color w:val="000000"/>
                      <w:spacing w:val="7"/>
                      <w:sz w:val="21"/>
                      <w:szCs w:val="21"/>
                      <w:lang w:val="en-US" w:eastAsia="zh-CN"/>
                    </w:rPr>
                    <w:t>本项目</w:t>
                  </w:r>
                </w:p>
              </w:tc>
              <w:tc>
                <w:tcPr>
                  <w:tcW w:w="328" w:type="pct"/>
                  <w:tcBorders>
                    <w:tl2br w:val="nil"/>
                    <w:tr2bl w:val="nil"/>
                  </w:tcBorders>
                  <w:noWrap w:val="0"/>
                  <w:vAlign w:val="center"/>
                </w:tcPr>
                <w:p w14:paraId="4123127C">
                  <w:pPr>
                    <w:pStyle w:val="48"/>
                    <w:keepNext w:val="0"/>
                    <w:keepLines w:val="0"/>
                    <w:pageBreakBefore w:val="0"/>
                    <w:widowControl w:val="0"/>
                    <w:kinsoku/>
                    <w:overflowPunct/>
                    <w:topLinePunct w:val="0"/>
                    <w:autoSpaceDE/>
                    <w:autoSpaceDN/>
                    <w:bidi w:val="0"/>
                    <w:adjustRightInd/>
                    <w:snapToGrid/>
                    <w:spacing w:beforeAutospacing="0" w:line="240" w:lineRule="auto"/>
                    <w:ind w:firstLine="0"/>
                    <w:jc w:val="center"/>
                    <w:textAlignment w:val="auto"/>
                    <w:rPr>
                      <w:rFonts w:hint="default" w:ascii="Times New Roman" w:hAnsi="Times New Roman" w:eastAsia="宋体" w:cs="Times New Roman"/>
                      <w:b w:val="0"/>
                      <w:bCs w:val="0"/>
                      <w:color w:val="000000"/>
                      <w:sz w:val="21"/>
                      <w:szCs w:val="21"/>
                      <w:highlight w:val="none"/>
                      <w:vertAlign w:val="baseline"/>
                      <w:lang w:eastAsia="zh-CN"/>
                    </w:rPr>
                  </w:pPr>
                  <w:r>
                    <w:rPr>
                      <w:rFonts w:hint="default" w:ascii="Times New Roman" w:hAnsi="Times New Roman" w:eastAsia="宋体" w:cs="Times New Roman"/>
                      <w:b w:val="0"/>
                      <w:bCs w:val="0"/>
                      <w:color w:val="000000"/>
                      <w:spacing w:val="8"/>
                      <w:sz w:val="21"/>
                      <w:szCs w:val="21"/>
                    </w:rPr>
                    <w:t>符合性</w:t>
                  </w:r>
                </w:p>
              </w:tc>
            </w:tr>
            <w:tr w14:paraId="77A3F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 w:type="pct"/>
                  <w:vMerge w:val="restart"/>
                  <w:tcBorders>
                    <w:tl2br w:val="nil"/>
                    <w:tr2bl w:val="nil"/>
                  </w:tcBorders>
                  <w:noWrap w:val="0"/>
                  <w:vAlign w:val="center"/>
                </w:tcPr>
                <w:p w14:paraId="0ABB2FBE">
                  <w:pPr>
                    <w:pStyle w:val="48"/>
                    <w:keepNext w:val="0"/>
                    <w:keepLines w:val="0"/>
                    <w:pageBreakBefore w:val="0"/>
                    <w:widowControl w:val="0"/>
                    <w:kinsoku/>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eastAsia="宋体" w:cs="Times New Roman"/>
                      <w:b w:val="0"/>
                      <w:bCs w:val="0"/>
                      <w:color w:val="000000"/>
                      <w:spacing w:val="11"/>
                      <w:sz w:val="21"/>
                      <w:szCs w:val="21"/>
                      <w:lang w:eastAsia="zh-CN"/>
                    </w:rPr>
                  </w:pPr>
                  <w:r>
                    <w:rPr>
                      <w:rFonts w:hint="default" w:ascii="Times New Roman" w:hAnsi="Times New Roman" w:eastAsia="宋体" w:cs="Times New Roman"/>
                      <w:b w:val="0"/>
                      <w:bCs w:val="0"/>
                      <w:color w:val="000000"/>
                      <w:spacing w:val="11"/>
                      <w:sz w:val="21"/>
                      <w:szCs w:val="21"/>
                      <w:lang w:eastAsia="zh-CN"/>
                    </w:rPr>
                    <w:t>新疆维吾尔自治区生态环境分区管控动态更新成果</w:t>
                  </w:r>
                </w:p>
              </w:tc>
              <w:tc>
                <w:tcPr>
                  <w:tcW w:w="255" w:type="pct"/>
                  <w:vMerge w:val="restart"/>
                  <w:tcBorders>
                    <w:tl2br w:val="nil"/>
                    <w:tr2bl w:val="nil"/>
                  </w:tcBorders>
                  <w:noWrap w:val="0"/>
                  <w:vAlign w:val="center"/>
                </w:tcPr>
                <w:p w14:paraId="4E0920D0">
                  <w:pPr>
                    <w:pStyle w:val="48"/>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sz w:val="21"/>
                      <w:szCs w:val="21"/>
                      <w:highlight w:val="none"/>
                      <w:vertAlign w:val="baseline"/>
                      <w:lang w:eastAsia="zh-CN"/>
                    </w:rPr>
                  </w:pPr>
                  <w:r>
                    <w:rPr>
                      <w:rFonts w:hint="default" w:ascii="Times New Roman" w:hAnsi="Times New Roman" w:eastAsia="宋体" w:cs="Times New Roman"/>
                      <w:b w:val="0"/>
                      <w:bCs w:val="0"/>
                      <w:color w:val="000000"/>
                      <w:spacing w:val="4"/>
                      <w:sz w:val="21"/>
                      <w:szCs w:val="21"/>
                    </w:rPr>
                    <w:t>A1</w:t>
                  </w:r>
                  <w:r>
                    <w:rPr>
                      <w:rFonts w:hint="default" w:ascii="Times New Roman" w:hAnsi="Times New Roman" w:eastAsia="宋体" w:cs="Times New Roman"/>
                      <w:b w:val="0"/>
                      <w:bCs w:val="0"/>
                      <w:color w:val="000000"/>
                      <w:sz w:val="21"/>
                      <w:szCs w:val="21"/>
                    </w:rPr>
                    <w:t>空间布局约束</w:t>
                  </w:r>
                </w:p>
              </w:tc>
              <w:tc>
                <w:tcPr>
                  <w:tcW w:w="523" w:type="pct"/>
                  <w:vMerge w:val="restart"/>
                  <w:tcBorders>
                    <w:tl2br w:val="nil"/>
                    <w:tr2bl w:val="nil"/>
                  </w:tcBorders>
                  <w:noWrap w:val="0"/>
                  <w:vAlign w:val="center"/>
                </w:tcPr>
                <w:p w14:paraId="045A8202">
                  <w:pPr>
                    <w:keepNext w:val="0"/>
                    <w:keepLines w:val="0"/>
                    <w:pageBreakBefore w:val="0"/>
                    <w:widowControl w:val="0"/>
                    <w:kinsoku/>
                    <w:wordWrap w:val="0"/>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val="0"/>
                      <w:bCs w:val="0"/>
                      <w:color w:val="000000"/>
                      <w:sz w:val="21"/>
                      <w:szCs w:val="21"/>
                      <w:highlight w:val="none"/>
                      <w:vertAlign w:val="baseline"/>
                      <w:lang w:eastAsia="zh-CN"/>
                    </w:rPr>
                  </w:pPr>
                  <w:r>
                    <w:rPr>
                      <w:rFonts w:hint="default" w:ascii="Times New Roman" w:hAnsi="Times New Roman" w:eastAsia="宋体" w:cs="Times New Roman"/>
                      <w:b w:val="0"/>
                      <w:bCs w:val="0"/>
                      <w:color w:val="000000"/>
                      <w:spacing w:val="3"/>
                      <w:sz w:val="21"/>
                      <w:szCs w:val="21"/>
                    </w:rPr>
                    <w:t>A1.1</w:t>
                  </w:r>
                  <w:r>
                    <w:rPr>
                      <w:rFonts w:hint="default" w:ascii="Times New Roman" w:hAnsi="Times New Roman" w:eastAsia="宋体" w:cs="Times New Roman"/>
                      <w:b w:val="0"/>
                      <w:bCs w:val="0"/>
                      <w:color w:val="000000"/>
                      <w:spacing w:val="4"/>
                      <w:sz w:val="21"/>
                      <w:szCs w:val="21"/>
                    </w:rPr>
                    <w:t>禁止开发</w:t>
                  </w:r>
                  <w:r>
                    <w:rPr>
                      <w:rFonts w:hint="default" w:ascii="Times New Roman" w:hAnsi="Times New Roman" w:eastAsia="宋体" w:cs="Times New Roman"/>
                      <w:b w:val="0"/>
                      <w:bCs w:val="0"/>
                      <w:color w:val="000000"/>
                      <w:spacing w:val="3"/>
                      <w:sz w:val="21"/>
                      <w:szCs w:val="21"/>
                    </w:rPr>
                    <w:t>建设</w:t>
                  </w:r>
                  <w:r>
                    <w:rPr>
                      <w:rFonts w:hint="default" w:ascii="Times New Roman" w:hAnsi="Times New Roman" w:eastAsia="宋体" w:cs="Times New Roman"/>
                      <w:b w:val="0"/>
                      <w:bCs w:val="0"/>
                      <w:color w:val="000000"/>
                      <w:spacing w:val="-4"/>
                      <w:sz w:val="21"/>
                      <w:szCs w:val="21"/>
                    </w:rPr>
                    <w:t>的活</w:t>
                  </w:r>
                  <w:r>
                    <w:rPr>
                      <w:rFonts w:hint="default" w:ascii="Times New Roman" w:hAnsi="Times New Roman" w:eastAsia="宋体" w:cs="Times New Roman"/>
                      <w:b w:val="0"/>
                      <w:bCs w:val="0"/>
                      <w:color w:val="000000"/>
                      <w:sz w:val="21"/>
                      <w:szCs w:val="21"/>
                    </w:rPr>
                    <w:t>动</w:t>
                  </w:r>
                </w:p>
              </w:tc>
              <w:tc>
                <w:tcPr>
                  <w:tcW w:w="1999" w:type="pct"/>
                  <w:tcBorders>
                    <w:tl2br w:val="nil"/>
                    <w:tr2bl w:val="nil"/>
                  </w:tcBorders>
                  <w:noWrap w:val="0"/>
                  <w:vAlign w:val="center"/>
                </w:tcPr>
                <w:p w14:paraId="02843CF5">
                  <w:pPr>
                    <w:pStyle w:val="48"/>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both"/>
                    <w:textAlignment w:val="auto"/>
                    <w:rPr>
                      <w:rFonts w:hint="default" w:ascii="Times New Roman" w:hAnsi="Times New Roman" w:eastAsia="宋体" w:cs="Times New Roman"/>
                      <w:b w:val="0"/>
                      <w:bCs w:val="0"/>
                      <w:color w:val="000000"/>
                      <w:sz w:val="21"/>
                      <w:szCs w:val="21"/>
                      <w:highlight w:val="none"/>
                      <w:vertAlign w:val="baseline"/>
                      <w:lang w:eastAsia="zh-CN"/>
                    </w:rPr>
                  </w:pPr>
                  <w:r>
                    <w:rPr>
                      <w:rFonts w:hint="default" w:ascii="Times New Roman" w:hAnsi="Times New Roman" w:eastAsia="宋体" w:cs="Times New Roman"/>
                      <w:b w:val="0"/>
                      <w:bCs w:val="0"/>
                      <w:color w:val="000000"/>
                      <w:spacing w:val="10"/>
                      <w:sz w:val="21"/>
                      <w:szCs w:val="21"/>
                    </w:rPr>
                    <w:t>【A1.1-1】禁止新建、扩建《产业结构</w:t>
                  </w:r>
                  <w:r>
                    <w:rPr>
                      <w:rFonts w:hint="default" w:ascii="Times New Roman" w:hAnsi="Times New Roman" w:eastAsia="宋体" w:cs="Times New Roman"/>
                      <w:b w:val="0"/>
                      <w:bCs w:val="0"/>
                      <w:color w:val="000000"/>
                      <w:spacing w:val="6"/>
                      <w:sz w:val="21"/>
                      <w:szCs w:val="21"/>
                    </w:rPr>
                    <w:t>调整指导目录（2024年本）》中淘汰类</w:t>
                  </w:r>
                  <w:r>
                    <w:rPr>
                      <w:rFonts w:hint="default" w:ascii="Times New Roman" w:hAnsi="Times New Roman" w:eastAsia="宋体" w:cs="Times New Roman"/>
                      <w:b w:val="0"/>
                      <w:bCs w:val="0"/>
                      <w:color w:val="000000"/>
                      <w:spacing w:val="17"/>
                      <w:sz w:val="21"/>
                      <w:szCs w:val="21"/>
                    </w:rPr>
                    <w:t>项目。禁止引入《市场准入负面清单</w:t>
                  </w:r>
                  <w:r>
                    <w:rPr>
                      <w:rFonts w:hint="default" w:ascii="Times New Roman" w:hAnsi="Times New Roman" w:eastAsia="宋体" w:cs="Times New Roman"/>
                      <w:b w:val="0"/>
                      <w:bCs w:val="0"/>
                      <w:color w:val="000000"/>
                      <w:spacing w:val="7"/>
                      <w:sz w:val="21"/>
                      <w:szCs w:val="21"/>
                    </w:rPr>
                    <w:t>（2022年版）》禁止准入类事项。</w:t>
                  </w:r>
                </w:p>
              </w:tc>
              <w:tc>
                <w:tcPr>
                  <w:tcW w:w="1621" w:type="pct"/>
                  <w:tcBorders>
                    <w:tl2br w:val="nil"/>
                    <w:tr2bl w:val="nil"/>
                  </w:tcBorders>
                  <w:noWrap w:val="0"/>
                  <w:vAlign w:val="center"/>
                </w:tcPr>
                <w:p w14:paraId="4C745592">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both"/>
                    <w:textAlignment w:val="auto"/>
                    <w:rPr>
                      <w:rFonts w:hint="eastAsia" w:ascii="Times New Roman" w:hAnsi="Times New Roman" w:eastAsia="宋体" w:cs="Times New Roman"/>
                      <w:b w:val="0"/>
                      <w:bCs w:val="0"/>
                      <w:color w:val="000000"/>
                      <w:sz w:val="21"/>
                      <w:szCs w:val="21"/>
                      <w:highlight w:val="none"/>
                      <w:vertAlign w:val="baseline"/>
                      <w:lang w:eastAsia="zh-CN"/>
                    </w:rPr>
                  </w:pPr>
                  <w:r>
                    <w:rPr>
                      <w:rFonts w:hint="default" w:ascii="Times New Roman" w:hAnsi="Times New Roman" w:eastAsia="宋体" w:cs="Times New Roman"/>
                      <w:b w:val="0"/>
                      <w:bCs w:val="0"/>
                      <w:color w:val="000000"/>
                      <w:spacing w:val="15"/>
                      <w:sz w:val="21"/>
                      <w:szCs w:val="21"/>
                    </w:rPr>
                    <w:t>本项目</w:t>
                  </w:r>
                  <w:r>
                    <w:rPr>
                      <w:rFonts w:hint="default" w:ascii="Times New Roman" w:hAnsi="Times New Roman" w:cs="Times New Roman"/>
                      <w:kern w:val="0"/>
                      <w:sz w:val="21"/>
                      <w:szCs w:val="21"/>
                    </w:rPr>
                    <w:t>属于</w:t>
                  </w:r>
                  <w:r>
                    <w:rPr>
                      <w:rFonts w:hint="eastAsia" w:ascii="Times New Roman" w:hAnsi="Times New Roman" w:cs="Times New Roman"/>
                      <w:kern w:val="0"/>
                      <w:sz w:val="21"/>
                      <w:szCs w:val="21"/>
                      <w:lang w:eastAsia="zh-CN"/>
                    </w:rPr>
                    <w:t>“</w:t>
                  </w:r>
                  <w:r>
                    <w:rPr>
                      <w:rFonts w:hint="default" w:ascii="Times New Roman" w:hAnsi="Times New Roman" w:cs="Times New Roman"/>
                      <w:sz w:val="21"/>
                      <w:szCs w:val="21"/>
                    </w:rPr>
                    <w:t>N7723固体废物治理</w:t>
                  </w:r>
                  <w:r>
                    <w:rPr>
                      <w:rFonts w:hint="default" w:ascii="Times New Roman" w:hAnsi="Times New Roman" w:cs="Times New Roman"/>
                      <w:sz w:val="21"/>
                      <w:szCs w:val="21"/>
                      <w:lang w:val="en-US" w:eastAsia="zh-CN"/>
                    </w:rPr>
                    <w:t>行业</w:t>
                  </w:r>
                  <w:r>
                    <w:rPr>
                      <w:rFonts w:hint="eastAsia" w:ascii="Times New Roman" w:hAnsi="Times New Roman" w:cs="Times New Roman"/>
                      <w:kern w:val="0"/>
                      <w:sz w:val="21"/>
                      <w:szCs w:val="21"/>
                      <w:lang w:eastAsia="zh-CN"/>
                    </w:rPr>
                    <w:t>”</w:t>
                  </w:r>
                  <w:r>
                    <w:rPr>
                      <w:rFonts w:hint="default" w:ascii="Times New Roman" w:hAnsi="Times New Roman" w:eastAsia="宋体" w:cs="Times New Roman"/>
                      <w:b w:val="0"/>
                      <w:bCs w:val="0"/>
                      <w:color w:val="000000"/>
                      <w:spacing w:val="8"/>
                      <w:sz w:val="21"/>
                      <w:szCs w:val="21"/>
                      <w:lang w:eastAsia="zh-CN"/>
                    </w:rPr>
                    <w:t>，</w:t>
                  </w:r>
                  <w:r>
                    <w:rPr>
                      <w:rFonts w:hint="default" w:ascii="Times New Roman" w:hAnsi="Times New Roman" w:eastAsia="宋体" w:cs="Times New Roman"/>
                      <w:b w:val="0"/>
                      <w:bCs w:val="0"/>
                      <w:color w:val="000000"/>
                      <w:spacing w:val="8"/>
                      <w:sz w:val="21"/>
                      <w:szCs w:val="21"/>
                    </w:rPr>
                    <w:t>属于《产业结构调整指</w:t>
                  </w:r>
                  <w:r>
                    <w:rPr>
                      <w:rFonts w:hint="default" w:ascii="Times New Roman" w:hAnsi="Times New Roman" w:eastAsia="宋体" w:cs="Times New Roman"/>
                      <w:b w:val="0"/>
                      <w:bCs w:val="0"/>
                      <w:color w:val="000000"/>
                      <w:spacing w:val="3"/>
                      <w:sz w:val="21"/>
                      <w:szCs w:val="21"/>
                    </w:rPr>
                    <w:t>导目录（2024年本）》中的</w:t>
                  </w:r>
                  <w:r>
                    <w:rPr>
                      <w:rFonts w:hint="default" w:ascii="Times New Roman" w:hAnsi="Times New Roman" w:cs="Times New Roman"/>
                      <w:b w:val="0"/>
                      <w:bCs w:val="0"/>
                      <w:color w:val="000000"/>
                      <w:spacing w:val="8"/>
                      <w:sz w:val="21"/>
                      <w:szCs w:val="21"/>
                      <w:lang w:val="en-US" w:eastAsia="zh-CN"/>
                    </w:rPr>
                    <w:t>鼓励</w:t>
                  </w:r>
                  <w:r>
                    <w:rPr>
                      <w:rFonts w:hint="default" w:ascii="Times New Roman" w:hAnsi="Times New Roman" w:eastAsia="宋体" w:cs="Times New Roman"/>
                      <w:b w:val="0"/>
                      <w:bCs w:val="0"/>
                      <w:color w:val="000000"/>
                      <w:spacing w:val="8"/>
                      <w:sz w:val="21"/>
                      <w:szCs w:val="21"/>
                    </w:rPr>
                    <w:t>类项目</w:t>
                  </w:r>
                  <w:r>
                    <w:rPr>
                      <w:rFonts w:hint="default" w:ascii="Times New Roman" w:hAnsi="Times New Roman" w:eastAsia="宋体" w:cs="Times New Roman"/>
                      <w:b w:val="0"/>
                      <w:bCs w:val="0"/>
                      <w:color w:val="000000"/>
                      <w:spacing w:val="8"/>
                      <w:sz w:val="21"/>
                      <w:szCs w:val="21"/>
                      <w:lang w:eastAsia="zh-CN"/>
                    </w:rPr>
                    <w:t>，</w:t>
                  </w:r>
                  <w:r>
                    <w:rPr>
                      <w:rFonts w:hint="default" w:ascii="Times New Roman" w:hAnsi="Times New Roman" w:eastAsia="宋体" w:cs="Times New Roman"/>
                      <w:b w:val="0"/>
                      <w:bCs w:val="0"/>
                      <w:color w:val="000000"/>
                      <w:spacing w:val="8"/>
                      <w:sz w:val="21"/>
                      <w:szCs w:val="21"/>
                    </w:rPr>
                    <w:t>符合国家当前产业政策要求；不属于《市</w:t>
                  </w:r>
                  <w:r>
                    <w:rPr>
                      <w:rFonts w:hint="default" w:ascii="Times New Roman" w:hAnsi="Times New Roman" w:eastAsia="宋体" w:cs="Times New Roman"/>
                      <w:b w:val="0"/>
                      <w:bCs w:val="0"/>
                      <w:color w:val="000000"/>
                      <w:spacing w:val="-4"/>
                      <w:sz w:val="21"/>
                      <w:szCs w:val="21"/>
                    </w:rPr>
                    <w:t>场准入负面清单（202</w:t>
                  </w:r>
                  <w:r>
                    <w:rPr>
                      <w:rFonts w:hint="default" w:ascii="Times New Roman" w:hAnsi="Times New Roman" w:eastAsia="宋体" w:cs="Times New Roman"/>
                      <w:b w:val="0"/>
                      <w:bCs w:val="0"/>
                      <w:color w:val="000000"/>
                      <w:spacing w:val="-4"/>
                      <w:sz w:val="21"/>
                      <w:szCs w:val="21"/>
                      <w:lang w:val="en-US" w:eastAsia="zh-CN"/>
                    </w:rPr>
                    <w:t>5</w:t>
                  </w:r>
                  <w:r>
                    <w:rPr>
                      <w:rFonts w:hint="default" w:ascii="Times New Roman" w:hAnsi="Times New Roman" w:eastAsia="宋体" w:cs="Times New Roman"/>
                      <w:b w:val="0"/>
                      <w:bCs w:val="0"/>
                      <w:color w:val="000000"/>
                      <w:spacing w:val="-4"/>
                      <w:sz w:val="21"/>
                      <w:szCs w:val="21"/>
                    </w:rPr>
                    <w:t>年版）</w:t>
                  </w:r>
                  <w:r>
                    <w:rPr>
                      <w:rFonts w:hint="default" w:ascii="Times New Roman" w:hAnsi="Times New Roman" w:eastAsia="宋体" w:cs="Times New Roman"/>
                      <w:b w:val="0"/>
                      <w:bCs w:val="0"/>
                      <w:color w:val="000000"/>
                      <w:spacing w:val="-4"/>
                      <w:sz w:val="21"/>
                      <w:szCs w:val="21"/>
                      <w:lang w:eastAsia="zh-CN"/>
                    </w:rPr>
                    <w:t>》</w:t>
                  </w:r>
                  <w:r>
                    <w:rPr>
                      <w:rFonts w:hint="default" w:ascii="Times New Roman" w:hAnsi="Times New Roman" w:eastAsia="宋体" w:cs="Times New Roman"/>
                      <w:b w:val="0"/>
                      <w:bCs w:val="0"/>
                      <w:color w:val="000000"/>
                      <w:spacing w:val="3"/>
                      <w:sz w:val="21"/>
                      <w:szCs w:val="21"/>
                    </w:rPr>
                    <w:t>中禁止准入类项目</w:t>
                  </w:r>
                  <w:r>
                    <w:rPr>
                      <w:rFonts w:hint="default" w:ascii="Times New Roman" w:hAnsi="Times New Roman" w:cs="Times New Roman"/>
                      <w:b w:val="0"/>
                      <w:bCs w:val="0"/>
                      <w:color w:val="000000"/>
                      <w:spacing w:val="3"/>
                      <w:sz w:val="21"/>
                      <w:szCs w:val="21"/>
                      <w:lang w:eastAsia="zh-CN"/>
                    </w:rPr>
                    <w:t>。</w:t>
                  </w:r>
                </w:p>
              </w:tc>
              <w:tc>
                <w:tcPr>
                  <w:tcW w:w="328" w:type="pct"/>
                  <w:tcBorders>
                    <w:tl2br w:val="nil"/>
                    <w:tr2bl w:val="nil"/>
                  </w:tcBorders>
                  <w:noWrap w:val="0"/>
                  <w:vAlign w:val="center"/>
                </w:tcPr>
                <w:p w14:paraId="7DFDCF31">
                  <w:pPr>
                    <w:pStyle w:val="48"/>
                    <w:keepNext w:val="0"/>
                    <w:keepLines w:val="0"/>
                    <w:pageBreakBefore w:val="0"/>
                    <w:widowControl w:val="0"/>
                    <w:kinsoku/>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eastAsia="宋体" w:cs="Times New Roman"/>
                      <w:b w:val="0"/>
                      <w:bCs w:val="0"/>
                      <w:color w:val="000000"/>
                      <w:sz w:val="21"/>
                      <w:szCs w:val="21"/>
                      <w:highlight w:val="none"/>
                      <w:vertAlign w:val="baseline"/>
                      <w:lang w:eastAsia="zh-CN"/>
                    </w:rPr>
                  </w:pPr>
                  <w:r>
                    <w:rPr>
                      <w:rFonts w:hint="default" w:ascii="Times New Roman" w:hAnsi="Times New Roman" w:eastAsia="宋体" w:cs="Times New Roman"/>
                      <w:b w:val="0"/>
                      <w:bCs w:val="0"/>
                      <w:color w:val="000000"/>
                      <w:spacing w:val="8"/>
                      <w:sz w:val="21"/>
                      <w:szCs w:val="21"/>
                    </w:rPr>
                    <w:t>符合</w:t>
                  </w:r>
                </w:p>
              </w:tc>
            </w:tr>
            <w:tr w14:paraId="1924C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273" w:type="pct"/>
                  <w:vMerge w:val="continue"/>
                  <w:tcBorders>
                    <w:tl2br w:val="nil"/>
                    <w:tr2bl w:val="nil"/>
                  </w:tcBorders>
                  <w:noWrap w:val="0"/>
                  <w:vAlign w:val="center"/>
                </w:tcPr>
                <w:p w14:paraId="7380E4B3">
                  <w:pPr>
                    <w:keepNext w:val="0"/>
                    <w:keepLines w:val="0"/>
                    <w:pageBreakBefore w:val="0"/>
                    <w:widowControl w:val="0"/>
                    <w:kinsoku/>
                    <w:overflowPunct/>
                    <w:topLinePunct w:val="0"/>
                    <w:autoSpaceDE/>
                    <w:autoSpaceDN/>
                    <w:bidi w:val="0"/>
                    <w:adjustRightInd/>
                    <w:snapToGrid/>
                    <w:spacing w:line="240" w:lineRule="auto"/>
                    <w:ind w:firstLine="0"/>
                    <w:jc w:val="both"/>
                    <w:textAlignment w:val="auto"/>
                    <w:rPr>
                      <w:rFonts w:hint="default" w:ascii="Times New Roman" w:hAnsi="Times New Roman" w:eastAsia="宋体" w:cs="Times New Roman"/>
                      <w:b w:val="0"/>
                      <w:bCs w:val="0"/>
                      <w:color w:val="000000"/>
                      <w:sz w:val="21"/>
                      <w:szCs w:val="21"/>
                      <w:highlight w:val="none"/>
                      <w:vertAlign w:val="baseline"/>
                      <w:lang w:eastAsia="zh-CN"/>
                    </w:rPr>
                  </w:pPr>
                </w:p>
              </w:tc>
              <w:tc>
                <w:tcPr>
                  <w:tcW w:w="255" w:type="pct"/>
                  <w:vMerge w:val="continue"/>
                  <w:tcBorders>
                    <w:tl2br w:val="nil"/>
                    <w:tr2bl w:val="nil"/>
                  </w:tcBorders>
                  <w:noWrap w:val="0"/>
                  <w:vAlign w:val="center"/>
                </w:tcPr>
                <w:p w14:paraId="09D44A31">
                  <w:pPr>
                    <w:keepNext w:val="0"/>
                    <w:keepLines w:val="0"/>
                    <w:pageBreakBefore w:val="0"/>
                    <w:widowControl w:val="0"/>
                    <w:kinsoku/>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b w:val="0"/>
                      <w:bCs w:val="0"/>
                      <w:color w:val="000000"/>
                      <w:sz w:val="21"/>
                      <w:szCs w:val="21"/>
                      <w:highlight w:val="none"/>
                      <w:vertAlign w:val="baseline"/>
                      <w:lang w:eastAsia="zh-CN"/>
                    </w:rPr>
                  </w:pPr>
                </w:p>
              </w:tc>
              <w:tc>
                <w:tcPr>
                  <w:tcW w:w="523" w:type="pct"/>
                  <w:vMerge w:val="continue"/>
                  <w:tcBorders>
                    <w:tl2br w:val="nil"/>
                    <w:tr2bl w:val="nil"/>
                  </w:tcBorders>
                  <w:noWrap w:val="0"/>
                  <w:vAlign w:val="center"/>
                </w:tcPr>
                <w:p w14:paraId="11696632">
                  <w:pPr>
                    <w:keepNext w:val="0"/>
                    <w:keepLines w:val="0"/>
                    <w:pageBreakBefore w:val="0"/>
                    <w:widowControl w:val="0"/>
                    <w:kinsoku/>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b w:val="0"/>
                      <w:bCs w:val="0"/>
                      <w:color w:val="000000"/>
                      <w:sz w:val="21"/>
                      <w:szCs w:val="21"/>
                      <w:highlight w:val="none"/>
                      <w:vertAlign w:val="baseline"/>
                      <w:lang w:eastAsia="zh-CN"/>
                    </w:rPr>
                  </w:pPr>
                </w:p>
              </w:tc>
              <w:tc>
                <w:tcPr>
                  <w:tcW w:w="1999" w:type="pct"/>
                  <w:tcBorders>
                    <w:tl2br w:val="nil"/>
                    <w:tr2bl w:val="nil"/>
                  </w:tcBorders>
                  <w:noWrap w:val="0"/>
                  <w:vAlign w:val="center"/>
                </w:tcPr>
                <w:p w14:paraId="42E608C9">
                  <w:pPr>
                    <w:pStyle w:val="48"/>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both"/>
                    <w:textAlignment w:val="auto"/>
                    <w:rPr>
                      <w:rFonts w:hint="default" w:ascii="Times New Roman" w:hAnsi="Times New Roman" w:eastAsia="宋体" w:cs="Times New Roman"/>
                      <w:color w:val="000000"/>
                      <w:spacing w:val="10"/>
                      <w:sz w:val="21"/>
                      <w:szCs w:val="21"/>
                      <w:lang w:eastAsia="zh-CN"/>
                    </w:rPr>
                  </w:pPr>
                  <w:r>
                    <w:rPr>
                      <w:rFonts w:hint="default" w:ascii="Times New Roman" w:hAnsi="Times New Roman" w:eastAsia="宋体" w:cs="Times New Roman"/>
                      <w:color w:val="000000"/>
                      <w:spacing w:val="10"/>
                      <w:sz w:val="21"/>
                      <w:szCs w:val="21"/>
                      <w:lang w:eastAsia="zh-CN"/>
                    </w:rPr>
                    <w:t>【A1.1-6】禁止在自治区行政区域内引进能（水）耗不符合相关国家标准中准入值要求且污染物排放和环境风险防控不符合国家（地方）标准及有关产业准入条件的高污染（排放）、高能（水）耗、高环境风险的工业项目。</w:t>
                  </w:r>
                </w:p>
              </w:tc>
              <w:tc>
                <w:tcPr>
                  <w:tcW w:w="1621" w:type="pct"/>
                  <w:tcBorders>
                    <w:tl2br w:val="nil"/>
                    <w:tr2bl w:val="nil"/>
                  </w:tcBorders>
                  <w:noWrap w:val="0"/>
                  <w:vAlign w:val="center"/>
                </w:tcPr>
                <w:p w14:paraId="1F62F2CF">
                  <w:pPr>
                    <w:keepNext w:val="0"/>
                    <w:keepLines w:val="0"/>
                    <w:pageBreakBefore w:val="0"/>
                    <w:widowControl w:val="0"/>
                    <w:kinsoku/>
                    <w:overflowPunct/>
                    <w:topLinePunct w:val="0"/>
                    <w:autoSpaceDE/>
                    <w:autoSpaceDN/>
                    <w:bidi w:val="0"/>
                    <w:adjustRightInd/>
                    <w:snapToGrid/>
                    <w:spacing w:line="240" w:lineRule="auto"/>
                    <w:ind w:firstLine="0"/>
                    <w:jc w:val="both"/>
                    <w:textAlignment w:val="auto"/>
                    <w:rPr>
                      <w:rFonts w:hint="default" w:ascii="Times New Roman" w:hAnsi="Times New Roman" w:eastAsia="宋体" w:cs="Times New Roman"/>
                      <w:b w:val="0"/>
                      <w:bCs w:val="0"/>
                      <w:color w:val="000000"/>
                      <w:sz w:val="21"/>
                      <w:szCs w:val="21"/>
                      <w:highlight w:val="none"/>
                      <w:vertAlign w:val="baseline"/>
                      <w:lang w:eastAsia="zh-CN"/>
                    </w:rPr>
                  </w:pPr>
                  <w:r>
                    <w:rPr>
                      <w:rFonts w:hint="default" w:ascii="Times New Roman" w:hAnsi="Times New Roman" w:eastAsia="宋体" w:cs="Times New Roman"/>
                      <w:i w:val="0"/>
                      <w:iCs w:val="0"/>
                      <w:caps w:val="0"/>
                      <w:color w:val="000000"/>
                      <w:spacing w:val="0"/>
                      <w:sz w:val="21"/>
                      <w:szCs w:val="21"/>
                      <w:shd w:val="clear" w:color="auto" w:fill="FFFFFF"/>
                    </w:rPr>
                    <w:t>本项目不属于高污染</w:t>
                  </w:r>
                  <w:r>
                    <w:rPr>
                      <w:rFonts w:hint="default" w:ascii="Times New Roman" w:hAnsi="Times New Roman" w:eastAsia="宋体" w:cs="Times New Roman"/>
                      <w:i w:val="0"/>
                      <w:iCs w:val="0"/>
                      <w:caps w:val="0"/>
                      <w:color w:val="000000"/>
                      <w:spacing w:val="0"/>
                      <w:sz w:val="21"/>
                      <w:szCs w:val="21"/>
                      <w:shd w:val="clear" w:color="auto" w:fill="FFFFFF"/>
                      <w:lang w:eastAsia="zh-CN"/>
                    </w:rPr>
                    <w:t>（</w:t>
                  </w:r>
                  <w:r>
                    <w:rPr>
                      <w:rFonts w:hint="default" w:ascii="Times New Roman" w:hAnsi="Times New Roman" w:eastAsia="宋体" w:cs="Times New Roman"/>
                      <w:i w:val="0"/>
                      <w:iCs w:val="0"/>
                      <w:caps w:val="0"/>
                      <w:color w:val="000000"/>
                      <w:spacing w:val="0"/>
                      <w:sz w:val="21"/>
                      <w:szCs w:val="21"/>
                      <w:shd w:val="clear" w:color="auto" w:fill="FFFFFF"/>
                    </w:rPr>
                    <w:t>排放</w:t>
                  </w:r>
                  <w:r>
                    <w:rPr>
                      <w:rFonts w:hint="default" w:ascii="Times New Roman" w:hAnsi="Times New Roman" w:eastAsia="宋体" w:cs="Times New Roman"/>
                      <w:i w:val="0"/>
                      <w:iCs w:val="0"/>
                      <w:caps w:val="0"/>
                      <w:color w:val="000000"/>
                      <w:spacing w:val="0"/>
                      <w:sz w:val="21"/>
                      <w:szCs w:val="21"/>
                      <w:shd w:val="clear" w:color="auto" w:fill="FFFFFF"/>
                      <w:lang w:eastAsia="zh-CN"/>
                    </w:rPr>
                    <w:t>）</w:t>
                  </w:r>
                  <w:r>
                    <w:rPr>
                      <w:rFonts w:hint="default" w:ascii="Times New Roman" w:hAnsi="Times New Roman" w:eastAsia="宋体" w:cs="Times New Roman"/>
                      <w:i w:val="0"/>
                      <w:iCs w:val="0"/>
                      <w:caps w:val="0"/>
                      <w:color w:val="000000"/>
                      <w:spacing w:val="0"/>
                      <w:sz w:val="21"/>
                      <w:szCs w:val="21"/>
                      <w:shd w:val="clear" w:color="auto" w:fill="FFFFFF"/>
                    </w:rPr>
                    <w:t>、高能</w:t>
                  </w:r>
                  <w:r>
                    <w:rPr>
                      <w:rFonts w:hint="default" w:ascii="Times New Roman" w:hAnsi="Times New Roman" w:eastAsia="宋体" w:cs="Times New Roman"/>
                      <w:i w:val="0"/>
                      <w:iCs w:val="0"/>
                      <w:caps w:val="0"/>
                      <w:color w:val="000000"/>
                      <w:spacing w:val="0"/>
                      <w:sz w:val="21"/>
                      <w:szCs w:val="21"/>
                      <w:shd w:val="clear" w:color="auto" w:fill="FFFFFF"/>
                      <w:lang w:eastAsia="zh-CN"/>
                    </w:rPr>
                    <w:t>（</w:t>
                  </w:r>
                  <w:r>
                    <w:rPr>
                      <w:rFonts w:hint="default" w:ascii="Times New Roman" w:hAnsi="Times New Roman" w:eastAsia="宋体" w:cs="Times New Roman"/>
                      <w:i w:val="0"/>
                      <w:iCs w:val="0"/>
                      <w:caps w:val="0"/>
                      <w:color w:val="000000"/>
                      <w:spacing w:val="0"/>
                      <w:sz w:val="21"/>
                      <w:szCs w:val="21"/>
                      <w:shd w:val="clear" w:color="auto" w:fill="FFFFFF"/>
                      <w:lang w:val="en-US" w:eastAsia="zh-CN"/>
                    </w:rPr>
                    <w:t>水</w:t>
                  </w:r>
                  <w:r>
                    <w:rPr>
                      <w:rFonts w:hint="default" w:ascii="Times New Roman" w:hAnsi="Times New Roman" w:eastAsia="宋体" w:cs="Times New Roman"/>
                      <w:i w:val="0"/>
                      <w:iCs w:val="0"/>
                      <w:caps w:val="0"/>
                      <w:color w:val="000000"/>
                      <w:spacing w:val="0"/>
                      <w:sz w:val="21"/>
                      <w:szCs w:val="21"/>
                      <w:shd w:val="clear" w:color="auto" w:fill="FFFFFF"/>
                      <w:lang w:eastAsia="zh-CN"/>
                    </w:rPr>
                    <w:t>）</w:t>
                  </w:r>
                  <w:r>
                    <w:rPr>
                      <w:rFonts w:hint="default" w:ascii="Times New Roman" w:hAnsi="Times New Roman" w:eastAsia="宋体" w:cs="Times New Roman"/>
                      <w:i w:val="0"/>
                      <w:iCs w:val="0"/>
                      <w:caps w:val="0"/>
                      <w:color w:val="000000"/>
                      <w:spacing w:val="0"/>
                      <w:sz w:val="21"/>
                      <w:szCs w:val="21"/>
                      <w:shd w:val="clear" w:color="auto" w:fill="FFFFFF"/>
                    </w:rPr>
                    <w:t>耗、高环境风险的工业项目。</w:t>
                  </w:r>
                </w:p>
              </w:tc>
              <w:tc>
                <w:tcPr>
                  <w:tcW w:w="328" w:type="pct"/>
                  <w:tcBorders>
                    <w:tl2br w:val="nil"/>
                    <w:tr2bl w:val="nil"/>
                  </w:tcBorders>
                  <w:noWrap w:val="0"/>
                  <w:vAlign w:val="center"/>
                </w:tcPr>
                <w:p w14:paraId="7C65740C">
                  <w:pPr>
                    <w:pStyle w:val="48"/>
                    <w:keepNext w:val="0"/>
                    <w:keepLines w:val="0"/>
                    <w:pageBreakBefore w:val="0"/>
                    <w:widowControl w:val="0"/>
                    <w:kinsoku/>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eastAsia="宋体" w:cs="Times New Roman"/>
                      <w:color w:val="000000"/>
                      <w:spacing w:val="8"/>
                      <w:sz w:val="21"/>
                      <w:szCs w:val="21"/>
                      <w:lang w:val="en-US" w:eastAsia="zh-CN"/>
                    </w:rPr>
                  </w:pPr>
                  <w:r>
                    <w:rPr>
                      <w:rFonts w:hint="default" w:ascii="Times New Roman" w:hAnsi="Times New Roman" w:eastAsia="宋体" w:cs="Times New Roman"/>
                      <w:color w:val="000000"/>
                      <w:spacing w:val="8"/>
                      <w:sz w:val="21"/>
                      <w:szCs w:val="21"/>
                      <w:lang w:val="en-US" w:eastAsia="zh-CN"/>
                    </w:rPr>
                    <w:t>符合</w:t>
                  </w:r>
                </w:p>
              </w:tc>
            </w:tr>
            <w:tr w14:paraId="7A195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273" w:type="pct"/>
                  <w:vMerge w:val="continue"/>
                  <w:tcBorders>
                    <w:tl2br w:val="nil"/>
                    <w:tr2bl w:val="nil"/>
                  </w:tcBorders>
                  <w:noWrap w:val="0"/>
                  <w:vAlign w:val="center"/>
                </w:tcPr>
                <w:p w14:paraId="141A51FC">
                  <w:pPr>
                    <w:keepNext w:val="0"/>
                    <w:keepLines w:val="0"/>
                    <w:pageBreakBefore w:val="0"/>
                    <w:widowControl w:val="0"/>
                    <w:kinsoku/>
                    <w:overflowPunct/>
                    <w:topLinePunct w:val="0"/>
                    <w:autoSpaceDE/>
                    <w:autoSpaceDN/>
                    <w:bidi w:val="0"/>
                    <w:adjustRightInd/>
                    <w:snapToGrid/>
                    <w:spacing w:line="240" w:lineRule="auto"/>
                    <w:ind w:firstLine="0"/>
                    <w:jc w:val="both"/>
                    <w:textAlignment w:val="auto"/>
                    <w:rPr>
                      <w:rFonts w:hint="default" w:ascii="Times New Roman" w:hAnsi="Times New Roman" w:eastAsia="宋体" w:cs="Times New Roman"/>
                      <w:b w:val="0"/>
                      <w:bCs w:val="0"/>
                      <w:color w:val="000000"/>
                      <w:sz w:val="21"/>
                      <w:szCs w:val="21"/>
                      <w:highlight w:val="none"/>
                      <w:vertAlign w:val="baseline"/>
                      <w:lang w:eastAsia="zh-CN"/>
                    </w:rPr>
                  </w:pPr>
                </w:p>
              </w:tc>
              <w:tc>
                <w:tcPr>
                  <w:tcW w:w="255" w:type="pct"/>
                  <w:vMerge w:val="continue"/>
                  <w:tcBorders>
                    <w:tl2br w:val="nil"/>
                    <w:tr2bl w:val="nil"/>
                  </w:tcBorders>
                  <w:noWrap w:val="0"/>
                  <w:vAlign w:val="center"/>
                </w:tcPr>
                <w:p w14:paraId="3362EA04">
                  <w:pPr>
                    <w:keepNext w:val="0"/>
                    <w:keepLines w:val="0"/>
                    <w:pageBreakBefore w:val="0"/>
                    <w:widowControl w:val="0"/>
                    <w:kinsoku/>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b w:val="0"/>
                      <w:bCs w:val="0"/>
                      <w:color w:val="000000"/>
                      <w:sz w:val="21"/>
                      <w:szCs w:val="21"/>
                      <w:highlight w:val="none"/>
                      <w:vertAlign w:val="baseline"/>
                      <w:lang w:eastAsia="zh-CN"/>
                    </w:rPr>
                  </w:pPr>
                </w:p>
              </w:tc>
              <w:tc>
                <w:tcPr>
                  <w:tcW w:w="523" w:type="pct"/>
                  <w:vMerge w:val="continue"/>
                  <w:tcBorders>
                    <w:tl2br w:val="nil"/>
                    <w:tr2bl w:val="nil"/>
                  </w:tcBorders>
                  <w:noWrap w:val="0"/>
                  <w:vAlign w:val="center"/>
                </w:tcPr>
                <w:p w14:paraId="267169BB">
                  <w:pPr>
                    <w:keepNext w:val="0"/>
                    <w:keepLines w:val="0"/>
                    <w:pageBreakBefore w:val="0"/>
                    <w:widowControl w:val="0"/>
                    <w:kinsoku/>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b w:val="0"/>
                      <w:bCs w:val="0"/>
                      <w:color w:val="000000"/>
                      <w:sz w:val="21"/>
                      <w:szCs w:val="21"/>
                      <w:highlight w:val="none"/>
                      <w:vertAlign w:val="baseline"/>
                      <w:lang w:eastAsia="zh-CN"/>
                    </w:rPr>
                  </w:pPr>
                </w:p>
              </w:tc>
              <w:tc>
                <w:tcPr>
                  <w:tcW w:w="1999" w:type="pct"/>
                  <w:tcBorders>
                    <w:tl2br w:val="nil"/>
                    <w:tr2bl w:val="nil"/>
                  </w:tcBorders>
                  <w:noWrap w:val="0"/>
                  <w:vAlign w:val="center"/>
                </w:tcPr>
                <w:p w14:paraId="0283AED6">
                  <w:pPr>
                    <w:pStyle w:val="48"/>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both"/>
                    <w:textAlignment w:val="auto"/>
                    <w:rPr>
                      <w:rFonts w:hint="default" w:ascii="Times New Roman" w:hAnsi="Times New Roman" w:eastAsia="宋体" w:cs="Times New Roman"/>
                      <w:color w:val="000000"/>
                      <w:spacing w:val="10"/>
                      <w:sz w:val="21"/>
                      <w:szCs w:val="21"/>
                      <w:lang w:eastAsia="zh-CN"/>
                    </w:rPr>
                  </w:pPr>
                  <w:r>
                    <w:rPr>
                      <w:rFonts w:hint="default" w:ascii="Times New Roman" w:hAnsi="Times New Roman" w:eastAsia="宋体" w:cs="Times New Roman"/>
                      <w:color w:val="000000"/>
                      <w:spacing w:val="10"/>
                      <w:sz w:val="21"/>
                      <w:szCs w:val="21"/>
                      <w:lang w:eastAsia="zh-CN"/>
                    </w:rPr>
                    <w:t>【A1.1-8】</w:t>
                  </w:r>
                  <w:r>
                    <w:rPr>
                      <w:rFonts w:hint="default" w:ascii="Times New Roman" w:hAnsi="Times New Roman" w:eastAsia="宋体" w:cs="Times New Roman"/>
                      <w:b w:val="0"/>
                      <w:bCs w:val="0"/>
                      <w:color w:val="000000"/>
                      <w:spacing w:val="15"/>
                      <w:sz w:val="21"/>
                      <w:szCs w:val="21"/>
                      <w:lang w:eastAsia="zh-CN"/>
                    </w:rPr>
                    <w:t>严格执行危险化学品“禁限控”目录，新建危险化学品生产项目必须进入一般或较低安全风险的化工园区(与其他行业生产装置配套建设的项目除外)</w:t>
                  </w:r>
                  <w:r>
                    <w:rPr>
                      <w:rFonts w:hint="eastAsia" w:ascii="Times New Roman" w:hAnsi="Times New Roman" w:eastAsia="宋体" w:cs="Times New Roman"/>
                      <w:b w:val="0"/>
                      <w:bCs w:val="0"/>
                      <w:color w:val="000000"/>
                      <w:spacing w:val="15"/>
                      <w:sz w:val="21"/>
                      <w:szCs w:val="21"/>
                      <w:lang w:eastAsia="zh-CN"/>
                    </w:rPr>
                    <w:t>，</w:t>
                  </w:r>
                  <w:r>
                    <w:rPr>
                      <w:rFonts w:hint="default" w:ascii="Times New Roman" w:hAnsi="Times New Roman" w:eastAsia="宋体" w:cs="Times New Roman"/>
                      <w:b w:val="0"/>
                      <w:bCs w:val="0"/>
                      <w:color w:val="000000"/>
                      <w:spacing w:val="15"/>
                      <w:sz w:val="21"/>
                      <w:szCs w:val="21"/>
                      <w:lang w:eastAsia="zh-CN"/>
                    </w:rPr>
                    <w:t>引导其他石化化工项目在化工园区发展</w:t>
                  </w:r>
                  <w:r>
                    <w:rPr>
                      <w:rFonts w:hint="eastAsia" w:ascii="Times New Roman" w:hAnsi="Times New Roman" w:eastAsia="宋体" w:cs="Times New Roman"/>
                      <w:b w:val="0"/>
                      <w:bCs w:val="0"/>
                      <w:color w:val="000000"/>
                      <w:spacing w:val="15"/>
                      <w:sz w:val="21"/>
                      <w:szCs w:val="21"/>
                      <w:lang w:eastAsia="zh-CN"/>
                    </w:rPr>
                    <w:t>。</w:t>
                  </w:r>
                </w:p>
              </w:tc>
              <w:tc>
                <w:tcPr>
                  <w:tcW w:w="1621" w:type="pct"/>
                  <w:tcBorders>
                    <w:tl2br w:val="nil"/>
                    <w:tr2bl w:val="nil"/>
                  </w:tcBorders>
                  <w:noWrap w:val="0"/>
                  <w:vAlign w:val="center"/>
                </w:tcPr>
                <w:p w14:paraId="6D4DFD01">
                  <w:pPr>
                    <w:keepNext w:val="0"/>
                    <w:keepLines w:val="0"/>
                    <w:pageBreakBefore w:val="0"/>
                    <w:widowControl w:val="0"/>
                    <w:kinsoku/>
                    <w:overflowPunct/>
                    <w:topLinePunct w:val="0"/>
                    <w:autoSpaceDE/>
                    <w:autoSpaceDN/>
                    <w:bidi w:val="0"/>
                    <w:adjustRightInd/>
                    <w:snapToGrid/>
                    <w:spacing w:line="240" w:lineRule="auto"/>
                    <w:ind w:firstLine="0"/>
                    <w:jc w:val="both"/>
                    <w:textAlignment w:val="auto"/>
                    <w:rPr>
                      <w:rFonts w:hint="default" w:ascii="Times New Roman" w:hAnsi="Times New Roman" w:eastAsia="宋体" w:cs="Times New Roman"/>
                      <w:i w:val="0"/>
                      <w:iCs w:val="0"/>
                      <w:caps w:val="0"/>
                      <w:color w:val="000000"/>
                      <w:spacing w:val="0"/>
                      <w:sz w:val="21"/>
                      <w:szCs w:val="21"/>
                      <w:shd w:val="clear" w:color="auto" w:fill="FFFFFF"/>
                      <w:lang w:val="en-US" w:eastAsia="zh-CN"/>
                    </w:rPr>
                  </w:pPr>
                  <w:r>
                    <w:rPr>
                      <w:rFonts w:hint="eastAsia" w:ascii="Times New Roman" w:hAnsi="Times New Roman" w:eastAsia="宋体" w:cs="Times New Roman"/>
                      <w:i w:val="0"/>
                      <w:iCs w:val="0"/>
                      <w:caps w:val="0"/>
                      <w:color w:val="000000"/>
                      <w:spacing w:val="0"/>
                      <w:sz w:val="21"/>
                      <w:szCs w:val="21"/>
                      <w:shd w:val="clear" w:color="auto" w:fill="FFFFFF"/>
                      <w:lang w:val="en-US" w:eastAsia="zh-CN"/>
                    </w:rPr>
                    <w:t>本项目不属于危险化学品生产项目。</w:t>
                  </w:r>
                </w:p>
              </w:tc>
              <w:tc>
                <w:tcPr>
                  <w:tcW w:w="328" w:type="pct"/>
                  <w:tcBorders>
                    <w:tl2br w:val="nil"/>
                    <w:tr2bl w:val="nil"/>
                  </w:tcBorders>
                  <w:noWrap w:val="0"/>
                  <w:vAlign w:val="center"/>
                </w:tcPr>
                <w:p w14:paraId="305D83C2">
                  <w:pPr>
                    <w:pStyle w:val="48"/>
                    <w:keepNext w:val="0"/>
                    <w:keepLines w:val="0"/>
                    <w:pageBreakBefore w:val="0"/>
                    <w:widowControl w:val="0"/>
                    <w:kinsoku/>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eastAsia="宋体" w:cs="Times New Roman"/>
                      <w:color w:val="000000"/>
                      <w:spacing w:val="8"/>
                      <w:sz w:val="21"/>
                      <w:szCs w:val="21"/>
                      <w:lang w:val="en-US" w:eastAsia="zh-CN"/>
                    </w:rPr>
                  </w:pPr>
                  <w:r>
                    <w:rPr>
                      <w:rFonts w:hint="eastAsia" w:ascii="Times New Roman" w:hAnsi="Times New Roman" w:cs="Times New Roman"/>
                      <w:color w:val="000000"/>
                      <w:spacing w:val="8"/>
                      <w:sz w:val="21"/>
                      <w:szCs w:val="21"/>
                      <w:lang w:val="en-US" w:eastAsia="zh-CN"/>
                    </w:rPr>
                    <w:t>符合</w:t>
                  </w:r>
                </w:p>
              </w:tc>
            </w:tr>
            <w:tr w14:paraId="55634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3" w:hRule="atLeast"/>
              </w:trPr>
              <w:tc>
                <w:tcPr>
                  <w:tcW w:w="273" w:type="pct"/>
                  <w:vMerge w:val="continue"/>
                  <w:tcBorders>
                    <w:tl2br w:val="nil"/>
                    <w:tr2bl w:val="nil"/>
                  </w:tcBorders>
                  <w:noWrap w:val="0"/>
                  <w:vAlign w:val="center"/>
                </w:tcPr>
                <w:p w14:paraId="36B473B9">
                  <w:pPr>
                    <w:keepNext w:val="0"/>
                    <w:keepLines w:val="0"/>
                    <w:pageBreakBefore w:val="0"/>
                    <w:widowControl w:val="0"/>
                    <w:kinsoku/>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b/>
                      <w:bCs/>
                      <w:color w:val="000000"/>
                      <w:sz w:val="21"/>
                      <w:szCs w:val="21"/>
                      <w:highlight w:val="none"/>
                      <w:vertAlign w:val="baseline"/>
                      <w:lang w:eastAsia="zh-CN"/>
                    </w:rPr>
                  </w:pPr>
                </w:p>
              </w:tc>
              <w:tc>
                <w:tcPr>
                  <w:tcW w:w="255" w:type="pct"/>
                  <w:vMerge w:val="continue"/>
                  <w:tcBorders>
                    <w:tl2br w:val="nil"/>
                    <w:tr2bl w:val="nil"/>
                  </w:tcBorders>
                  <w:noWrap w:val="0"/>
                  <w:vAlign w:val="center"/>
                </w:tcPr>
                <w:p w14:paraId="25ABA941">
                  <w:pPr>
                    <w:keepNext w:val="0"/>
                    <w:keepLines w:val="0"/>
                    <w:pageBreakBefore w:val="0"/>
                    <w:widowControl w:val="0"/>
                    <w:kinsoku/>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b/>
                      <w:bCs/>
                      <w:color w:val="000000"/>
                      <w:sz w:val="21"/>
                      <w:szCs w:val="21"/>
                      <w:highlight w:val="none"/>
                      <w:vertAlign w:val="baseline"/>
                      <w:lang w:eastAsia="zh-CN"/>
                    </w:rPr>
                  </w:pPr>
                </w:p>
              </w:tc>
              <w:tc>
                <w:tcPr>
                  <w:tcW w:w="523" w:type="pct"/>
                  <w:tcBorders>
                    <w:tl2br w:val="nil"/>
                    <w:tr2bl w:val="nil"/>
                  </w:tcBorders>
                  <w:noWrap w:val="0"/>
                  <w:vAlign w:val="center"/>
                </w:tcPr>
                <w:p w14:paraId="492CF137">
                  <w:pPr>
                    <w:keepNext w:val="0"/>
                    <w:keepLines w:val="0"/>
                    <w:pageBreakBefore w:val="0"/>
                    <w:widowControl w:val="0"/>
                    <w:kinsoku/>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b/>
                      <w:bCs/>
                      <w:color w:val="000000"/>
                      <w:sz w:val="21"/>
                      <w:szCs w:val="21"/>
                      <w:highlight w:val="none"/>
                      <w:vertAlign w:val="baseline"/>
                      <w:lang w:eastAsia="zh-CN"/>
                    </w:rPr>
                  </w:pPr>
                  <w:r>
                    <w:rPr>
                      <w:rFonts w:hint="default" w:ascii="Times New Roman" w:hAnsi="Times New Roman" w:eastAsia="宋体" w:cs="Times New Roman"/>
                      <w:b w:val="0"/>
                      <w:bCs w:val="0"/>
                      <w:color w:val="000000"/>
                      <w:sz w:val="21"/>
                      <w:szCs w:val="21"/>
                      <w:highlight w:val="none"/>
                      <w:vertAlign w:val="baseline"/>
                      <w:lang w:eastAsia="zh-CN"/>
                    </w:rPr>
                    <w:t>A1.3不符合空间布局要求活动的退出要求</w:t>
                  </w:r>
                </w:p>
              </w:tc>
              <w:tc>
                <w:tcPr>
                  <w:tcW w:w="1999" w:type="pct"/>
                  <w:tcBorders>
                    <w:tl2br w:val="nil"/>
                    <w:tr2bl w:val="nil"/>
                  </w:tcBorders>
                  <w:noWrap w:val="0"/>
                  <w:vAlign w:val="center"/>
                </w:tcPr>
                <w:p w14:paraId="5942394A">
                  <w:pPr>
                    <w:pStyle w:val="48"/>
                    <w:keepNext w:val="0"/>
                    <w:keepLines w:val="0"/>
                    <w:pageBreakBefore w:val="0"/>
                    <w:widowControl w:val="0"/>
                    <w:kinsoku/>
                    <w:overflowPunct/>
                    <w:topLinePunct w:val="0"/>
                    <w:autoSpaceDE/>
                    <w:autoSpaceDN/>
                    <w:bidi w:val="0"/>
                    <w:adjustRightInd/>
                    <w:snapToGrid/>
                    <w:spacing w:before="37" w:line="240" w:lineRule="auto"/>
                    <w:ind w:left="31" w:leftChars="0" w:right="23" w:rightChars="0" w:firstLine="0" w:firstLineChars="0"/>
                    <w:jc w:val="both"/>
                    <w:textAlignment w:val="auto"/>
                    <w:rPr>
                      <w:rFonts w:hint="default" w:ascii="Times New Roman" w:hAnsi="Times New Roman" w:eastAsia="宋体" w:cs="Times New Roman"/>
                      <w:b/>
                      <w:bCs/>
                      <w:color w:val="000000"/>
                      <w:sz w:val="21"/>
                      <w:szCs w:val="21"/>
                      <w:highlight w:val="none"/>
                      <w:vertAlign w:val="baseline"/>
                      <w:lang w:eastAsia="zh-CN"/>
                    </w:rPr>
                  </w:pPr>
                  <w:r>
                    <w:rPr>
                      <w:rFonts w:hint="default" w:ascii="Times New Roman" w:hAnsi="Times New Roman" w:eastAsia="宋体" w:cs="Times New Roman"/>
                      <w:color w:val="000000"/>
                      <w:spacing w:val="11"/>
                      <w:sz w:val="21"/>
                      <w:szCs w:val="21"/>
                    </w:rPr>
                    <w:t>【A1.3-2】对不符合国家产业政策、严</w:t>
                  </w:r>
                  <w:r>
                    <w:rPr>
                      <w:rFonts w:hint="default" w:ascii="Times New Roman" w:hAnsi="Times New Roman" w:eastAsia="宋体" w:cs="Times New Roman"/>
                      <w:color w:val="000000"/>
                      <w:spacing w:val="19"/>
                      <w:sz w:val="21"/>
                      <w:szCs w:val="21"/>
                    </w:rPr>
                    <w:t>重污染水环境的生产项目全部予以取</w:t>
                  </w:r>
                  <w:r>
                    <w:rPr>
                      <w:rFonts w:hint="default" w:ascii="Times New Roman" w:hAnsi="Times New Roman" w:eastAsia="宋体" w:cs="Times New Roman"/>
                      <w:color w:val="000000"/>
                      <w:sz w:val="21"/>
                      <w:szCs w:val="21"/>
                    </w:rPr>
                    <w:t>缔。</w:t>
                  </w:r>
                </w:p>
              </w:tc>
              <w:tc>
                <w:tcPr>
                  <w:tcW w:w="1621" w:type="pct"/>
                  <w:tcBorders>
                    <w:tl2br w:val="nil"/>
                    <w:tr2bl w:val="nil"/>
                  </w:tcBorders>
                  <w:noWrap w:val="0"/>
                  <w:vAlign w:val="center"/>
                </w:tcPr>
                <w:p w14:paraId="5BC8C77F">
                  <w:pPr>
                    <w:pStyle w:val="48"/>
                    <w:keepNext w:val="0"/>
                    <w:keepLines w:val="0"/>
                    <w:pageBreakBefore w:val="0"/>
                    <w:widowControl w:val="0"/>
                    <w:kinsoku/>
                    <w:overflowPunct/>
                    <w:topLinePunct w:val="0"/>
                    <w:autoSpaceDE/>
                    <w:autoSpaceDN/>
                    <w:bidi w:val="0"/>
                    <w:adjustRightInd/>
                    <w:snapToGrid/>
                    <w:spacing w:beforeAutospacing="0" w:line="240" w:lineRule="auto"/>
                    <w:ind w:right="20" w:rightChars="0" w:firstLine="0"/>
                    <w:jc w:val="both"/>
                    <w:textAlignment w:val="auto"/>
                    <w:rPr>
                      <w:rFonts w:hint="default" w:ascii="Times New Roman" w:hAnsi="Times New Roman" w:eastAsia="宋体" w:cs="Times New Roman"/>
                      <w:b/>
                      <w:bCs/>
                      <w:color w:val="000000"/>
                      <w:sz w:val="21"/>
                      <w:szCs w:val="21"/>
                      <w:highlight w:val="none"/>
                      <w:vertAlign w:val="baseline"/>
                      <w:lang w:val="en-US" w:eastAsia="zh-CN"/>
                    </w:rPr>
                  </w:pPr>
                  <w:r>
                    <w:rPr>
                      <w:rFonts w:hint="default" w:ascii="Times New Roman" w:hAnsi="Times New Roman" w:eastAsia="宋体" w:cs="Times New Roman"/>
                      <w:i w:val="0"/>
                      <w:iCs w:val="0"/>
                      <w:caps w:val="0"/>
                      <w:color w:val="000000"/>
                      <w:spacing w:val="0"/>
                      <w:kern w:val="2"/>
                      <w:sz w:val="21"/>
                      <w:szCs w:val="21"/>
                      <w:shd w:val="clear" w:color="auto" w:fill="FFFFFF"/>
                      <w:lang w:val="en-US" w:eastAsia="zh-CN" w:bidi="ar-SA"/>
                    </w:rPr>
                    <w:t>本项目属于</w:t>
                  </w:r>
                  <w:r>
                    <w:rPr>
                      <w:rFonts w:hint="eastAsia" w:ascii="Times New Roman" w:hAnsi="Times New Roman" w:eastAsia="宋体" w:cs="Times New Roman"/>
                      <w:i w:val="0"/>
                      <w:iCs w:val="0"/>
                      <w:caps w:val="0"/>
                      <w:color w:val="000000"/>
                      <w:spacing w:val="0"/>
                      <w:kern w:val="2"/>
                      <w:sz w:val="21"/>
                      <w:szCs w:val="21"/>
                      <w:shd w:val="clear" w:color="auto" w:fill="FFFFFF"/>
                      <w:lang w:val="en-US" w:eastAsia="zh-CN" w:bidi="ar-SA"/>
                    </w:rPr>
                    <w:t>“</w:t>
                  </w:r>
                  <w:r>
                    <w:rPr>
                      <w:rFonts w:hint="default" w:ascii="Times New Roman" w:hAnsi="Times New Roman" w:eastAsia="宋体" w:cs="Times New Roman"/>
                      <w:i w:val="0"/>
                      <w:iCs w:val="0"/>
                      <w:caps w:val="0"/>
                      <w:color w:val="000000"/>
                      <w:spacing w:val="0"/>
                      <w:kern w:val="2"/>
                      <w:sz w:val="21"/>
                      <w:szCs w:val="21"/>
                      <w:shd w:val="clear" w:color="auto" w:fill="FFFFFF"/>
                      <w:lang w:val="en-US" w:eastAsia="zh-CN" w:bidi="ar-SA"/>
                    </w:rPr>
                    <w:t>N7723固体废物治理行业</w:t>
                  </w:r>
                  <w:r>
                    <w:rPr>
                      <w:rFonts w:hint="eastAsia" w:ascii="Times New Roman" w:hAnsi="Times New Roman" w:eastAsia="宋体" w:cs="Times New Roman"/>
                      <w:i w:val="0"/>
                      <w:iCs w:val="0"/>
                      <w:caps w:val="0"/>
                      <w:color w:val="000000"/>
                      <w:spacing w:val="0"/>
                      <w:kern w:val="2"/>
                      <w:sz w:val="21"/>
                      <w:szCs w:val="21"/>
                      <w:shd w:val="clear" w:color="auto" w:fill="FFFFFF"/>
                      <w:lang w:val="en-US" w:eastAsia="zh-CN" w:bidi="ar-SA"/>
                    </w:rPr>
                    <w:t>”</w:t>
                  </w:r>
                  <w:r>
                    <w:rPr>
                      <w:rFonts w:hint="default" w:ascii="Times New Roman" w:hAnsi="Times New Roman" w:eastAsia="宋体" w:cs="Times New Roman"/>
                      <w:i w:val="0"/>
                      <w:iCs w:val="0"/>
                      <w:caps w:val="0"/>
                      <w:color w:val="000000"/>
                      <w:spacing w:val="0"/>
                      <w:kern w:val="2"/>
                      <w:sz w:val="21"/>
                      <w:szCs w:val="21"/>
                      <w:shd w:val="clear" w:color="auto" w:fill="FFFFFF"/>
                      <w:lang w:val="en-US" w:eastAsia="zh-CN" w:bidi="ar-SA"/>
                    </w:rPr>
                    <w:t>，符合国家产业政策。不属于严重污染水环境的生产项目。</w:t>
                  </w:r>
                </w:p>
              </w:tc>
              <w:tc>
                <w:tcPr>
                  <w:tcW w:w="328" w:type="pct"/>
                  <w:tcBorders>
                    <w:tl2br w:val="nil"/>
                    <w:tr2bl w:val="nil"/>
                  </w:tcBorders>
                  <w:noWrap w:val="0"/>
                  <w:vAlign w:val="center"/>
                </w:tcPr>
                <w:p w14:paraId="11051B35">
                  <w:pPr>
                    <w:pStyle w:val="48"/>
                    <w:keepNext w:val="0"/>
                    <w:keepLines w:val="0"/>
                    <w:pageBreakBefore w:val="0"/>
                    <w:widowControl w:val="0"/>
                    <w:kinsoku/>
                    <w:overflowPunct/>
                    <w:topLinePunct w:val="0"/>
                    <w:autoSpaceDE/>
                    <w:autoSpaceDN/>
                    <w:bidi w:val="0"/>
                    <w:adjustRightInd/>
                    <w:snapToGrid/>
                    <w:spacing w:beforeAutospacing="0" w:line="240" w:lineRule="auto"/>
                    <w:ind w:firstLine="0"/>
                    <w:jc w:val="center"/>
                    <w:textAlignment w:val="auto"/>
                    <w:rPr>
                      <w:rFonts w:hint="default" w:ascii="Times New Roman" w:hAnsi="Times New Roman" w:eastAsia="宋体" w:cs="Times New Roman"/>
                      <w:b/>
                      <w:bCs/>
                      <w:color w:val="000000"/>
                      <w:sz w:val="21"/>
                      <w:szCs w:val="21"/>
                      <w:highlight w:val="none"/>
                      <w:vertAlign w:val="baseline"/>
                      <w:lang w:eastAsia="zh-CN"/>
                    </w:rPr>
                  </w:pPr>
                  <w:r>
                    <w:rPr>
                      <w:rFonts w:hint="default" w:ascii="Times New Roman" w:hAnsi="Times New Roman" w:eastAsia="宋体" w:cs="Times New Roman"/>
                      <w:color w:val="000000"/>
                      <w:spacing w:val="8"/>
                      <w:sz w:val="21"/>
                      <w:szCs w:val="21"/>
                    </w:rPr>
                    <w:t>符合</w:t>
                  </w:r>
                </w:p>
              </w:tc>
            </w:tr>
            <w:tr w14:paraId="7A0D2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 w:type="pct"/>
                  <w:vMerge w:val="continue"/>
                  <w:tcBorders>
                    <w:tl2br w:val="nil"/>
                    <w:tr2bl w:val="nil"/>
                  </w:tcBorders>
                  <w:noWrap w:val="0"/>
                  <w:vAlign w:val="center"/>
                </w:tcPr>
                <w:p w14:paraId="5B70161F">
                  <w:pPr>
                    <w:keepNext w:val="0"/>
                    <w:keepLines w:val="0"/>
                    <w:pageBreakBefore w:val="0"/>
                    <w:widowControl w:val="0"/>
                    <w:kinsoku/>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b/>
                      <w:bCs/>
                      <w:color w:val="000000"/>
                      <w:sz w:val="21"/>
                      <w:szCs w:val="21"/>
                      <w:highlight w:val="none"/>
                      <w:vertAlign w:val="baseline"/>
                      <w:lang w:eastAsia="zh-CN"/>
                    </w:rPr>
                  </w:pPr>
                </w:p>
              </w:tc>
              <w:tc>
                <w:tcPr>
                  <w:tcW w:w="255" w:type="pct"/>
                  <w:vMerge w:val="continue"/>
                  <w:tcBorders>
                    <w:tl2br w:val="nil"/>
                    <w:tr2bl w:val="nil"/>
                  </w:tcBorders>
                  <w:noWrap w:val="0"/>
                  <w:vAlign w:val="center"/>
                </w:tcPr>
                <w:p w14:paraId="733CDC56">
                  <w:pPr>
                    <w:keepNext w:val="0"/>
                    <w:keepLines w:val="0"/>
                    <w:pageBreakBefore w:val="0"/>
                    <w:widowControl w:val="0"/>
                    <w:kinsoku/>
                    <w:overflowPunct/>
                    <w:topLinePunct w:val="0"/>
                    <w:autoSpaceDE/>
                    <w:autoSpaceDN/>
                    <w:bidi w:val="0"/>
                    <w:adjustRightInd/>
                    <w:snapToGrid/>
                    <w:spacing w:line="240" w:lineRule="auto"/>
                    <w:ind w:firstLine="0"/>
                    <w:jc w:val="center"/>
                    <w:textAlignment w:val="auto"/>
                    <w:rPr>
                      <w:rFonts w:hint="default" w:ascii="Times New Roman" w:hAnsi="Times New Roman" w:eastAsia="宋体" w:cs="Times New Roman"/>
                      <w:b/>
                      <w:bCs/>
                      <w:color w:val="000000"/>
                      <w:sz w:val="21"/>
                      <w:szCs w:val="21"/>
                      <w:highlight w:val="none"/>
                      <w:vertAlign w:val="baseline"/>
                      <w:lang w:eastAsia="zh-CN"/>
                    </w:rPr>
                  </w:pPr>
                </w:p>
              </w:tc>
              <w:tc>
                <w:tcPr>
                  <w:tcW w:w="523" w:type="pct"/>
                  <w:tcBorders>
                    <w:tl2br w:val="nil"/>
                    <w:tr2bl w:val="nil"/>
                  </w:tcBorders>
                  <w:noWrap w:val="0"/>
                  <w:vAlign w:val="top"/>
                </w:tcPr>
                <w:p w14:paraId="509F5DA8">
                  <w:pPr>
                    <w:pStyle w:val="48"/>
                    <w:keepNext w:val="0"/>
                    <w:keepLines w:val="0"/>
                    <w:pageBreakBefore w:val="0"/>
                    <w:widowControl w:val="0"/>
                    <w:kinsoku/>
                    <w:overflowPunct/>
                    <w:topLinePunct w:val="0"/>
                    <w:autoSpaceDE/>
                    <w:autoSpaceDN/>
                    <w:bidi w:val="0"/>
                    <w:adjustRightInd/>
                    <w:snapToGrid/>
                    <w:spacing w:before="37" w:line="240" w:lineRule="auto"/>
                    <w:ind w:left="31" w:leftChars="0" w:right="23" w:rightChars="0" w:firstLine="0" w:firstLineChars="0"/>
                    <w:jc w:val="both"/>
                    <w:textAlignment w:val="auto"/>
                    <w:rPr>
                      <w:rFonts w:hint="default" w:ascii="Times New Roman" w:hAnsi="Times New Roman" w:eastAsia="宋体" w:cs="Times New Roman"/>
                      <w:color w:val="000000"/>
                      <w:spacing w:val="11"/>
                      <w:sz w:val="21"/>
                      <w:szCs w:val="21"/>
                    </w:rPr>
                  </w:pPr>
                </w:p>
                <w:p w14:paraId="5C3AF3A8">
                  <w:pPr>
                    <w:pStyle w:val="48"/>
                    <w:keepNext w:val="0"/>
                    <w:keepLines w:val="0"/>
                    <w:pageBreakBefore w:val="0"/>
                    <w:widowControl w:val="0"/>
                    <w:kinsoku/>
                    <w:overflowPunct/>
                    <w:topLinePunct w:val="0"/>
                    <w:autoSpaceDE/>
                    <w:autoSpaceDN/>
                    <w:bidi w:val="0"/>
                    <w:adjustRightInd/>
                    <w:snapToGrid/>
                    <w:spacing w:before="37" w:line="240" w:lineRule="auto"/>
                    <w:ind w:left="31" w:leftChars="0" w:right="23" w:rightChars="0" w:firstLine="0" w:firstLineChars="0"/>
                    <w:jc w:val="center"/>
                    <w:textAlignment w:val="auto"/>
                    <w:rPr>
                      <w:rFonts w:hint="default" w:ascii="Times New Roman" w:hAnsi="Times New Roman" w:eastAsia="宋体" w:cs="Times New Roman"/>
                      <w:color w:val="000000"/>
                      <w:spacing w:val="11"/>
                      <w:sz w:val="21"/>
                      <w:szCs w:val="21"/>
                      <w:lang w:eastAsia="zh-CN"/>
                    </w:rPr>
                  </w:pPr>
                  <w:r>
                    <w:rPr>
                      <w:rFonts w:hint="default" w:ascii="Times New Roman" w:hAnsi="Times New Roman" w:eastAsia="宋体" w:cs="Times New Roman"/>
                      <w:color w:val="000000"/>
                      <w:spacing w:val="11"/>
                      <w:sz w:val="21"/>
                      <w:szCs w:val="21"/>
                    </w:rPr>
                    <w:t>A1.4</w:t>
                  </w:r>
                  <w:r>
                    <w:rPr>
                      <w:rFonts w:hint="default" w:ascii="Times New Roman" w:hAnsi="Times New Roman" w:eastAsia="宋体" w:cs="Times New Roman"/>
                      <w:color w:val="000000"/>
                      <w:spacing w:val="11"/>
                      <w:sz w:val="21"/>
                      <w:szCs w:val="21"/>
                      <w:lang w:eastAsia="zh-CN"/>
                    </w:rPr>
                    <w:t>其他</w:t>
                  </w:r>
                  <w:r>
                    <w:rPr>
                      <w:rFonts w:hint="default" w:ascii="Times New Roman" w:hAnsi="Times New Roman" w:eastAsia="宋体" w:cs="Times New Roman"/>
                      <w:color w:val="000000"/>
                      <w:spacing w:val="11"/>
                      <w:sz w:val="21"/>
                      <w:szCs w:val="21"/>
                    </w:rPr>
                    <w:t>布局要求</w:t>
                  </w:r>
                </w:p>
              </w:tc>
              <w:tc>
                <w:tcPr>
                  <w:tcW w:w="1999" w:type="pct"/>
                  <w:tcBorders>
                    <w:tl2br w:val="nil"/>
                    <w:tr2bl w:val="nil"/>
                  </w:tcBorders>
                  <w:noWrap w:val="0"/>
                  <w:vAlign w:val="top"/>
                </w:tcPr>
                <w:p w14:paraId="5E5EA83E">
                  <w:pPr>
                    <w:pStyle w:val="48"/>
                    <w:keepNext w:val="0"/>
                    <w:keepLines w:val="0"/>
                    <w:pageBreakBefore w:val="0"/>
                    <w:widowControl w:val="0"/>
                    <w:kinsoku/>
                    <w:overflowPunct/>
                    <w:topLinePunct w:val="0"/>
                    <w:autoSpaceDE/>
                    <w:autoSpaceDN/>
                    <w:bidi w:val="0"/>
                    <w:adjustRightInd/>
                    <w:snapToGrid/>
                    <w:spacing w:before="37" w:line="240" w:lineRule="auto"/>
                    <w:ind w:left="31" w:leftChars="0" w:right="23" w:rightChars="0" w:firstLine="0" w:firstLineChars="0"/>
                    <w:jc w:val="both"/>
                    <w:textAlignment w:val="auto"/>
                    <w:rPr>
                      <w:rFonts w:hint="default" w:ascii="Times New Roman" w:hAnsi="Times New Roman" w:eastAsia="宋体" w:cs="Times New Roman"/>
                      <w:color w:val="000000"/>
                      <w:spacing w:val="11"/>
                      <w:sz w:val="21"/>
                      <w:szCs w:val="21"/>
                    </w:rPr>
                  </w:pPr>
                  <w:r>
                    <w:rPr>
                      <w:rFonts w:hint="default" w:ascii="Times New Roman" w:hAnsi="Times New Roman" w:eastAsia="宋体" w:cs="Times New Roman"/>
                      <w:color w:val="000000"/>
                      <w:spacing w:val="11"/>
                      <w:sz w:val="21"/>
                      <w:szCs w:val="21"/>
                    </w:rPr>
                    <w:t>【A1.4-1】一切开发建设活动应符合国家、自治区主体功能区规划自治区和各地颁布实施的生态环境功能区划、国民经济发展规划、产业发展规划、国土空间规划等相关规划及重点生态功能区负面清单要求</w:t>
                  </w:r>
                  <w:r>
                    <w:rPr>
                      <w:rFonts w:hint="default" w:ascii="Times New Roman" w:hAnsi="Times New Roman" w:eastAsia="宋体" w:cs="Times New Roman"/>
                      <w:color w:val="000000"/>
                      <w:spacing w:val="11"/>
                      <w:sz w:val="21"/>
                      <w:szCs w:val="21"/>
                      <w:lang w:eastAsia="zh-CN"/>
                    </w:rPr>
                    <w:t>，</w:t>
                  </w:r>
                  <w:r>
                    <w:rPr>
                      <w:rFonts w:hint="default" w:ascii="Times New Roman" w:hAnsi="Times New Roman" w:eastAsia="宋体" w:cs="Times New Roman"/>
                      <w:color w:val="000000"/>
                      <w:spacing w:val="11"/>
                      <w:sz w:val="21"/>
                      <w:szCs w:val="21"/>
                    </w:rPr>
                    <w:t>符合区域或产业规划环评要求。</w:t>
                  </w:r>
                </w:p>
              </w:tc>
              <w:tc>
                <w:tcPr>
                  <w:tcW w:w="1621" w:type="pct"/>
                  <w:tcBorders>
                    <w:tl2br w:val="nil"/>
                    <w:tr2bl w:val="nil"/>
                  </w:tcBorders>
                  <w:noWrap w:val="0"/>
                  <w:vAlign w:val="center"/>
                </w:tcPr>
                <w:p w14:paraId="36954FFC">
                  <w:pPr>
                    <w:pStyle w:val="48"/>
                    <w:keepNext w:val="0"/>
                    <w:keepLines w:val="0"/>
                    <w:pageBreakBefore w:val="0"/>
                    <w:widowControl w:val="0"/>
                    <w:kinsoku/>
                    <w:overflowPunct/>
                    <w:topLinePunct w:val="0"/>
                    <w:autoSpaceDE/>
                    <w:autoSpaceDN/>
                    <w:bidi w:val="0"/>
                    <w:adjustRightInd/>
                    <w:snapToGrid/>
                    <w:spacing w:before="37" w:line="240" w:lineRule="auto"/>
                    <w:ind w:left="31" w:leftChars="0" w:right="23" w:rightChars="0" w:firstLine="0" w:firstLineChars="0"/>
                    <w:jc w:val="both"/>
                    <w:textAlignment w:val="auto"/>
                    <w:rPr>
                      <w:rFonts w:hint="default" w:ascii="Times New Roman" w:hAnsi="Times New Roman" w:eastAsia="宋体" w:cs="Times New Roman"/>
                      <w:color w:val="000000"/>
                      <w:spacing w:val="11"/>
                      <w:sz w:val="21"/>
                      <w:szCs w:val="21"/>
                      <w:lang w:eastAsia="zh-CN"/>
                    </w:rPr>
                  </w:pPr>
                  <w:r>
                    <w:rPr>
                      <w:rFonts w:hint="default" w:ascii="Times New Roman" w:hAnsi="Times New Roman" w:eastAsia="宋体" w:cs="Times New Roman"/>
                      <w:color w:val="000000"/>
                      <w:spacing w:val="11"/>
                      <w:sz w:val="21"/>
                      <w:szCs w:val="21"/>
                    </w:rPr>
                    <w:t>本项目与区域主体功能区划目标相协调</w:t>
                  </w:r>
                  <w:r>
                    <w:rPr>
                      <w:rFonts w:hint="default" w:ascii="Times New Roman" w:hAnsi="Times New Roman" w:eastAsia="宋体" w:cs="Times New Roman"/>
                      <w:color w:val="000000"/>
                      <w:spacing w:val="11"/>
                      <w:sz w:val="21"/>
                      <w:szCs w:val="21"/>
                      <w:lang w:eastAsia="zh-CN"/>
                    </w:rPr>
                    <w:t>，</w:t>
                  </w:r>
                  <w:r>
                    <w:rPr>
                      <w:rFonts w:hint="default" w:ascii="Times New Roman" w:hAnsi="Times New Roman" w:eastAsia="宋体" w:cs="Times New Roman"/>
                      <w:color w:val="000000"/>
                      <w:spacing w:val="11"/>
                      <w:sz w:val="21"/>
                      <w:szCs w:val="21"/>
                    </w:rPr>
                    <w:t>符合生态环境功能区划、国民经济发展规划、产业发展规划、国土空间规划等相关规划及重点生态功能区负面清单要求</w:t>
                  </w:r>
                  <w:r>
                    <w:rPr>
                      <w:rFonts w:hint="default" w:ascii="Times New Roman" w:hAnsi="Times New Roman" w:eastAsia="宋体" w:cs="Times New Roman"/>
                      <w:color w:val="000000"/>
                      <w:spacing w:val="11"/>
                      <w:sz w:val="21"/>
                      <w:szCs w:val="21"/>
                      <w:lang w:eastAsia="zh-CN"/>
                    </w:rPr>
                    <w:t>。</w:t>
                  </w:r>
                </w:p>
              </w:tc>
              <w:tc>
                <w:tcPr>
                  <w:tcW w:w="328" w:type="pct"/>
                  <w:tcBorders>
                    <w:tl2br w:val="nil"/>
                    <w:tr2bl w:val="nil"/>
                  </w:tcBorders>
                  <w:noWrap w:val="0"/>
                  <w:vAlign w:val="center"/>
                </w:tcPr>
                <w:p w14:paraId="031A5AF4">
                  <w:pPr>
                    <w:pStyle w:val="48"/>
                    <w:keepNext w:val="0"/>
                    <w:keepLines w:val="0"/>
                    <w:pageBreakBefore w:val="0"/>
                    <w:widowControl w:val="0"/>
                    <w:kinsoku/>
                    <w:overflowPunct/>
                    <w:topLinePunct w:val="0"/>
                    <w:autoSpaceDE/>
                    <w:autoSpaceDN/>
                    <w:bidi w:val="0"/>
                    <w:adjustRightInd/>
                    <w:snapToGrid/>
                    <w:spacing w:before="192" w:line="240" w:lineRule="auto"/>
                    <w:ind w:firstLine="0"/>
                    <w:jc w:val="center"/>
                    <w:textAlignment w:val="auto"/>
                    <w:rPr>
                      <w:rFonts w:hint="default" w:ascii="Times New Roman" w:hAnsi="Times New Roman" w:eastAsia="宋体" w:cs="Times New Roman"/>
                      <w:color w:val="000000"/>
                      <w:spacing w:val="8"/>
                      <w:sz w:val="21"/>
                      <w:szCs w:val="21"/>
                    </w:rPr>
                  </w:pPr>
                  <w:r>
                    <w:rPr>
                      <w:rFonts w:hint="default" w:ascii="Times New Roman" w:hAnsi="Times New Roman" w:eastAsia="宋体" w:cs="Times New Roman"/>
                      <w:color w:val="000000"/>
                      <w:spacing w:val="8"/>
                      <w:sz w:val="21"/>
                      <w:szCs w:val="21"/>
                    </w:rPr>
                    <w:t>符合</w:t>
                  </w:r>
                </w:p>
              </w:tc>
            </w:tr>
            <w:tr w14:paraId="64402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8" w:hRule="atLeast"/>
              </w:trPr>
              <w:tc>
                <w:tcPr>
                  <w:tcW w:w="273" w:type="pct"/>
                  <w:vMerge w:val="continue"/>
                  <w:tcBorders>
                    <w:tl2br w:val="nil"/>
                    <w:tr2bl w:val="nil"/>
                  </w:tcBorders>
                  <w:noWrap w:val="0"/>
                  <w:vAlign w:val="top"/>
                </w:tcPr>
                <w:p w14:paraId="1E6BFC24">
                  <w:pPr>
                    <w:pStyle w:val="48"/>
                    <w:keepNext w:val="0"/>
                    <w:keepLines w:val="0"/>
                    <w:pageBreakBefore w:val="0"/>
                    <w:widowControl w:val="0"/>
                    <w:kinsoku/>
                    <w:overflowPunct/>
                    <w:topLinePunct w:val="0"/>
                    <w:autoSpaceDE/>
                    <w:autoSpaceDN/>
                    <w:bidi w:val="0"/>
                    <w:adjustRightInd/>
                    <w:snapToGrid/>
                    <w:spacing w:before="37" w:line="240" w:lineRule="auto"/>
                    <w:ind w:left="31" w:leftChars="0" w:right="23" w:rightChars="0" w:firstLine="0" w:firstLineChars="0"/>
                    <w:jc w:val="both"/>
                    <w:textAlignment w:val="auto"/>
                    <w:rPr>
                      <w:rFonts w:hint="default" w:ascii="Times New Roman" w:hAnsi="Times New Roman" w:eastAsia="宋体" w:cs="Times New Roman"/>
                      <w:color w:val="000000"/>
                      <w:spacing w:val="11"/>
                      <w:sz w:val="21"/>
                      <w:szCs w:val="21"/>
                      <w:lang w:eastAsia="zh-CN"/>
                    </w:rPr>
                  </w:pPr>
                </w:p>
              </w:tc>
              <w:tc>
                <w:tcPr>
                  <w:tcW w:w="255" w:type="pct"/>
                  <w:tcBorders>
                    <w:tl2br w:val="nil"/>
                    <w:tr2bl w:val="nil"/>
                  </w:tcBorders>
                  <w:noWrap w:val="0"/>
                  <w:vAlign w:val="center"/>
                </w:tcPr>
                <w:p w14:paraId="741931CA">
                  <w:pPr>
                    <w:pStyle w:val="48"/>
                    <w:keepNext w:val="0"/>
                    <w:keepLines w:val="0"/>
                    <w:pageBreakBefore w:val="0"/>
                    <w:widowControl w:val="0"/>
                    <w:kinsoku/>
                    <w:overflowPunct/>
                    <w:topLinePunct w:val="0"/>
                    <w:autoSpaceDE/>
                    <w:autoSpaceDN/>
                    <w:bidi w:val="0"/>
                    <w:adjustRightInd/>
                    <w:snapToGrid/>
                    <w:spacing w:before="37" w:line="240" w:lineRule="auto"/>
                    <w:ind w:left="31" w:leftChars="0" w:right="23" w:rightChars="0" w:firstLine="0" w:firstLineChars="0"/>
                    <w:jc w:val="center"/>
                    <w:textAlignment w:val="auto"/>
                    <w:rPr>
                      <w:rFonts w:hint="default" w:ascii="Times New Roman" w:hAnsi="Times New Roman" w:eastAsia="宋体" w:cs="Times New Roman"/>
                      <w:color w:val="000000"/>
                      <w:spacing w:val="11"/>
                      <w:sz w:val="21"/>
                      <w:szCs w:val="21"/>
                      <w:lang w:eastAsia="zh-CN"/>
                    </w:rPr>
                  </w:pPr>
                  <w:r>
                    <w:rPr>
                      <w:rFonts w:hint="default" w:ascii="Times New Roman" w:hAnsi="Times New Roman" w:eastAsia="宋体" w:cs="Times New Roman"/>
                      <w:color w:val="000000"/>
                      <w:spacing w:val="11"/>
                      <w:sz w:val="21"/>
                      <w:szCs w:val="21"/>
                    </w:rPr>
                    <w:t>A2污染物排放管控</w:t>
                  </w:r>
                </w:p>
              </w:tc>
              <w:tc>
                <w:tcPr>
                  <w:tcW w:w="523" w:type="pct"/>
                  <w:tcBorders>
                    <w:tl2br w:val="nil"/>
                    <w:tr2bl w:val="nil"/>
                  </w:tcBorders>
                  <w:noWrap w:val="0"/>
                  <w:vAlign w:val="center"/>
                </w:tcPr>
                <w:p w14:paraId="2355FFF1">
                  <w:pPr>
                    <w:pStyle w:val="48"/>
                    <w:keepNext w:val="0"/>
                    <w:keepLines w:val="0"/>
                    <w:pageBreakBefore w:val="0"/>
                    <w:widowControl w:val="0"/>
                    <w:kinsoku/>
                    <w:overflowPunct/>
                    <w:topLinePunct w:val="0"/>
                    <w:autoSpaceDE/>
                    <w:autoSpaceDN/>
                    <w:bidi w:val="0"/>
                    <w:adjustRightInd/>
                    <w:snapToGrid/>
                    <w:spacing w:before="37" w:line="240" w:lineRule="auto"/>
                    <w:ind w:left="31" w:leftChars="0" w:right="23" w:rightChars="0" w:firstLine="0" w:firstLineChars="0"/>
                    <w:jc w:val="center"/>
                    <w:textAlignment w:val="auto"/>
                    <w:rPr>
                      <w:rFonts w:hint="default" w:ascii="Times New Roman" w:hAnsi="Times New Roman" w:eastAsia="宋体" w:cs="Times New Roman"/>
                      <w:color w:val="000000"/>
                      <w:spacing w:val="11"/>
                      <w:sz w:val="21"/>
                      <w:szCs w:val="21"/>
                    </w:rPr>
                  </w:pPr>
                  <w:r>
                    <w:rPr>
                      <w:rFonts w:hint="default" w:ascii="Times New Roman" w:hAnsi="Times New Roman" w:eastAsia="宋体" w:cs="Times New Roman"/>
                      <w:color w:val="000000"/>
                      <w:spacing w:val="11"/>
                      <w:sz w:val="21"/>
                      <w:szCs w:val="21"/>
                    </w:rPr>
                    <w:t>A2.2污染控制措施要求</w:t>
                  </w:r>
                </w:p>
              </w:tc>
              <w:tc>
                <w:tcPr>
                  <w:tcW w:w="1999" w:type="pct"/>
                  <w:tcBorders>
                    <w:tl2br w:val="nil"/>
                    <w:tr2bl w:val="nil"/>
                  </w:tcBorders>
                  <w:noWrap w:val="0"/>
                  <w:vAlign w:val="center"/>
                </w:tcPr>
                <w:p w14:paraId="407094B9">
                  <w:pPr>
                    <w:pStyle w:val="48"/>
                    <w:keepNext w:val="0"/>
                    <w:keepLines w:val="0"/>
                    <w:pageBreakBefore w:val="0"/>
                    <w:widowControl w:val="0"/>
                    <w:kinsoku/>
                    <w:overflowPunct/>
                    <w:topLinePunct w:val="0"/>
                    <w:autoSpaceDE/>
                    <w:autoSpaceDN/>
                    <w:bidi w:val="0"/>
                    <w:adjustRightInd/>
                    <w:snapToGrid/>
                    <w:spacing w:before="37" w:line="240" w:lineRule="auto"/>
                    <w:ind w:left="31" w:leftChars="0" w:right="23" w:rightChars="0" w:firstLine="0" w:firstLineChars="0"/>
                    <w:jc w:val="both"/>
                    <w:textAlignment w:val="auto"/>
                    <w:rPr>
                      <w:rFonts w:hint="default" w:ascii="Times New Roman" w:hAnsi="Times New Roman" w:eastAsia="宋体" w:cs="Times New Roman"/>
                      <w:color w:val="000000"/>
                      <w:spacing w:val="11"/>
                      <w:sz w:val="21"/>
                      <w:szCs w:val="21"/>
                    </w:rPr>
                  </w:pPr>
                  <w:r>
                    <w:rPr>
                      <w:rFonts w:hint="default" w:ascii="Times New Roman" w:hAnsi="Times New Roman" w:eastAsia="宋体" w:cs="Times New Roman"/>
                      <w:color w:val="000000"/>
                      <w:spacing w:val="11"/>
                      <w:sz w:val="21"/>
                      <w:szCs w:val="21"/>
                    </w:rPr>
                    <w:t>【A2.2-4】强化用水定额管理。推进地下水超采综合治理。开展河湖生态流量</w:t>
                  </w:r>
                  <w:r>
                    <w:rPr>
                      <w:rFonts w:hint="default" w:ascii="Times New Roman" w:hAnsi="Times New Roman" w:eastAsia="宋体" w:cs="Times New Roman"/>
                      <w:color w:val="000000"/>
                      <w:spacing w:val="11"/>
                      <w:sz w:val="21"/>
                      <w:szCs w:val="21"/>
                      <w:lang w:eastAsia="zh-CN"/>
                    </w:rPr>
                    <w:t>（</w:t>
                  </w:r>
                  <w:r>
                    <w:rPr>
                      <w:rFonts w:hint="default" w:ascii="Times New Roman" w:hAnsi="Times New Roman" w:eastAsia="宋体" w:cs="Times New Roman"/>
                      <w:color w:val="000000"/>
                      <w:spacing w:val="11"/>
                      <w:sz w:val="21"/>
                      <w:szCs w:val="21"/>
                    </w:rPr>
                    <w:t>水量</w:t>
                  </w:r>
                  <w:r>
                    <w:rPr>
                      <w:rFonts w:hint="default" w:ascii="Times New Roman" w:hAnsi="Times New Roman" w:eastAsia="宋体" w:cs="Times New Roman"/>
                      <w:color w:val="000000"/>
                      <w:spacing w:val="11"/>
                      <w:sz w:val="21"/>
                      <w:szCs w:val="21"/>
                      <w:lang w:eastAsia="zh-CN"/>
                    </w:rPr>
                    <w:t>）</w:t>
                  </w:r>
                  <w:r>
                    <w:rPr>
                      <w:rFonts w:hint="default" w:ascii="Times New Roman" w:hAnsi="Times New Roman" w:eastAsia="宋体" w:cs="Times New Roman"/>
                      <w:color w:val="000000"/>
                      <w:spacing w:val="11"/>
                      <w:sz w:val="21"/>
                      <w:szCs w:val="21"/>
                    </w:rPr>
                    <w:t>确定工作</w:t>
                  </w:r>
                  <w:r>
                    <w:rPr>
                      <w:rFonts w:hint="default" w:ascii="Times New Roman" w:hAnsi="Times New Roman" w:eastAsia="宋体" w:cs="Times New Roman"/>
                      <w:color w:val="000000"/>
                      <w:spacing w:val="11"/>
                      <w:sz w:val="21"/>
                      <w:szCs w:val="21"/>
                      <w:lang w:eastAsia="zh-CN"/>
                    </w:rPr>
                    <w:t>，</w:t>
                  </w:r>
                  <w:r>
                    <w:rPr>
                      <w:rFonts w:hint="default" w:ascii="Times New Roman" w:hAnsi="Times New Roman" w:eastAsia="宋体" w:cs="Times New Roman"/>
                      <w:color w:val="000000"/>
                      <w:spacing w:val="11"/>
                      <w:sz w:val="21"/>
                      <w:szCs w:val="21"/>
                    </w:rPr>
                    <w:t>强化生态用水保障。</w:t>
                  </w:r>
                </w:p>
              </w:tc>
              <w:tc>
                <w:tcPr>
                  <w:tcW w:w="1621" w:type="pct"/>
                  <w:tcBorders>
                    <w:tl2br w:val="nil"/>
                    <w:tr2bl w:val="nil"/>
                  </w:tcBorders>
                  <w:noWrap w:val="0"/>
                  <w:vAlign w:val="center"/>
                </w:tcPr>
                <w:p w14:paraId="23F502DB">
                  <w:pPr>
                    <w:pStyle w:val="48"/>
                    <w:keepNext w:val="0"/>
                    <w:keepLines w:val="0"/>
                    <w:pageBreakBefore w:val="0"/>
                    <w:widowControl w:val="0"/>
                    <w:kinsoku/>
                    <w:overflowPunct/>
                    <w:topLinePunct w:val="0"/>
                    <w:autoSpaceDE/>
                    <w:autoSpaceDN/>
                    <w:bidi w:val="0"/>
                    <w:adjustRightInd/>
                    <w:snapToGrid/>
                    <w:spacing w:before="37" w:line="240" w:lineRule="auto"/>
                    <w:ind w:left="31" w:leftChars="0" w:right="23" w:rightChars="0" w:firstLine="0" w:firstLineChars="0"/>
                    <w:jc w:val="both"/>
                    <w:textAlignment w:val="auto"/>
                    <w:rPr>
                      <w:rFonts w:hint="default" w:ascii="Times New Roman" w:hAnsi="Times New Roman" w:eastAsia="宋体" w:cs="Times New Roman"/>
                      <w:color w:val="000000"/>
                      <w:spacing w:val="11"/>
                      <w:sz w:val="21"/>
                      <w:szCs w:val="21"/>
                      <w:lang w:val="en-US"/>
                    </w:rPr>
                  </w:pPr>
                  <w:r>
                    <w:rPr>
                      <w:rFonts w:hint="default" w:ascii="Times New Roman" w:hAnsi="Times New Roman" w:eastAsia="宋体" w:cs="Times New Roman"/>
                      <w:color w:val="000000"/>
                      <w:spacing w:val="11"/>
                      <w:sz w:val="21"/>
                      <w:szCs w:val="21"/>
                    </w:rPr>
                    <w:t>本项目</w:t>
                  </w:r>
                  <w:r>
                    <w:rPr>
                      <w:rFonts w:hint="default" w:ascii="Times New Roman" w:hAnsi="Times New Roman" w:eastAsia="宋体" w:cs="Times New Roman"/>
                      <w:color w:val="000000"/>
                      <w:spacing w:val="11"/>
                      <w:sz w:val="21"/>
                      <w:szCs w:val="21"/>
                      <w:lang w:val="en-US" w:eastAsia="zh-CN"/>
                    </w:rPr>
                    <w:t>生活</w:t>
                  </w:r>
                  <w:r>
                    <w:rPr>
                      <w:rFonts w:hint="eastAsia" w:ascii="Times New Roman" w:hAnsi="Times New Roman" w:cs="Times New Roman"/>
                      <w:color w:val="000000"/>
                      <w:spacing w:val="11"/>
                      <w:sz w:val="21"/>
                      <w:szCs w:val="21"/>
                      <w:lang w:val="en-US" w:eastAsia="zh-CN"/>
                    </w:rPr>
                    <w:t>、生产</w:t>
                  </w:r>
                  <w:r>
                    <w:rPr>
                      <w:rFonts w:hint="default" w:ascii="Times New Roman" w:hAnsi="Times New Roman" w:eastAsia="宋体" w:cs="Times New Roman"/>
                      <w:color w:val="000000"/>
                      <w:sz w:val="21"/>
                      <w:szCs w:val="21"/>
                      <w:lang w:val="en-US" w:eastAsia="zh-CN"/>
                    </w:rPr>
                    <w:t>利用</w:t>
                  </w:r>
                  <w:r>
                    <w:rPr>
                      <w:rFonts w:hint="eastAsia" w:ascii="Times New Roman" w:hAnsi="Times New Roman" w:cs="Times New Roman"/>
                      <w:color w:val="000000"/>
                      <w:sz w:val="21"/>
                      <w:szCs w:val="21"/>
                      <w:lang w:val="en-US" w:eastAsia="zh-CN"/>
                    </w:rPr>
                    <w:t>市政</w:t>
                  </w:r>
                  <w:r>
                    <w:rPr>
                      <w:rFonts w:hint="default" w:ascii="Times New Roman" w:hAnsi="Times New Roman" w:eastAsia="宋体" w:cs="Times New Roman"/>
                      <w:color w:val="000000"/>
                      <w:sz w:val="21"/>
                      <w:szCs w:val="21"/>
                      <w:lang w:val="en-US" w:eastAsia="zh-CN"/>
                    </w:rPr>
                    <w:t>管网供水</w:t>
                  </w:r>
                  <w:r>
                    <w:rPr>
                      <w:rFonts w:hint="default" w:ascii="Times New Roman" w:hAnsi="Times New Roman" w:eastAsia="宋体" w:cs="Times New Roman"/>
                      <w:color w:val="000000"/>
                      <w:spacing w:val="11"/>
                      <w:sz w:val="21"/>
                      <w:szCs w:val="21"/>
                      <w:lang w:val="en-US" w:eastAsia="zh-CN"/>
                    </w:rPr>
                    <w:t>，不涉及开采地下水。</w:t>
                  </w:r>
                </w:p>
              </w:tc>
              <w:tc>
                <w:tcPr>
                  <w:tcW w:w="328" w:type="pct"/>
                  <w:tcBorders>
                    <w:tl2br w:val="nil"/>
                    <w:tr2bl w:val="nil"/>
                  </w:tcBorders>
                  <w:noWrap w:val="0"/>
                  <w:vAlign w:val="center"/>
                </w:tcPr>
                <w:p w14:paraId="1E20E330">
                  <w:pPr>
                    <w:keepNext w:val="0"/>
                    <w:keepLines w:val="0"/>
                    <w:pageBreakBefore w:val="0"/>
                    <w:widowControl w:val="0"/>
                    <w:kinsoku/>
                    <w:overflowPunct/>
                    <w:topLinePunct w:val="0"/>
                    <w:autoSpaceDE/>
                    <w:autoSpaceDN/>
                    <w:bidi w:val="0"/>
                    <w:adjustRightInd/>
                    <w:snapToGrid/>
                    <w:spacing w:before="192" w:line="240" w:lineRule="auto"/>
                    <w:ind w:firstLine="0"/>
                    <w:jc w:val="center"/>
                    <w:textAlignment w:val="auto"/>
                    <w:rPr>
                      <w:rFonts w:hint="default" w:ascii="Times New Roman" w:hAnsi="Times New Roman" w:eastAsia="宋体" w:cs="Times New Roman"/>
                      <w:color w:val="000000"/>
                      <w:spacing w:val="8"/>
                      <w:sz w:val="21"/>
                      <w:szCs w:val="21"/>
                    </w:rPr>
                  </w:pPr>
                  <w:r>
                    <w:rPr>
                      <w:rFonts w:hint="default" w:ascii="Times New Roman" w:hAnsi="Times New Roman" w:eastAsia="宋体" w:cs="Times New Roman"/>
                      <w:color w:val="000000"/>
                      <w:spacing w:val="8"/>
                      <w:sz w:val="21"/>
                      <w:szCs w:val="21"/>
                    </w:rPr>
                    <w:t>符合</w:t>
                  </w:r>
                </w:p>
              </w:tc>
            </w:tr>
            <w:tr w14:paraId="198B4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 w:type="pct"/>
                  <w:vMerge w:val="continue"/>
                  <w:tcBorders>
                    <w:tl2br w:val="nil"/>
                    <w:tr2bl w:val="nil"/>
                  </w:tcBorders>
                  <w:noWrap w:val="0"/>
                  <w:vAlign w:val="top"/>
                </w:tcPr>
                <w:p w14:paraId="1325BCD6">
                  <w:pPr>
                    <w:pStyle w:val="48"/>
                    <w:keepNext w:val="0"/>
                    <w:keepLines w:val="0"/>
                    <w:pageBreakBefore w:val="0"/>
                    <w:widowControl w:val="0"/>
                    <w:kinsoku/>
                    <w:overflowPunct/>
                    <w:topLinePunct w:val="0"/>
                    <w:autoSpaceDE/>
                    <w:autoSpaceDN/>
                    <w:bidi w:val="0"/>
                    <w:adjustRightInd/>
                    <w:snapToGrid/>
                    <w:spacing w:before="37" w:line="240" w:lineRule="auto"/>
                    <w:ind w:left="31" w:leftChars="0" w:right="23" w:rightChars="0" w:firstLine="0" w:firstLineChars="0"/>
                    <w:jc w:val="both"/>
                    <w:textAlignment w:val="auto"/>
                    <w:rPr>
                      <w:rFonts w:hint="default" w:ascii="Times New Roman" w:hAnsi="Times New Roman" w:eastAsia="宋体" w:cs="Times New Roman"/>
                      <w:color w:val="000000"/>
                      <w:spacing w:val="11"/>
                      <w:sz w:val="21"/>
                      <w:szCs w:val="21"/>
                      <w:lang w:eastAsia="zh-CN"/>
                    </w:rPr>
                  </w:pPr>
                </w:p>
              </w:tc>
              <w:tc>
                <w:tcPr>
                  <w:tcW w:w="255" w:type="pct"/>
                  <w:vMerge w:val="restart"/>
                  <w:tcBorders>
                    <w:tl2br w:val="nil"/>
                    <w:tr2bl w:val="nil"/>
                  </w:tcBorders>
                  <w:noWrap w:val="0"/>
                  <w:vAlign w:val="top"/>
                </w:tcPr>
                <w:p w14:paraId="1D439233">
                  <w:pPr>
                    <w:pStyle w:val="48"/>
                    <w:keepNext w:val="0"/>
                    <w:keepLines w:val="0"/>
                    <w:pageBreakBefore w:val="0"/>
                    <w:widowControl w:val="0"/>
                    <w:kinsoku/>
                    <w:overflowPunct/>
                    <w:topLinePunct w:val="0"/>
                    <w:autoSpaceDE/>
                    <w:autoSpaceDN/>
                    <w:bidi w:val="0"/>
                    <w:adjustRightInd/>
                    <w:snapToGrid/>
                    <w:spacing w:before="37" w:line="240" w:lineRule="auto"/>
                    <w:ind w:left="31" w:leftChars="0" w:right="23" w:rightChars="0" w:firstLine="0" w:firstLineChars="0"/>
                    <w:jc w:val="center"/>
                    <w:textAlignment w:val="auto"/>
                    <w:rPr>
                      <w:rFonts w:hint="default" w:ascii="Times New Roman" w:hAnsi="Times New Roman" w:eastAsia="宋体" w:cs="Times New Roman"/>
                      <w:color w:val="000000"/>
                      <w:spacing w:val="11"/>
                      <w:sz w:val="21"/>
                      <w:szCs w:val="21"/>
                    </w:rPr>
                  </w:pPr>
                </w:p>
                <w:p w14:paraId="2AF7F8BF">
                  <w:pPr>
                    <w:pStyle w:val="48"/>
                    <w:keepNext w:val="0"/>
                    <w:keepLines w:val="0"/>
                    <w:pageBreakBefore w:val="0"/>
                    <w:widowControl w:val="0"/>
                    <w:kinsoku/>
                    <w:overflowPunct/>
                    <w:topLinePunct w:val="0"/>
                    <w:autoSpaceDE/>
                    <w:autoSpaceDN/>
                    <w:bidi w:val="0"/>
                    <w:adjustRightInd/>
                    <w:snapToGrid/>
                    <w:spacing w:before="37" w:line="240" w:lineRule="auto"/>
                    <w:ind w:left="31" w:leftChars="0" w:right="23" w:rightChars="0" w:firstLine="0" w:firstLineChars="0"/>
                    <w:jc w:val="center"/>
                    <w:textAlignment w:val="auto"/>
                    <w:rPr>
                      <w:rFonts w:hint="default" w:ascii="Times New Roman" w:hAnsi="Times New Roman" w:eastAsia="宋体" w:cs="Times New Roman"/>
                      <w:color w:val="000000"/>
                      <w:spacing w:val="11"/>
                      <w:sz w:val="21"/>
                      <w:szCs w:val="21"/>
                    </w:rPr>
                  </w:pPr>
                </w:p>
                <w:p w14:paraId="61F6B719">
                  <w:pPr>
                    <w:pStyle w:val="48"/>
                    <w:keepNext w:val="0"/>
                    <w:keepLines w:val="0"/>
                    <w:pageBreakBefore w:val="0"/>
                    <w:widowControl w:val="0"/>
                    <w:kinsoku/>
                    <w:overflowPunct/>
                    <w:topLinePunct w:val="0"/>
                    <w:autoSpaceDE/>
                    <w:autoSpaceDN/>
                    <w:bidi w:val="0"/>
                    <w:adjustRightInd/>
                    <w:snapToGrid/>
                    <w:spacing w:before="37" w:line="240" w:lineRule="auto"/>
                    <w:ind w:left="31" w:leftChars="0" w:right="23" w:rightChars="0" w:firstLine="0" w:firstLineChars="0"/>
                    <w:jc w:val="center"/>
                    <w:textAlignment w:val="auto"/>
                    <w:rPr>
                      <w:rFonts w:hint="default" w:ascii="Times New Roman" w:hAnsi="Times New Roman" w:eastAsia="宋体" w:cs="Times New Roman"/>
                      <w:color w:val="000000"/>
                      <w:spacing w:val="11"/>
                      <w:sz w:val="21"/>
                      <w:szCs w:val="21"/>
                    </w:rPr>
                  </w:pPr>
                </w:p>
                <w:p w14:paraId="14AF3E37">
                  <w:pPr>
                    <w:pStyle w:val="48"/>
                    <w:keepNext w:val="0"/>
                    <w:keepLines w:val="0"/>
                    <w:pageBreakBefore w:val="0"/>
                    <w:widowControl w:val="0"/>
                    <w:kinsoku/>
                    <w:overflowPunct/>
                    <w:topLinePunct w:val="0"/>
                    <w:autoSpaceDE/>
                    <w:autoSpaceDN/>
                    <w:bidi w:val="0"/>
                    <w:adjustRightInd/>
                    <w:snapToGrid/>
                    <w:spacing w:before="37" w:line="240" w:lineRule="auto"/>
                    <w:ind w:left="31" w:leftChars="0" w:right="23" w:rightChars="0" w:firstLine="0" w:firstLineChars="0"/>
                    <w:jc w:val="center"/>
                    <w:textAlignment w:val="auto"/>
                    <w:rPr>
                      <w:rFonts w:hint="default" w:ascii="Times New Roman" w:hAnsi="Times New Roman" w:eastAsia="宋体" w:cs="Times New Roman"/>
                      <w:color w:val="000000"/>
                      <w:spacing w:val="11"/>
                      <w:sz w:val="21"/>
                      <w:szCs w:val="21"/>
                    </w:rPr>
                  </w:pPr>
                </w:p>
                <w:p w14:paraId="3E50B78A">
                  <w:pPr>
                    <w:pStyle w:val="48"/>
                    <w:keepNext w:val="0"/>
                    <w:keepLines w:val="0"/>
                    <w:pageBreakBefore w:val="0"/>
                    <w:widowControl w:val="0"/>
                    <w:kinsoku/>
                    <w:overflowPunct/>
                    <w:topLinePunct w:val="0"/>
                    <w:autoSpaceDE/>
                    <w:autoSpaceDN/>
                    <w:bidi w:val="0"/>
                    <w:adjustRightInd/>
                    <w:snapToGrid/>
                    <w:spacing w:before="37" w:line="240" w:lineRule="auto"/>
                    <w:ind w:left="31" w:leftChars="0" w:right="23" w:rightChars="0" w:firstLine="0" w:firstLineChars="0"/>
                    <w:jc w:val="center"/>
                    <w:textAlignment w:val="auto"/>
                    <w:rPr>
                      <w:rFonts w:hint="default" w:ascii="Times New Roman" w:hAnsi="Times New Roman" w:eastAsia="宋体" w:cs="Times New Roman"/>
                      <w:color w:val="000000"/>
                      <w:spacing w:val="11"/>
                      <w:sz w:val="21"/>
                      <w:szCs w:val="21"/>
                    </w:rPr>
                  </w:pPr>
                </w:p>
                <w:p w14:paraId="2BD87FA9">
                  <w:pPr>
                    <w:pStyle w:val="48"/>
                    <w:keepNext w:val="0"/>
                    <w:keepLines w:val="0"/>
                    <w:pageBreakBefore w:val="0"/>
                    <w:widowControl w:val="0"/>
                    <w:kinsoku/>
                    <w:overflowPunct/>
                    <w:topLinePunct w:val="0"/>
                    <w:autoSpaceDE/>
                    <w:autoSpaceDN/>
                    <w:bidi w:val="0"/>
                    <w:adjustRightInd/>
                    <w:snapToGrid/>
                    <w:spacing w:before="37" w:line="240" w:lineRule="auto"/>
                    <w:ind w:left="31" w:leftChars="0" w:right="23" w:rightChars="0" w:firstLine="0" w:firstLineChars="0"/>
                    <w:jc w:val="center"/>
                    <w:textAlignment w:val="auto"/>
                    <w:rPr>
                      <w:rFonts w:hint="default" w:ascii="Times New Roman" w:hAnsi="Times New Roman" w:eastAsia="宋体" w:cs="Times New Roman"/>
                      <w:color w:val="000000"/>
                      <w:spacing w:val="11"/>
                      <w:sz w:val="21"/>
                      <w:szCs w:val="21"/>
                    </w:rPr>
                  </w:pPr>
                </w:p>
                <w:p w14:paraId="14107A63">
                  <w:pPr>
                    <w:pStyle w:val="48"/>
                    <w:keepNext w:val="0"/>
                    <w:keepLines w:val="0"/>
                    <w:pageBreakBefore w:val="0"/>
                    <w:widowControl w:val="0"/>
                    <w:kinsoku/>
                    <w:overflowPunct/>
                    <w:topLinePunct w:val="0"/>
                    <w:autoSpaceDE/>
                    <w:autoSpaceDN/>
                    <w:bidi w:val="0"/>
                    <w:adjustRightInd/>
                    <w:snapToGrid/>
                    <w:spacing w:before="37" w:line="240" w:lineRule="auto"/>
                    <w:ind w:left="31" w:leftChars="0" w:right="23" w:rightChars="0" w:firstLine="0" w:firstLineChars="0"/>
                    <w:jc w:val="center"/>
                    <w:textAlignment w:val="auto"/>
                    <w:rPr>
                      <w:rFonts w:hint="default" w:ascii="Times New Roman" w:hAnsi="Times New Roman" w:eastAsia="宋体" w:cs="Times New Roman"/>
                      <w:color w:val="000000"/>
                      <w:spacing w:val="11"/>
                      <w:sz w:val="21"/>
                      <w:szCs w:val="21"/>
                    </w:rPr>
                  </w:pPr>
                </w:p>
                <w:p w14:paraId="5C0B167C">
                  <w:pPr>
                    <w:pStyle w:val="48"/>
                    <w:keepNext w:val="0"/>
                    <w:keepLines w:val="0"/>
                    <w:pageBreakBefore w:val="0"/>
                    <w:widowControl w:val="0"/>
                    <w:kinsoku/>
                    <w:overflowPunct/>
                    <w:topLinePunct w:val="0"/>
                    <w:autoSpaceDE/>
                    <w:autoSpaceDN/>
                    <w:bidi w:val="0"/>
                    <w:adjustRightInd/>
                    <w:snapToGrid/>
                    <w:spacing w:before="37" w:line="240" w:lineRule="auto"/>
                    <w:ind w:left="31" w:leftChars="0" w:right="23" w:rightChars="0" w:firstLine="0" w:firstLineChars="0"/>
                    <w:jc w:val="center"/>
                    <w:textAlignment w:val="auto"/>
                    <w:rPr>
                      <w:rFonts w:hint="default" w:ascii="Times New Roman" w:hAnsi="Times New Roman" w:eastAsia="宋体" w:cs="Times New Roman"/>
                      <w:color w:val="000000"/>
                      <w:spacing w:val="11"/>
                      <w:sz w:val="21"/>
                      <w:szCs w:val="21"/>
                    </w:rPr>
                  </w:pPr>
                </w:p>
                <w:p w14:paraId="52D4676D">
                  <w:pPr>
                    <w:pStyle w:val="48"/>
                    <w:keepNext w:val="0"/>
                    <w:keepLines w:val="0"/>
                    <w:pageBreakBefore w:val="0"/>
                    <w:widowControl w:val="0"/>
                    <w:kinsoku/>
                    <w:overflowPunct/>
                    <w:topLinePunct w:val="0"/>
                    <w:autoSpaceDE/>
                    <w:autoSpaceDN/>
                    <w:bidi w:val="0"/>
                    <w:adjustRightInd/>
                    <w:snapToGrid/>
                    <w:spacing w:before="37" w:line="240" w:lineRule="auto"/>
                    <w:ind w:left="31" w:leftChars="0" w:right="23" w:rightChars="0" w:firstLine="0" w:firstLineChars="0"/>
                    <w:jc w:val="center"/>
                    <w:textAlignment w:val="auto"/>
                    <w:rPr>
                      <w:rFonts w:hint="default" w:ascii="Times New Roman" w:hAnsi="Times New Roman" w:eastAsia="宋体" w:cs="Times New Roman"/>
                      <w:color w:val="000000"/>
                      <w:spacing w:val="11"/>
                      <w:sz w:val="21"/>
                      <w:szCs w:val="21"/>
                    </w:rPr>
                  </w:pPr>
                </w:p>
                <w:p w14:paraId="6A8178DC">
                  <w:pPr>
                    <w:pStyle w:val="48"/>
                    <w:keepNext w:val="0"/>
                    <w:keepLines w:val="0"/>
                    <w:pageBreakBefore w:val="0"/>
                    <w:widowControl w:val="0"/>
                    <w:kinsoku/>
                    <w:overflowPunct/>
                    <w:topLinePunct w:val="0"/>
                    <w:autoSpaceDE/>
                    <w:autoSpaceDN/>
                    <w:bidi w:val="0"/>
                    <w:adjustRightInd/>
                    <w:snapToGrid/>
                    <w:spacing w:before="37" w:line="240" w:lineRule="auto"/>
                    <w:ind w:left="31" w:leftChars="0" w:right="23" w:rightChars="0" w:firstLine="0" w:firstLineChars="0"/>
                    <w:jc w:val="center"/>
                    <w:textAlignment w:val="auto"/>
                    <w:rPr>
                      <w:rFonts w:hint="default" w:ascii="Times New Roman" w:hAnsi="Times New Roman" w:eastAsia="宋体" w:cs="Times New Roman"/>
                      <w:color w:val="000000"/>
                      <w:spacing w:val="11"/>
                      <w:sz w:val="21"/>
                      <w:szCs w:val="21"/>
                    </w:rPr>
                  </w:pPr>
                </w:p>
                <w:p w14:paraId="554DDBD5">
                  <w:pPr>
                    <w:pStyle w:val="48"/>
                    <w:keepNext w:val="0"/>
                    <w:keepLines w:val="0"/>
                    <w:pageBreakBefore w:val="0"/>
                    <w:widowControl w:val="0"/>
                    <w:kinsoku/>
                    <w:overflowPunct/>
                    <w:topLinePunct w:val="0"/>
                    <w:autoSpaceDE/>
                    <w:autoSpaceDN/>
                    <w:bidi w:val="0"/>
                    <w:adjustRightInd/>
                    <w:snapToGrid/>
                    <w:spacing w:before="37" w:line="240" w:lineRule="auto"/>
                    <w:ind w:left="31" w:leftChars="0" w:right="23" w:rightChars="0" w:firstLine="0" w:firstLineChars="0"/>
                    <w:jc w:val="center"/>
                    <w:textAlignment w:val="auto"/>
                    <w:rPr>
                      <w:rFonts w:hint="default" w:ascii="Times New Roman" w:hAnsi="Times New Roman" w:eastAsia="宋体" w:cs="Times New Roman"/>
                      <w:color w:val="000000"/>
                      <w:spacing w:val="11"/>
                      <w:sz w:val="21"/>
                      <w:szCs w:val="21"/>
                    </w:rPr>
                  </w:pPr>
                </w:p>
                <w:p w14:paraId="50846A8D">
                  <w:pPr>
                    <w:pStyle w:val="48"/>
                    <w:keepNext w:val="0"/>
                    <w:keepLines w:val="0"/>
                    <w:pageBreakBefore w:val="0"/>
                    <w:widowControl w:val="0"/>
                    <w:kinsoku/>
                    <w:overflowPunct/>
                    <w:topLinePunct w:val="0"/>
                    <w:autoSpaceDE/>
                    <w:autoSpaceDN/>
                    <w:bidi w:val="0"/>
                    <w:adjustRightInd/>
                    <w:snapToGrid/>
                    <w:spacing w:before="37" w:line="240" w:lineRule="auto"/>
                    <w:ind w:left="31" w:leftChars="0" w:right="23" w:rightChars="0" w:firstLine="0" w:firstLineChars="0"/>
                    <w:jc w:val="center"/>
                    <w:textAlignment w:val="auto"/>
                    <w:rPr>
                      <w:rFonts w:hint="eastAsia" w:ascii="Times New Roman" w:hAnsi="Times New Roman" w:eastAsia="宋体" w:cs="Times New Roman"/>
                      <w:color w:val="000000"/>
                      <w:spacing w:val="11"/>
                      <w:sz w:val="21"/>
                      <w:szCs w:val="21"/>
                      <w:lang w:eastAsia="zh-CN"/>
                    </w:rPr>
                  </w:pPr>
                  <w:r>
                    <w:rPr>
                      <w:rFonts w:hint="default" w:ascii="Times New Roman" w:hAnsi="Times New Roman" w:eastAsia="宋体" w:cs="Times New Roman"/>
                      <w:color w:val="000000"/>
                      <w:spacing w:val="11"/>
                      <w:sz w:val="21"/>
                      <w:szCs w:val="21"/>
                    </w:rPr>
                    <w:t>A</w:t>
                  </w:r>
                  <w:r>
                    <w:rPr>
                      <w:rFonts w:hint="eastAsia" w:ascii="Times New Roman" w:hAnsi="Times New Roman" w:eastAsia="宋体" w:cs="Times New Roman"/>
                      <w:color w:val="000000"/>
                      <w:spacing w:val="11"/>
                      <w:sz w:val="21"/>
                      <w:szCs w:val="21"/>
                      <w:lang w:val="en-US" w:eastAsia="zh-CN"/>
                    </w:rPr>
                    <w:t>4资源利用要求</w:t>
                  </w:r>
                </w:p>
              </w:tc>
              <w:tc>
                <w:tcPr>
                  <w:tcW w:w="523" w:type="pct"/>
                  <w:tcBorders>
                    <w:tl2br w:val="nil"/>
                    <w:tr2bl w:val="nil"/>
                  </w:tcBorders>
                  <w:noWrap w:val="0"/>
                  <w:vAlign w:val="center"/>
                </w:tcPr>
                <w:p w14:paraId="3C8BB5E0">
                  <w:pPr>
                    <w:pStyle w:val="48"/>
                    <w:keepNext w:val="0"/>
                    <w:keepLines w:val="0"/>
                    <w:pageBreakBefore w:val="0"/>
                    <w:widowControl w:val="0"/>
                    <w:kinsoku/>
                    <w:overflowPunct/>
                    <w:topLinePunct w:val="0"/>
                    <w:autoSpaceDE/>
                    <w:autoSpaceDN/>
                    <w:bidi w:val="0"/>
                    <w:adjustRightInd/>
                    <w:snapToGrid/>
                    <w:spacing w:before="37" w:line="240" w:lineRule="auto"/>
                    <w:ind w:left="31" w:leftChars="0" w:right="23" w:rightChars="0" w:firstLine="0" w:firstLineChars="0"/>
                    <w:jc w:val="center"/>
                    <w:textAlignment w:val="auto"/>
                    <w:rPr>
                      <w:rFonts w:hint="default" w:ascii="Times New Roman" w:hAnsi="Times New Roman" w:eastAsia="宋体" w:cs="Times New Roman"/>
                      <w:color w:val="000000"/>
                      <w:spacing w:val="11"/>
                      <w:sz w:val="21"/>
                      <w:szCs w:val="21"/>
                    </w:rPr>
                  </w:pPr>
                  <w:r>
                    <w:rPr>
                      <w:rFonts w:hint="default" w:ascii="Times New Roman" w:hAnsi="Times New Roman" w:eastAsia="宋体" w:cs="Times New Roman"/>
                      <w:color w:val="000000"/>
                      <w:spacing w:val="11"/>
                      <w:sz w:val="21"/>
                      <w:szCs w:val="21"/>
                    </w:rPr>
                    <w:t>A4.2土地资源</w:t>
                  </w:r>
                </w:p>
              </w:tc>
              <w:tc>
                <w:tcPr>
                  <w:tcW w:w="1999" w:type="pct"/>
                  <w:tcBorders>
                    <w:tl2br w:val="nil"/>
                    <w:tr2bl w:val="nil"/>
                  </w:tcBorders>
                  <w:noWrap w:val="0"/>
                  <w:vAlign w:val="top"/>
                </w:tcPr>
                <w:p w14:paraId="265C8B75">
                  <w:pPr>
                    <w:pStyle w:val="48"/>
                    <w:keepNext w:val="0"/>
                    <w:keepLines w:val="0"/>
                    <w:pageBreakBefore w:val="0"/>
                    <w:widowControl w:val="0"/>
                    <w:kinsoku/>
                    <w:overflowPunct/>
                    <w:topLinePunct w:val="0"/>
                    <w:autoSpaceDE/>
                    <w:autoSpaceDN/>
                    <w:bidi w:val="0"/>
                    <w:adjustRightInd/>
                    <w:snapToGrid/>
                    <w:spacing w:before="37" w:line="240" w:lineRule="auto"/>
                    <w:ind w:left="31" w:leftChars="0" w:right="23" w:rightChars="0" w:firstLine="0" w:firstLineChars="0"/>
                    <w:jc w:val="both"/>
                    <w:textAlignment w:val="auto"/>
                    <w:rPr>
                      <w:rFonts w:hint="default" w:ascii="Times New Roman" w:hAnsi="Times New Roman" w:eastAsia="宋体" w:cs="Times New Roman"/>
                      <w:color w:val="000000"/>
                      <w:spacing w:val="11"/>
                      <w:sz w:val="21"/>
                      <w:szCs w:val="21"/>
                      <w:lang w:val="en-US" w:eastAsia="en-US"/>
                    </w:rPr>
                  </w:pPr>
                  <w:r>
                    <w:rPr>
                      <w:rFonts w:hint="default" w:ascii="Times New Roman" w:hAnsi="Times New Roman" w:eastAsia="宋体" w:cs="Times New Roman"/>
                      <w:color w:val="000000"/>
                      <w:spacing w:val="11"/>
                      <w:sz w:val="21"/>
                      <w:szCs w:val="21"/>
                    </w:rPr>
                    <w:t>【A4.2-1】土地资源</w:t>
                  </w:r>
                  <w:r>
                    <w:rPr>
                      <w:rFonts w:hint="default" w:ascii="Times New Roman" w:hAnsi="Times New Roman" w:eastAsia="宋体" w:cs="Times New Roman"/>
                      <w:color w:val="000000"/>
                      <w:spacing w:val="11"/>
                      <w:sz w:val="21"/>
                      <w:szCs w:val="21"/>
                      <w:lang w:eastAsia="zh-CN"/>
                    </w:rPr>
                    <w:t>上限</w:t>
                  </w:r>
                  <w:r>
                    <w:rPr>
                      <w:rFonts w:hint="default" w:ascii="Times New Roman" w:hAnsi="Times New Roman" w:eastAsia="宋体" w:cs="Times New Roman"/>
                      <w:color w:val="000000"/>
                      <w:spacing w:val="11"/>
                      <w:sz w:val="21"/>
                      <w:szCs w:val="21"/>
                    </w:rPr>
                    <w:t>指标控制在最终批复的国土空间规划控制指标内。</w:t>
                  </w:r>
                </w:p>
              </w:tc>
              <w:tc>
                <w:tcPr>
                  <w:tcW w:w="1621" w:type="pct"/>
                  <w:tcBorders>
                    <w:tl2br w:val="nil"/>
                    <w:tr2bl w:val="nil"/>
                  </w:tcBorders>
                  <w:noWrap w:val="0"/>
                  <w:vAlign w:val="center"/>
                </w:tcPr>
                <w:p w14:paraId="422D3B18">
                  <w:pPr>
                    <w:pStyle w:val="48"/>
                    <w:keepNext w:val="0"/>
                    <w:keepLines w:val="0"/>
                    <w:pageBreakBefore w:val="0"/>
                    <w:widowControl w:val="0"/>
                    <w:kinsoku/>
                    <w:overflowPunct/>
                    <w:topLinePunct w:val="0"/>
                    <w:autoSpaceDE/>
                    <w:autoSpaceDN/>
                    <w:bidi w:val="0"/>
                    <w:adjustRightInd/>
                    <w:snapToGrid/>
                    <w:spacing w:before="37" w:line="240" w:lineRule="auto"/>
                    <w:ind w:left="31" w:leftChars="0" w:right="23" w:rightChars="0" w:firstLine="0" w:firstLineChars="0"/>
                    <w:jc w:val="both"/>
                    <w:textAlignment w:val="auto"/>
                    <w:rPr>
                      <w:rFonts w:hint="default" w:ascii="Times New Roman" w:hAnsi="Times New Roman" w:eastAsia="宋体" w:cs="Times New Roman"/>
                      <w:color w:val="000000"/>
                      <w:spacing w:val="11"/>
                      <w:sz w:val="21"/>
                      <w:szCs w:val="21"/>
                      <w:lang w:val="en-US" w:eastAsia="en-US"/>
                    </w:rPr>
                  </w:pPr>
                  <w:r>
                    <w:rPr>
                      <w:rFonts w:hint="default" w:ascii="Times New Roman" w:hAnsi="Times New Roman" w:eastAsia="宋体" w:cs="Times New Roman"/>
                      <w:color w:val="000000"/>
                      <w:spacing w:val="11"/>
                      <w:sz w:val="21"/>
                      <w:szCs w:val="21"/>
                      <w:lang w:val="en-US" w:eastAsia="zh-CN"/>
                    </w:rPr>
                    <w:t>本项目位于库尔勒塔什店镇，符合国土空间规划要求。</w:t>
                  </w:r>
                </w:p>
              </w:tc>
              <w:tc>
                <w:tcPr>
                  <w:tcW w:w="328" w:type="pct"/>
                  <w:tcBorders>
                    <w:tl2br w:val="nil"/>
                    <w:tr2bl w:val="nil"/>
                  </w:tcBorders>
                  <w:noWrap w:val="0"/>
                  <w:vAlign w:val="center"/>
                </w:tcPr>
                <w:p w14:paraId="514BAA0C">
                  <w:pPr>
                    <w:keepNext w:val="0"/>
                    <w:keepLines w:val="0"/>
                    <w:pageBreakBefore w:val="0"/>
                    <w:widowControl w:val="0"/>
                    <w:kinsoku/>
                    <w:overflowPunct/>
                    <w:topLinePunct w:val="0"/>
                    <w:autoSpaceDE/>
                    <w:autoSpaceDN/>
                    <w:bidi w:val="0"/>
                    <w:adjustRightInd/>
                    <w:snapToGrid/>
                    <w:spacing w:before="192" w:line="240" w:lineRule="auto"/>
                    <w:ind w:firstLine="0"/>
                    <w:jc w:val="center"/>
                    <w:textAlignment w:val="auto"/>
                    <w:rPr>
                      <w:rFonts w:hint="default" w:ascii="Times New Roman" w:hAnsi="Times New Roman" w:eastAsia="宋体" w:cs="Times New Roman"/>
                      <w:color w:val="000000"/>
                      <w:spacing w:val="8"/>
                      <w:sz w:val="21"/>
                      <w:szCs w:val="21"/>
                    </w:rPr>
                  </w:pPr>
                  <w:r>
                    <w:rPr>
                      <w:rFonts w:hint="default" w:ascii="Times New Roman" w:hAnsi="Times New Roman" w:eastAsia="宋体" w:cs="Times New Roman"/>
                      <w:color w:val="000000"/>
                      <w:spacing w:val="8"/>
                      <w:sz w:val="21"/>
                      <w:szCs w:val="21"/>
                    </w:rPr>
                    <w:t>符合</w:t>
                  </w:r>
                </w:p>
              </w:tc>
            </w:tr>
            <w:tr w14:paraId="78A63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3" w:type="pct"/>
                  <w:vMerge w:val="continue"/>
                  <w:tcBorders>
                    <w:tl2br w:val="nil"/>
                    <w:tr2bl w:val="nil"/>
                  </w:tcBorders>
                  <w:noWrap w:val="0"/>
                  <w:vAlign w:val="top"/>
                </w:tcPr>
                <w:p w14:paraId="73F5AD30">
                  <w:pPr>
                    <w:pStyle w:val="48"/>
                    <w:keepNext w:val="0"/>
                    <w:keepLines w:val="0"/>
                    <w:pageBreakBefore w:val="0"/>
                    <w:widowControl w:val="0"/>
                    <w:kinsoku/>
                    <w:overflowPunct/>
                    <w:topLinePunct w:val="0"/>
                    <w:autoSpaceDE/>
                    <w:autoSpaceDN/>
                    <w:bidi w:val="0"/>
                    <w:adjustRightInd/>
                    <w:snapToGrid/>
                    <w:spacing w:before="37" w:line="240" w:lineRule="auto"/>
                    <w:ind w:left="31" w:leftChars="0" w:right="23" w:rightChars="0" w:firstLine="0" w:firstLineChars="0"/>
                    <w:jc w:val="both"/>
                    <w:textAlignment w:val="auto"/>
                    <w:rPr>
                      <w:rFonts w:hint="default" w:ascii="Times New Roman" w:hAnsi="Times New Roman" w:eastAsia="宋体" w:cs="Times New Roman"/>
                      <w:color w:val="000000"/>
                      <w:spacing w:val="11"/>
                      <w:sz w:val="21"/>
                      <w:szCs w:val="21"/>
                      <w:lang w:eastAsia="zh-CN"/>
                    </w:rPr>
                  </w:pPr>
                </w:p>
              </w:tc>
              <w:tc>
                <w:tcPr>
                  <w:tcW w:w="255" w:type="pct"/>
                  <w:vMerge w:val="continue"/>
                  <w:tcBorders>
                    <w:tl2br w:val="nil"/>
                    <w:tr2bl w:val="nil"/>
                  </w:tcBorders>
                  <w:noWrap w:val="0"/>
                  <w:vAlign w:val="top"/>
                </w:tcPr>
                <w:p w14:paraId="62389A8C">
                  <w:pPr>
                    <w:pStyle w:val="48"/>
                    <w:keepNext w:val="0"/>
                    <w:keepLines w:val="0"/>
                    <w:pageBreakBefore w:val="0"/>
                    <w:widowControl w:val="0"/>
                    <w:kinsoku/>
                    <w:overflowPunct/>
                    <w:topLinePunct w:val="0"/>
                    <w:autoSpaceDE/>
                    <w:autoSpaceDN/>
                    <w:bidi w:val="0"/>
                    <w:adjustRightInd/>
                    <w:snapToGrid/>
                    <w:spacing w:before="37" w:line="240" w:lineRule="auto"/>
                    <w:ind w:left="31" w:leftChars="0" w:right="23" w:rightChars="0" w:firstLine="0" w:firstLineChars="0"/>
                    <w:jc w:val="both"/>
                    <w:textAlignment w:val="auto"/>
                    <w:rPr>
                      <w:rFonts w:hint="default" w:ascii="Times New Roman" w:hAnsi="Times New Roman" w:eastAsia="宋体" w:cs="Times New Roman"/>
                      <w:color w:val="000000"/>
                      <w:spacing w:val="11"/>
                      <w:sz w:val="21"/>
                      <w:szCs w:val="21"/>
                      <w:lang w:eastAsia="zh-CN"/>
                    </w:rPr>
                  </w:pPr>
                </w:p>
              </w:tc>
              <w:tc>
                <w:tcPr>
                  <w:tcW w:w="523" w:type="pct"/>
                  <w:tcBorders>
                    <w:tl2br w:val="nil"/>
                    <w:tr2bl w:val="nil"/>
                  </w:tcBorders>
                  <w:noWrap w:val="0"/>
                  <w:vAlign w:val="center"/>
                </w:tcPr>
                <w:p w14:paraId="28F3D01F">
                  <w:pPr>
                    <w:pStyle w:val="48"/>
                    <w:keepNext w:val="0"/>
                    <w:keepLines w:val="0"/>
                    <w:pageBreakBefore w:val="0"/>
                    <w:widowControl w:val="0"/>
                    <w:kinsoku/>
                    <w:overflowPunct/>
                    <w:topLinePunct w:val="0"/>
                    <w:autoSpaceDE/>
                    <w:autoSpaceDN/>
                    <w:bidi w:val="0"/>
                    <w:adjustRightInd/>
                    <w:snapToGrid/>
                    <w:spacing w:before="37" w:line="240" w:lineRule="auto"/>
                    <w:ind w:left="31" w:leftChars="0" w:right="23" w:rightChars="0" w:firstLine="0" w:firstLineChars="0"/>
                    <w:jc w:val="center"/>
                    <w:textAlignment w:val="auto"/>
                    <w:rPr>
                      <w:rFonts w:hint="default" w:ascii="Times New Roman" w:hAnsi="Times New Roman" w:eastAsia="宋体" w:cs="Times New Roman"/>
                      <w:color w:val="000000"/>
                      <w:spacing w:val="11"/>
                      <w:sz w:val="21"/>
                      <w:szCs w:val="21"/>
                    </w:rPr>
                  </w:pPr>
                  <w:r>
                    <w:rPr>
                      <w:rFonts w:hint="default" w:ascii="Times New Roman" w:hAnsi="Times New Roman" w:eastAsia="宋体" w:cs="Times New Roman"/>
                      <w:color w:val="000000"/>
                      <w:spacing w:val="11"/>
                      <w:sz w:val="21"/>
                      <w:szCs w:val="21"/>
                    </w:rPr>
                    <w:t>A4.3能源利用</w:t>
                  </w:r>
                </w:p>
              </w:tc>
              <w:tc>
                <w:tcPr>
                  <w:tcW w:w="1999" w:type="pct"/>
                  <w:tcBorders>
                    <w:tl2br w:val="nil"/>
                    <w:tr2bl w:val="nil"/>
                  </w:tcBorders>
                  <w:noWrap w:val="0"/>
                  <w:vAlign w:val="top"/>
                </w:tcPr>
                <w:p w14:paraId="35E39492">
                  <w:pPr>
                    <w:pStyle w:val="48"/>
                    <w:keepNext w:val="0"/>
                    <w:keepLines w:val="0"/>
                    <w:pageBreakBefore w:val="0"/>
                    <w:widowControl w:val="0"/>
                    <w:kinsoku/>
                    <w:overflowPunct/>
                    <w:topLinePunct w:val="0"/>
                    <w:autoSpaceDE/>
                    <w:autoSpaceDN/>
                    <w:bidi w:val="0"/>
                    <w:adjustRightInd/>
                    <w:snapToGrid/>
                    <w:spacing w:before="37" w:line="240" w:lineRule="auto"/>
                    <w:ind w:left="31" w:leftChars="0" w:right="23" w:rightChars="0" w:firstLine="0" w:firstLineChars="0"/>
                    <w:jc w:val="both"/>
                    <w:textAlignment w:val="auto"/>
                    <w:rPr>
                      <w:rFonts w:hint="default" w:ascii="Times New Roman" w:hAnsi="Times New Roman" w:eastAsia="宋体" w:cs="Times New Roman"/>
                      <w:color w:val="000000"/>
                      <w:spacing w:val="11"/>
                      <w:sz w:val="21"/>
                      <w:szCs w:val="21"/>
                      <w:lang w:val="en-US" w:eastAsia="en-US"/>
                    </w:rPr>
                  </w:pPr>
                  <w:r>
                    <w:rPr>
                      <w:rFonts w:hint="default" w:ascii="Times New Roman" w:hAnsi="Times New Roman" w:eastAsia="宋体" w:cs="Times New Roman"/>
                      <w:color w:val="000000"/>
                      <w:spacing w:val="11"/>
                      <w:sz w:val="21"/>
                      <w:szCs w:val="21"/>
                    </w:rPr>
                    <w:t>【A4.3-4】鼓励使用清洁能源或电厂热力、工业余热等替代锅炉炉窑燃料用煤。</w:t>
                  </w:r>
                </w:p>
              </w:tc>
              <w:tc>
                <w:tcPr>
                  <w:tcW w:w="1621" w:type="pct"/>
                  <w:tcBorders>
                    <w:tl2br w:val="nil"/>
                    <w:tr2bl w:val="nil"/>
                  </w:tcBorders>
                  <w:noWrap w:val="0"/>
                  <w:vAlign w:val="center"/>
                </w:tcPr>
                <w:p w14:paraId="0C7649DF">
                  <w:pPr>
                    <w:pStyle w:val="48"/>
                    <w:keepNext w:val="0"/>
                    <w:keepLines w:val="0"/>
                    <w:pageBreakBefore w:val="0"/>
                    <w:widowControl w:val="0"/>
                    <w:kinsoku/>
                    <w:overflowPunct/>
                    <w:topLinePunct w:val="0"/>
                    <w:autoSpaceDE/>
                    <w:autoSpaceDN/>
                    <w:bidi w:val="0"/>
                    <w:adjustRightInd/>
                    <w:snapToGrid/>
                    <w:spacing w:before="37" w:line="240" w:lineRule="auto"/>
                    <w:ind w:left="31" w:leftChars="0" w:right="23" w:rightChars="0" w:firstLine="0" w:firstLineChars="0"/>
                    <w:jc w:val="both"/>
                    <w:textAlignment w:val="auto"/>
                    <w:rPr>
                      <w:rFonts w:hint="default" w:ascii="Times New Roman" w:hAnsi="Times New Roman" w:eastAsia="宋体" w:cs="Times New Roman"/>
                      <w:color w:val="000000"/>
                      <w:spacing w:val="11"/>
                      <w:sz w:val="21"/>
                      <w:szCs w:val="21"/>
                      <w:lang w:val="en-US" w:eastAsia="zh-CN"/>
                    </w:rPr>
                  </w:pPr>
                  <w:r>
                    <w:rPr>
                      <w:rFonts w:hint="default" w:ascii="Times New Roman" w:hAnsi="Times New Roman" w:eastAsia="宋体" w:cs="Times New Roman"/>
                      <w:color w:val="000000"/>
                      <w:spacing w:val="11"/>
                      <w:sz w:val="21"/>
                      <w:szCs w:val="21"/>
                      <w:lang w:val="en-US" w:eastAsia="zh-CN"/>
                    </w:rPr>
                    <w:t>本项目生产</w:t>
                  </w:r>
                  <w:r>
                    <w:rPr>
                      <w:rFonts w:hint="eastAsia" w:ascii="Times New Roman" w:hAnsi="Times New Roman" w:eastAsia="宋体" w:cs="Times New Roman"/>
                      <w:color w:val="000000"/>
                      <w:spacing w:val="11"/>
                      <w:sz w:val="21"/>
                      <w:szCs w:val="21"/>
                      <w:lang w:val="en-US" w:eastAsia="zh-CN"/>
                    </w:rPr>
                    <w:t>供热使用</w:t>
                  </w:r>
                  <w:r>
                    <w:rPr>
                      <w:rFonts w:hint="default" w:ascii="Times New Roman" w:hAnsi="Times New Roman" w:eastAsia="宋体" w:cs="Times New Roman"/>
                      <w:color w:val="000000"/>
                      <w:spacing w:val="11"/>
                      <w:sz w:val="21"/>
                      <w:szCs w:val="21"/>
                      <w:lang w:val="en-US" w:eastAsia="zh-CN"/>
                    </w:rPr>
                    <w:t>空气能热泵供热（电驱），</w:t>
                  </w:r>
                  <w:r>
                    <w:rPr>
                      <w:rFonts w:hint="eastAsia" w:ascii="Times New Roman" w:hAnsi="Times New Roman" w:eastAsia="宋体" w:cs="Times New Roman"/>
                      <w:color w:val="000000"/>
                      <w:spacing w:val="11"/>
                      <w:sz w:val="21"/>
                      <w:szCs w:val="21"/>
                      <w:lang w:val="en-US" w:eastAsia="zh-CN"/>
                    </w:rPr>
                    <w:t>不设置燃煤锅炉。</w:t>
                  </w:r>
                </w:p>
              </w:tc>
              <w:tc>
                <w:tcPr>
                  <w:tcW w:w="328" w:type="pct"/>
                  <w:tcBorders>
                    <w:tl2br w:val="nil"/>
                    <w:tr2bl w:val="nil"/>
                  </w:tcBorders>
                  <w:noWrap w:val="0"/>
                  <w:vAlign w:val="center"/>
                </w:tcPr>
                <w:p w14:paraId="1C90A8D6">
                  <w:pPr>
                    <w:keepNext w:val="0"/>
                    <w:keepLines w:val="0"/>
                    <w:pageBreakBefore w:val="0"/>
                    <w:widowControl w:val="0"/>
                    <w:kinsoku/>
                    <w:overflowPunct/>
                    <w:topLinePunct w:val="0"/>
                    <w:autoSpaceDE/>
                    <w:autoSpaceDN/>
                    <w:bidi w:val="0"/>
                    <w:adjustRightInd/>
                    <w:snapToGrid/>
                    <w:spacing w:before="192" w:line="240" w:lineRule="auto"/>
                    <w:ind w:firstLine="0"/>
                    <w:jc w:val="center"/>
                    <w:textAlignment w:val="auto"/>
                    <w:rPr>
                      <w:rFonts w:hint="default" w:ascii="Times New Roman" w:hAnsi="Times New Roman" w:eastAsia="宋体" w:cs="Times New Roman"/>
                      <w:color w:val="000000"/>
                      <w:spacing w:val="8"/>
                      <w:sz w:val="21"/>
                      <w:szCs w:val="21"/>
                    </w:rPr>
                  </w:pPr>
                  <w:r>
                    <w:rPr>
                      <w:rFonts w:hint="default" w:ascii="Times New Roman" w:hAnsi="Times New Roman" w:eastAsia="宋体" w:cs="Times New Roman"/>
                      <w:color w:val="000000"/>
                      <w:spacing w:val="8"/>
                      <w:sz w:val="21"/>
                      <w:szCs w:val="21"/>
                    </w:rPr>
                    <w:t>符合</w:t>
                  </w:r>
                </w:p>
              </w:tc>
            </w:tr>
            <w:tr w14:paraId="21F2E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 w:type="pct"/>
                  <w:vMerge w:val="continue"/>
                  <w:tcBorders>
                    <w:tl2br w:val="nil"/>
                    <w:tr2bl w:val="nil"/>
                  </w:tcBorders>
                  <w:noWrap w:val="0"/>
                  <w:vAlign w:val="top"/>
                </w:tcPr>
                <w:p w14:paraId="6F5AC4C0">
                  <w:pPr>
                    <w:pStyle w:val="48"/>
                    <w:keepNext w:val="0"/>
                    <w:keepLines w:val="0"/>
                    <w:pageBreakBefore w:val="0"/>
                    <w:widowControl w:val="0"/>
                    <w:kinsoku/>
                    <w:overflowPunct/>
                    <w:topLinePunct w:val="0"/>
                    <w:autoSpaceDE/>
                    <w:autoSpaceDN/>
                    <w:bidi w:val="0"/>
                    <w:adjustRightInd/>
                    <w:snapToGrid/>
                    <w:spacing w:before="37" w:line="240" w:lineRule="auto"/>
                    <w:ind w:left="31" w:leftChars="0" w:right="23" w:rightChars="0" w:firstLine="0" w:firstLineChars="0"/>
                    <w:jc w:val="both"/>
                    <w:textAlignment w:val="auto"/>
                    <w:rPr>
                      <w:rFonts w:hint="default" w:ascii="Times New Roman" w:hAnsi="Times New Roman" w:eastAsia="宋体" w:cs="Times New Roman"/>
                      <w:color w:val="000000"/>
                      <w:spacing w:val="11"/>
                      <w:sz w:val="21"/>
                      <w:szCs w:val="21"/>
                      <w:lang w:eastAsia="zh-CN"/>
                    </w:rPr>
                  </w:pPr>
                </w:p>
              </w:tc>
              <w:tc>
                <w:tcPr>
                  <w:tcW w:w="255" w:type="pct"/>
                  <w:vMerge w:val="continue"/>
                  <w:tcBorders>
                    <w:tl2br w:val="nil"/>
                    <w:tr2bl w:val="nil"/>
                  </w:tcBorders>
                  <w:noWrap w:val="0"/>
                  <w:vAlign w:val="top"/>
                </w:tcPr>
                <w:p w14:paraId="1E8EAF87">
                  <w:pPr>
                    <w:pStyle w:val="48"/>
                    <w:keepNext w:val="0"/>
                    <w:keepLines w:val="0"/>
                    <w:pageBreakBefore w:val="0"/>
                    <w:widowControl w:val="0"/>
                    <w:kinsoku/>
                    <w:overflowPunct/>
                    <w:topLinePunct w:val="0"/>
                    <w:autoSpaceDE/>
                    <w:autoSpaceDN/>
                    <w:bidi w:val="0"/>
                    <w:adjustRightInd/>
                    <w:snapToGrid/>
                    <w:spacing w:before="37" w:line="240" w:lineRule="auto"/>
                    <w:ind w:left="31" w:leftChars="0" w:right="23" w:rightChars="0" w:firstLine="0" w:firstLineChars="0"/>
                    <w:jc w:val="both"/>
                    <w:textAlignment w:val="auto"/>
                    <w:rPr>
                      <w:rFonts w:hint="default" w:ascii="Times New Roman" w:hAnsi="Times New Roman" w:eastAsia="宋体" w:cs="Times New Roman"/>
                      <w:color w:val="000000"/>
                      <w:spacing w:val="11"/>
                      <w:sz w:val="21"/>
                      <w:szCs w:val="21"/>
                      <w:lang w:eastAsia="zh-CN"/>
                    </w:rPr>
                  </w:pPr>
                </w:p>
              </w:tc>
              <w:tc>
                <w:tcPr>
                  <w:tcW w:w="523" w:type="pct"/>
                  <w:tcBorders>
                    <w:tl2br w:val="nil"/>
                    <w:tr2bl w:val="nil"/>
                  </w:tcBorders>
                  <w:noWrap w:val="0"/>
                  <w:vAlign w:val="center"/>
                </w:tcPr>
                <w:p w14:paraId="1C13A8A0">
                  <w:pPr>
                    <w:pStyle w:val="48"/>
                    <w:keepNext w:val="0"/>
                    <w:keepLines w:val="0"/>
                    <w:pageBreakBefore w:val="0"/>
                    <w:widowControl w:val="0"/>
                    <w:kinsoku/>
                    <w:overflowPunct/>
                    <w:topLinePunct w:val="0"/>
                    <w:autoSpaceDE/>
                    <w:autoSpaceDN/>
                    <w:bidi w:val="0"/>
                    <w:adjustRightInd/>
                    <w:snapToGrid/>
                    <w:spacing w:before="37" w:line="240" w:lineRule="auto"/>
                    <w:ind w:left="31" w:leftChars="0" w:right="23" w:rightChars="0" w:firstLine="0" w:firstLineChars="0"/>
                    <w:jc w:val="center"/>
                    <w:textAlignment w:val="auto"/>
                    <w:rPr>
                      <w:rFonts w:hint="default" w:ascii="Times New Roman" w:hAnsi="Times New Roman" w:eastAsia="宋体" w:cs="Times New Roman"/>
                      <w:color w:val="000000"/>
                      <w:spacing w:val="11"/>
                      <w:sz w:val="21"/>
                      <w:szCs w:val="21"/>
                    </w:rPr>
                  </w:pPr>
                  <w:r>
                    <w:rPr>
                      <w:rFonts w:hint="default" w:ascii="Times New Roman" w:hAnsi="Times New Roman" w:eastAsia="宋体" w:cs="Times New Roman"/>
                      <w:color w:val="000000"/>
                      <w:spacing w:val="11"/>
                      <w:sz w:val="21"/>
                      <w:szCs w:val="21"/>
                    </w:rPr>
                    <w:t>A4.5资源综合利用</w:t>
                  </w:r>
                </w:p>
              </w:tc>
              <w:tc>
                <w:tcPr>
                  <w:tcW w:w="1999" w:type="pct"/>
                  <w:tcBorders>
                    <w:tl2br w:val="nil"/>
                    <w:tr2bl w:val="nil"/>
                  </w:tcBorders>
                  <w:noWrap w:val="0"/>
                  <w:vAlign w:val="top"/>
                </w:tcPr>
                <w:p w14:paraId="47C66EE1">
                  <w:pPr>
                    <w:pStyle w:val="48"/>
                    <w:keepNext w:val="0"/>
                    <w:keepLines w:val="0"/>
                    <w:pageBreakBefore w:val="0"/>
                    <w:widowControl w:val="0"/>
                    <w:kinsoku/>
                    <w:overflowPunct/>
                    <w:topLinePunct w:val="0"/>
                    <w:autoSpaceDE/>
                    <w:autoSpaceDN/>
                    <w:bidi w:val="0"/>
                    <w:adjustRightInd/>
                    <w:snapToGrid/>
                    <w:spacing w:before="37" w:line="240" w:lineRule="auto"/>
                    <w:ind w:left="31" w:leftChars="0" w:right="23" w:rightChars="0" w:firstLine="0" w:firstLineChars="0"/>
                    <w:jc w:val="both"/>
                    <w:textAlignment w:val="auto"/>
                    <w:rPr>
                      <w:rFonts w:hint="default" w:ascii="Times New Roman" w:hAnsi="Times New Roman" w:eastAsia="宋体" w:cs="Times New Roman"/>
                      <w:color w:val="000000"/>
                      <w:spacing w:val="11"/>
                      <w:sz w:val="21"/>
                      <w:szCs w:val="21"/>
                    </w:rPr>
                  </w:pPr>
                  <w:r>
                    <w:rPr>
                      <w:rFonts w:hint="default" w:ascii="Times New Roman" w:hAnsi="Times New Roman" w:eastAsia="宋体" w:cs="Times New Roman"/>
                      <w:color w:val="000000"/>
                      <w:spacing w:val="11"/>
                      <w:sz w:val="21"/>
                      <w:szCs w:val="21"/>
                    </w:rPr>
                    <w:t>【A4.5-1】加强固体废物源头减量、资源化利用和无害化处置</w:t>
                  </w:r>
                  <w:r>
                    <w:rPr>
                      <w:rFonts w:hint="default" w:ascii="Times New Roman" w:hAnsi="Times New Roman" w:eastAsia="宋体" w:cs="Times New Roman"/>
                      <w:color w:val="000000"/>
                      <w:spacing w:val="11"/>
                      <w:sz w:val="21"/>
                      <w:szCs w:val="21"/>
                      <w:lang w:eastAsia="zh-CN"/>
                    </w:rPr>
                    <w:t>，</w:t>
                  </w:r>
                  <w:r>
                    <w:rPr>
                      <w:rFonts w:hint="default" w:ascii="Times New Roman" w:hAnsi="Times New Roman" w:eastAsia="宋体" w:cs="Times New Roman"/>
                      <w:color w:val="000000"/>
                      <w:spacing w:val="11"/>
                      <w:sz w:val="21"/>
                      <w:szCs w:val="21"/>
                    </w:rPr>
                    <w:t>最大限度减少填埋量。推进工业固体废物精细化、名录化环境管理</w:t>
                  </w:r>
                  <w:r>
                    <w:rPr>
                      <w:rFonts w:hint="default" w:ascii="Times New Roman" w:hAnsi="Times New Roman" w:eastAsia="宋体" w:cs="Times New Roman"/>
                      <w:color w:val="000000"/>
                      <w:spacing w:val="11"/>
                      <w:sz w:val="21"/>
                      <w:szCs w:val="21"/>
                      <w:lang w:eastAsia="zh-CN"/>
                    </w:rPr>
                    <w:t>，</w:t>
                  </w:r>
                  <w:r>
                    <w:rPr>
                      <w:rFonts w:hint="default" w:ascii="Times New Roman" w:hAnsi="Times New Roman" w:eastAsia="宋体" w:cs="Times New Roman"/>
                      <w:color w:val="000000"/>
                      <w:spacing w:val="11"/>
                      <w:sz w:val="21"/>
                      <w:szCs w:val="21"/>
                    </w:rPr>
                    <w:t>促进大宗工业固废综合利用、主要农业废弃物全量利用。加快构建废旧物资回收和循环利用体系</w:t>
                  </w:r>
                  <w:r>
                    <w:rPr>
                      <w:rFonts w:hint="default" w:ascii="Times New Roman" w:hAnsi="Times New Roman" w:eastAsia="宋体" w:cs="Times New Roman"/>
                      <w:color w:val="000000"/>
                      <w:spacing w:val="11"/>
                      <w:sz w:val="21"/>
                      <w:szCs w:val="21"/>
                      <w:lang w:eastAsia="zh-CN"/>
                    </w:rPr>
                    <w:t>，</w:t>
                  </w:r>
                  <w:r>
                    <w:rPr>
                      <w:rFonts w:hint="default" w:ascii="Times New Roman" w:hAnsi="Times New Roman" w:eastAsia="宋体" w:cs="Times New Roman"/>
                      <w:color w:val="000000"/>
                      <w:spacing w:val="11"/>
                      <w:sz w:val="21"/>
                      <w:szCs w:val="21"/>
                    </w:rPr>
                    <w:t>健全强制报废制度和废旧家电、消费电子等耐用消费品回收处理体系</w:t>
                  </w:r>
                  <w:r>
                    <w:rPr>
                      <w:rFonts w:hint="default" w:ascii="Times New Roman" w:hAnsi="Times New Roman" w:eastAsia="宋体" w:cs="Times New Roman"/>
                      <w:color w:val="000000"/>
                      <w:spacing w:val="11"/>
                      <w:sz w:val="21"/>
                      <w:szCs w:val="21"/>
                      <w:lang w:eastAsia="zh-CN"/>
                    </w:rPr>
                    <w:t>，</w:t>
                  </w:r>
                  <w:r>
                    <w:rPr>
                      <w:rFonts w:hint="default" w:ascii="Times New Roman" w:hAnsi="Times New Roman" w:eastAsia="宋体" w:cs="Times New Roman"/>
                      <w:color w:val="000000"/>
                      <w:spacing w:val="11"/>
                      <w:sz w:val="21"/>
                      <w:szCs w:val="21"/>
                    </w:rPr>
                    <w:t>推行生产企业</w:t>
                  </w:r>
                  <w:r>
                    <w:rPr>
                      <w:rFonts w:hint="default" w:ascii="Times New Roman" w:hAnsi="Times New Roman" w:eastAsia="宋体" w:cs="Times New Roman"/>
                      <w:color w:val="000000"/>
                      <w:spacing w:val="11"/>
                      <w:sz w:val="21"/>
                      <w:szCs w:val="21"/>
                      <w:lang w:eastAsia="zh-CN"/>
                    </w:rPr>
                    <w:t>“</w:t>
                  </w:r>
                  <w:r>
                    <w:rPr>
                      <w:rFonts w:hint="default" w:ascii="Times New Roman" w:hAnsi="Times New Roman" w:eastAsia="宋体" w:cs="Times New Roman"/>
                      <w:color w:val="000000"/>
                      <w:spacing w:val="11"/>
                      <w:sz w:val="21"/>
                      <w:szCs w:val="21"/>
                    </w:rPr>
                    <w:t>逆向回收</w:t>
                  </w:r>
                  <w:r>
                    <w:rPr>
                      <w:rFonts w:hint="default" w:ascii="Times New Roman" w:hAnsi="Times New Roman" w:eastAsia="宋体" w:cs="Times New Roman"/>
                      <w:color w:val="000000"/>
                      <w:spacing w:val="11"/>
                      <w:sz w:val="21"/>
                      <w:szCs w:val="21"/>
                      <w:lang w:eastAsia="zh-CN"/>
                    </w:rPr>
                    <w:t>”</w:t>
                  </w:r>
                  <w:r>
                    <w:rPr>
                      <w:rFonts w:hint="default" w:ascii="Times New Roman" w:hAnsi="Times New Roman" w:eastAsia="宋体" w:cs="Times New Roman"/>
                      <w:color w:val="000000"/>
                      <w:spacing w:val="11"/>
                      <w:sz w:val="21"/>
                      <w:szCs w:val="21"/>
                    </w:rPr>
                    <w:t>模式。以尾矿和共伴生矿、煤矸石、炉渣、粉煤灰、脱硫石膏、冶炼渣、建筑垃圾等为重点</w:t>
                  </w:r>
                  <w:r>
                    <w:rPr>
                      <w:rFonts w:hint="default" w:ascii="Times New Roman" w:hAnsi="Times New Roman" w:eastAsia="宋体" w:cs="Times New Roman"/>
                      <w:color w:val="000000"/>
                      <w:spacing w:val="11"/>
                      <w:sz w:val="21"/>
                      <w:szCs w:val="21"/>
                      <w:lang w:eastAsia="zh-CN"/>
                    </w:rPr>
                    <w:t>，</w:t>
                  </w:r>
                  <w:r>
                    <w:rPr>
                      <w:rFonts w:hint="default" w:ascii="Times New Roman" w:hAnsi="Times New Roman" w:eastAsia="宋体" w:cs="Times New Roman"/>
                      <w:color w:val="000000"/>
                      <w:spacing w:val="11"/>
                      <w:sz w:val="21"/>
                      <w:szCs w:val="21"/>
                    </w:rPr>
                    <w:t>持续推进固体废物综合利用和环境整治不断提高大宗固体废物资源化利用水平。推行生活垃圾分类</w:t>
                  </w:r>
                  <w:r>
                    <w:rPr>
                      <w:rFonts w:hint="default" w:ascii="Times New Roman" w:hAnsi="Times New Roman" w:eastAsia="宋体" w:cs="Times New Roman"/>
                      <w:color w:val="000000"/>
                      <w:spacing w:val="11"/>
                      <w:sz w:val="21"/>
                      <w:szCs w:val="21"/>
                      <w:lang w:eastAsia="zh-CN"/>
                    </w:rPr>
                    <w:t>，</w:t>
                  </w:r>
                  <w:r>
                    <w:rPr>
                      <w:rFonts w:hint="default" w:ascii="Times New Roman" w:hAnsi="Times New Roman" w:eastAsia="宋体" w:cs="Times New Roman"/>
                      <w:color w:val="000000"/>
                      <w:spacing w:val="11"/>
                      <w:sz w:val="21"/>
                      <w:szCs w:val="21"/>
                    </w:rPr>
                    <w:t>加快建设县</w:t>
                  </w:r>
                  <w:r>
                    <w:rPr>
                      <w:rFonts w:hint="default" w:ascii="Times New Roman" w:hAnsi="Times New Roman" w:eastAsia="宋体" w:cs="Times New Roman"/>
                      <w:color w:val="000000"/>
                      <w:spacing w:val="11"/>
                      <w:sz w:val="21"/>
                      <w:szCs w:val="21"/>
                      <w:lang w:eastAsia="zh-CN"/>
                    </w:rPr>
                    <w:t>（</w:t>
                  </w:r>
                  <w:r>
                    <w:rPr>
                      <w:rFonts w:hint="default" w:ascii="Times New Roman" w:hAnsi="Times New Roman" w:eastAsia="宋体" w:cs="Times New Roman"/>
                      <w:color w:val="000000"/>
                      <w:spacing w:val="11"/>
                      <w:sz w:val="21"/>
                      <w:szCs w:val="21"/>
                    </w:rPr>
                    <w:t>市</w:t>
                  </w:r>
                  <w:r>
                    <w:rPr>
                      <w:rFonts w:hint="default" w:ascii="Times New Roman" w:hAnsi="Times New Roman" w:eastAsia="宋体" w:cs="Times New Roman"/>
                      <w:color w:val="000000"/>
                      <w:spacing w:val="11"/>
                      <w:sz w:val="21"/>
                      <w:szCs w:val="21"/>
                      <w:lang w:eastAsia="zh-CN"/>
                    </w:rPr>
                    <w:t>）</w:t>
                  </w:r>
                  <w:r>
                    <w:rPr>
                      <w:rFonts w:hint="default" w:ascii="Times New Roman" w:hAnsi="Times New Roman" w:eastAsia="宋体" w:cs="Times New Roman"/>
                      <w:color w:val="000000"/>
                      <w:spacing w:val="11"/>
                      <w:sz w:val="21"/>
                      <w:szCs w:val="21"/>
                    </w:rPr>
                    <w:t>生活垃圾处理设施</w:t>
                  </w:r>
                  <w:r>
                    <w:rPr>
                      <w:rFonts w:hint="default" w:ascii="Times New Roman" w:hAnsi="Times New Roman" w:eastAsia="宋体" w:cs="Times New Roman"/>
                      <w:color w:val="000000"/>
                      <w:spacing w:val="11"/>
                      <w:sz w:val="21"/>
                      <w:szCs w:val="21"/>
                      <w:lang w:eastAsia="zh-CN"/>
                    </w:rPr>
                    <w:t>，</w:t>
                  </w:r>
                  <w:r>
                    <w:rPr>
                      <w:rFonts w:hint="default" w:ascii="Times New Roman" w:hAnsi="Times New Roman" w:eastAsia="宋体" w:cs="Times New Roman"/>
                      <w:color w:val="000000"/>
                      <w:spacing w:val="11"/>
                      <w:sz w:val="21"/>
                      <w:szCs w:val="21"/>
                    </w:rPr>
                    <w:t>到2025年</w:t>
                  </w:r>
                  <w:r>
                    <w:rPr>
                      <w:rFonts w:hint="default" w:ascii="Times New Roman" w:hAnsi="Times New Roman" w:eastAsia="宋体" w:cs="Times New Roman"/>
                      <w:color w:val="000000"/>
                      <w:spacing w:val="11"/>
                      <w:sz w:val="21"/>
                      <w:szCs w:val="21"/>
                      <w:lang w:eastAsia="zh-CN"/>
                    </w:rPr>
                    <w:t>，</w:t>
                  </w:r>
                  <w:r>
                    <w:rPr>
                      <w:rFonts w:hint="default" w:ascii="Times New Roman" w:hAnsi="Times New Roman" w:eastAsia="宋体" w:cs="Times New Roman"/>
                      <w:color w:val="000000"/>
                      <w:spacing w:val="11"/>
                      <w:sz w:val="21"/>
                      <w:szCs w:val="21"/>
                    </w:rPr>
                    <w:t>全疆城市生活垃圾无害化处理率达到99%以上。</w:t>
                  </w:r>
                </w:p>
              </w:tc>
              <w:tc>
                <w:tcPr>
                  <w:tcW w:w="1621" w:type="pct"/>
                  <w:tcBorders>
                    <w:tl2br w:val="nil"/>
                    <w:tr2bl w:val="nil"/>
                  </w:tcBorders>
                  <w:noWrap w:val="0"/>
                  <w:vAlign w:val="center"/>
                </w:tcPr>
                <w:p w14:paraId="61039593">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spacing w:val="11"/>
                      <w:sz w:val="21"/>
                      <w:szCs w:val="21"/>
                    </w:rPr>
                  </w:pPr>
                  <w:r>
                    <w:rPr>
                      <w:rFonts w:hint="default" w:ascii="Times New Roman" w:hAnsi="Times New Roman" w:eastAsia="宋体" w:cs="Times New Roman"/>
                      <w:color w:val="000000"/>
                      <w:spacing w:val="11"/>
                      <w:sz w:val="21"/>
                      <w:szCs w:val="21"/>
                      <w:lang w:val="en-US" w:eastAsia="zh-CN"/>
                    </w:rPr>
                    <w:t>本项目生活垃圾、生产固废均妥善处置</w:t>
                  </w:r>
                  <w:r>
                    <w:rPr>
                      <w:rFonts w:hint="eastAsia" w:ascii="Times New Roman" w:hAnsi="Times New Roman" w:cs="Times New Roman"/>
                      <w:color w:val="000000"/>
                      <w:spacing w:val="11"/>
                      <w:sz w:val="21"/>
                      <w:szCs w:val="21"/>
                      <w:lang w:val="en-US" w:eastAsia="zh-CN"/>
                    </w:rPr>
                    <w:t>。</w:t>
                  </w:r>
                </w:p>
              </w:tc>
              <w:tc>
                <w:tcPr>
                  <w:tcW w:w="328" w:type="pct"/>
                  <w:tcBorders>
                    <w:tl2br w:val="nil"/>
                    <w:tr2bl w:val="nil"/>
                  </w:tcBorders>
                  <w:noWrap w:val="0"/>
                  <w:vAlign w:val="center"/>
                </w:tcPr>
                <w:p w14:paraId="06E312E9">
                  <w:pPr>
                    <w:keepNext w:val="0"/>
                    <w:keepLines w:val="0"/>
                    <w:pageBreakBefore w:val="0"/>
                    <w:widowControl w:val="0"/>
                    <w:kinsoku/>
                    <w:overflowPunct/>
                    <w:topLinePunct w:val="0"/>
                    <w:autoSpaceDE/>
                    <w:autoSpaceDN/>
                    <w:bidi w:val="0"/>
                    <w:adjustRightInd/>
                    <w:snapToGrid/>
                    <w:spacing w:before="192" w:line="240" w:lineRule="auto"/>
                    <w:ind w:firstLine="0"/>
                    <w:jc w:val="center"/>
                    <w:textAlignment w:val="auto"/>
                    <w:rPr>
                      <w:rFonts w:hint="default" w:ascii="Times New Roman" w:hAnsi="Times New Roman" w:eastAsia="宋体" w:cs="Times New Roman"/>
                      <w:color w:val="000000"/>
                      <w:spacing w:val="8"/>
                      <w:sz w:val="21"/>
                      <w:szCs w:val="21"/>
                    </w:rPr>
                  </w:pPr>
                  <w:r>
                    <w:rPr>
                      <w:rFonts w:hint="default" w:ascii="Times New Roman" w:hAnsi="Times New Roman" w:eastAsia="宋体" w:cs="Times New Roman"/>
                      <w:color w:val="000000"/>
                      <w:spacing w:val="8"/>
                      <w:sz w:val="21"/>
                      <w:szCs w:val="21"/>
                    </w:rPr>
                    <w:t>符合</w:t>
                  </w:r>
                </w:p>
              </w:tc>
            </w:tr>
          </w:tbl>
          <w:p w14:paraId="7B7543DE">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000000"/>
                <w:sz w:val="24"/>
                <w:szCs w:val="24"/>
                <w:highlight w:val="none"/>
                <w:lang w:val="en-US" w:eastAsia="zh-CN"/>
              </w:rPr>
            </w:pPr>
            <w:r>
              <w:rPr>
                <w:rFonts w:hint="default" w:ascii="Times New Roman" w:hAnsi="Times New Roman" w:eastAsia="宋体" w:cs="Times New Roman"/>
                <w:b w:val="0"/>
                <w:bCs w:val="0"/>
                <w:color w:val="000000"/>
                <w:kern w:val="2"/>
                <w:sz w:val="24"/>
                <w:szCs w:val="24"/>
                <w:lang w:val="en-US" w:eastAsia="zh-CN" w:bidi="ar-SA"/>
              </w:rPr>
              <w:t>（2）</w:t>
            </w:r>
            <w:r>
              <w:rPr>
                <w:rFonts w:hint="default" w:ascii="Times New Roman" w:hAnsi="Times New Roman" w:eastAsia="宋体" w:cs="Times New Roman"/>
                <w:b w:val="0"/>
                <w:bCs w:val="0"/>
                <w:color w:val="000000"/>
                <w:sz w:val="24"/>
                <w:szCs w:val="24"/>
                <w:highlight w:val="none"/>
                <w:lang w:val="en-US" w:eastAsia="zh-CN"/>
              </w:rPr>
              <w:t>与《新疆维吾尔自治区七大片区“三线一单”生态环境分区管控要求》符合性分析</w:t>
            </w:r>
          </w:p>
          <w:p w14:paraId="770BF6D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000000"/>
                <w:sz w:val="24"/>
                <w:szCs w:val="24"/>
                <w:highlight w:val="none"/>
                <w:lang w:val="en-US" w:eastAsia="zh-CN"/>
              </w:rPr>
            </w:pPr>
            <w:r>
              <w:rPr>
                <w:rFonts w:hint="default" w:ascii="Times New Roman" w:hAnsi="Times New Roman" w:eastAsia="宋体" w:cs="Times New Roman"/>
                <w:b w:val="0"/>
                <w:bCs w:val="0"/>
                <w:color w:val="000000"/>
                <w:sz w:val="24"/>
                <w:szCs w:val="24"/>
                <w:highlight w:val="none"/>
                <w:lang w:val="en-US" w:eastAsia="zh-CN"/>
              </w:rPr>
              <w:t>本项目与《新疆维吾尔自治区七大片区“三线一单”生态环境分区管控要求》符合性分析内容见表1-</w:t>
            </w:r>
            <w:r>
              <w:rPr>
                <w:rFonts w:hint="eastAsia" w:ascii="Times New Roman" w:hAnsi="Times New Roman" w:eastAsia="宋体" w:cs="Times New Roman"/>
                <w:b w:val="0"/>
                <w:bCs w:val="0"/>
                <w:color w:val="000000"/>
                <w:sz w:val="24"/>
                <w:szCs w:val="24"/>
                <w:highlight w:val="none"/>
                <w:lang w:val="en-US" w:eastAsia="zh-CN"/>
              </w:rPr>
              <w:t>2</w:t>
            </w:r>
            <w:r>
              <w:rPr>
                <w:rFonts w:hint="default" w:ascii="Times New Roman" w:hAnsi="Times New Roman" w:eastAsia="宋体" w:cs="Times New Roman"/>
                <w:b w:val="0"/>
                <w:bCs w:val="0"/>
                <w:color w:val="000000"/>
                <w:sz w:val="24"/>
                <w:szCs w:val="24"/>
                <w:highlight w:val="none"/>
                <w:lang w:val="en-US" w:eastAsia="zh-CN"/>
              </w:rPr>
              <w:t>。</w:t>
            </w:r>
          </w:p>
          <w:p w14:paraId="7E19151E">
            <w:pPr>
              <w:pStyle w:val="24"/>
              <w:keepNext w:val="0"/>
              <w:keepLines w:val="0"/>
              <w:pageBreakBefore w:val="0"/>
              <w:widowControl w:val="0"/>
              <w:kinsoku/>
              <w:wordWrap/>
              <w:overflowPunct/>
              <w:topLinePunct w:val="0"/>
              <w:autoSpaceDE/>
              <w:autoSpaceDN/>
              <w:bidi w:val="0"/>
              <w:adjustRightInd/>
              <w:snapToGrid/>
              <w:spacing w:after="0" w:afterLines="0" w:afterAutospacing="0" w:line="440" w:lineRule="exact"/>
              <w:ind w:left="0" w:leftChars="0" w:firstLine="0" w:firstLineChars="0"/>
              <w:jc w:val="center"/>
              <w:textAlignment w:val="auto"/>
              <w:rPr>
                <w:rFonts w:hint="default" w:ascii="Times New Roman" w:hAnsi="Times New Roman" w:eastAsia="宋体" w:cs="Times New Roman"/>
                <w:b/>
                <w:bCs/>
                <w:color w:val="000000"/>
                <w:kern w:val="2"/>
                <w:sz w:val="21"/>
                <w:szCs w:val="21"/>
                <w:highlight w:val="none"/>
                <w:lang w:val="en-US" w:eastAsia="zh-CN" w:bidi="ar-SA"/>
              </w:rPr>
            </w:pPr>
            <w:r>
              <w:rPr>
                <w:rFonts w:hint="default" w:ascii="Times New Roman" w:hAnsi="Times New Roman" w:eastAsia="宋体" w:cs="Times New Roman"/>
                <w:b/>
                <w:bCs/>
                <w:color w:val="000000"/>
                <w:kern w:val="2"/>
                <w:sz w:val="21"/>
                <w:szCs w:val="21"/>
                <w:highlight w:val="none"/>
                <w:lang w:val="en-US" w:eastAsia="zh-CN" w:bidi="ar-SA"/>
              </w:rPr>
              <w:t>表1-</w:t>
            </w:r>
            <w:r>
              <w:rPr>
                <w:rFonts w:hint="eastAsia" w:ascii="Times New Roman" w:hAnsi="Times New Roman" w:cs="Times New Roman"/>
                <w:b/>
                <w:bCs/>
                <w:color w:val="000000"/>
                <w:kern w:val="2"/>
                <w:sz w:val="21"/>
                <w:szCs w:val="21"/>
                <w:highlight w:val="none"/>
                <w:lang w:val="en-US" w:eastAsia="zh-CN" w:bidi="ar-SA"/>
              </w:rPr>
              <w:t>2</w:t>
            </w:r>
            <w:r>
              <w:rPr>
                <w:rFonts w:hint="default" w:ascii="Times New Roman" w:hAnsi="Times New Roman" w:eastAsia="宋体" w:cs="Times New Roman"/>
                <w:b/>
                <w:bCs/>
                <w:color w:val="000000"/>
                <w:kern w:val="2"/>
                <w:sz w:val="21"/>
                <w:szCs w:val="21"/>
                <w:highlight w:val="none"/>
                <w:lang w:val="en-US" w:eastAsia="zh-CN" w:bidi="ar-SA"/>
              </w:rPr>
              <w:t xml:space="preserve"> </w:t>
            </w:r>
            <w:r>
              <w:rPr>
                <w:rFonts w:hint="default" w:ascii="Times New Roman" w:hAnsi="Times New Roman" w:cs="Times New Roman"/>
                <w:b/>
                <w:bCs/>
                <w:color w:val="000000"/>
                <w:kern w:val="2"/>
                <w:sz w:val="21"/>
                <w:szCs w:val="21"/>
                <w:highlight w:val="none"/>
                <w:lang w:val="en-US" w:eastAsia="zh-CN" w:bidi="ar-SA"/>
              </w:rPr>
              <w:t xml:space="preserve"> </w:t>
            </w:r>
            <w:r>
              <w:rPr>
                <w:rFonts w:hint="default" w:ascii="Times New Roman" w:hAnsi="Times New Roman" w:eastAsia="宋体" w:cs="Times New Roman"/>
                <w:b/>
                <w:bCs/>
                <w:color w:val="000000"/>
                <w:kern w:val="2"/>
                <w:sz w:val="21"/>
                <w:szCs w:val="21"/>
                <w:highlight w:val="none"/>
                <w:lang w:val="en-US" w:eastAsia="zh-CN" w:bidi="ar-SA"/>
              </w:rPr>
              <w:t>与《新疆维吾尔自治区七大片区“三线一单”生态环境分区管控要求》符合性分析一览表</w:t>
            </w:r>
          </w:p>
          <w:tbl>
            <w:tblPr>
              <w:tblStyle w:val="26"/>
              <w:tblW w:w="4996"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426"/>
              <w:gridCol w:w="3849"/>
              <w:gridCol w:w="2048"/>
              <w:gridCol w:w="475"/>
            </w:tblGrid>
            <w:tr w14:paraId="23F89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0" w:type="pct"/>
                  <w:gridSpan w:val="3"/>
                  <w:tcBorders>
                    <w:tl2br w:val="nil"/>
                    <w:tr2bl w:val="nil"/>
                  </w:tcBorders>
                  <w:noWrap w:val="0"/>
                  <w:vAlign w:val="center"/>
                </w:tcPr>
                <w:p w14:paraId="1D7304AC">
                  <w:pPr>
                    <w:keepNext w:val="0"/>
                    <w:keepLines w:val="0"/>
                    <w:pageBreakBefore w:val="0"/>
                    <w:widowControl w:val="0"/>
                    <w:kinsoku/>
                    <w:wordWrap/>
                    <w:overflowPunct/>
                    <w:topLinePunct w:val="0"/>
                    <w:autoSpaceDE w:val="0"/>
                    <w:autoSpaceDN w:val="0"/>
                    <w:bidi w:val="0"/>
                    <w:adjustRightInd w:val="0"/>
                    <w:snapToGrid w:val="0"/>
                    <w:spacing w:beforeAutospacing="0"/>
                    <w:jc w:val="center"/>
                    <w:textAlignment w:val="auto"/>
                    <w:rPr>
                      <w:rFonts w:hint="eastAsia" w:ascii="宋体" w:hAnsi="宋体" w:eastAsia="宋体" w:cs="宋体"/>
                      <w:b w:val="0"/>
                      <w:bCs w:val="0"/>
                      <w:color w:val="000000"/>
                      <w:sz w:val="21"/>
                      <w:szCs w:val="21"/>
                      <w:lang w:val="en-US" w:eastAsia="zh-CN"/>
                    </w:rPr>
                  </w:pPr>
                  <w:r>
                    <w:rPr>
                      <w:rFonts w:hint="eastAsia" w:ascii="宋体" w:hAnsi="宋体" w:eastAsia="宋体" w:cs="宋体"/>
                      <w:b w:val="0"/>
                      <w:bCs w:val="0"/>
                      <w:color w:val="000000"/>
                      <w:sz w:val="21"/>
                      <w:szCs w:val="21"/>
                      <w:lang w:val="en-US" w:eastAsia="zh-CN"/>
                    </w:rPr>
                    <w:t>文件要求</w:t>
                  </w:r>
                </w:p>
              </w:tc>
              <w:tc>
                <w:tcPr>
                  <w:tcW w:w="1221" w:type="pct"/>
                  <w:tcBorders>
                    <w:tl2br w:val="nil"/>
                    <w:tr2bl w:val="nil"/>
                  </w:tcBorders>
                  <w:noWrap w:val="0"/>
                  <w:vAlign w:val="center"/>
                </w:tcPr>
                <w:p w14:paraId="6E8962A0">
                  <w:pPr>
                    <w:keepNext w:val="0"/>
                    <w:keepLines w:val="0"/>
                    <w:pageBreakBefore w:val="0"/>
                    <w:widowControl w:val="0"/>
                    <w:kinsoku/>
                    <w:wordWrap/>
                    <w:overflowPunct/>
                    <w:topLinePunct w:val="0"/>
                    <w:autoSpaceDE w:val="0"/>
                    <w:autoSpaceDN w:val="0"/>
                    <w:bidi w:val="0"/>
                    <w:adjustRightInd w:val="0"/>
                    <w:snapToGrid w:val="0"/>
                    <w:jc w:val="center"/>
                    <w:textAlignment w:val="auto"/>
                    <w:rPr>
                      <w:rFonts w:hint="eastAsia" w:ascii="宋体" w:hAnsi="宋体" w:eastAsia="宋体" w:cs="宋体"/>
                      <w:b w:val="0"/>
                      <w:bCs w:val="0"/>
                      <w:color w:val="000000"/>
                      <w:sz w:val="21"/>
                      <w:szCs w:val="21"/>
                      <w:lang w:val="en-US" w:eastAsia="zh-CN"/>
                    </w:rPr>
                  </w:pPr>
                  <w:r>
                    <w:rPr>
                      <w:rFonts w:hint="eastAsia" w:ascii="宋体" w:hAnsi="宋体" w:eastAsia="宋体" w:cs="宋体"/>
                      <w:b w:val="0"/>
                      <w:bCs w:val="0"/>
                      <w:color w:val="000000"/>
                      <w:sz w:val="21"/>
                      <w:szCs w:val="21"/>
                      <w:lang w:val="en-US" w:eastAsia="zh-CN"/>
                    </w:rPr>
                    <w:t>本项目情况</w:t>
                  </w:r>
                </w:p>
              </w:tc>
              <w:tc>
                <w:tcPr>
                  <w:tcW w:w="377" w:type="pct"/>
                  <w:tcBorders>
                    <w:tl2br w:val="nil"/>
                    <w:tr2bl w:val="nil"/>
                  </w:tcBorders>
                  <w:noWrap w:val="0"/>
                  <w:vAlign w:val="center"/>
                </w:tcPr>
                <w:p w14:paraId="54033A1A">
                  <w:pPr>
                    <w:keepNext w:val="0"/>
                    <w:keepLines w:val="0"/>
                    <w:pageBreakBefore w:val="0"/>
                    <w:widowControl w:val="0"/>
                    <w:kinsoku/>
                    <w:wordWrap/>
                    <w:overflowPunct/>
                    <w:topLinePunct w:val="0"/>
                    <w:autoSpaceDE w:val="0"/>
                    <w:autoSpaceDN w:val="0"/>
                    <w:bidi w:val="0"/>
                    <w:adjustRightInd w:val="0"/>
                    <w:snapToGrid w:val="0"/>
                    <w:jc w:val="center"/>
                    <w:textAlignment w:val="auto"/>
                    <w:rPr>
                      <w:rFonts w:hint="eastAsia" w:ascii="宋体" w:hAnsi="宋体" w:eastAsia="宋体" w:cs="宋体"/>
                      <w:b w:val="0"/>
                      <w:bCs w:val="0"/>
                      <w:color w:val="000000"/>
                      <w:sz w:val="21"/>
                      <w:szCs w:val="21"/>
                      <w:lang w:val="en-US" w:eastAsia="zh-CN"/>
                    </w:rPr>
                  </w:pPr>
                  <w:r>
                    <w:rPr>
                      <w:rFonts w:hint="eastAsia" w:ascii="宋体" w:hAnsi="宋体" w:eastAsia="宋体" w:cs="宋体"/>
                      <w:b w:val="0"/>
                      <w:bCs w:val="0"/>
                      <w:color w:val="000000"/>
                      <w:sz w:val="21"/>
                      <w:szCs w:val="21"/>
                      <w:lang w:val="en-US" w:eastAsia="zh-CN"/>
                    </w:rPr>
                    <w:t>符合性</w:t>
                  </w:r>
                </w:p>
              </w:tc>
            </w:tr>
            <w:tr w14:paraId="4F24C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 w:type="pct"/>
                  <w:vMerge w:val="restart"/>
                  <w:tcBorders>
                    <w:tl2br w:val="nil"/>
                    <w:tr2bl w:val="nil"/>
                  </w:tcBorders>
                  <w:noWrap w:val="0"/>
                  <w:vAlign w:val="center"/>
                </w:tcPr>
                <w:p w14:paraId="113B3C72">
                  <w:pPr>
                    <w:keepNext w:val="0"/>
                    <w:keepLines w:val="0"/>
                    <w:pageBreakBefore w:val="0"/>
                    <w:widowControl w:val="0"/>
                    <w:kinsoku/>
                    <w:wordWrap/>
                    <w:overflowPunct/>
                    <w:topLinePunct w:val="0"/>
                    <w:autoSpaceDE w:val="0"/>
                    <w:autoSpaceDN w:val="0"/>
                    <w:bidi w:val="0"/>
                    <w:adjustRightInd w:val="0"/>
                    <w:snapToGrid w:val="0"/>
                    <w:jc w:val="center"/>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总体管控要求</w:t>
                  </w:r>
                </w:p>
              </w:tc>
              <w:tc>
                <w:tcPr>
                  <w:tcW w:w="340" w:type="pct"/>
                  <w:tcBorders>
                    <w:tl2br w:val="nil"/>
                    <w:tr2bl w:val="nil"/>
                  </w:tcBorders>
                  <w:noWrap w:val="0"/>
                  <w:vAlign w:val="center"/>
                </w:tcPr>
                <w:p w14:paraId="09A9B147">
                  <w:pPr>
                    <w:keepNext w:val="0"/>
                    <w:keepLines w:val="0"/>
                    <w:pageBreakBefore w:val="0"/>
                    <w:widowControl w:val="0"/>
                    <w:kinsoku/>
                    <w:wordWrap/>
                    <w:overflowPunct/>
                    <w:topLinePunct w:val="0"/>
                    <w:autoSpaceDE w:val="0"/>
                    <w:autoSpaceDN w:val="0"/>
                    <w:bidi w:val="0"/>
                    <w:adjustRightInd w:val="0"/>
                    <w:snapToGrid w:val="0"/>
                    <w:jc w:val="center"/>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空间布局约束</w:t>
                  </w:r>
                </w:p>
              </w:tc>
              <w:tc>
                <w:tcPr>
                  <w:tcW w:w="2721" w:type="pct"/>
                  <w:tcBorders>
                    <w:tl2br w:val="nil"/>
                    <w:tr2bl w:val="nil"/>
                  </w:tcBorders>
                  <w:noWrap w:val="0"/>
                  <w:vAlign w:val="center"/>
                </w:tcPr>
                <w:p w14:paraId="375A1893">
                  <w:pPr>
                    <w:keepNext w:val="0"/>
                    <w:keepLines w:val="0"/>
                    <w:pageBreakBefore w:val="0"/>
                    <w:widowControl w:val="0"/>
                    <w:kinsoku/>
                    <w:wordWrap/>
                    <w:overflowPunct/>
                    <w:topLinePunct w:val="0"/>
                    <w:autoSpaceDE w:val="0"/>
                    <w:autoSpaceDN w:val="0"/>
                    <w:bidi w:val="0"/>
                    <w:adjustRightInd w:val="0"/>
                    <w:snapToGrid w:val="0"/>
                    <w:jc w:val="both"/>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严格执行国家、自治区产业政策和环境准入要求，严禁“三高”项目进入新疆维吾尔自治区，坚决遏制“两高”项目盲目发展。不得在水源涵养区、饮用水水源保护区内和河流、湖泊、水库周围建设重化工、涉重金属等工业污染项目。推动项目集聚发展，新建、改建、扩建工业项目原则上应布置于由县级及以上人民政府批准建立、环境保护基础设施完善的产业园区、工业聚集区或规划矿区，并且符合相关规划和规划环评要求。</w:t>
                  </w:r>
                </w:p>
              </w:tc>
              <w:tc>
                <w:tcPr>
                  <w:tcW w:w="1221" w:type="pct"/>
                  <w:tcBorders>
                    <w:tl2br w:val="nil"/>
                    <w:tr2bl w:val="nil"/>
                  </w:tcBorders>
                  <w:noWrap w:val="0"/>
                  <w:vAlign w:val="center"/>
                </w:tcPr>
                <w:p w14:paraId="211D1B34">
                  <w:pPr>
                    <w:keepNext w:val="0"/>
                    <w:keepLines w:val="0"/>
                    <w:pageBreakBefore w:val="0"/>
                    <w:widowControl w:val="0"/>
                    <w:kinsoku/>
                    <w:wordWrap/>
                    <w:overflowPunct/>
                    <w:topLinePunct w:val="0"/>
                    <w:autoSpaceDE w:val="0"/>
                    <w:autoSpaceDN w:val="0"/>
                    <w:bidi w:val="0"/>
                    <w:adjustRightInd w:val="0"/>
                    <w:snapToGrid w:val="0"/>
                    <w:jc w:val="both"/>
                    <w:textAlignment w:val="auto"/>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本项目属于“N7723固体废物治理行业”，不属于“三高”项目，不属于重化工、涉重金属等工业污染项目，周围无水源涵养区、饮用水水源保护区，符合空间布局约束要求。</w:t>
                  </w:r>
                </w:p>
              </w:tc>
              <w:tc>
                <w:tcPr>
                  <w:tcW w:w="377" w:type="pct"/>
                  <w:tcBorders>
                    <w:tl2br w:val="nil"/>
                    <w:tr2bl w:val="nil"/>
                  </w:tcBorders>
                  <w:noWrap w:val="0"/>
                  <w:vAlign w:val="center"/>
                </w:tcPr>
                <w:p w14:paraId="51E371D2">
                  <w:pPr>
                    <w:keepNext w:val="0"/>
                    <w:keepLines w:val="0"/>
                    <w:pageBreakBefore w:val="0"/>
                    <w:widowControl w:val="0"/>
                    <w:kinsoku/>
                    <w:wordWrap/>
                    <w:overflowPunct/>
                    <w:topLinePunct w:val="0"/>
                    <w:autoSpaceDE w:val="0"/>
                    <w:autoSpaceDN w:val="0"/>
                    <w:bidi w:val="0"/>
                    <w:adjustRightInd w:val="0"/>
                    <w:snapToGrid w:val="0"/>
                    <w:jc w:val="center"/>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符合</w:t>
                  </w:r>
                </w:p>
              </w:tc>
            </w:tr>
            <w:tr w14:paraId="52BDD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 w:type="pct"/>
                  <w:vMerge w:val="continue"/>
                  <w:tcBorders>
                    <w:tl2br w:val="nil"/>
                    <w:tr2bl w:val="nil"/>
                  </w:tcBorders>
                  <w:noWrap w:val="0"/>
                  <w:vAlign w:val="center"/>
                </w:tcPr>
                <w:p w14:paraId="46DC6AED">
                  <w:pPr>
                    <w:keepNext w:val="0"/>
                    <w:keepLines w:val="0"/>
                    <w:pageBreakBefore w:val="0"/>
                    <w:widowControl w:val="0"/>
                    <w:kinsoku/>
                    <w:wordWrap/>
                    <w:overflowPunct/>
                    <w:topLinePunct w:val="0"/>
                    <w:autoSpaceDE w:val="0"/>
                    <w:autoSpaceDN w:val="0"/>
                    <w:bidi w:val="0"/>
                    <w:adjustRightInd w:val="0"/>
                    <w:snapToGrid w:val="0"/>
                    <w:jc w:val="center"/>
                    <w:textAlignment w:val="auto"/>
                    <w:rPr>
                      <w:rFonts w:hint="eastAsia" w:ascii="宋体" w:hAnsi="宋体" w:eastAsia="宋体" w:cs="宋体"/>
                      <w:color w:val="000000"/>
                      <w:sz w:val="21"/>
                      <w:szCs w:val="21"/>
                      <w:lang w:val="en-US" w:eastAsia="zh-CN"/>
                    </w:rPr>
                  </w:pPr>
                </w:p>
              </w:tc>
              <w:tc>
                <w:tcPr>
                  <w:tcW w:w="340" w:type="pct"/>
                  <w:tcBorders>
                    <w:tl2br w:val="nil"/>
                    <w:tr2bl w:val="nil"/>
                  </w:tcBorders>
                  <w:noWrap w:val="0"/>
                  <w:vAlign w:val="center"/>
                </w:tcPr>
                <w:p w14:paraId="08BB638C">
                  <w:pPr>
                    <w:keepNext w:val="0"/>
                    <w:keepLines w:val="0"/>
                    <w:pageBreakBefore w:val="0"/>
                    <w:widowControl w:val="0"/>
                    <w:kinsoku/>
                    <w:wordWrap/>
                    <w:overflowPunct/>
                    <w:topLinePunct w:val="0"/>
                    <w:autoSpaceDE w:val="0"/>
                    <w:autoSpaceDN w:val="0"/>
                    <w:bidi w:val="0"/>
                    <w:adjustRightInd w:val="0"/>
                    <w:snapToGrid w:val="0"/>
                    <w:jc w:val="center"/>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污染物排放管控</w:t>
                  </w:r>
                </w:p>
              </w:tc>
              <w:tc>
                <w:tcPr>
                  <w:tcW w:w="2721" w:type="pct"/>
                  <w:tcBorders>
                    <w:tl2br w:val="nil"/>
                    <w:tr2bl w:val="nil"/>
                  </w:tcBorders>
                  <w:noWrap w:val="0"/>
                  <w:vAlign w:val="center"/>
                </w:tcPr>
                <w:p w14:paraId="54076635">
                  <w:pPr>
                    <w:keepNext w:val="0"/>
                    <w:keepLines w:val="0"/>
                    <w:pageBreakBefore w:val="0"/>
                    <w:widowControl w:val="0"/>
                    <w:kinsoku/>
                    <w:wordWrap/>
                    <w:overflowPunct/>
                    <w:topLinePunct w:val="0"/>
                    <w:autoSpaceDE w:val="0"/>
                    <w:autoSpaceDN w:val="0"/>
                    <w:bidi w:val="0"/>
                    <w:adjustRightInd w:val="0"/>
                    <w:snapToGrid w:val="0"/>
                    <w:jc w:val="both"/>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深化行业污染源头治理，深入开展火电行业减排，全力推进钢铁行业超低排放改造，有序推进石化行业“泄漏检测与修复”技术改造。强化煤化工、石化、有机化工、表面涂装、包装印刷等重点行业挥发性有机物控制。深入开展燃煤锅炉污染综合整治，深化工业炉窑综合治理。加强“散乱污”企业综合整治。优化区域交通运输结构，加快货物运输绿色转型，做好车油联合管控。以改善流域水环境质量为核心，强化源头控制，“一河（湖）一策”精准施治，减少水污染物排放，持续改善水环境质量，强化园区（工业集聚区）水污染防治，不断提高工业用水重复利用率。加快实施城镇污水处理设施提质增效，补齐生活污水收集和处理设施短板，提高再生水回用比例。持续推进农业农村污染防治。提升土壤环境监管能力，加强污染地块安全利用监管。强化工矿用地管理，严格建设用地土壤环境风险管控。加强农用地土壤污染源头控制，科学施用化肥农药，提高农膜回收率。</w:t>
                  </w:r>
                </w:p>
              </w:tc>
              <w:tc>
                <w:tcPr>
                  <w:tcW w:w="1221" w:type="pct"/>
                  <w:tcBorders>
                    <w:tl2br w:val="nil"/>
                    <w:tr2bl w:val="nil"/>
                  </w:tcBorders>
                  <w:noWrap w:val="0"/>
                  <w:vAlign w:val="center"/>
                </w:tcPr>
                <w:p w14:paraId="0D48CA9A">
                  <w:pPr>
                    <w:keepNext w:val="0"/>
                    <w:keepLines w:val="0"/>
                    <w:pageBreakBefore w:val="0"/>
                    <w:widowControl w:val="0"/>
                    <w:kinsoku/>
                    <w:wordWrap/>
                    <w:overflowPunct/>
                    <w:topLinePunct w:val="0"/>
                    <w:autoSpaceDE w:val="0"/>
                    <w:autoSpaceDN w:val="0"/>
                    <w:bidi w:val="0"/>
                    <w:adjustRightInd w:val="0"/>
                    <w:snapToGrid w:val="0"/>
                    <w:jc w:val="both"/>
                    <w:textAlignment w:val="auto"/>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本项目属于“N7723固体废物治理行业”，本项目生活污水经一体化污水处理设施处理后，达到《农村生活污水处理排放标准》（DB654275-2019）表2的B级标准，</w:t>
                  </w:r>
                  <w:r>
                    <w:rPr>
                      <w:rFonts w:hint="eastAsia" w:ascii="Times New Roman" w:hAnsi="Times New Roman" w:eastAsia="宋体" w:cs="Times New Roman"/>
                      <w:color w:val="auto"/>
                      <w:sz w:val="21"/>
                      <w:szCs w:val="21"/>
                      <w:vertAlign w:val="baseline"/>
                      <w:lang w:val="en-US" w:eastAsia="zh-CN"/>
                    </w:rPr>
                    <w:t>冬储夏灌</w:t>
                  </w:r>
                  <w:r>
                    <w:rPr>
                      <w:rFonts w:hint="eastAsia" w:cs="Times New Roman"/>
                      <w:color w:val="auto"/>
                      <w:sz w:val="21"/>
                      <w:szCs w:val="21"/>
                      <w:vertAlign w:val="baseline"/>
                      <w:lang w:val="en-US" w:eastAsia="zh-CN"/>
                    </w:rPr>
                    <w:t>，</w:t>
                  </w:r>
                  <w:r>
                    <w:rPr>
                      <w:rFonts w:hint="default" w:ascii="Times New Roman" w:hAnsi="Times New Roman" w:eastAsia="宋体" w:cs="Times New Roman"/>
                      <w:color w:val="000000"/>
                      <w:sz w:val="21"/>
                      <w:szCs w:val="21"/>
                      <w:lang w:val="en-US" w:eastAsia="zh-CN"/>
                    </w:rPr>
                    <w:t>用于荒漠灌溉，生产用水循环使用，不外排。生产、生活供热使用空气能热泵供热（电驱）。</w:t>
                  </w:r>
                </w:p>
              </w:tc>
              <w:tc>
                <w:tcPr>
                  <w:tcW w:w="377" w:type="pct"/>
                  <w:tcBorders>
                    <w:tl2br w:val="nil"/>
                    <w:tr2bl w:val="nil"/>
                  </w:tcBorders>
                  <w:noWrap w:val="0"/>
                  <w:vAlign w:val="center"/>
                </w:tcPr>
                <w:p w14:paraId="31C11156">
                  <w:pPr>
                    <w:keepNext w:val="0"/>
                    <w:keepLines w:val="0"/>
                    <w:pageBreakBefore w:val="0"/>
                    <w:widowControl w:val="0"/>
                    <w:kinsoku/>
                    <w:wordWrap/>
                    <w:overflowPunct/>
                    <w:topLinePunct w:val="0"/>
                    <w:autoSpaceDE w:val="0"/>
                    <w:autoSpaceDN w:val="0"/>
                    <w:bidi w:val="0"/>
                    <w:adjustRightInd w:val="0"/>
                    <w:snapToGrid w:val="0"/>
                    <w:jc w:val="center"/>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符合</w:t>
                  </w:r>
                </w:p>
              </w:tc>
            </w:tr>
            <w:tr w14:paraId="35102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trPr>
              <w:tc>
                <w:tcPr>
                  <w:tcW w:w="339" w:type="pct"/>
                  <w:vMerge w:val="continue"/>
                  <w:tcBorders>
                    <w:tl2br w:val="nil"/>
                    <w:tr2bl w:val="nil"/>
                  </w:tcBorders>
                  <w:noWrap w:val="0"/>
                  <w:vAlign w:val="center"/>
                </w:tcPr>
                <w:p w14:paraId="3939F64A">
                  <w:pPr>
                    <w:keepNext w:val="0"/>
                    <w:keepLines w:val="0"/>
                    <w:pageBreakBefore w:val="0"/>
                    <w:widowControl w:val="0"/>
                    <w:kinsoku/>
                    <w:wordWrap/>
                    <w:overflowPunct/>
                    <w:topLinePunct w:val="0"/>
                    <w:autoSpaceDE w:val="0"/>
                    <w:autoSpaceDN w:val="0"/>
                    <w:bidi w:val="0"/>
                    <w:adjustRightInd w:val="0"/>
                    <w:snapToGrid w:val="0"/>
                    <w:jc w:val="center"/>
                    <w:textAlignment w:val="auto"/>
                    <w:rPr>
                      <w:rFonts w:hint="eastAsia" w:ascii="宋体" w:hAnsi="宋体" w:eastAsia="宋体" w:cs="宋体"/>
                      <w:color w:val="000000"/>
                      <w:sz w:val="21"/>
                      <w:szCs w:val="21"/>
                      <w:lang w:val="en-US" w:eastAsia="zh-CN"/>
                    </w:rPr>
                  </w:pPr>
                </w:p>
              </w:tc>
              <w:tc>
                <w:tcPr>
                  <w:tcW w:w="340" w:type="pct"/>
                  <w:tcBorders>
                    <w:tl2br w:val="nil"/>
                    <w:tr2bl w:val="nil"/>
                  </w:tcBorders>
                  <w:noWrap w:val="0"/>
                  <w:vAlign w:val="center"/>
                </w:tcPr>
                <w:p w14:paraId="5FD91662">
                  <w:pPr>
                    <w:keepNext w:val="0"/>
                    <w:keepLines w:val="0"/>
                    <w:pageBreakBefore w:val="0"/>
                    <w:widowControl w:val="0"/>
                    <w:kinsoku/>
                    <w:wordWrap/>
                    <w:overflowPunct/>
                    <w:topLinePunct w:val="0"/>
                    <w:autoSpaceDE w:val="0"/>
                    <w:autoSpaceDN w:val="0"/>
                    <w:bidi w:val="0"/>
                    <w:adjustRightInd w:val="0"/>
                    <w:snapToGrid w:val="0"/>
                    <w:jc w:val="center"/>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环境风险防控</w:t>
                  </w:r>
                </w:p>
              </w:tc>
              <w:tc>
                <w:tcPr>
                  <w:tcW w:w="2721" w:type="pct"/>
                  <w:tcBorders>
                    <w:tl2br w:val="nil"/>
                    <w:tr2bl w:val="nil"/>
                  </w:tcBorders>
                  <w:noWrap w:val="0"/>
                  <w:vAlign w:val="center"/>
                </w:tcPr>
                <w:p w14:paraId="6C905BDF">
                  <w:pPr>
                    <w:keepNext w:val="0"/>
                    <w:keepLines w:val="0"/>
                    <w:pageBreakBefore w:val="0"/>
                    <w:widowControl w:val="0"/>
                    <w:kinsoku/>
                    <w:wordWrap/>
                    <w:overflowPunct/>
                    <w:topLinePunct w:val="0"/>
                    <w:autoSpaceDE w:val="0"/>
                    <w:autoSpaceDN w:val="0"/>
                    <w:bidi w:val="0"/>
                    <w:adjustRightInd w:val="0"/>
                    <w:snapToGrid w:val="0"/>
                    <w:jc w:val="both"/>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禁止在化工园区外新建、扩建危险化学品生产项目。严格落实危险废物处置相关要求。加强重点流域水环境风险管控，保障水环境安全。</w:t>
                  </w:r>
                </w:p>
              </w:tc>
              <w:tc>
                <w:tcPr>
                  <w:tcW w:w="1221" w:type="pct"/>
                  <w:tcBorders>
                    <w:tl2br w:val="nil"/>
                    <w:tr2bl w:val="nil"/>
                  </w:tcBorders>
                  <w:noWrap w:val="0"/>
                  <w:vAlign w:val="center"/>
                </w:tcPr>
                <w:p w14:paraId="00E27E0B">
                  <w:pPr>
                    <w:keepNext w:val="0"/>
                    <w:keepLines w:val="0"/>
                    <w:pageBreakBefore w:val="0"/>
                    <w:widowControl w:val="0"/>
                    <w:kinsoku/>
                    <w:wordWrap/>
                    <w:overflowPunct/>
                    <w:topLinePunct w:val="0"/>
                    <w:autoSpaceDE w:val="0"/>
                    <w:autoSpaceDN w:val="0"/>
                    <w:bidi w:val="0"/>
                    <w:adjustRightInd w:val="0"/>
                    <w:snapToGrid w:val="0"/>
                    <w:jc w:val="both"/>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本项目不属于危险化学品生产项目。不属于重点流域水环境风险管控区。</w:t>
                  </w:r>
                </w:p>
              </w:tc>
              <w:tc>
                <w:tcPr>
                  <w:tcW w:w="377" w:type="pct"/>
                  <w:tcBorders>
                    <w:tl2br w:val="nil"/>
                    <w:tr2bl w:val="nil"/>
                  </w:tcBorders>
                  <w:noWrap w:val="0"/>
                  <w:vAlign w:val="center"/>
                </w:tcPr>
                <w:p w14:paraId="740F0F8C">
                  <w:pPr>
                    <w:keepNext w:val="0"/>
                    <w:keepLines w:val="0"/>
                    <w:pageBreakBefore w:val="0"/>
                    <w:widowControl w:val="0"/>
                    <w:kinsoku/>
                    <w:wordWrap/>
                    <w:overflowPunct/>
                    <w:topLinePunct w:val="0"/>
                    <w:autoSpaceDE w:val="0"/>
                    <w:autoSpaceDN w:val="0"/>
                    <w:bidi w:val="0"/>
                    <w:adjustRightInd w:val="0"/>
                    <w:snapToGrid w:val="0"/>
                    <w:jc w:val="center"/>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符合</w:t>
                  </w:r>
                </w:p>
              </w:tc>
            </w:tr>
            <w:tr w14:paraId="417E4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 w:type="pct"/>
                  <w:vMerge w:val="continue"/>
                  <w:tcBorders>
                    <w:tl2br w:val="nil"/>
                    <w:tr2bl w:val="nil"/>
                  </w:tcBorders>
                  <w:noWrap w:val="0"/>
                  <w:vAlign w:val="center"/>
                </w:tcPr>
                <w:p w14:paraId="63AAFCA8">
                  <w:pPr>
                    <w:keepNext w:val="0"/>
                    <w:keepLines w:val="0"/>
                    <w:pageBreakBefore w:val="0"/>
                    <w:widowControl w:val="0"/>
                    <w:kinsoku/>
                    <w:wordWrap/>
                    <w:overflowPunct/>
                    <w:topLinePunct w:val="0"/>
                    <w:autoSpaceDE w:val="0"/>
                    <w:autoSpaceDN w:val="0"/>
                    <w:bidi w:val="0"/>
                    <w:adjustRightInd w:val="0"/>
                    <w:snapToGrid w:val="0"/>
                    <w:jc w:val="center"/>
                    <w:textAlignment w:val="auto"/>
                    <w:rPr>
                      <w:rFonts w:hint="eastAsia" w:ascii="宋体" w:hAnsi="宋体" w:eastAsia="宋体" w:cs="宋体"/>
                      <w:color w:val="000000"/>
                      <w:sz w:val="21"/>
                      <w:szCs w:val="21"/>
                      <w:lang w:val="en-US" w:eastAsia="zh-CN"/>
                    </w:rPr>
                  </w:pPr>
                </w:p>
              </w:tc>
              <w:tc>
                <w:tcPr>
                  <w:tcW w:w="340" w:type="pct"/>
                  <w:tcBorders>
                    <w:tl2br w:val="nil"/>
                    <w:tr2bl w:val="nil"/>
                  </w:tcBorders>
                  <w:noWrap w:val="0"/>
                  <w:vAlign w:val="center"/>
                </w:tcPr>
                <w:p w14:paraId="5588FE38">
                  <w:pPr>
                    <w:keepNext w:val="0"/>
                    <w:keepLines w:val="0"/>
                    <w:pageBreakBefore w:val="0"/>
                    <w:widowControl w:val="0"/>
                    <w:kinsoku/>
                    <w:wordWrap/>
                    <w:overflowPunct/>
                    <w:topLinePunct w:val="0"/>
                    <w:autoSpaceDE w:val="0"/>
                    <w:autoSpaceDN w:val="0"/>
                    <w:bidi w:val="0"/>
                    <w:adjustRightInd w:val="0"/>
                    <w:snapToGrid w:val="0"/>
                    <w:jc w:val="center"/>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资源利用效率</w:t>
                  </w:r>
                </w:p>
              </w:tc>
              <w:tc>
                <w:tcPr>
                  <w:tcW w:w="2721" w:type="pct"/>
                  <w:tcBorders>
                    <w:tl2br w:val="nil"/>
                    <w:tr2bl w:val="nil"/>
                  </w:tcBorders>
                  <w:noWrap w:val="0"/>
                  <w:vAlign w:val="center"/>
                </w:tcPr>
                <w:p w14:paraId="363F1925">
                  <w:pPr>
                    <w:keepNext w:val="0"/>
                    <w:keepLines w:val="0"/>
                    <w:pageBreakBefore w:val="0"/>
                    <w:widowControl w:val="0"/>
                    <w:kinsoku/>
                    <w:wordWrap/>
                    <w:overflowPunct/>
                    <w:topLinePunct w:val="0"/>
                    <w:autoSpaceDE w:val="0"/>
                    <w:autoSpaceDN w:val="0"/>
                    <w:bidi w:val="0"/>
                    <w:adjustRightInd w:val="0"/>
                    <w:snapToGrid w:val="0"/>
                    <w:jc w:val="both"/>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优化能源结构，控制煤炭等化石能源使用量，鼓励使用清洁能源，协同推进减污降碳。全面实施节水工程，合理开发利用水资源，提升水资源利用效率，保障生态用水，严防地下水超采。</w:t>
                  </w:r>
                </w:p>
              </w:tc>
              <w:tc>
                <w:tcPr>
                  <w:tcW w:w="1221" w:type="pct"/>
                  <w:tcBorders>
                    <w:tl2br w:val="nil"/>
                    <w:tr2bl w:val="nil"/>
                  </w:tcBorders>
                  <w:noWrap w:val="0"/>
                  <w:vAlign w:val="center"/>
                </w:tcPr>
                <w:p w14:paraId="7D12A179">
                  <w:pPr>
                    <w:keepNext w:val="0"/>
                    <w:keepLines w:val="0"/>
                    <w:pageBreakBefore w:val="0"/>
                    <w:widowControl w:val="0"/>
                    <w:kinsoku/>
                    <w:wordWrap/>
                    <w:overflowPunct/>
                    <w:topLinePunct w:val="0"/>
                    <w:autoSpaceDE w:val="0"/>
                    <w:autoSpaceDN w:val="0"/>
                    <w:bidi w:val="0"/>
                    <w:adjustRightInd w:val="0"/>
                    <w:snapToGrid w:val="0"/>
                    <w:jc w:val="both"/>
                    <w:textAlignment w:val="auto"/>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本项目消耗能源主要为电，生活、生活用水利用市政管网供水，生产用水循环使用，不开采地下水。</w:t>
                  </w:r>
                </w:p>
              </w:tc>
              <w:tc>
                <w:tcPr>
                  <w:tcW w:w="377" w:type="pct"/>
                  <w:tcBorders>
                    <w:tl2br w:val="nil"/>
                    <w:tr2bl w:val="nil"/>
                  </w:tcBorders>
                  <w:noWrap w:val="0"/>
                  <w:vAlign w:val="center"/>
                </w:tcPr>
                <w:p w14:paraId="7D21598D">
                  <w:pPr>
                    <w:keepNext w:val="0"/>
                    <w:keepLines w:val="0"/>
                    <w:pageBreakBefore w:val="0"/>
                    <w:widowControl w:val="0"/>
                    <w:kinsoku/>
                    <w:wordWrap/>
                    <w:overflowPunct/>
                    <w:topLinePunct w:val="0"/>
                    <w:autoSpaceDE w:val="0"/>
                    <w:autoSpaceDN w:val="0"/>
                    <w:bidi w:val="0"/>
                    <w:adjustRightInd w:val="0"/>
                    <w:snapToGrid w:val="0"/>
                    <w:jc w:val="center"/>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符合</w:t>
                  </w:r>
                </w:p>
              </w:tc>
            </w:tr>
          </w:tbl>
          <w:p w14:paraId="44001271">
            <w:pPr>
              <w:pStyle w:val="24"/>
              <w:keepNext w:val="0"/>
              <w:keepLines w:val="0"/>
              <w:pageBreakBefore w:val="0"/>
              <w:widowControl w:val="0"/>
              <w:numPr>
                <w:ilvl w:val="0"/>
                <w:numId w:val="0"/>
              </w:numPr>
              <w:kinsoku/>
              <w:wordWrap/>
              <w:overflowPunct/>
              <w:topLinePunct w:val="0"/>
              <w:autoSpaceDE/>
              <w:autoSpaceDN/>
              <w:bidi w:val="0"/>
              <w:adjustRightInd/>
              <w:snapToGrid/>
              <w:spacing w:after="0" w:afterLines="0" w:afterAutospacing="0" w:line="440" w:lineRule="exact"/>
              <w:ind w:left="0" w:leftChars="0" w:firstLine="480" w:firstLineChars="200"/>
              <w:jc w:val="both"/>
              <w:textAlignment w:val="auto"/>
              <w:rPr>
                <w:rFonts w:hint="default" w:ascii="Times New Roman" w:hAnsi="Times New Roman" w:eastAsia="宋体" w:cs="Times New Roman"/>
                <w:b w:val="0"/>
                <w:bCs w:val="0"/>
                <w:color w:val="000000"/>
                <w:kern w:val="2"/>
                <w:sz w:val="24"/>
                <w:szCs w:val="24"/>
                <w:highlight w:val="none"/>
                <w:lang w:val="en-US" w:eastAsia="zh-CN" w:bidi="ar-SA"/>
              </w:rPr>
            </w:pPr>
            <w:r>
              <w:rPr>
                <w:rFonts w:hint="default" w:ascii="Times New Roman" w:hAnsi="Times New Roman" w:eastAsia="宋体" w:cs="Times New Roman"/>
                <w:b w:val="0"/>
                <w:bCs w:val="0"/>
                <w:color w:val="000000"/>
                <w:kern w:val="2"/>
                <w:sz w:val="24"/>
                <w:szCs w:val="24"/>
                <w:lang w:val="en-US" w:eastAsia="zh-CN" w:bidi="ar-SA"/>
              </w:rPr>
              <w:t>（3）</w:t>
            </w:r>
            <w:r>
              <w:rPr>
                <w:rFonts w:hint="default" w:ascii="Times New Roman" w:hAnsi="Times New Roman" w:eastAsia="宋体" w:cs="Times New Roman"/>
                <w:b w:val="0"/>
                <w:bCs w:val="0"/>
                <w:color w:val="000000"/>
                <w:kern w:val="0"/>
                <w:sz w:val="24"/>
                <w:szCs w:val="24"/>
                <w:lang w:val="en-US" w:eastAsia="zh-CN" w:bidi="ar-SA"/>
              </w:rPr>
              <w:t>与</w:t>
            </w:r>
            <w:r>
              <w:rPr>
                <w:rFonts w:hint="default" w:ascii="Times New Roman" w:hAnsi="Times New Roman" w:eastAsia="宋体" w:cs="Times New Roman"/>
                <w:b w:val="0"/>
                <w:bCs w:val="0"/>
                <w:color w:val="000000"/>
                <w:sz w:val="24"/>
                <w:szCs w:val="24"/>
                <w:highlight w:val="none"/>
                <w:lang w:eastAsia="zh-CN"/>
              </w:rPr>
              <w:t>《</w:t>
            </w:r>
            <w:r>
              <w:rPr>
                <w:rFonts w:hint="default" w:ascii="Times New Roman" w:hAnsi="Times New Roman" w:eastAsia="宋体" w:cs="Times New Roman"/>
                <w:b w:val="0"/>
                <w:bCs w:val="0"/>
                <w:color w:val="000000"/>
                <w:sz w:val="24"/>
                <w:szCs w:val="24"/>
                <w:highlight w:val="none"/>
                <w:lang w:val="en-US" w:eastAsia="zh-CN"/>
              </w:rPr>
              <w:t>关于印发巴音郭楞蒙古自治州“三线一单”生态环境分区管控动态更新成果（2023年）的通知</w:t>
            </w:r>
            <w:r>
              <w:rPr>
                <w:rFonts w:hint="default" w:ascii="Times New Roman" w:hAnsi="Times New Roman" w:eastAsia="宋体" w:cs="Times New Roman"/>
                <w:b w:val="0"/>
                <w:bCs w:val="0"/>
                <w:color w:val="000000"/>
                <w:sz w:val="24"/>
                <w:szCs w:val="24"/>
                <w:highlight w:val="none"/>
                <w:lang w:eastAsia="zh-CN"/>
              </w:rPr>
              <w:t>》</w:t>
            </w:r>
            <w:r>
              <w:rPr>
                <w:rFonts w:hint="default" w:ascii="Times New Roman" w:hAnsi="Times New Roman" w:eastAsia="宋体" w:cs="Times New Roman"/>
                <w:b w:val="0"/>
                <w:bCs w:val="0"/>
                <w:color w:val="000000"/>
                <w:kern w:val="2"/>
                <w:sz w:val="24"/>
                <w:szCs w:val="24"/>
                <w:highlight w:val="none"/>
                <w:lang w:val="en-US" w:eastAsia="zh-CN" w:bidi="ar-SA"/>
              </w:rPr>
              <w:t>符合性分析</w:t>
            </w:r>
          </w:p>
          <w:p w14:paraId="6417B032">
            <w:pPr>
              <w:pStyle w:val="23"/>
              <w:keepNext w:val="0"/>
              <w:keepLines w:val="0"/>
              <w:pageBreakBefore w:val="0"/>
              <w:widowControl w:val="0"/>
              <w:numPr>
                <w:ilvl w:val="0"/>
                <w:numId w:val="0"/>
              </w:numPr>
              <w:kinsoku/>
              <w:wordWrap/>
              <w:overflowPunct/>
              <w:topLinePunct w:val="0"/>
              <w:autoSpaceDE/>
              <w:autoSpaceDN/>
              <w:bidi w:val="0"/>
              <w:adjustRightInd/>
              <w:snapToGrid w:val="0"/>
              <w:spacing w:before="0" w:after="0" w:line="440" w:lineRule="exact"/>
              <w:ind w:right="0" w:rightChars="0"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cs="Times New Roman"/>
                <w:sz w:val="24"/>
                <w:szCs w:val="24"/>
                <w:lang w:val="en-US" w:eastAsia="zh-CN"/>
              </w:rPr>
              <w:t>本项目处于库尔勒塔什店镇循环经济园区重点管控单元，环境管控单元编码：</w:t>
            </w:r>
            <w:r>
              <w:rPr>
                <w:rFonts w:hint="default" w:ascii="Times New Roman" w:hAnsi="Times New Roman" w:eastAsia="宋体" w:cs="Times New Roman"/>
                <w:b w:val="0"/>
                <w:bCs w:val="0"/>
                <w:color w:val="auto"/>
                <w:sz w:val="24"/>
                <w:szCs w:val="24"/>
                <w:lang w:val="en-US" w:eastAsia="zh-CN"/>
              </w:rPr>
              <w:t>ZH65280120014</w:t>
            </w:r>
            <w:r>
              <w:rPr>
                <w:rFonts w:hint="default" w:ascii="Times New Roman" w:hAnsi="Times New Roman" w:cs="Times New Roman"/>
                <w:sz w:val="24"/>
                <w:szCs w:val="24"/>
                <w:lang w:val="en-US" w:eastAsia="zh-CN"/>
              </w:rPr>
              <w:t>，</w:t>
            </w:r>
            <w:r>
              <w:rPr>
                <w:rFonts w:hint="default" w:ascii="Times New Roman" w:hAnsi="Times New Roman" w:eastAsia="宋体" w:cs="Times New Roman"/>
                <w:color w:val="000000"/>
                <w:sz w:val="24"/>
                <w:szCs w:val="24"/>
                <w:highlight w:val="none"/>
                <w:lang w:eastAsia="zh-CN"/>
              </w:rPr>
              <w:t>与</w:t>
            </w:r>
            <w:r>
              <w:rPr>
                <w:rFonts w:hint="default" w:ascii="Times New Roman" w:hAnsi="Times New Roman" w:cs="Times New Roman"/>
                <w:color w:val="000000"/>
                <w:sz w:val="24"/>
                <w:szCs w:val="24"/>
                <w:highlight w:val="none"/>
                <w:lang w:eastAsia="zh-CN"/>
              </w:rPr>
              <w:t>《</w:t>
            </w:r>
            <w:r>
              <w:rPr>
                <w:rFonts w:hint="default" w:ascii="Times New Roman" w:hAnsi="Times New Roman" w:cs="Times New Roman"/>
                <w:color w:val="000000"/>
                <w:sz w:val="24"/>
                <w:szCs w:val="24"/>
                <w:highlight w:val="none"/>
                <w:lang w:val="en-US" w:eastAsia="zh-CN"/>
              </w:rPr>
              <w:t>关于印发巴音郭楞蒙古自治州</w:t>
            </w:r>
            <w:r>
              <w:rPr>
                <w:rFonts w:hint="default" w:ascii="Times New Roman" w:hAnsi="Times New Roman" w:eastAsia="宋体" w:cs="Times New Roman"/>
                <w:color w:val="000000"/>
                <w:sz w:val="24"/>
                <w:szCs w:val="24"/>
                <w:highlight w:val="none"/>
                <w:lang w:val="en-US" w:eastAsia="zh-CN"/>
              </w:rPr>
              <w:t>“</w:t>
            </w:r>
            <w:r>
              <w:rPr>
                <w:rFonts w:hint="default" w:ascii="Times New Roman" w:hAnsi="Times New Roman" w:cs="Times New Roman"/>
                <w:color w:val="000000"/>
                <w:sz w:val="24"/>
                <w:szCs w:val="24"/>
                <w:highlight w:val="none"/>
                <w:lang w:val="en-US" w:eastAsia="zh-CN"/>
              </w:rPr>
              <w:t>三线一单</w:t>
            </w:r>
            <w:r>
              <w:rPr>
                <w:rFonts w:hint="default" w:ascii="Times New Roman" w:hAnsi="Times New Roman" w:eastAsia="宋体" w:cs="Times New Roman"/>
                <w:color w:val="000000"/>
                <w:sz w:val="24"/>
                <w:szCs w:val="24"/>
                <w:highlight w:val="none"/>
                <w:lang w:val="en-US" w:eastAsia="zh-CN"/>
              </w:rPr>
              <w:t>”</w:t>
            </w:r>
            <w:r>
              <w:rPr>
                <w:rFonts w:hint="default" w:ascii="Times New Roman" w:hAnsi="Times New Roman" w:cs="Times New Roman"/>
                <w:color w:val="000000"/>
                <w:sz w:val="24"/>
                <w:szCs w:val="24"/>
                <w:highlight w:val="none"/>
                <w:lang w:val="en-US" w:eastAsia="zh-CN"/>
              </w:rPr>
              <w:t>生态环境分区管控动态更新成果（2023年）的通知</w:t>
            </w:r>
            <w:r>
              <w:rPr>
                <w:rFonts w:hint="default" w:ascii="Times New Roman" w:hAnsi="Times New Roman" w:cs="Times New Roman"/>
                <w:color w:val="000000"/>
                <w:sz w:val="24"/>
                <w:szCs w:val="24"/>
                <w:highlight w:val="none"/>
                <w:lang w:eastAsia="zh-CN"/>
              </w:rPr>
              <w:t>》</w:t>
            </w:r>
            <w:r>
              <w:rPr>
                <w:rFonts w:hint="default" w:ascii="Times New Roman" w:hAnsi="Times New Roman" w:eastAsia="宋体" w:cs="Times New Roman"/>
                <w:color w:val="000000"/>
                <w:sz w:val="24"/>
                <w:szCs w:val="24"/>
                <w:highlight w:val="none"/>
                <w:lang w:eastAsia="zh-CN"/>
              </w:rPr>
              <w:t>符合性分析内容</w:t>
            </w:r>
            <w:r>
              <w:rPr>
                <w:rFonts w:hint="default" w:ascii="Times New Roman" w:hAnsi="Times New Roman" w:eastAsia="宋体" w:cs="Times New Roman"/>
                <w:color w:val="000000"/>
                <w:sz w:val="24"/>
                <w:szCs w:val="24"/>
                <w:highlight w:val="none"/>
                <w:lang w:val="en-US" w:eastAsia="zh-CN"/>
              </w:rPr>
              <w:t>见下表</w:t>
            </w:r>
            <w:r>
              <w:rPr>
                <w:rFonts w:hint="eastAsia" w:ascii="Times New Roman" w:hAnsi="Times New Roman" w:eastAsia="宋体" w:cs="Times New Roman"/>
                <w:color w:val="000000"/>
                <w:sz w:val="24"/>
                <w:szCs w:val="24"/>
                <w:highlight w:val="none"/>
                <w:lang w:val="en-US" w:eastAsia="zh-CN"/>
              </w:rPr>
              <w:t>，</w:t>
            </w:r>
            <w:r>
              <w:rPr>
                <w:rFonts w:hint="eastAsia" w:eastAsia="宋体" w:cs="Times New Roman"/>
                <w:color w:val="000000"/>
                <w:sz w:val="24"/>
                <w:szCs w:val="24"/>
                <w:highlight w:val="none"/>
                <w:lang w:val="en-US" w:eastAsia="zh-CN"/>
              </w:rPr>
              <w:t>与生态环境分区管控</w:t>
            </w:r>
            <w:r>
              <w:rPr>
                <w:rFonts w:hint="eastAsia" w:ascii="Times New Roman" w:hAnsi="Times New Roman" w:eastAsia="宋体" w:cs="Times New Roman"/>
                <w:color w:val="000000"/>
                <w:sz w:val="24"/>
                <w:szCs w:val="24"/>
                <w:highlight w:val="none"/>
                <w:lang w:val="en-US" w:eastAsia="zh-CN"/>
              </w:rPr>
              <w:t>位置关系见附图一</w:t>
            </w:r>
            <w:r>
              <w:rPr>
                <w:rFonts w:hint="default" w:ascii="Times New Roman" w:hAnsi="Times New Roman" w:eastAsia="宋体" w:cs="Times New Roman"/>
                <w:color w:val="000000"/>
                <w:sz w:val="24"/>
                <w:szCs w:val="24"/>
                <w:highlight w:val="none"/>
                <w:lang w:val="en-US" w:eastAsia="zh-CN"/>
              </w:rPr>
              <w:t>。</w:t>
            </w:r>
          </w:p>
          <w:p w14:paraId="32A6EAF5">
            <w:pPr>
              <w:pStyle w:val="23"/>
              <w:keepNext w:val="0"/>
              <w:keepLines w:val="0"/>
              <w:pageBreakBefore w:val="0"/>
              <w:widowControl w:val="0"/>
              <w:numPr>
                <w:ilvl w:val="0"/>
                <w:numId w:val="0"/>
              </w:numPr>
              <w:kinsoku/>
              <w:wordWrap/>
              <w:overflowPunct/>
              <w:topLinePunct w:val="0"/>
              <w:autoSpaceDE/>
              <w:autoSpaceDN/>
              <w:bidi w:val="0"/>
              <w:adjustRightInd/>
              <w:snapToGrid w:val="0"/>
              <w:spacing w:before="0" w:after="0" w:line="440" w:lineRule="exact"/>
              <w:ind w:right="0" w:rightChars="0" w:firstLine="0" w:firstLineChars="0"/>
              <w:jc w:val="center"/>
              <w:textAlignment w:val="auto"/>
              <w:rPr>
                <w:rFonts w:hint="default" w:ascii="Times New Roman" w:hAnsi="Times New Roman" w:eastAsia="宋体" w:cs="Times New Roman"/>
                <w:b/>
                <w:bCs/>
                <w:color w:val="000000"/>
                <w:kern w:val="2"/>
                <w:sz w:val="21"/>
                <w:szCs w:val="21"/>
                <w:highlight w:val="none"/>
                <w:lang w:val="en-US" w:eastAsia="zh-CN" w:bidi="ar-SA"/>
              </w:rPr>
            </w:pPr>
            <w:r>
              <w:rPr>
                <w:rFonts w:hint="default" w:ascii="Times New Roman" w:hAnsi="Times New Roman" w:eastAsia="宋体" w:cs="Times New Roman"/>
                <w:b/>
                <w:bCs/>
                <w:color w:val="000000"/>
                <w:kern w:val="2"/>
                <w:sz w:val="21"/>
                <w:szCs w:val="21"/>
                <w:highlight w:val="none"/>
                <w:lang w:val="en-US" w:eastAsia="zh-CN" w:bidi="ar-SA"/>
              </w:rPr>
              <w:t>表1-</w:t>
            </w:r>
            <w:r>
              <w:rPr>
                <w:rFonts w:hint="eastAsia" w:ascii="Times New Roman" w:hAnsi="Times New Roman" w:cs="Times New Roman"/>
                <w:b/>
                <w:bCs/>
                <w:color w:val="000000"/>
                <w:kern w:val="2"/>
                <w:sz w:val="21"/>
                <w:szCs w:val="21"/>
                <w:highlight w:val="none"/>
                <w:lang w:val="en-US" w:eastAsia="zh-CN" w:bidi="ar-SA"/>
              </w:rPr>
              <w:t>3</w:t>
            </w:r>
            <w:r>
              <w:rPr>
                <w:rFonts w:hint="default" w:ascii="Times New Roman" w:hAnsi="Times New Roman" w:cs="Times New Roman"/>
                <w:b/>
                <w:bCs/>
                <w:color w:val="000000"/>
                <w:kern w:val="2"/>
                <w:sz w:val="21"/>
                <w:szCs w:val="21"/>
                <w:highlight w:val="none"/>
                <w:lang w:val="en-US" w:eastAsia="zh-CN" w:bidi="ar-SA"/>
              </w:rPr>
              <w:t xml:space="preserve">  </w:t>
            </w:r>
            <w:r>
              <w:rPr>
                <w:rFonts w:hint="default" w:ascii="Times New Roman" w:hAnsi="Times New Roman" w:eastAsia="宋体" w:cs="Times New Roman"/>
                <w:b/>
                <w:bCs/>
                <w:color w:val="000000"/>
                <w:kern w:val="2"/>
                <w:sz w:val="21"/>
                <w:szCs w:val="21"/>
                <w:highlight w:val="none"/>
                <w:lang w:val="en-US" w:eastAsia="zh-CN" w:bidi="ar-SA"/>
              </w:rPr>
              <w:t>与《关于印发巴音郭楞蒙古自治州“三线一单”生态环境分区管控动态更新成果（2023年）的通知》符合性分析一览表</w:t>
            </w:r>
          </w:p>
          <w:tbl>
            <w:tblPr>
              <w:tblStyle w:val="26"/>
              <w:tblW w:w="4997"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4"/>
              <w:gridCol w:w="3653"/>
              <w:gridCol w:w="2537"/>
              <w:gridCol w:w="542"/>
            </w:tblGrid>
            <w:tr w14:paraId="62D4D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69" w:type="pct"/>
                  <w:gridSpan w:val="2"/>
                  <w:tcBorders>
                    <w:tl2br w:val="nil"/>
                    <w:tr2bl w:val="nil"/>
                  </w:tcBorders>
                  <w:noWrap w:val="0"/>
                  <w:vAlign w:val="center"/>
                </w:tcPr>
                <w:p w14:paraId="76B52B25">
                  <w:pPr>
                    <w:keepNext w:val="0"/>
                    <w:keepLines w:val="0"/>
                    <w:pageBreakBefore w:val="0"/>
                    <w:widowControl w:val="0"/>
                    <w:kinsoku/>
                    <w:wordWrap/>
                    <w:overflowPunct/>
                    <w:topLinePunct w:val="0"/>
                    <w:autoSpaceDE w:val="0"/>
                    <w:autoSpaceDN w:val="0"/>
                    <w:bidi w:val="0"/>
                    <w:adjustRightInd w:val="0"/>
                    <w:snapToGrid w:val="0"/>
                    <w:spacing w:beforeAutospacing="0"/>
                    <w:jc w:val="center"/>
                    <w:textAlignment w:val="auto"/>
                    <w:rPr>
                      <w:rFonts w:hint="default" w:ascii="Times New Roman" w:hAnsi="Times New Roman" w:eastAsia="宋体" w:cs="Times New Roman"/>
                      <w:b w:val="0"/>
                      <w:bCs w:val="0"/>
                      <w:color w:val="000000"/>
                      <w:sz w:val="21"/>
                      <w:szCs w:val="21"/>
                      <w:highlight w:val="none"/>
                      <w:vertAlign w:val="baseline"/>
                      <w:lang w:eastAsia="zh-CN"/>
                    </w:rPr>
                  </w:pPr>
                  <w:r>
                    <w:rPr>
                      <w:rFonts w:hint="default" w:ascii="Times New Roman" w:hAnsi="Times New Roman" w:eastAsia="宋体" w:cs="Times New Roman"/>
                      <w:b w:val="0"/>
                      <w:bCs w:val="0"/>
                      <w:color w:val="000000"/>
                      <w:sz w:val="21"/>
                      <w:szCs w:val="21"/>
                      <w:lang w:val="en-US" w:eastAsia="zh-CN"/>
                    </w:rPr>
                    <w:t>文件要求</w:t>
                  </w:r>
                </w:p>
              </w:tc>
              <w:tc>
                <w:tcPr>
                  <w:tcW w:w="1755" w:type="pct"/>
                  <w:tcBorders>
                    <w:tl2br w:val="nil"/>
                    <w:tr2bl w:val="nil"/>
                  </w:tcBorders>
                  <w:noWrap w:val="0"/>
                  <w:vAlign w:val="center"/>
                </w:tcPr>
                <w:p w14:paraId="49EF6E31">
                  <w:pPr>
                    <w:keepNext w:val="0"/>
                    <w:keepLines w:val="0"/>
                    <w:pageBreakBefore w:val="0"/>
                    <w:widowControl w:val="0"/>
                    <w:kinsoku/>
                    <w:wordWrap/>
                    <w:overflowPunct/>
                    <w:topLinePunct w:val="0"/>
                    <w:autoSpaceDE w:val="0"/>
                    <w:autoSpaceDN w:val="0"/>
                    <w:bidi w:val="0"/>
                    <w:adjustRightInd w:val="0"/>
                    <w:snapToGrid w:val="0"/>
                    <w:jc w:val="center"/>
                    <w:textAlignment w:val="auto"/>
                    <w:rPr>
                      <w:rFonts w:hint="default" w:ascii="Times New Roman" w:hAnsi="Times New Roman" w:eastAsia="宋体" w:cs="Times New Roman"/>
                      <w:b w:val="0"/>
                      <w:bCs w:val="0"/>
                      <w:color w:val="000000"/>
                      <w:sz w:val="21"/>
                      <w:szCs w:val="21"/>
                      <w:highlight w:val="none"/>
                      <w:vertAlign w:val="baseline"/>
                      <w:lang w:eastAsia="zh-CN"/>
                    </w:rPr>
                  </w:pPr>
                  <w:r>
                    <w:rPr>
                      <w:rFonts w:hint="default" w:ascii="Times New Roman" w:hAnsi="Times New Roman" w:eastAsia="宋体" w:cs="Times New Roman"/>
                      <w:b w:val="0"/>
                      <w:bCs w:val="0"/>
                      <w:color w:val="000000"/>
                      <w:sz w:val="21"/>
                      <w:szCs w:val="21"/>
                      <w:lang w:val="en-US" w:eastAsia="zh-CN"/>
                    </w:rPr>
                    <w:t>本项目情况</w:t>
                  </w:r>
                </w:p>
              </w:tc>
              <w:tc>
                <w:tcPr>
                  <w:tcW w:w="375" w:type="pct"/>
                  <w:tcBorders>
                    <w:tl2br w:val="nil"/>
                    <w:tr2bl w:val="nil"/>
                  </w:tcBorders>
                  <w:noWrap w:val="0"/>
                  <w:vAlign w:val="center"/>
                </w:tcPr>
                <w:p w14:paraId="72F91D8D">
                  <w:pPr>
                    <w:keepNext w:val="0"/>
                    <w:keepLines w:val="0"/>
                    <w:pageBreakBefore w:val="0"/>
                    <w:widowControl w:val="0"/>
                    <w:kinsoku/>
                    <w:wordWrap/>
                    <w:overflowPunct/>
                    <w:topLinePunct w:val="0"/>
                    <w:autoSpaceDE w:val="0"/>
                    <w:autoSpaceDN w:val="0"/>
                    <w:bidi w:val="0"/>
                    <w:adjustRightInd w:val="0"/>
                    <w:snapToGrid w:val="0"/>
                    <w:jc w:val="center"/>
                    <w:textAlignment w:val="auto"/>
                    <w:rPr>
                      <w:rFonts w:hint="default" w:ascii="Times New Roman" w:hAnsi="Times New Roman" w:eastAsia="宋体" w:cs="Times New Roman"/>
                      <w:b w:val="0"/>
                      <w:bCs w:val="0"/>
                      <w:color w:val="000000"/>
                      <w:sz w:val="21"/>
                      <w:szCs w:val="21"/>
                      <w:highlight w:val="none"/>
                      <w:vertAlign w:val="baseline"/>
                      <w:lang w:eastAsia="zh-CN"/>
                    </w:rPr>
                  </w:pPr>
                  <w:r>
                    <w:rPr>
                      <w:rFonts w:hint="default" w:ascii="Times New Roman" w:hAnsi="Times New Roman" w:eastAsia="宋体" w:cs="Times New Roman"/>
                      <w:b w:val="0"/>
                      <w:bCs w:val="0"/>
                      <w:color w:val="000000"/>
                      <w:sz w:val="21"/>
                      <w:szCs w:val="21"/>
                      <w:lang w:val="en-US" w:eastAsia="zh-CN"/>
                    </w:rPr>
                    <w:t>符合性</w:t>
                  </w:r>
                </w:p>
              </w:tc>
            </w:tr>
            <w:tr w14:paraId="60EFD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2" w:type="pct"/>
                  <w:tcBorders>
                    <w:tl2br w:val="nil"/>
                    <w:tr2bl w:val="nil"/>
                  </w:tcBorders>
                  <w:noWrap w:val="0"/>
                  <w:vAlign w:val="center"/>
                </w:tcPr>
                <w:p w14:paraId="1E932B79">
                  <w:pPr>
                    <w:keepNext w:val="0"/>
                    <w:keepLines w:val="0"/>
                    <w:pageBreakBefore w:val="0"/>
                    <w:widowControl w:val="0"/>
                    <w:kinsoku/>
                    <w:wordWrap/>
                    <w:overflowPunct/>
                    <w:topLinePunct w:val="0"/>
                    <w:autoSpaceDE w:val="0"/>
                    <w:autoSpaceDN w:val="0"/>
                    <w:bidi w:val="0"/>
                    <w:adjustRightInd w:val="0"/>
                    <w:snapToGrid w:val="0"/>
                    <w:jc w:val="center"/>
                    <w:textAlignment w:val="auto"/>
                    <w:rPr>
                      <w:rFonts w:hint="default" w:ascii="Times New Roman" w:hAnsi="Times New Roman" w:eastAsia="宋体" w:cs="Times New Roman"/>
                      <w:b w:val="0"/>
                      <w:bCs w:val="0"/>
                      <w:color w:val="000000"/>
                      <w:sz w:val="21"/>
                      <w:szCs w:val="21"/>
                      <w:highlight w:val="none"/>
                      <w:vertAlign w:val="baseline"/>
                      <w:lang w:eastAsia="zh-CN"/>
                    </w:rPr>
                  </w:pPr>
                  <w:r>
                    <w:rPr>
                      <w:rFonts w:hint="default" w:ascii="Times New Roman" w:hAnsi="Times New Roman" w:eastAsia="宋体" w:cs="Times New Roman"/>
                      <w:b w:val="0"/>
                      <w:bCs w:val="0"/>
                      <w:color w:val="000000"/>
                      <w:sz w:val="21"/>
                      <w:szCs w:val="21"/>
                      <w:lang w:val="en-US" w:eastAsia="zh-CN"/>
                    </w:rPr>
                    <w:t>空间布局约束</w:t>
                  </w:r>
                </w:p>
              </w:tc>
              <w:tc>
                <w:tcPr>
                  <w:tcW w:w="2526" w:type="pct"/>
                  <w:tcBorders>
                    <w:tl2br w:val="nil"/>
                    <w:tr2bl w:val="nil"/>
                  </w:tcBorders>
                  <w:noWrap w:val="0"/>
                  <w:vAlign w:val="center"/>
                </w:tcPr>
                <w:p w14:paraId="5F7F78E9">
                  <w:pPr>
                    <w:keepNext w:val="0"/>
                    <w:keepLines w:val="0"/>
                    <w:pageBreakBefore w:val="0"/>
                    <w:widowControl w:val="0"/>
                    <w:kinsoku/>
                    <w:wordWrap/>
                    <w:overflowPunct/>
                    <w:topLinePunct w:val="0"/>
                    <w:autoSpaceDE w:val="0"/>
                    <w:autoSpaceDN w:val="0"/>
                    <w:bidi w:val="0"/>
                    <w:adjustRightInd w:val="0"/>
                    <w:snapToGrid w:val="0"/>
                    <w:jc w:val="both"/>
                    <w:textAlignment w:val="auto"/>
                    <w:rPr>
                      <w:rFonts w:hint="default" w:ascii="Times New Roman" w:hAnsi="Times New Roman" w:eastAsia="宋体" w:cs="Times New Roman"/>
                      <w:b w:val="0"/>
                      <w:bCs w:val="0"/>
                      <w:color w:val="000000"/>
                      <w:sz w:val="21"/>
                      <w:szCs w:val="21"/>
                      <w:highlight w:val="none"/>
                      <w:vertAlign w:val="baseline"/>
                      <w:lang w:eastAsia="zh-CN"/>
                    </w:rPr>
                  </w:pPr>
                  <w:r>
                    <w:rPr>
                      <w:rFonts w:hint="default" w:ascii="Times New Roman" w:hAnsi="Times New Roman" w:eastAsia="宋体" w:cs="Times New Roman"/>
                      <w:b w:val="0"/>
                      <w:bCs w:val="0"/>
                      <w:color w:val="000000"/>
                      <w:sz w:val="21"/>
                      <w:szCs w:val="21"/>
                      <w:highlight w:val="none"/>
                      <w:vertAlign w:val="baseline"/>
                      <w:lang w:eastAsia="zh-CN"/>
                    </w:rPr>
                    <w:t>严把入园企业关，以园区产业为特点，引进新型建材加工业和矿产资源再生利用加工型企业，禁止不符合园区产业定位的企业入园</w:t>
                  </w:r>
                </w:p>
              </w:tc>
              <w:tc>
                <w:tcPr>
                  <w:tcW w:w="1755" w:type="pct"/>
                  <w:tcBorders>
                    <w:tl2br w:val="nil"/>
                    <w:tr2bl w:val="nil"/>
                  </w:tcBorders>
                  <w:noWrap w:val="0"/>
                  <w:vAlign w:val="center"/>
                </w:tcPr>
                <w:p w14:paraId="343DEB87">
                  <w:pPr>
                    <w:keepNext w:val="0"/>
                    <w:keepLines w:val="0"/>
                    <w:pageBreakBefore w:val="0"/>
                    <w:widowControl w:val="0"/>
                    <w:kinsoku/>
                    <w:wordWrap/>
                    <w:overflowPunct/>
                    <w:topLinePunct w:val="0"/>
                    <w:autoSpaceDE w:val="0"/>
                    <w:autoSpaceDN w:val="0"/>
                    <w:bidi w:val="0"/>
                    <w:adjustRightInd w:val="0"/>
                    <w:snapToGrid w:val="0"/>
                    <w:jc w:val="both"/>
                    <w:textAlignment w:val="auto"/>
                    <w:rPr>
                      <w:rFonts w:hint="default" w:ascii="Times New Roman" w:hAnsi="Times New Roman" w:eastAsia="宋体" w:cs="Times New Roman"/>
                      <w:b w:val="0"/>
                      <w:bCs w:val="0"/>
                      <w:color w:val="000000"/>
                      <w:sz w:val="21"/>
                      <w:szCs w:val="21"/>
                      <w:highlight w:val="none"/>
                      <w:vertAlign w:val="baseline"/>
                      <w:lang w:val="en-US" w:eastAsia="zh-CN"/>
                    </w:rPr>
                  </w:pPr>
                  <w:r>
                    <w:rPr>
                      <w:rFonts w:hint="default" w:ascii="Times New Roman" w:hAnsi="Times New Roman" w:eastAsia="宋体" w:cs="Times New Roman"/>
                      <w:color w:val="000000"/>
                      <w:spacing w:val="11"/>
                      <w:sz w:val="21"/>
                      <w:szCs w:val="21"/>
                      <w:lang w:val="en-US" w:eastAsia="zh-CN"/>
                    </w:rPr>
                    <w:t>本项目位于库尔勒塔什店镇</w:t>
                  </w:r>
                  <w:r>
                    <w:rPr>
                      <w:rFonts w:hint="eastAsia" w:ascii="Times New Roman" w:hAnsi="Times New Roman" w:eastAsia="宋体" w:cs="Times New Roman"/>
                      <w:color w:val="000000"/>
                      <w:spacing w:val="11"/>
                      <w:sz w:val="21"/>
                      <w:szCs w:val="21"/>
                      <w:lang w:val="en-US" w:eastAsia="zh-CN"/>
                    </w:rPr>
                    <w:t>，根据“对自治州十四届人大二次会议第2-63号议案的答复”，项目区未设置产业园区，本项目</w:t>
                  </w:r>
                  <w:r>
                    <w:rPr>
                      <w:rFonts w:hint="eastAsia" w:ascii="Times New Roman" w:hAnsi="Times New Roman" w:eastAsia="宋体" w:cs="Times New Roman"/>
                      <w:b w:val="0"/>
                      <w:bCs w:val="0"/>
                      <w:color w:val="000000"/>
                      <w:sz w:val="21"/>
                      <w:szCs w:val="21"/>
                      <w:highlight w:val="none"/>
                      <w:vertAlign w:val="baseline"/>
                      <w:lang w:val="en-US" w:eastAsia="zh-CN"/>
                    </w:rPr>
                    <w:t>不位于产业园区内。</w:t>
                  </w:r>
                </w:p>
              </w:tc>
              <w:tc>
                <w:tcPr>
                  <w:tcW w:w="375" w:type="pct"/>
                  <w:tcBorders>
                    <w:tl2br w:val="nil"/>
                    <w:tr2bl w:val="nil"/>
                  </w:tcBorders>
                  <w:noWrap w:val="0"/>
                  <w:vAlign w:val="center"/>
                </w:tcPr>
                <w:p w14:paraId="5AC01C21">
                  <w:pPr>
                    <w:keepNext w:val="0"/>
                    <w:keepLines w:val="0"/>
                    <w:pageBreakBefore w:val="0"/>
                    <w:widowControl w:val="0"/>
                    <w:kinsoku/>
                    <w:wordWrap/>
                    <w:overflowPunct/>
                    <w:topLinePunct w:val="0"/>
                    <w:autoSpaceDE w:val="0"/>
                    <w:autoSpaceDN w:val="0"/>
                    <w:bidi w:val="0"/>
                    <w:adjustRightInd w:val="0"/>
                    <w:snapToGrid w:val="0"/>
                    <w:jc w:val="center"/>
                    <w:textAlignment w:val="auto"/>
                    <w:rPr>
                      <w:rFonts w:hint="default" w:ascii="Times New Roman" w:hAnsi="Times New Roman" w:eastAsia="宋体" w:cs="Times New Roman"/>
                      <w:b w:val="0"/>
                      <w:bCs w:val="0"/>
                      <w:color w:val="000000"/>
                      <w:sz w:val="21"/>
                      <w:szCs w:val="21"/>
                      <w:highlight w:val="none"/>
                      <w:vertAlign w:val="baseline"/>
                      <w:lang w:eastAsia="zh-CN"/>
                    </w:rPr>
                  </w:pPr>
                  <w:r>
                    <w:rPr>
                      <w:rFonts w:hint="default" w:ascii="Times New Roman" w:hAnsi="Times New Roman" w:eastAsia="宋体" w:cs="Times New Roman"/>
                      <w:b w:val="0"/>
                      <w:bCs w:val="0"/>
                      <w:color w:val="000000"/>
                      <w:sz w:val="21"/>
                      <w:szCs w:val="21"/>
                      <w:lang w:val="en-US" w:eastAsia="zh-CN"/>
                    </w:rPr>
                    <w:t>符合</w:t>
                  </w:r>
                </w:p>
              </w:tc>
            </w:tr>
            <w:tr w14:paraId="1FA31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2" w:type="pct"/>
                  <w:tcBorders>
                    <w:tl2br w:val="nil"/>
                    <w:tr2bl w:val="nil"/>
                  </w:tcBorders>
                  <w:noWrap w:val="0"/>
                  <w:vAlign w:val="center"/>
                </w:tcPr>
                <w:p w14:paraId="7696ECB4">
                  <w:pPr>
                    <w:keepNext w:val="0"/>
                    <w:keepLines w:val="0"/>
                    <w:pageBreakBefore w:val="0"/>
                    <w:widowControl w:val="0"/>
                    <w:kinsoku/>
                    <w:wordWrap/>
                    <w:overflowPunct/>
                    <w:topLinePunct w:val="0"/>
                    <w:autoSpaceDE w:val="0"/>
                    <w:autoSpaceDN w:val="0"/>
                    <w:bidi w:val="0"/>
                    <w:adjustRightInd w:val="0"/>
                    <w:snapToGrid w:val="0"/>
                    <w:jc w:val="center"/>
                    <w:textAlignment w:val="auto"/>
                    <w:rPr>
                      <w:rFonts w:hint="default" w:ascii="Times New Roman" w:hAnsi="Times New Roman" w:eastAsia="宋体" w:cs="Times New Roman"/>
                      <w:b w:val="0"/>
                      <w:bCs w:val="0"/>
                      <w:color w:val="000000"/>
                      <w:sz w:val="21"/>
                      <w:szCs w:val="21"/>
                      <w:highlight w:val="none"/>
                      <w:vertAlign w:val="baseline"/>
                      <w:lang w:eastAsia="zh-CN"/>
                    </w:rPr>
                  </w:pPr>
                  <w:r>
                    <w:rPr>
                      <w:rFonts w:hint="default" w:ascii="Times New Roman" w:hAnsi="Times New Roman" w:eastAsia="宋体" w:cs="Times New Roman"/>
                      <w:b w:val="0"/>
                      <w:bCs w:val="0"/>
                      <w:color w:val="000000"/>
                      <w:sz w:val="21"/>
                      <w:szCs w:val="21"/>
                      <w:lang w:val="en-US" w:eastAsia="zh-CN"/>
                    </w:rPr>
                    <w:t>污染物排放管控</w:t>
                  </w:r>
                </w:p>
              </w:tc>
              <w:tc>
                <w:tcPr>
                  <w:tcW w:w="2526" w:type="pct"/>
                  <w:tcBorders>
                    <w:tl2br w:val="nil"/>
                    <w:tr2bl w:val="nil"/>
                  </w:tcBorders>
                  <w:noWrap w:val="0"/>
                  <w:vAlign w:val="center"/>
                </w:tcPr>
                <w:p w14:paraId="6C399FD9">
                  <w:pPr>
                    <w:keepNext w:val="0"/>
                    <w:keepLines w:val="0"/>
                    <w:pageBreakBefore w:val="0"/>
                    <w:widowControl w:val="0"/>
                    <w:kinsoku/>
                    <w:wordWrap/>
                    <w:overflowPunct/>
                    <w:topLinePunct w:val="0"/>
                    <w:autoSpaceDE w:val="0"/>
                    <w:autoSpaceDN w:val="0"/>
                    <w:bidi w:val="0"/>
                    <w:adjustRightInd w:val="0"/>
                    <w:snapToGrid w:val="0"/>
                    <w:jc w:val="both"/>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1.园区所在区域执行《环境空气质量标准》的二级标准。</w:t>
                  </w:r>
                </w:p>
                <w:p w14:paraId="5AAE4B33">
                  <w:pPr>
                    <w:keepNext w:val="0"/>
                    <w:keepLines w:val="0"/>
                    <w:pageBreakBefore w:val="0"/>
                    <w:widowControl w:val="0"/>
                    <w:kinsoku/>
                    <w:wordWrap/>
                    <w:overflowPunct/>
                    <w:topLinePunct w:val="0"/>
                    <w:autoSpaceDE w:val="0"/>
                    <w:autoSpaceDN w:val="0"/>
                    <w:bidi w:val="0"/>
                    <w:adjustRightInd w:val="0"/>
                    <w:snapToGrid w:val="0"/>
                    <w:jc w:val="both"/>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2.引进企业均依托集中供热管网进行冬季供暖和生产用热，不再单独设置供热锅炉。园区内</w:t>
                  </w:r>
                </w:p>
                <w:p w14:paraId="02585107">
                  <w:pPr>
                    <w:keepNext w:val="0"/>
                    <w:keepLines w:val="0"/>
                    <w:pageBreakBefore w:val="0"/>
                    <w:widowControl w:val="0"/>
                    <w:kinsoku/>
                    <w:wordWrap/>
                    <w:overflowPunct/>
                    <w:topLinePunct w:val="0"/>
                    <w:autoSpaceDE w:val="0"/>
                    <w:autoSpaceDN w:val="0"/>
                    <w:bidi w:val="0"/>
                    <w:adjustRightInd w:val="0"/>
                    <w:snapToGrid w:val="0"/>
                    <w:jc w:val="both"/>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企业各生产装置必须配备完善的大气污染治理设施，并确保正常运行，严格做到大气污染物达标排放。加强涉煤企业无组织排放管控。</w:t>
                  </w:r>
                </w:p>
                <w:p w14:paraId="488C3AAE">
                  <w:pPr>
                    <w:keepNext w:val="0"/>
                    <w:keepLines w:val="0"/>
                    <w:pageBreakBefore w:val="0"/>
                    <w:widowControl w:val="0"/>
                    <w:kinsoku/>
                    <w:wordWrap/>
                    <w:overflowPunct/>
                    <w:topLinePunct w:val="0"/>
                    <w:autoSpaceDE w:val="0"/>
                    <w:autoSpaceDN w:val="0"/>
                    <w:bidi w:val="0"/>
                    <w:adjustRightInd w:val="0"/>
                    <w:snapToGrid w:val="0"/>
                    <w:jc w:val="both"/>
                    <w:textAlignment w:val="auto"/>
                    <w:rPr>
                      <w:rFonts w:hint="default" w:ascii="Times New Roman" w:hAnsi="Times New Roman" w:eastAsia="宋体" w:cs="Times New Roman"/>
                      <w:b w:val="0"/>
                      <w:bCs w:val="0"/>
                      <w:color w:val="000000"/>
                      <w:sz w:val="21"/>
                      <w:szCs w:val="21"/>
                      <w:highlight w:val="none"/>
                      <w:vertAlign w:val="baseline"/>
                      <w:lang w:eastAsia="zh-CN"/>
                    </w:rPr>
                  </w:pPr>
                  <w:r>
                    <w:rPr>
                      <w:rFonts w:hint="default" w:ascii="Times New Roman" w:hAnsi="Times New Roman" w:eastAsia="宋体" w:cs="Times New Roman"/>
                      <w:color w:val="auto"/>
                      <w:sz w:val="21"/>
                      <w:szCs w:val="21"/>
                      <w:lang w:val="en-US" w:eastAsia="zh-CN"/>
                    </w:rPr>
                    <w:t>3.企业排水排放必须满足《污水综合排放标准》三级标准后方可排放下水管网进入污水处理厂进行处置。处理后的水质满足《城市杂用水水质标准(绿化）》水质要求后用于绿化。</w:t>
                  </w:r>
                </w:p>
              </w:tc>
              <w:tc>
                <w:tcPr>
                  <w:tcW w:w="1755" w:type="pct"/>
                  <w:tcBorders>
                    <w:tl2br w:val="nil"/>
                    <w:tr2bl w:val="nil"/>
                  </w:tcBorders>
                  <w:noWrap w:val="0"/>
                  <w:vAlign w:val="center"/>
                </w:tcPr>
                <w:p w14:paraId="6CA0A33A">
                  <w:pPr>
                    <w:pStyle w:val="2"/>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lang w:val="en-US" w:eastAsia="zh-CN"/>
                    </w:rPr>
                  </w:pPr>
                  <w:r>
                    <w:rPr>
                      <w:rFonts w:hint="default"/>
                      <w:lang w:val="en-US" w:eastAsia="zh-CN"/>
                    </w:rPr>
                    <w:t>本项目环境空气执行二级标准，</w:t>
                  </w:r>
                  <w:r>
                    <w:rPr>
                      <w:rFonts w:hint="eastAsia"/>
                      <w:lang w:val="en-US" w:eastAsia="zh-CN"/>
                    </w:rPr>
                    <w:t>使用</w:t>
                  </w:r>
                  <w:r>
                    <w:rPr>
                      <w:rFonts w:hint="default" w:ascii="Times New Roman" w:hAnsi="Times New Roman" w:eastAsia="宋体" w:cs="Times New Roman"/>
                      <w:color w:val="000000"/>
                      <w:spacing w:val="11"/>
                      <w:sz w:val="21"/>
                      <w:szCs w:val="21"/>
                      <w:lang w:val="en-US" w:eastAsia="zh-CN"/>
                    </w:rPr>
                    <w:t>空气能热泵供热（电驱）</w:t>
                  </w:r>
                  <w:r>
                    <w:rPr>
                      <w:rFonts w:hint="eastAsia" w:ascii="Times New Roman" w:hAnsi="Times New Roman" w:eastAsia="宋体" w:cs="Times New Roman"/>
                      <w:color w:val="000000"/>
                      <w:spacing w:val="11"/>
                      <w:sz w:val="21"/>
                      <w:szCs w:val="21"/>
                      <w:lang w:val="en-US" w:eastAsia="zh-CN"/>
                    </w:rPr>
                    <w:t>为生产、生活供热</w:t>
                  </w:r>
                  <w:r>
                    <w:rPr>
                      <w:rFonts w:hint="default"/>
                      <w:lang w:val="en-US" w:eastAsia="zh-CN"/>
                    </w:rPr>
                    <w:t>，</w:t>
                  </w:r>
                  <w:r>
                    <w:rPr>
                      <w:rFonts w:hint="eastAsia"/>
                      <w:lang w:val="en-US" w:eastAsia="zh-CN"/>
                    </w:rPr>
                    <w:t>采用厂房封闭、喷雾除尘等措施，</w:t>
                  </w:r>
                  <w:r>
                    <w:rPr>
                      <w:rFonts w:hint="default"/>
                      <w:lang w:val="en-US" w:eastAsia="zh-CN"/>
                    </w:rPr>
                    <w:t>落实涉煤无组织排放管控，生产废水闭路循环</w:t>
                  </w:r>
                  <w:r>
                    <w:rPr>
                      <w:rFonts w:hint="eastAsia"/>
                      <w:lang w:val="en-US" w:eastAsia="zh-CN"/>
                    </w:rPr>
                    <w:t>，</w:t>
                  </w:r>
                  <w:r>
                    <w:rPr>
                      <w:rFonts w:hint="default" w:ascii="Times New Roman" w:hAnsi="Times New Roman" w:eastAsia="宋体" w:cs="Times New Roman"/>
                      <w:color w:val="000000"/>
                      <w:sz w:val="21"/>
                      <w:szCs w:val="21"/>
                      <w:lang w:val="en-US" w:eastAsia="zh-CN"/>
                    </w:rPr>
                    <w:t>生活污水经一体化污水处理设施处理后，达到《农村生活污水处理排放标准》（DB654275-2019）表2的B级标准，</w:t>
                  </w:r>
                  <w:r>
                    <w:rPr>
                      <w:rFonts w:hint="eastAsia" w:ascii="Times New Roman" w:hAnsi="Times New Roman" w:eastAsia="宋体" w:cs="Times New Roman"/>
                      <w:color w:val="auto"/>
                      <w:sz w:val="21"/>
                      <w:szCs w:val="21"/>
                      <w:vertAlign w:val="baseline"/>
                      <w:lang w:val="en-US" w:eastAsia="zh-CN"/>
                    </w:rPr>
                    <w:t>冬储夏灌</w:t>
                  </w:r>
                  <w:r>
                    <w:rPr>
                      <w:rFonts w:hint="eastAsia" w:ascii="Times New Roman" w:hAnsi="Times New Roman" w:cs="Times New Roman"/>
                      <w:color w:val="auto"/>
                      <w:sz w:val="21"/>
                      <w:szCs w:val="21"/>
                      <w:vertAlign w:val="baseline"/>
                      <w:lang w:val="en-US" w:eastAsia="zh-CN"/>
                    </w:rPr>
                    <w:t>，</w:t>
                  </w:r>
                  <w:r>
                    <w:rPr>
                      <w:rFonts w:hint="default" w:ascii="Times New Roman" w:hAnsi="Times New Roman" w:eastAsia="宋体" w:cs="Times New Roman"/>
                      <w:color w:val="000000"/>
                      <w:sz w:val="21"/>
                      <w:szCs w:val="21"/>
                      <w:lang w:val="en-US" w:eastAsia="zh-CN"/>
                    </w:rPr>
                    <w:t>用于荒漠灌溉</w:t>
                  </w:r>
                  <w:r>
                    <w:rPr>
                      <w:rFonts w:hint="eastAsia" w:ascii="Times New Roman" w:hAnsi="Times New Roman" w:eastAsia="宋体" w:cs="Times New Roman"/>
                      <w:color w:val="auto"/>
                      <w:sz w:val="21"/>
                      <w:szCs w:val="21"/>
                      <w:highlight w:val="none"/>
                      <w:lang w:val="en-US" w:eastAsia="zh-CN"/>
                    </w:rPr>
                    <w:t>。</w:t>
                  </w:r>
                </w:p>
              </w:tc>
              <w:tc>
                <w:tcPr>
                  <w:tcW w:w="375" w:type="pct"/>
                  <w:tcBorders>
                    <w:tl2br w:val="nil"/>
                    <w:tr2bl w:val="nil"/>
                  </w:tcBorders>
                  <w:noWrap w:val="0"/>
                  <w:vAlign w:val="center"/>
                </w:tcPr>
                <w:p w14:paraId="5E5382CE">
                  <w:pPr>
                    <w:keepNext w:val="0"/>
                    <w:keepLines w:val="0"/>
                    <w:pageBreakBefore w:val="0"/>
                    <w:widowControl w:val="0"/>
                    <w:kinsoku/>
                    <w:wordWrap/>
                    <w:overflowPunct/>
                    <w:topLinePunct w:val="0"/>
                    <w:autoSpaceDE w:val="0"/>
                    <w:autoSpaceDN w:val="0"/>
                    <w:bidi w:val="0"/>
                    <w:adjustRightInd w:val="0"/>
                    <w:snapToGrid w:val="0"/>
                    <w:jc w:val="center"/>
                    <w:textAlignment w:val="auto"/>
                    <w:rPr>
                      <w:rFonts w:hint="default" w:ascii="Times New Roman" w:hAnsi="Times New Roman" w:eastAsia="宋体" w:cs="Times New Roman"/>
                      <w:b w:val="0"/>
                      <w:bCs w:val="0"/>
                      <w:color w:val="000000"/>
                      <w:sz w:val="21"/>
                      <w:szCs w:val="21"/>
                      <w:highlight w:val="none"/>
                      <w:vertAlign w:val="baseline"/>
                      <w:lang w:eastAsia="zh-CN"/>
                    </w:rPr>
                  </w:pPr>
                  <w:r>
                    <w:rPr>
                      <w:rFonts w:hint="default" w:ascii="Times New Roman" w:hAnsi="Times New Roman" w:eastAsia="宋体" w:cs="Times New Roman"/>
                      <w:b w:val="0"/>
                      <w:bCs w:val="0"/>
                      <w:color w:val="000000"/>
                      <w:sz w:val="21"/>
                      <w:szCs w:val="21"/>
                      <w:lang w:val="en-US" w:eastAsia="zh-CN"/>
                    </w:rPr>
                    <w:t>符合</w:t>
                  </w:r>
                </w:p>
              </w:tc>
            </w:tr>
            <w:tr w14:paraId="5E55D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2" w:type="pct"/>
                  <w:tcBorders>
                    <w:tl2br w:val="nil"/>
                    <w:tr2bl w:val="nil"/>
                  </w:tcBorders>
                  <w:noWrap w:val="0"/>
                  <w:vAlign w:val="center"/>
                </w:tcPr>
                <w:p w14:paraId="64031D89">
                  <w:pPr>
                    <w:keepNext w:val="0"/>
                    <w:keepLines w:val="0"/>
                    <w:pageBreakBefore w:val="0"/>
                    <w:widowControl w:val="0"/>
                    <w:kinsoku/>
                    <w:wordWrap/>
                    <w:overflowPunct/>
                    <w:topLinePunct w:val="0"/>
                    <w:autoSpaceDE w:val="0"/>
                    <w:autoSpaceDN w:val="0"/>
                    <w:bidi w:val="0"/>
                    <w:adjustRightInd w:val="0"/>
                    <w:snapToGrid w:val="0"/>
                    <w:jc w:val="center"/>
                    <w:textAlignment w:val="auto"/>
                    <w:rPr>
                      <w:rFonts w:hint="default" w:ascii="Times New Roman" w:hAnsi="Times New Roman" w:eastAsia="宋体" w:cs="Times New Roman"/>
                      <w:b w:val="0"/>
                      <w:bCs w:val="0"/>
                      <w:color w:val="000000"/>
                      <w:sz w:val="21"/>
                      <w:szCs w:val="21"/>
                      <w:highlight w:val="none"/>
                      <w:vertAlign w:val="baseline"/>
                      <w:lang w:val="en-US" w:eastAsia="zh-CN"/>
                    </w:rPr>
                  </w:pPr>
                  <w:r>
                    <w:rPr>
                      <w:rFonts w:hint="default" w:ascii="Times New Roman" w:hAnsi="Times New Roman" w:eastAsia="宋体" w:cs="Times New Roman"/>
                      <w:b w:val="0"/>
                      <w:bCs w:val="0"/>
                      <w:color w:val="000000"/>
                      <w:sz w:val="21"/>
                      <w:szCs w:val="21"/>
                      <w:lang w:val="en-US" w:eastAsia="zh-CN"/>
                    </w:rPr>
                    <w:t>环境风险防控</w:t>
                  </w:r>
                </w:p>
              </w:tc>
              <w:tc>
                <w:tcPr>
                  <w:tcW w:w="2526" w:type="pct"/>
                  <w:tcBorders>
                    <w:tl2br w:val="nil"/>
                    <w:tr2bl w:val="nil"/>
                  </w:tcBorders>
                  <w:noWrap w:val="0"/>
                  <w:vAlign w:val="center"/>
                </w:tcPr>
                <w:p w14:paraId="089B729D">
                  <w:pPr>
                    <w:keepNext w:val="0"/>
                    <w:keepLines w:val="0"/>
                    <w:pageBreakBefore w:val="0"/>
                    <w:widowControl/>
                    <w:suppressLineNumbers w:val="0"/>
                    <w:kinsoku/>
                    <w:wordWrap/>
                    <w:overflowPunct/>
                    <w:topLinePunct w:val="0"/>
                    <w:bidi w:val="0"/>
                    <w:jc w:val="left"/>
                    <w:textAlignment w:val="auto"/>
                    <w:rPr>
                      <w:rFonts w:hint="default" w:ascii="Times New Roman" w:hAnsi="Times New Roman" w:eastAsia="宋体" w:cs="Times New Roman"/>
                      <w:b w:val="0"/>
                      <w:bCs w:val="0"/>
                      <w:color w:val="000000"/>
                      <w:sz w:val="21"/>
                      <w:szCs w:val="21"/>
                      <w:highlight w:val="none"/>
                      <w:vertAlign w:val="baseline"/>
                      <w:lang w:eastAsia="zh-CN"/>
                    </w:rPr>
                  </w:pPr>
                  <w:r>
                    <w:rPr>
                      <w:rFonts w:hint="default" w:ascii="Times New Roman" w:hAnsi="Times New Roman" w:eastAsia="宋体" w:cs="Times New Roman"/>
                      <w:color w:val="auto"/>
                      <w:kern w:val="0"/>
                      <w:sz w:val="21"/>
                      <w:szCs w:val="21"/>
                      <w:lang w:val="en-US" w:eastAsia="zh-CN" w:bidi="ar"/>
                    </w:rPr>
                    <w:t>建立区域大气污染预警应急机制。加强重点控制区域极端不利气象条件下大气污染预警体系和区域大气环境质量预报系统建设，建立区域重污染事件应急预案，构建区域联动一体的应急响应体系。</w:t>
                  </w:r>
                </w:p>
              </w:tc>
              <w:tc>
                <w:tcPr>
                  <w:tcW w:w="1755" w:type="pct"/>
                  <w:tcBorders>
                    <w:tl2br w:val="nil"/>
                    <w:tr2bl w:val="nil"/>
                  </w:tcBorders>
                  <w:noWrap w:val="0"/>
                  <w:vAlign w:val="center"/>
                </w:tcPr>
                <w:p w14:paraId="6C582856">
                  <w:pPr>
                    <w:pStyle w:val="2"/>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lang w:val="en-US" w:eastAsia="zh-CN"/>
                    </w:rPr>
                  </w:pPr>
                  <w:r>
                    <w:rPr>
                      <w:rFonts w:hint="default" w:eastAsia="宋体" w:cs="Times New Roman"/>
                      <w:lang w:val="en-US" w:eastAsia="zh-CN"/>
                    </w:rPr>
                    <w:t>项目</w:t>
                  </w:r>
                  <w:r>
                    <w:rPr>
                      <w:rFonts w:hint="eastAsia" w:eastAsia="宋体" w:cs="Times New Roman"/>
                      <w:lang w:val="en-US" w:eastAsia="zh-CN"/>
                    </w:rPr>
                    <w:t>运营期</w:t>
                  </w:r>
                  <w:r>
                    <w:rPr>
                      <w:rFonts w:hint="default" w:eastAsia="宋体" w:cs="Times New Roman"/>
                      <w:lang w:val="en-US" w:eastAsia="zh-CN"/>
                    </w:rPr>
                    <w:t>制定厂区重污染天气应急减排方案，与区域大气污染预警、重污染应急预案及联动应急响应体系有效衔接</w:t>
                  </w:r>
                  <w:r>
                    <w:rPr>
                      <w:rFonts w:hint="eastAsia" w:eastAsia="宋体" w:cs="Times New Roman"/>
                      <w:lang w:val="en-US" w:eastAsia="zh-CN"/>
                    </w:rPr>
                    <w:t>。</w:t>
                  </w:r>
                </w:p>
              </w:tc>
              <w:tc>
                <w:tcPr>
                  <w:tcW w:w="375" w:type="pct"/>
                  <w:tcBorders>
                    <w:tl2br w:val="nil"/>
                    <w:tr2bl w:val="nil"/>
                  </w:tcBorders>
                  <w:noWrap w:val="0"/>
                  <w:vAlign w:val="center"/>
                </w:tcPr>
                <w:p w14:paraId="7C05B2BD">
                  <w:pPr>
                    <w:keepNext w:val="0"/>
                    <w:keepLines w:val="0"/>
                    <w:pageBreakBefore w:val="0"/>
                    <w:widowControl w:val="0"/>
                    <w:kinsoku/>
                    <w:wordWrap/>
                    <w:overflowPunct/>
                    <w:topLinePunct w:val="0"/>
                    <w:autoSpaceDE w:val="0"/>
                    <w:autoSpaceDN w:val="0"/>
                    <w:bidi w:val="0"/>
                    <w:adjustRightInd w:val="0"/>
                    <w:snapToGrid w:val="0"/>
                    <w:jc w:val="center"/>
                    <w:textAlignment w:val="auto"/>
                    <w:rPr>
                      <w:rFonts w:hint="default" w:ascii="Times New Roman" w:hAnsi="Times New Roman" w:eastAsia="宋体" w:cs="Times New Roman"/>
                      <w:b w:val="0"/>
                      <w:bCs w:val="0"/>
                      <w:color w:val="000000"/>
                      <w:sz w:val="21"/>
                      <w:szCs w:val="21"/>
                      <w:highlight w:val="none"/>
                      <w:vertAlign w:val="baseline"/>
                      <w:lang w:eastAsia="zh-CN"/>
                    </w:rPr>
                  </w:pPr>
                  <w:r>
                    <w:rPr>
                      <w:rFonts w:hint="default" w:ascii="Times New Roman" w:hAnsi="Times New Roman" w:eastAsia="宋体" w:cs="Times New Roman"/>
                      <w:b w:val="0"/>
                      <w:bCs w:val="0"/>
                      <w:color w:val="000000"/>
                      <w:sz w:val="21"/>
                      <w:szCs w:val="21"/>
                      <w:lang w:val="en-US" w:eastAsia="zh-CN"/>
                    </w:rPr>
                    <w:t>符合</w:t>
                  </w:r>
                </w:p>
              </w:tc>
            </w:tr>
            <w:tr w14:paraId="51371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2" w:type="pct"/>
                  <w:tcBorders>
                    <w:tl2br w:val="nil"/>
                    <w:tr2bl w:val="nil"/>
                  </w:tcBorders>
                  <w:noWrap w:val="0"/>
                  <w:vAlign w:val="center"/>
                </w:tcPr>
                <w:p w14:paraId="6568CA24">
                  <w:pPr>
                    <w:keepNext w:val="0"/>
                    <w:keepLines w:val="0"/>
                    <w:pageBreakBefore w:val="0"/>
                    <w:widowControl w:val="0"/>
                    <w:kinsoku/>
                    <w:wordWrap/>
                    <w:overflowPunct/>
                    <w:topLinePunct w:val="0"/>
                    <w:autoSpaceDE w:val="0"/>
                    <w:autoSpaceDN w:val="0"/>
                    <w:bidi w:val="0"/>
                    <w:adjustRightInd w:val="0"/>
                    <w:snapToGrid w:val="0"/>
                    <w:jc w:val="center"/>
                    <w:textAlignment w:val="auto"/>
                    <w:rPr>
                      <w:rFonts w:hint="default" w:ascii="Times New Roman" w:hAnsi="Times New Roman" w:eastAsia="宋体" w:cs="Times New Roman"/>
                      <w:b w:val="0"/>
                      <w:bCs w:val="0"/>
                      <w:color w:val="000000"/>
                      <w:sz w:val="21"/>
                      <w:szCs w:val="21"/>
                      <w:lang w:val="en-US" w:eastAsia="zh-CN"/>
                    </w:rPr>
                  </w:pPr>
                  <w:r>
                    <w:rPr>
                      <w:rFonts w:hint="default" w:ascii="Times New Roman" w:hAnsi="Times New Roman" w:eastAsia="宋体" w:cs="Times New Roman"/>
                      <w:b w:val="0"/>
                      <w:bCs w:val="0"/>
                      <w:color w:val="000000"/>
                      <w:sz w:val="21"/>
                      <w:szCs w:val="21"/>
                      <w:lang w:val="en-US" w:eastAsia="zh-CN"/>
                    </w:rPr>
                    <w:t>资源利用效率</w:t>
                  </w:r>
                </w:p>
              </w:tc>
              <w:tc>
                <w:tcPr>
                  <w:tcW w:w="2526" w:type="pct"/>
                  <w:tcBorders>
                    <w:tl2br w:val="nil"/>
                    <w:tr2bl w:val="nil"/>
                  </w:tcBorders>
                  <w:noWrap w:val="0"/>
                  <w:vAlign w:val="center"/>
                </w:tcPr>
                <w:p w14:paraId="55897CB3">
                  <w:pPr>
                    <w:keepNext w:val="0"/>
                    <w:keepLines w:val="0"/>
                    <w:pageBreakBefore w:val="0"/>
                    <w:widowControl w:val="0"/>
                    <w:kinsoku/>
                    <w:wordWrap/>
                    <w:overflowPunct/>
                    <w:topLinePunct w:val="0"/>
                    <w:autoSpaceDE w:val="0"/>
                    <w:autoSpaceDN w:val="0"/>
                    <w:bidi w:val="0"/>
                    <w:adjustRightInd w:val="0"/>
                    <w:snapToGrid w:val="0"/>
                    <w:jc w:val="both"/>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1.实施节水措施，提高工业用水的重复利用率。</w:t>
                  </w:r>
                </w:p>
                <w:p w14:paraId="0BEB5376">
                  <w:pPr>
                    <w:keepNext w:val="0"/>
                    <w:keepLines w:val="0"/>
                    <w:pageBreakBefore w:val="0"/>
                    <w:widowControl w:val="0"/>
                    <w:kinsoku/>
                    <w:wordWrap/>
                    <w:overflowPunct/>
                    <w:topLinePunct w:val="0"/>
                    <w:autoSpaceDE w:val="0"/>
                    <w:autoSpaceDN w:val="0"/>
                    <w:bidi w:val="0"/>
                    <w:adjustRightInd w:val="0"/>
                    <w:snapToGrid w:val="0"/>
                    <w:jc w:val="both"/>
                    <w:textAlignment w:val="auto"/>
                    <w:rPr>
                      <w:rFonts w:hint="default" w:ascii="Times New Roman" w:hAnsi="Times New Roman" w:eastAsia="宋体" w:cs="Times New Roman"/>
                      <w:b w:val="0"/>
                      <w:bCs w:val="0"/>
                      <w:color w:val="000000"/>
                      <w:sz w:val="21"/>
                      <w:szCs w:val="21"/>
                      <w:highlight w:val="none"/>
                      <w:vertAlign w:val="baseline"/>
                      <w:lang w:eastAsia="zh-CN"/>
                    </w:rPr>
                  </w:pPr>
                  <w:r>
                    <w:rPr>
                      <w:rFonts w:hint="default" w:ascii="Times New Roman" w:hAnsi="Times New Roman" w:eastAsia="宋体" w:cs="Times New Roman"/>
                      <w:color w:val="auto"/>
                      <w:sz w:val="21"/>
                      <w:szCs w:val="21"/>
                      <w:lang w:val="en-US" w:eastAsia="zh-CN"/>
                    </w:rPr>
                    <w:t>2.工业固体废弃物综合处置率达到100%，固体废物综合利用率达到相关要求。</w:t>
                  </w:r>
                </w:p>
              </w:tc>
              <w:tc>
                <w:tcPr>
                  <w:tcW w:w="1755" w:type="pct"/>
                  <w:tcBorders>
                    <w:tl2br w:val="nil"/>
                    <w:tr2bl w:val="nil"/>
                  </w:tcBorders>
                  <w:noWrap w:val="0"/>
                  <w:vAlign w:val="center"/>
                </w:tcPr>
                <w:p w14:paraId="2ACD6C29">
                  <w:pPr>
                    <w:keepNext w:val="0"/>
                    <w:keepLines w:val="0"/>
                    <w:pageBreakBefore w:val="0"/>
                    <w:widowControl w:val="0"/>
                    <w:kinsoku/>
                    <w:wordWrap/>
                    <w:overflowPunct/>
                    <w:topLinePunct w:val="0"/>
                    <w:autoSpaceDE w:val="0"/>
                    <w:autoSpaceDN w:val="0"/>
                    <w:bidi w:val="0"/>
                    <w:adjustRightInd w:val="0"/>
                    <w:snapToGrid w:val="0"/>
                    <w:jc w:val="both"/>
                    <w:textAlignment w:val="auto"/>
                    <w:rPr>
                      <w:rFonts w:hint="default" w:ascii="Times New Roman" w:hAnsi="Times New Roman" w:eastAsia="宋体" w:cs="Times New Roman"/>
                      <w:b w:val="0"/>
                      <w:bCs w:val="0"/>
                      <w:color w:val="000000"/>
                      <w:sz w:val="21"/>
                      <w:szCs w:val="21"/>
                      <w:lang w:val="en-US" w:eastAsia="zh-CN"/>
                    </w:rPr>
                  </w:pPr>
                  <w:r>
                    <w:rPr>
                      <w:rFonts w:hint="default" w:ascii="Times New Roman" w:hAnsi="Times New Roman" w:eastAsia="宋体" w:cs="Times New Roman"/>
                      <w:b w:val="0"/>
                      <w:bCs w:val="0"/>
                      <w:color w:val="000000"/>
                      <w:sz w:val="21"/>
                      <w:szCs w:val="21"/>
                      <w:lang w:val="en-US" w:eastAsia="zh-CN"/>
                    </w:rPr>
                    <w:t>项目煤泥水闭路循环回用</w:t>
                  </w:r>
                  <w:r>
                    <w:rPr>
                      <w:rFonts w:hint="eastAsia" w:ascii="Times New Roman" w:hAnsi="Times New Roman" w:eastAsia="宋体" w:cs="Times New Roman"/>
                      <w:b w:val="0"/>
                      <w:bCs w:val="0"/>
                      <w:color w:val="000000"/>
                      <w:sz w:val="21"/>
                      <w:szCs w:val="21"/>
                      <w:lang w:val="en-US" w:eastAsia="zh-CN"/>
                    </w:rPr>
                    <w:t>，</w:t>
                  </w:r>
                  <w:r>
                    <w:rPr>
                      <w:rFonts w:hint="default" w:ascii="Times New Roman" w:hAnsi="Times New Roman" w:eastAsia="宋体" w:cs="Times New Roman"/>
                      <w:b w:val="0"/>
                      <w:bCs w:val="0"/>
                      <w:color w:val="000000"/>
                      <w:sz w:val="21"/>
                      <w:szCs w:val="21"/>
                      <w:lang w:val="en-US" w:eastAsia="zh-CN"/>
                    </w:rPr>
                    <w:t>落实节水措施，提高工业用水重复利用率；尾</w:t>
                  </w:r>
                  <w:r>
                    <w:rPr>
                      <w:rFonts w:hint="eastAsia" w:ascii="Times New Roman" w:hAnsi="Times New Roman" w:eastAsia="宋体" w:cs="Times New Roman"/>
                      <w:b w:val="0"/>
                      <w:bCs w:val="0"/>
                      <w:color w:val="000000"/>
                      <w:sz w:val="21"/>
                      <w:szCs w:val="21"/>
                      <w:lang w:val="en-US" w:eastAsia="zh-CN"/>
                    </w:rPr>
                    <w:t>煤</w:t>
                  </w:r>
                  <w:r>
                    <w:rPr>
                      <w:rFonts w:hint="default" w:ascii="Times New Roman" w:hAnsi="Times New Roman" w:eastAsia="宋体" w:cs="Times New Roman"/>
                      <w:b w:val="0"/>
                      <w:bCs w:val="0"/>
                      <w:color w:val="000000"/>
                      <w:sz w:val="21"/>
                      <w:szCs w:val="21"/>
                      <w:lang w:val="en-US" w:eastAsia="zh-CN"/>
                    </w:rPr>
                    <w:t>泥等工业固体废物全部综合利用，工业固废综合处置率</w:t>
                  </w:r>
                  <w:r>
                    <w:rPr>
                      <w:rFonts w:hint="eastAsia" w:ascii="Times New Roman" w:hAnsi="Times New Roman" w:eastAsia="宋体" w:cs="Times New Roman"/>
                      <w:b w:val="0"/>
                      <w:bCs w:val="0"/>
                      <w:color w:val="000000"/>
                      <w:sz w:val="21"/>
                      <w:szCs w:val="21"/>
                      <w:lang w:val="en-US" w:eastAsia="zh-CN"/>
                    </w:rPr>
                    <w:t>达</w:t>
                  </w:r>
                  <w:r>
                    <w:rPr>
                      <w:rFonts w:hint="default" w:ascii="Times New Roman" w:hAnsi="Times New Roman" w:eastAsia="宋体" w:cs="Times New Roman"/>
                      <w:b w:val="0"/>
                      <w:bCs w:val="0"/>
                      <w:color w:val="000000"/>
                      <w:sz w:val="21"/>
                      <w:szCs w:val="21"/>
                      <w:lang w:val="en-US" w:eastAsia="zh-CN"/>
                    </w:rPr>
                    <w:t>100%</w:t>
                  </w:r>
                  <w:r>
                    <w:rPr>
                      <w:rFonts w:hint="eastAsia" w:ascii="Times New Roman" w:hAnsi="Times New Roman" w:eastAsia="宋体" w:cs="Times New Roman"/>
                      <w:b w:val="0"/>
                      <w:bCs w:val="0"/>
                      <w:color w:val="000000"/>
                      <w:sz w:val="21"/>
                      <w:szCs w:val="21"/>
                      <w:lang w:val="en-US" w:eastAsia="zh-CN"/>
                    </w:rPr>
                    <w:t>。</w:t>
                  </w:r>
                </w:p>
              </w:tc>
              <w:tc>
                <w:tcPr>
                  <w:tcW w:w="375" w:type="pct"/>
                  <w:tcBorders>
                    <w:tl2br w:val="nil"/>
                    <w:tr2bl w:val="nil"/>
                  </w:tcBorders>
                  <w:noWrap w:val="0"/>
                  <w:vAlign w:val="center"/>
                </w:tcPr>
                <w:p w14:paraId="6819D1BD">
                  <w:pPr>
                    <w:keepNext w:val="0"/>
                    <w:keepLines w:val="0"/>
                    <w:pageBreakBefore w:val="0"/>
                    <w:widowControl w:val="0"/>
                    <w:kinsoku/>
                    <w:wordWrap/>
                    <w:overflowPunct/>
                    <w:topLinePunct w:val="0"/>
                    <w:autoSpaceDE w:val="0"/>
                    <w:autoSpaceDN w:val="0"/>
                    <w:bidi w:val="0"/>
                    <w:adjustRightInd w:val="0"/>
                    <w:snapToGrid w:val="0"/>
                    <w:jc w:val="center"/>
                    <w:textAlignment w:val="auto"/>
                    <w:rPr>
                      <w:rFonts w:hint="default" w:ascii="Times New Roman" w:hAnsi="Times New Roman" w:eastAsia="宋体" w:cs="Times New Roman"/>
                      <w:b w:val="0"/>
                      <w:bCs w:val="0"/>
                      <w:color w:val="000000"/>
                      <w:sz w:val="21"/>
                      <w:szCs w:val="21"/>
                      <w:lang w:val="en-US" w:eastAsia="zh-CN"/>
                    </w:rPr>
                  </w:pPr>
                  <w:r>
                    <w:rPr>
                      <w:rFonts w:hint="default" w:ascii="Times New Roman" w:hAnsi="Times New Roman" w:eastAsia="宋体" w:cs="Times New Roman"/>
                      <w:b w:val="0"/>
                      <w:bCs w:val="0"/>
                      <w:color w:val="000000"/>
                      <w:sz w:val="21"/>
                      <w:szCs w:val="21"/>
                      <w:lang w:val="en-US" w:eastAsia="zh-CN"/>
                    </w:rPr>
                    <w:t>符合</w:t>
                  </w:r>
                </w:p>
              </w:tc>
            </w:tr>
          </w:tbl>
          <w:p w14:paraId="29B83742">
            <w:pPr>
              <w:pStyle w:val="24"/>
              <w:keepNext w:val="0"/>
              <w:keepLines w:val="0"/>
              <w:pageBreakBefore w:val="0"/>
              <w:widowControl w:val="0"/>
              <w:numPr>
                <w:ilvl w:val="0"/>
                <w:numId w:val="0"/>
              </w:numPr>
              <w:kinsoku/>
              <w:wordWrap/>
              <w:overflowPunct/>
              <w:topLinePunct w:val="0"/>
              <w:autoSpaceDE/>
              <w:autoSpaceDN/>
              <w:bidi w:val="0"/>
              <w:adjustRightInd/>
              <w:snapToGrid/>
              <w:spacing w:after="0" w:afterLines="0" w:afterAutospacing="0" w:line="440" w:lineRule="exact"/>
              <w:ind w:left="0" w:leftChars="0" w:firstLine="480" w:firstLineChars="200"/>
              <w:jc w:val="both"/>
              <w:textAlignment w:val="auto"/>
              <w:rPr>
                <w:rFonts w:hint="default" w:ascii="Times New Roman" w:hAnsi="Times New Roman" w:eastAsia="宋体" w:cs="Times New Roman"/>
                <w:b w:val="0"/>
                <w:bCs w:val="0"/>
                <w:color w:val="000000"/>
                <w:sz w:val="24"/>
                <w:szCs w:val="24"/>
                <w:vertAlign w:val="baseline"/>
                <w:lang w:val="en-US" w:eastAsia="zh-CN"/>
              </w:rPr>
            </w:pPr>
            <w:r>
              <w:rPr>
                <w:rFonts w:hint="default" w:ascii="Times New Roman" w:hAnsi="Times New Roman" w:eastAsia="宋体" w:cs="Times New Roman"/>
                <w:b w:val="0"/>
                <w:bCs w:val="0"/>
                <w:color w:val="000000"/>
                <w:kern w:val="2"/>
                <w:sz w:val="24"/>
                <w:szCs w:val="24"/>
                <w:lang w:val="en-US" w:eastAsia="zh-CN" w:bidi="ar-SA"/>
              </w:rPr>
              <w:t>3</w:t>
            </w:r>
            <w:r>
              <w:rPr>
                <w:rFonts w:hint="eastAsia" w:ascii="Times New Roman" w:hAnsi="Times New Roman" w:cs="Times New Roman"/>
                <w:b w:val="0"/>
                <w:bCs w:val="0"/>
                <w:color w:val="000000"/>
                <w:kern w:val="2"/>
                <w:sz w:val="24"/>
                <w:szCs w:val="24"/>
                <w:lang w:val="en-US" w:eastAsia="zh-CN" w:bidi="ar-SA"/>
              </w:rPr>
              <w:t>、</w:t>
            </w:r>
            <w:r>
              <w:rPr>
                <w:rFonts w:hint="default" w:ascii="Times New Roman" w:hAnsi="Times New Roman" w:eastAsia="宋体" w:cs="Times New Roman"/>
                <w:b w:val="0"/>
                <w:bCs w:val="0"/>
                <w:color w:val="000000"/>
                <w:kern w:val="2"/>
                <w:sz w:val="24"/>
                <w:szCs w:val="24"/>
                <w:lang w:val="en-US" w:eastAsia="zh-CN" w:bidi="ar-SA"/>
              </w:rPr>
              <w:t>与《新疆生态环境保护“十四五”规划》符合性分析</w:t>
            </w:r>
          </w:p>
          <w:p w14:paraId="48C87C62">
            <w:pPr>
              <w:keepNext w:val="0"/>
              <w:keepLines w:val="0"/>
              <w:pageBreakBefore w:val="0"/>
              <w:widowControl w:val="0"/>
              <w:kinsoku/>
              <w:wordWrap/>
              <w:overflowPunct/>
              <w:topLinePunct w:val="0"/>
              <w:autoSpaceDE/>
              <w:autoSpaceDN/>
              <w:bidi w:val="0"/>
              <w:adjustRightInd/>
              <w:snapToGrid/>
              <w:spacing w:afterAutospacing="0" w:line="440" w:lineRule="exact"/>
              <w:ind w:left="0" w:leftChars="0" w:firstLine="480" w:firstLineChars="200"/>
              <w:textAlignment w:val="auto"/>
              <w:rPr>
                <w:rFonts w:hint="default" w:ascii="Times New Roman" w:hAnsi="Times New Roman" w:eastAsia="宋体" w:cs="Times New Roman"/>
                <w:color w:val="000000"/>
                <w:sz w:val="24"/>
                <w:szCs w:val="24"/>
                <w:lang w:val="en-US" w:eastAsia="zh-CN"/>
              </w:rPr>
            </w:pPr>
            <w:r>
              <w:rPr>
                <w:rFonts w:hint="default" w:ascii="Times New Roman" w:hAnsi="Times New Roman" w:eastAsia="宋体" w:cs="Times New Roman"/>
                <w:color w:val="000000"/>
                <w:sz w:val="24"/>
                <w:szCs w:val="24"/>
                <w:lang w:val="en-US" w:eastAsia="zh-CN"/>
              </w:rPr>
              <w:t>《新疆生态环境保护“十四五”规划》第五章第二节中提出：分区推进环境空气质量改善行动。加大天山北坡区域大气污染同防同治力度，巩固和扩大“乌一昌—石”“奎一独一乌”大气污染防治工作成果，推进伊宁市及周边区域大气污染防控，进一步深化工业污染源深度治理，加强采暖季大气污染控制。受自然沙尘影响严重的南疆、东疆区域，因地制宜开展防风固沙生态修复工程，强化沙尘天气颗粒物防控。未达标城市制定或修订大气环境质量限期达标规划，加强达标进程管理，明确环境空气质量达标路线图及污染防治重点任务，并向社会公开。克拉玛依市、阿勒泰地区、塔城地区博州等环境空气质量较好的地区，继续加大污染防治力度，实现环境空气质量稳定达标。深入推进重点区域大气污染治理。深入推进“乌一昌—石”“一独一乌”和伊宁市及周边区域大气污染治理，加快推进“乌一昌—石”区域城市细颗粒物和臭氧协同防控“一市一策”驻点跟踪研究工作。强化区域大气污染联防联控，合理确定产业布局，推动区域内统一产业准入和排放标准。实施钢铁、水泥、焦化等行业季节性生产调控措施，推进散煤整治、挥发性有机污染物（以下简称“VOCs”综合治理、钢铁、水泥、焦化和燃煤工业锅炉行业超低排放改造和燃气锅炉低氮燃烧改造、工业园区内轨道运输（大宗货物“公转铁”）、柴油货车治理、锅炉炉窑综合治理等工程项目。全面推行绿色施工，持续推动城市建成区重污染企业搬迁或关闭退出。《新疆生态环境保护“十四五”规划》中提出针对其他工业污染源治理：加大对其他工业污染源的环境监管力度，集中力量对全区大气污染排放企业进行全面整治。不能稳定达标的企业要采取清洁生产改造、污染深度治理等措施，限期整治改造；对问题严重、达标无望的责令关闭。</w:t>
            </w:r>
          </w:p>
          <w:p w14:paraId="4151871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000000"/>
                <w:sz w:val="24"/>
                <w:szCs w:val="24"/>
                <w:lang w:val="en-US" w:eastAsia="zh-CN"/>
              </w:rPr>
            </w:pPr>
            <w:r>
              <w:rPr>
                <w:rFonts w:hint="default" w:ascii="Times New Roman" w:hAnsi="Times New Roman" w:eastAsia="宋体" w:cs="Times New Roman"/>
                <w:color w:val="000000"/>
                <w:sz w:val="24"/>
                <w:szCs w:val="24"/>
                <w:lang w:val="en-US" w:eastAsia="zh-CN"/>
              </w:rPr>
              <w:t>本项目位于巴州（南疆地区），项目针对煤泥洗选、煤炭贮存、装卸转运全过程采取密闭储煤棚、皮带密闭输送、喷淋抑尘、厂区洒水降尘等颗粒物防控措施，落实南疆沙尘天气颗粒物管控要求；浮选药剂储罐密闭输送，加强无组织VOCs管控。项目不自建供热锅炉，不涉及燃煤锅炉；项目不属于钢铁、水泥、焦化等需季节性调控行业，不属于散煤燃烧项目。项目选址布局合理，污染物均采取有效的治理措施、稳定达标排放，符合《新疆生态环境保护“十四五”规划》相关要求。</w:t>
            </w:r>
          </w:p>
          <w:p w14:paraId="32F04EDD">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000000"/>
                <w:sz w:val="24"/>
                <w:szCs w:val="24"/>
                <w:highlight w:val="none"/>
                <w:lang w:val="en-US" w:eastAsia="zh-CN"/>
              </w:rPr>
            </w:pPr>
            <w:r>
              <w:rPr>
                <w:rFonts w:hint="default" w:ascii="Times New Roman" w:hAnsi="Times New Roman" w:cs="Times New Roman"/>
                <w:b w:val="0"/>
                <w:bCs w:val="0"/>
                <w:color w:val="000000"/>
                <w:sz w:val="24"/>
                <w:szCs w:val="24"/>
                <w:highlight w:val="none"/>
                <w:lang w:val="en-US" w:eastAsia="zh-CN"/>
              </w:rPr>
              <w:t>4</w:t>
            </w:r>
            <w:r>
              <w:rPr>
                <w:rFonts w:hint="eastAsia" w:ascii="Times New Roman" w:hAnsi="Times New Roman" w:cs="Times New Roman"/>
                <w:b w:val="0"/>
                <w:bCs w:val="0"/>
                <w:color w:val="000000"/>
                <w:sz w:val="24"/>
                <w:szCs w:val="24"/>
                <w:highlight w:val="none"/>
                <w:lang w:val="en-US" w:eastAsia="zh-CN"/>
              </w:rPr>
              <w:t>、</w:t>
            </w:r>
            <w:r>
              <w:rPr>
                <w:rFonts w:hint="default" w:ascii="Times New Roman" w:hAnsi="Times New Roman" w:eastAsia="宋体" w:cs="Times New Roman"/>
                <w:b w:val="0"/>
                <w:bCs w:val="0"/>
                <w:color w:val="000000"/>
                <w:sz w:val="24"/>
                <w:szCs w:val="24"/>
                <w:highlight w:val="none"/>
                <w:lang w:val="en-US" w:eastAsia="zh-CN"/>
              </w:rPr>
              <w:t>与《巴音郭楞蒙古自治州生态环境保护“十四五”规划》的符合性分析</w:t>
            </w:r>
          </w:p>
          <w:p w14:paraId="208FD230">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项目与《巴音郭楞蒙古自治州生态环境保护“十四五”规划》符合性分析如下：</w:t>
            </w:r>
          </w:p>
          <w:p w14:paraId="6F7813CC">
            <w:pPr>
              <w:keepNext w:val="0"/>
              <w:keepLines w:val="0"/>
              <w:pageBreakBefore w:val="0"/>
              <w:widowControl w:val="0"/>
              <w:kinsoku/>
              <w:wordWrap/>
              <w:overflowPunct/>
              <w:topLinePunct w:val="0"/>
              <w:autoSpaceDE/>
              <w:autoSpaceDN/>
              <w:bidi w:val="0"/>
              <w:adjustRightInd/>
              <w:snapToGrid/>
              <w:spacing w:afterAutospacing="0" w:line="440" w:lineRule="exact"/>
              <w:ind w:left="0" w:leftChars="0" w:firstLine="0" w:firstLineChars="0"/>
              <w:jc w:val="center"/>
              <w:textAlignment w:val="auto"/>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b/>
                <w:bCs/>
                <w:color w:val="000000"/>
                <w:sz w:val="21"/>
                <w:szCs w:val="21"/>
                <w:highlight w:val="none"/>
                <w:lang w:val="en-US" w:eastAsia="zh-CN"/>
              </w:rPr>
              <w:t>表1-</w:t>
            </w:r>
            <w:r>
              <w:rPr>
                <w:rFonts w:hint="eastAsia" w:ascii="Times New Roman" w:hAnsi="Times New Roman" w:cs="Times New Roman"/>
                <w:b/>
                <w:bCs/>
                <w:color w:val="000000"/>
                <w:sz w:val="21"/>
                <w:szCs w:val="21"/>
                <w:highlight w:val="none"/>
                <w:lang w:val="en-US" w:eastAsia="zh-CN"/>
              </w:rPr>
              <w:t>4</w:t>
            </w:r>
            <w:r>
              <w:rPr>
                <w:rFonts w:hint="default" w:ascii="Times New Roman" w:hAnsi="Times New Roman" w:cs="Times New Roman"/>
                <w:b/>
                <w:bCs/>
                <w:color w:val="000000"/>
                <w:sz w:val="21"/>
                <w:szCs w:val="21"/>
                <w:highlight w:val="none"/>
                <w:lang w:val="en-US" w:eastAsia="zh-CN"/>
              </w:rPr>
              <w:t xml:space="preserve">  </w:t>
            </w:r>
            <w:r>
              <w:rPr>
                <w:rFonts w:hint="default" w:ascii="Times New Roman" w:hAnsi="Times New Roman" w:eastAsia="宋体" w:cs="Times New Roman"/>
                <w:b/>
                <w:bCs/>
                <w:color w:val="000000"/>
                <w:sz w:val="21"/>
                <w:szCs w:val="21"/>
                <w:highlight w:val="none"/>
                <w:lang w:val="en-US" w:eastAsia="zh-CN"/>
              </w:rPr>
              <w:t>项目与《巴音郭楞蒙古自治州生态环境保护“十四五”规划》符合性分析一览表</w:t>
            </w:r>
          </w:p>
          <w:tbl>
            <w:tblPr>
              <w:tblStyle w:val="26"/>
              <w:tblW w:w="4997"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4135"/>
              <w:gridCol w:w="1593"/>
              <w:gridCol w:w="652"/>
            </w:tblGrid>
            <w:tr w14:paraId="6AF1D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46" w:type="pct"/>
                  <w:gridSpan w:val="2"/>
                  <w:noWrap w:val="0"/>
                  <w:vAlign w:val="center"/>
                </w:tcPr>
                <w:p w14:paraId="2AECA0D6">
                  <w:pPr>
                    <w:pStyle w:val="13"/>
                    <w:keepNext w:val="0"/>
                    <w:keepLines w:val="0"/>
                    <w:pageBreakBefore w:val="0"/>
                    <w:widowControl w:val="0"/>
                    <w:kinsoku/>
                    <w:wordWrap/>
                    <w:overflowPunct/>
                    <w:topLinePunct w:val="0"/>
                    <w:autoSpaceDE w:val="0"/>
                    <w:autoSpaceDN w:val="0"/>
                    <w:bidi w:val="0"/>
                    <w:adjustRightInd w:val="0"/>
                    <w:snapToGrid/>
                    <w:jc w:val="center"/>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《巴音郭楞蒙古自治州生态环境保护“十四五”规划》具体要求</w:t>
                  </w:r>
                </w:p>
              </w:tc>
              <w:tc>
                <w:tcPr>
                  <w:tcW w:w="1102" w:type="pct"/>
                  <w:noWrap w:val="0"/>
                  <w:vAlign w:val="center"/>
                </w:tcPr>
                <w:p w14:paraId="2F868622">
                  <w:pPr>
                    <w:pStyle w:val="13"/>
                    <w:keepNext w:val="0"/>
                    <w:keepLines w:val="0"/>
                    <w:pageBreakBefore w:val="0"/>
                    <w:widowControl w:val="0"/>
                    <w:kinsoku/>
                    <w:wordWrap/>
                    <w:overflowPunct/>
                    <w:topLinePunct w:val="0"/>
                    <w:autoSpaceDE w:val="0"/>
                    <w:autoSpaceDN w:val="0"/>
                    <w:bidi w:val="0"/>
                    <w:adjustRightInd w:val="0"/>
                    <w:snapToGrid/>
                    <w:jc w:val="center"/>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本项目情况</w:t>
                  </w:r>
                </w:p>
              </w:tc>
              <w:tc>
                <w:tcPr>
                  <w:tcW w:w="451" w:type="pct"/>
                  <w:noWrap w:val="0"/>
                  <w:vAlign w:val="center"/>
                </w:tcPr>
                <w:p w14:paraId="0591A35D">
                  <w:pPr>
                    <w:pStyle w:val="13"/>
                    <w:keepNext w:val="0"/>
                    <w:keepLines w:val="0"/>
                    <w:pageBreakBefore w:val="0"/>
                    <w:widowControl w:val="0"/>
                    <w:kinsoku/>
                    <w:wordWrap/>
                    <w:overflowPunct/>
                    <w:topLinePunct w:val="0"/>
                    <w:autoSpaceDE w:val="0"/>
                    <w:autoSpaceDN w:val="0"/>
                    <w:bidi w:val="0"/>
                    <w:adjustRightInd w:val="0"/>
                    <w:snapToGrid/>
                    <w:jc w:val="center"/>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符合性</w:t>
                  </w:r>
                </w:p>
              </w:tc>
            </w:tr>
            <w:tr w14:paraId="03A02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pct"/>
                  <w:tcBorders>
                    <w:tl2br w:val="nil"/>
                    <w:tr2bl w:val="nil"/>
                  </w:tcBorders>
                  <w:noWrap w:val="0"/>
                  <w:vAlign w:val="center"/>
                </w:tcPr>
                <w:p w14:paraId="08A787F1">
                  <w:pPr>
                    <w:pStyle w:val="13"/>
                    <w:keepNext w:val="0"/>
                    <w:keepLines w:val="0"/>
                    <w:pageBreakBefore w:val="0"/>
                    <w:widowControl w:val="0"/>
                    <w:kinsoku/>
                    <w:wordWrap/>
                    <w:overflowPunct/>
                    <w:topLinePunct w:val="0"/>
                    <w:autoSpaceDE w:val="0"/>
                    <w:autoSpaceDN w:val="0"/>
                    <w:bidi w:val="0"/>
                    <w:adjustRightInd w:val="0"/>
                    <w:snapToGrid/>
                    <w:jc w:val="center"/>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深入推进环境污染防治</w:t>
                  </w:r>
                </w:p>
              </w:tc>
              <w:tc>
                <w:tcPr>
                  <w:tcW w:w="2860" w:type="pct"/>
                  <w:tcBorders>
                    <w:tl2br w:val="nil"/>
                    <w:tr2bl w:val="nil"/>
                  </w:tcBorders>
                  <w:noWrap w:val="0"/>
                  <w:vAlign w:val="center"/>
                </w:tcPr>
                <w:p w14:paraId="245B6EA0">
                  <w:pPr>
                    <w:pStyle w:val="13"/>
                    <w:keepNext w:val="0"/>
                    <w:keepLines w:val="0"/>
                    <w:pageBreakBefore w:val="0"/>
                    <w:widowControl w:val="0"/>
                    <w:kinsoku/>
                    <w:wordWrap/>
                    <w:overflowPunct/>
                    <w:topLinePunct w:val="0"/>
                    <w:autoSpaceDE w:val="0"/>
                    <w:autoSpaceDN w:val="0"/>
                    <w:bidi w:val="0"/>
                    <w:adjustRightInd w:val="0"/>
                    <w:snapToGrid/>
                    <w:jc w:val="both"/>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强化大气污染分区控制和分类管理，加强污染源解析，实行差异化控制要求，制定有针对性的污染防治措施。库尔勒等大气复合型污染区域，重点针对不同时段PM</w:t>
                  </w:r>
                  <w:r>
                    <w:rPr>
                      <w:rFonts w:hint="eastAsia" w:ascii="宋体" w:hAnsi="宋体" w:eastAsia="宋体" w:cs="宋体"/>
                      <w:b w:val="0"/>
                      <w:bCs w:val="0"/>
                      <w:color w:val="000000"/>
                      <w:sz w:val="21"/>
                      <w:szCs w:val="21"/>
                      <w:vertAlign w:val="subscript"/>
                      <w:lang w:val="en-US" w:eastAsia="zh-CN"/>
                    </w:rPr>
                    <w:t>10</w:t>
                  </w:r>
                  <w:r>
                    <w:rPr>
                      <w:rFonts w:hint="eastAsia" w:ascii="宋体" w:hAnsi="宋体" w:eastAsia="宋体" w:cs="宋体"/>
                      <w:b w:val="0"/>
                      <w:bCs w:val="0"/>
                      <w:color w:val="000000"/>
                      <w:sz w:val="21"/>
                      <w:szCs w:val="21"/>
                      <w:vertAlign w:val="baseline"/>
                      <w:lang w:val="en-US" w:eastAsia="zh-CN"/>
                    </w:rPr>
                    <w:t>、PM</w:t>
                  </w:r>
                  <w:r>
                    <w:rPr>
                      <w:rFonts w:hint="eastAsia" w:ascii="宋体" w:hAnsi="宋体" w:eastAsia="宋体" w:cs="宋体"/>
                      <w:b w:val="0"/>
                      <w:bCs w:val="0"/>
                      <w:color w:val="000000"/>
                      <w:sz w:val="21"/>
                      <w:szCs w:val="21"/>
                      <w:vertAlign w:val="subscript"/>
                      <w:lang w:val="en-US" w:eastAsia="zh-CN"/>
                    </w:rPr>
                    <w:t>2.5</w:t>
                  </w:r>
                  <w:r>
                    <w:rPr>
                      <w:rFonts w:hint="eastAsia" w:ascii="宋体" w:hAnsi="宋体" w:eastAsia="宋体" w:cs="宋体"/>
                      <w:b w:val="0"/>
                      <w:bCs w:val="0"/>
                      <w:color w:val="000000"/>
                      <w:sz w:val="21"/>
                      <w:szCs w:val="21"/>
                      <w:vertAlign w:val="baseline"/>
                      <w:lang w:val="en-US" w:eastAsia="zh-CN"/>
                    </w:rPr>
                    <w:t>、O</w:t>
                  </w:r>
                  <w:r>
                    <w:rPr>
                      <w:rFonts w:hint="eastAsia" w:ascii="宋体" w:hAnsi="宋体" w:eastAsia="宋体" w:cs="宋体"/>
                      <w:b w:val="0"/>
                      <w:bCs w:val="0"/>
                      <w:color w:val="000000"/>
                      <w:sz w:val="21"/>
                      <w:szCs w:val="21"/>
                      <w:vertAlign w:val="subscript"/>
                      <w:lang w:val="en-US" w:eastAsia="zh-CN"/>
                    </w:rPr>
                    <w:t>3</w:t>
                  </w:r>
                  <w:r>
                    <w:rPr>
                      <w:rFonts w:hint="eastAsia" w:ascii="宋体" w:hAnsi="宋体" w:eastAsia="宋体" w:cs="宋体"/>
                      <w:b w:val="0"/>
                      <w:bCs w:val="0"/>
                      <w:color w:val="000000"/>
                      <w:sz w:val="21"/>
                      <w:szCs w:val="21"/>
                      <w:vertAlign w:val="baseline"/>
                      <w:lang w:val="en-US" w:eastAsia="zh-CN"/>
                    </w:rPr>
                    <w:t>等突出问题，加强采暖季燃煤污染控制，以及机动车、VOCs（挥发性有机物）污染防治；库尉轮地区及且若区域沙尘污染严重区，重点做好防风固沙、生态环境保护修复等工作，同时持续加强传统煤烟型、扬尘污染的控制，实现空气质量持续改善。</w:t>
                  </w:r>
                </w:p>
              </w:tc>
              <w:tc>
                <w:tcPr>
                  <w:tcW w:w="1102" w:type="pct"/>
                  <w:tcBorders>
                    <w:tl2br w:val="nil"/>
                    <w:tr2bl w:val="nil"/>
                  </w:tcBorders>
                  <w:noWrap w:val="0"/>
                  <w:vAlign w:val="center"/>
                </w:tcPr>
                <w:p w14:paraId="3D4DF518">
                  <w:pPr>
                    <w:pStyle w:val="13"/>
                    <w:keepNext w:val="0"/>
                    <w:keepLines w:val="0"/>
                    <w:pageBreakBefore w:val="0"/>
                    <w:widowControl w:val="0"/>
                    <w:kinsoku/>
                    <w:wordWrap/>
                    <w:overflowPunct/>
                    <w:topLinePunct w:val="0"/>
                    <w:autoSpaceDE w:val="0"/>
                    <w:autoSpaceDN w:val="0"/>
                    <w:bidi w:val="0"/>
                    <w:adjustRightInd w:val="0"/>
                    <w:snapToGrid/>
                    <w:jc w:val="both"/>
                    <w:textAlignment w:val="auto"/>
                    <w:rPr>
                      <w:rFonts w:hint="eastAsia" w:ascii="宋体" w:hAnsi="宋体" w:eastAsia="宋体" w:cs="宋体"/>
                      <w:b w:val="0"/>
                      <w:bCs w:val="0"/>
                      <w:color w:val="000000"/>
                      <w:sz w:val="21"/>
                      <w:szCs w:val="21"/>
                      <w:vertAlign w:val="baseline"/>
                      <w:lang w:val="en-US" w:eastAsia="zh-CN"/>
                    </w:rPr>
                  </w:pPr>
                  <w:r>
                    <w:rPr>
                      <w:rFonts w:hint="eastAsia" w:eastAsia="宋体" w:cs="宋体"/>
                      <w:b w:val="0"/>
                      <w:bCs w:val="0"/>
                      <w:color w:val="000000"/>
                      <w:sz w:val="21"/>
                      <w:szCs w:val="21"/>
                      <w:vertAlign w:val="baseline"/>
                      <w:lang w:val="en-US" w:eastAsia="zh-CN"/>
                    </w:rPr>
                    <w:t>本</w:t>
                  </w:r>
                  <w:r>
                    <w:rPr>
                      <w:rFonts w:hint="default" w:ascii="宋体" w:hAnsi="宋体" w:eastAsia="宋体" w:cs="宋体"/>
                      <w:b w:val="0"/>
                      <w:bCs w:val="0"/>
                      <w:color w:val="000000"/>
                      <w:sz w:val="21"/>
                      <w:szCs w:val="21"/>
                      <w:vertAlign w:val="baseline"/>
                      <w:lang w:val="en-US" w:eastAsia="zh-CN"/>
                    </w:rPr>
                    <w:t>项目通过密闭储煤棚、厂区抑尘等措施严格控制扬尘，落实分区差异化大气管控要求，符合相关规划。</w:t>
                  </w:r>
                </w:p>
              </w:tc>
              <w:tc>
                <w:tcPr>
                  <w:tcW w:w="451" w:type="pct"/>
                  <w:tcBorders>
                    <w:tl2br w:val="nil"/>
                    <w:tr2bl w:val="nil"/>
                  </w:tcBorders>
                  <w:noWrap w:val="0"/>
                  <w:vAlign w:val="center"/>
                </w:tcPr>
                <w:p w14:paraId="48661E31">
                  <w:pPr>
                    <w:pStyle w:val="13"/>
                    <w:keepNext w:val="0"/>
                    <w:keepLines w:val="0"/>
                    <w:pageBreakBefore w:val="0"/>
                    <w:widowControl w:val="0"/>
                    <w:kinsoku/>
                    <w:wordWrap/>
                    <w:overflowPunct/>
                    <w:topLinePunct w:val="0"/>
                    <w:autoSpaceDE w:val="0"/>
                    <w:autoSpaceDN w:val="0"/>
                    <w:bidi w:val="0"/>
                    <w:adjustRightInd w:val="0"/>
                    <w:snapToGrid/>
                    <w:jc w:val="both"/>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符合</w:t>
                  </w:r>
                </w:p>
              </w:tc>
            </w:tr>
            <w:tr w14:paraId="68867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pct"/>
                  <w:tcBorders>
                    <w:tl2br w:val="nil"/>
                    <w:tr2bl w:val="nil"/>
                  </w:tcBorders>
                  <w:noWrap w:val="0"/>
                  <w:vAlign w:val="center"/>
                </w:tcPr>
                <w:p w14:paraId="2BED9373">
                  <w:pPr>
                    <w:pStyle w:val="13"/>
                    <w:keepNext w:val="0"/>
                    <w:keepLines w:val="0"/>
                    <w:pageBreakBefore w:val="0"/>
                    <w:widowControl w:val="0"/>
                    <w:kinsoku/>
                    <w:wordWrap/>
                    <w:overflowPunct/>
                    <w:topLinePunct w:val="0"/>
                    <w:autoSpaceDE w:val="0"/>
                    <w:autoSpaceDN w:val="0"/>
                    <w:bidi w:val="0"/>
                    <w:adjustRightInd w:val="0"/>
                    <w:snapToGrid/>
                    <w:jc w:val="center"/>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加强生态保护与修复</w:t>
                  </w:r>
                </w:p>
              </w:tc>
              <w:tc>
                <w:tcPr>
                  <w:tcW w:w="2860" w:type="pct"/>
                  <w:tcBorders>
                    <w:tl2br w:val="nil"/>
                    <w:tr2bl w:val="nil"/>
                  </w:tcBorders>
                  <w:noWrap w:val="0"/>
                  <w:vAlign w:val="center"/>
                </w:tcPr>
                <w:p w14:paraId="7EB61099">
                  <w:pPr>
                    <w:pStyle w:val="13"/>
                    <w:keepNext w:val="0"/>
                    <w:keepLines w:val="0"/>
                    <w:pageBreakBefore w:val="0"/>
                    <w:widowControl w:val="0"/>
                    <w:kinsoku/>
                    <w:wordWrap/>
                    <w:overflowPunct/>
                    <w:topLinePunct w:val="0"/>
                    <w:autoSpaceDE w:val="0"/>
                    <w:autoSpaceDN w:val="0"/>
                    <w:bidi w:val="0"/>
                    <w:adjustRightInd w:val="0"/>
                    <w:snapToGrid/>
                    <w:jc w:val="both"/>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深入实施燃煤锅炉、工业炉窑综合治理。县级及以上城市建成区原则上禁止新建每小时35蒸吨以下燃煤锅炉，其他地区原则上不再新建每小时10蒸吨及以下的燃煤锅炉。65蒸吨/小时及以上的燃煤锅炉超低排放，其他燃煤锅炉全部达到特别排放限值要求；深入实施《自治州工业炉窑大气污染综合治理实施方案》，完善我州工业窑炉大气污染综合治理管理体系，推进工业窑炉全面达标排放，全面加强无组织排放管理；库尔勒区域（库尔勒市、兵团二师铁门关市、库尔勒经济技术开发区、第二师铁门关经济技术开发区、焉耆回族自治县河北生态产业园）工业窑炉装备和污染治理水平明显提高，实现工业行业二氧化硫、氮氧化物、颗粒物等污染物排放进一步下降，协同促进钢铁、建材等重点行业二氧化碳排放有效控制，推动环境空气质量持续改善和产业高质量发展。</w:t>
                  </w:r>
                </w:p>
              </w:tc>
              <w:tc>
                <w:tcPr>
                  <w:tcW w:w="1102" w:type="pct"/>
                  <w:tcBorders>
                    <w:tl2br w:val="nil"/>
                    <w:tr2bl w:val="nil"/>
                  </w:tcBorders>
                  <w:noWrap w:val="0"/>
                  <w:vAlign w:val="center"/>
                </w:tcPr>
                <w:p w14:paraId="17D9DC39">
                  <w:pPr>
                    <w:pStyle w:val="13"/>
                    <w:keepNext w:val="0"/>
                    <w:keepLines w:val="0"/>
                    <w:pageBreakBefore w:val="0"/>
                    <w:widowControl w:val="0"/>
                    <w:kinsoku/>
                    <w:wordWrap/>
                    <w:overflowPunct/>
                    <w:topLinePunct w:val="0"/>
                    <w:autoSpaceDE w:val="0"/>
                    <w:autoSpaceDN w:val="0"/>
                    <w:bidi w:val="0"/>
                    <w:adjustRightInd w:val="0"/>
                    <w:snapToGrid/>
                    <w:jc w:val="center"/>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本项目</w:t>
                  </w:r>
                  <w:r>
                    <w:rPr>
                      <w:rFonts w:hint="eastAsia" w:ascii="宋体" w:hAnsi="宋体" w:eastAsia="宋体" w:cs="宋体"/>
                      <w:b w:val="0"/>
                      <w:bCs w:val="0"/>
                      <w:sz w:val="21"/>
                      <w:szCs w:val="21"/>
                      <w:lang w:val="en-US" w:eastAsia="zh-CN"/>
                    </w:rPr>
                    <w:t>不燃煤。</w:t>
                  </w:r>
                </w:p>
              </w:tc>
              <w:tc>
                <w:tcPr>
                  <w:tcW w:w="451" w:type="pct"/>
                  <w:tcBorders>
                    <w:tl2br w:val="nil"/>
                    <w:tr2bl w:val="nil"/>
                  </w:tcBorders>
                  <w:noWrap w:val="0"/>
                  <w:vAlign w:val="center"/>
                </w:tcPr>
                <w:p w14:paraId="675276DC">
                  <w:pPr>
                    <w:pStyle w:val="13"/>
                    <w:keepNext w:val="0"/>
                    <w:keepLines w:val="0"/>
                    <w:pageBreakBefore w:val="0"/>
                    <w:widowControl w:val="0"/>
                    <w:kinsoku/>
                    <w:wordWrap/>
                    <w:overflowPunct/>
                    <w:topLinePunct w:val="0"/>
                    <w:autoSpaceDE w:val="0"/>
                    <w:autoSpaceDN w:val="0"/>
                    <w:bidi w:val="0"/>
                    <w:adjustRightInd w:val="0"/>
                    <w:snapToGrid/>
                    <w:jc w:val="center"/>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符合</w:t>
                  </w:r>
                </w:p>
              </w:tc>
            </w:tr>
            <w:tr w14:paraId="4E9AB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pct"/>
                  <w:tcBorders>
                    <w:tl2br w:val="nil"/>
                    <w:tr2bl w:val="nil"/>
                  </w:tcBorders>
                  <w:noWrap w:val="0"/>
                  <w:vAlign w:val="center"/>
                </w:tcPr>
                <w:p w14:paraId="3DC86BBD">
                  <w:pPr>
                    <w:pStyle w:val="13"/>
                    <w:keepNext w:val="0"/>
                    <w:keepLines w:val="0"/>
                    <w:pageBreakBefore w:val="0"/>
                    <w:widowControl w:val="0"/>
                    <w:kinsoku/>
                    <w:wordWrap/>
                    <w:overflowPunct/>
                    <w:topLinePunct w:val="0"/>
                    <w:autoSpaceDE w:val="0"/>
                    <w:autoSpaceDN w:val="0"/>
                    <w:bidi w:val="0"/>
                    <w:adjustRightInd w:val="0"/>
                    <w:snapToGrid/>
                    <w:jc w:val="center"/>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严守水资源利用“三条红线”，全面实施节水工程，调整用水结构</w:t>
                  </w:r>
                </w:p>
              </w:tc>
              <w:tc>
                <w:tcPr>
                  <w:tcW w:w="2860" w:type="pct"/>
                  <w:tcBorders>
                    <w:tl2br w:val="nil"/>
                    <w:tr2bl w:val="nil"/>
                  </w:tcBorders>
                  <w:noWrap w:val="0"/>
                  <w:vAlign w:val="center"/>
                </w:tcPr>
                <w:p w14:paraId="4059C186">
                  <w:pPr>
                    <w:pStyle w:val="13"/>
                    <w:keepNext w:val="0"/>
                    <w:keepLines w:val="0"/>
                    <w:pageBreakBefore w:val="0"/>
                    <w:widowControl w:val="0"/>
                    <w:numPr>
                      <w:ilvl w:val="0"/>
                      <w:numId w:val="0"/>
                    </w:numPr>
                    <w:kinsoku/>
                    <w:wordWrap/>
                    <w:overflowPunct/>
                    <w:topLinePunct w:val="0"/>
                    <w:autoSpaceDE w:val="0"/>
                    <w:autoSpaceDN w:val="0"/>
                    <w:bidi w:val="0"/>
                    <w:adjustRightInd w:val="0"/>
                    <w:snapToGrid/>
                    <w:jc w:val="left"/>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kern w:val="2"/>
                      <w:sz w:val="21"/>
                      <w:szCs w:val="21"/>
                      <w:vertAlign w:val="baseline"/>
                      <w:lang w:val="en-US" w:eastAsia="zh-CN" w:bidi="ar-SA"/>
                    </w:rPr>
                    <w:t>（1）</w:t>
                  </w:r>
                  <w:r>
                    <w:rPr>
                      <w:rFonts w:hint="eastAsia" w:ascii="宋体" w:hAnsi="宋体" w:eastAsia="宋体" w:cs="宋体"/>
                      <w:b w:val="0"/>
                      <w:bCs w:val="0"/>
                      <w:color w:val="000000"/>
                      <w:sz w:val="21"/>
                      <w:szCs w:val="21"/>
                      <w:vertAlign w:val="baseline"/>
                      <w:lang w:val="en-US" w:eastAsia="zh-CN"/>
                    </w:rPr>
                    <w:t>控制用水总量。落实最严格水资源管理制度，兵地联合严守“三条红线”控制指标，健全取用水总量控制指标体系，建立覆盖全流域的取用水总量控制指标体系，推进消耗总量与消耗强度双控制度管理，制定年度减水目标及对策措施。严格实施取水许可制度，对取用水总量已达到或超过控制指标的区域，暂停审批其建设项目新增取水许可。对纳入取水许可管理的单位和其他用水大户实行计划用水管理。新建、改建、扩建项目用水要达到其行业先进水平，节水设施与主体工程同时设计、同时施工、同时投运。</w:t>
                  </w:r>
                </w:p>
                <w:p w14:paraId="3341CF0D">
                  <w:pPr>
                    <w:pStyle w:val="13"/>
                    <w:keepNext w:val="0"/>
                    <w:keepLines w:val="0"/>
                    <w:pageBreakBefore w:val="0"/>
                    <w:widowControl w:val="0"/>
                    <w:numPr>
                      <w:ilvl w:val="0"/>
                      <w:numId w:val="0"/>
                    </w:numPr>
                    <w:kinsoku/>
                    <w:wordWrap/>
                    <w:overflowPunct/>
                    <w:topLinePunct w:val="0"/>
                    <w:autoSpaceDE w:val="0"/>
                    <w:autoSpaceDN w:val="0"/>
                    <w:bidi w:val="0"/>
                    <w:adjustRightInd w:val="0"/>
                    <w:snapToGrid/>
                    <w:jc w:val="left"/>
                    <w:textAlignment w:val="auto"/>
                    <w:rPr>
                      <w:rFonts w:hint="eastAsia" w:ascii="宋体" w:hAnsi="宋体" w:eastAsia="宋体" w:cs="宋体"/>
                      <w:b w:val="0"/>
                      <w:bCs w:val="0"/>
                      <w:color w:val="000000"/>
                      <w:sz w:val="21"/>
                      <w:szCs w:val="21"/>
                      <w:lang w:val="en-US" w:eastAsia="zh-CN"/>
                    </w:rPr>
                  </w:pPr>
                  <w:r>
                    <w:rPr>
                      <w:rFonts w:hint="eastAsia" w:ascii="宋体" w:hAnsi="宋体" w:eastAsia="宋体" w:cs="宋体"/>
                      <w:b w:val="0"/>
                      <w:bCs w:val="0"/>
                      <w:color w:val="000000"/>
                      <w:sz w:val="21"/>
                      <w:szCs w:val="21"/>
                      <w:vertAlign w:val="baseline"/>
                      <w:lang w:val="en-US" w:eastAsia="zh-CN"/>
                    </w:rPr>
                    <w:t>（2）严控地下水超采。加强地下水超采区综合治理与修复，超采区内禁止工农业生产及服务业新增取用地下水。加强水源置换，合理配置地表水和地下水开采量，减少地下水开采规模，逐步实现地下水采补平衡。严格实施水资源有偿使用制度，依法加强水资源费征收和使用管理。</w:t>
                  </w:r>
                </w:p>
              </w:tc>
              <w:tc>
                <w:tcPr>
                  <w:tcW w:w="1102" w:type="pct"/>
                  <w:tcBorders>
                    <w:tl2br w:val="nil"/>
                    <w:tr2bl w:val="nil"/>
                  </w:tcBorders>
                  <w:noWrap w:val="0"/>
                  <w:vAlign w:val="center"/>
                </w:tcPr>
                <w:p w14:paraId="4DA0C28E">
                  <w:pPr>
                    <w:pStyle w:val="13"/>
                    <w:keepNext w:val="0"/>
                    <w:keepLines w:val="0"/>
                    <w:pageBreakBefore w:val="0"/>
                    <w:widowControl w:val="0"/>
                    <w:kinsoku/>
                    <w:wordWrap/>
                    <w:overflowPunct/>
                    <w:topLinePunct w:val="0"/>
                    <w:autoSpaceDE w:val="0"/>
                    <w:autoSpaceDN w:val="0"/>
                    <w:bidi w:val="0"/>
                    <w:adjustRightInd w:val="0"/>
                    <w:snapToGrid/>
                    <w:jc w:val="both"/>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本项目生产生活用水由市政供水管网统一提供，不涉及地下水超采。</w:t>
                  </w:r>
                </w:p>
              </w:tc>
              <w:tc>
                <w:tcPr>
                  <w:tcW w:w="451" w:type="pct"/>
                  <w:tcBorders>
                    <w:tl2br w:val="nil"/>
                    <w:tr2bl w:val="nil"/>
                  </w:tcBorders>
                  <w:noWrap w:val="0"/>
                  <w:vAlign w:val="center"/>
                </w:tcPr>
                <w:p w14:paraId="29716149">
                  <w:pPr>
                    <w:pStyle w:val="13"/>
                    <w:keepNext w:val="0"/>
                    <w:keepLines w:val="0"/>
                    <w:pageBreakBefore w:val="0"/>
                    <w:widowControl w:val="0"/>
                    <w:kinsoku/>
                    <w:wordWrap/>
                    <w:overflowPunct/>
                    <w:topLinePunct w:val="0"/>
                    <w:autoSpaceDE w:val="0"/>
                    <w:autoSpaceDN w:val="0"/>
                    <w:bidi w:val="0"/>
                    <w:adjustRightInd w:val="0"/>
                    <w:snapToGrid/>
                    <w:jc w:val="center"/>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符合</w:t>
                  </w:r>
                </w:p>
              </w:tc>
            </w:tr>
            <w:tr w14:paraId="12570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pct"/>
                  <w:tcBorders>
                    <w:tl2br w:val="nil"/>
                    <w:tr2bl w:val="nil"/>
                  </w:tcBorders>
                  <w:noWrap w:val="0"/>
                  <w:vAlign w:val="center"/>
                </w:tcPr>
                <w:p w14:paraId="1FCBD2BC">
                  <w:pPr>
                    <w:pStyle w:val="13"/>
                    <w:keepNext w:val="0"/>
                    <w:keepLines w:val="0"/>
                    <w:pageBreakBefore w:val="0"/>
                    <w:widowControl w:val="0"/>
                    <w:kinsoku/>
                    <w:wordWrap/>
                    <w:overflowPunct/>
                    <w:topLinePunct w:val="0"/>
                    <w:autoSpaceDE w:val="0"/>
                    <w:autoSpaceDN w:val="0"/>
                    <w:bidi w:val="0"/>
                    <w:adjustRightInd w:val="0"/>
                    <w:snapToGrid/>
                    <w:jc w:val="center"/>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推进“无废城市”建设</w:t>
                  </w:r>
                </w:p>
              </w:tc>
              <w:tc>
                <w:tcPr>
                  <w:tcW w:w="2860" w:type="pct"/>
                  <w:tcBorders>
                    <w:tl2br w:val="nil"/>
                    <w:tr2bl w:val="nil"/>
                  </w:tcBorders>
                  <w:noWrap w:val="0"/>
                  <w:vAlign w:val="center"/>
                </w:tcPr>
                <w:p w14:paraId="181E4ACB">
                  <w:pPr>
                    <w:pStyle w:val="13"/>
                    <w:keepNext w:val="0"/>
                    <w:keepLines w:val="0"/>
                    <w:pageBreakBefore w:val="0"/>
                    <w:widowControl w:val="0"/>
                    <w:kinsoku/>
                    <w:wordWrap/>
                    <w:overflowPunct/>
                    <w:topLinePunct w:val="0"/>
                    <w:autoSpaceDE w:val="0"/>
                    <w:autoSpaceDN w:val="0"/>
                    <w:bidi w:val="0"/>
                    <w:adjustRightInd w:val="0"/>
                    <w:snapToGrid/>
                    <w:jc w:val="both"/>
                    <w:textAlignment w:val="auto"/>
                    <w:rPr>
                      <w:rFonts w:hint="eastAsia" w:ascii="宋体" w:hAnsi="宋体" w:eastAsia="宋体" w:cs="宋体"/>
                      <w:b w:val="0"/>
                      <w:bCs w:val="0"/>
                      <w:color w:val="000000"/>
                      <w:sz w:val="21"/>
                      <w:szCs w:val="21"/>
                      <w:vertAlign w:val="baseline"/>
                      <w:lang w:val="en-US" w:eastAsia="zh-CN"/>
                    </w:rPr>
                  </w:pPr>
                  <w:r>
                    <w:rPr>
                      <w:rFonts w:hint="default" w:ascii="宋体" w:hAnsi="宋体" w:eastAsia="宋体" w:cs="宋体"/>
                      <w:b w:val="0"/>
                      <w:bCs w:val="0"/>
                      <w:color w:val="000000"/>
                      <w:sz w:val="21"/>
                      <w:szCs w:val="21"/>
                      <w:vertAlign w:val="baseline"/>
                      <w:lang w:val="en-US" w:eastAsia="zh-CN"/>
                    </w:rPr>
                    <w:t>加强固体废物处置。加强固体废物源头减量和资源化利用，最大限度减少填埋量。持续开展固体废物非法转移和倾倒排查整治，推动开展塑料行业专项清理，持续推进废塑料加工利用行业整治，加强废塑料回收、利用、处置等环节的环境监管，降低污染风险。加强工业固体废物堆存场所环境整治。持续推进工业固体废物综合利用和环境整治，不断提高大宗工业固体废物资源化利用水平。</w:t>
                  </w:r>
                </w:p>
              </w:tc>
              <w:tc>
                <w:tcPr>
                  <w:tcW w:w="1102" w:type="pct"/>
                  <w:tcBorders>
                    <w:tl2br w:val="nil"/>
                    <w:tr2bl w:val="nil"/>
                  </w:tcBorders>
                  <w:noWrap w:val="0"/>
                  <w:vAlign w:val="center"/>
                </w:tcPr>
                <w:p w14:paraId="14E88214">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宋体" w:hAnsi="宋体" w:eastAsia="宋体" w:cs="宋体"/>
                      <w:b w:val="0"/>
                      <w:bCs w:val="0"/>
                      <w:color w:val="000000"/>
                      <w:sz w:val="21"/>
                      <w:szCs w:val="21"/>
                      <w:vertAlign w:val="baseline"/>
                      <w:lang w:val="en-US" w:eastAsia="zh-CN"/>
                    </w:rPr>
                  </w:pPr>
                  <w:r>
                    <w:rPr>
                      <w:rFonts w:hint="default" w:ascii="Times New Roman" w:hAnsi="Times New Roman" w:eastAsia="宋体" w:cs="Times New Roman"/>
                      <w:color w:val="000000"/>
                      <w:spacing w:val="11"/>
                      <w:sz w:val="21"/>
                      <w:szCs w:val="21"/>
                      <w:lang w:val="en-US" w:eastAsia="zh-CN"/>
                    </w:rPr>
                    <w:t>本项目生活垃圾、生产固废均妥善处置</w:t>
                  </w:r>
                  <w:r>
                    <w:rPr>
                      <w:rFonts w:hint="eastAsia" w:ascii="Times New Roman" w:hAnsi="Times New Roman" w:eastAsia="宋体" w:cs="Times New Roman"/>
                      <w:color w:val="000000"/>
                      <w:spacing w:val="11"/>
                      <w:sz w:val="21"/>
                      <w:szCs w:val="21"/>
                      <w:lang w:val="en-US" w:eastAsia="zh-CN"/>
                    </w:rPr>
                    <w:t>。</w:t>
                  </w:r>
                </w:p>
              </w:tc>
              <w:tc>
                <w:tcPr>
                  <w:tcW w:w="451" w:type="pct"/>
                  <w:tcBorders>
                    <w:tl2br w:val="nil"/>
                    <w:tr2bl w:val="nil"/>
                  </w:tcBorders>
                  <w:noWrap w:val="0"/>
                  <w:vAlign w:val="center"/>
                </w:tcPr>
                <w:p w14:paraId="512019E0">
                  <w:pPr>
                    <w:pStyle w:val="13"/>
                    <w:keepNext w:val="0"/>
                    <w:keepLines w:val="0"/>
                    <w:pageBreakBefore w:val="0"/>
                    <w:widowControl w:val="0"/>
                    <w:kinsoku/>
                    <w:wordWrap/>
                    <w:overflowPunct/>
                    <w:topLinePunct w:val="0"/>
                    <w:autoSpaceDE w:val="0"/>
                    <w:autoSpaceDN w:val="0"/>
                    <w:bidi w:val="0"/>
                    <w:adjustRightInd w:val="0"/>
                    <w:snapToGrid/>
                    <w:jc w:val="center"/>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符合</w:t>
                  </w:r>
                </w:p>
              </w:tc>
            </w:tr>
          </w:tbl>
          <w:p w14:paraId="427E32A0">
            <w:pPr>
              <w:snapToGrid w:val="0"/>
              <w:spacing w:line="440" w:lineRule="exact"/>
              <w:ind w:firstLine="480" w:firstLineChars="200"/>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lang w:val="en-US" w:eastAsia="zh-CN"/>
              </w:rPr>
              <w:t>与《巴音郭楞蒙古自治州国民经济和社会发展第十五个五年规划纲要》符合性分析</w:t>
            </w:r>
          </w:p>
          <w:p w14:paraId="3BDC5E59">
            <w:pPr>
              <w:snapToGrid w:val="0"/>
              <w:spacing w:line="440" w:lineRule="exact"/>
              <w:ind w:firstLine="480" w:firstLineChars="200"/>
              <w:rPr>
                <w:rFonts w:hint="eastAsia" w:ascii="宋体" w:hAnsi="宋体" w:eastAsia="宋体" w:cs="宋体"/>
                <w:i w:val="0"/>
                <w:caps w:val="0"/>
                <w:color w:val="auto"/>
                <w:spacing w:val="0"/>
                <w:sz w:val="24"/>
                <w:szCs w:val="24"/>
                <w:shd w:val="clear" w:color="auto" w:fill="FFFFFF"/>
                <w:lang w:val="en-US" w:eastAsia="zh-CN"/>
              </w:rPr>
            </w:pPr>
            <w:r>
              <w:rPr>
                <w:rFonts w:hint="default" w:ascii="Times New Roman" w:hAnsi="Times New Roman" w:eastAsia="宋体" w:cs="Times New Roman"/>
                <w:color w:val="auto"/>
                <w:sz w:val="24"/>
                <w:szCs w:val="24"/>
                <w:highlight w:val="none"/>
                <w:lang w:val="en-US" w:eastAsia="zh-CN"/>
              </w:rPr>
              <w:t>《纲要》中“第</w:t>
            </w:r>
            <w:r>
              <w:rPr>
                <w:rFonts w:hint="eastAsia" w:ascii="Times New Roman" w:hAnsi="Times New Roman" w:eastAsia="宋体" w:cs="Times New Roman"/>
                <w:color w:val="auto"/>
                <w:sz w:val="24"/>
                <w:szCs w:val="24"/>
                <w:highlight w:val="none"/>
                <w:lang w:val="en-US" w:eastAsia="zh-CN"/>
              </w:rPr>
              <w:t>二</w:t>
            </w:r>
            <w:r>
              <w:rPr>
                <w:rFonts w:hint="default" w:ascii="Times New Roman" w:hAnsi="Times New Roman" w:eastAsia="宋体" w:cs="Times New Roman"/>
                <w:color w:val="auto"/>
                <w:sz w:val="24"/>
                <w:szCs w:val="24"/>
                <w:highlight w:val="none"/>
                <w:lang w:val="en-US" w:eastAsia="zh-CN"/>
              </w:rPr>
              <w:t>篇-</w:t>
            </w:r>
            <w:r>
              <w:rPr>
                <w:rFonts w:hint="eastAsia" w:ascii="Times New Roman" w:hAnsi="Times New Roman" w:eastAsia="宋体" w:cs="Times New Roman"/>
                <w:color w:val="auto"/>
                <w:sz w:val="24"/>
                <w:szCs w:val="24"/>
                <w:highlight w:val="none"/>
                <w:lang w:val="en-US" w:eastAsia="zh-CN"/>
              </w:rPr>
              <w:t>第二章加快发展绿色矿业和新材料产业</w:t>
            </w:r>
            <w:r>
              <w:rPr>
                <w:rFonts w:hint="default" w:ascii="Times New Roman" w:hAnsi="Times New Roman" w:eastAsia="宋体" w:cs="Times New Roman"/>
                <w:color w:val="auto"/>
                <w:sz w:val="24"/>
                <w:szCs w:val="24"/>
                <w:highlight w:val="none"/>
                <w:lang w:val="en-US" w:eastAsia="zh-CN"/>
              </w:rPr>
              <w:t>”提出：</w:t>
            </w:r>
            <w:r>
              <w:rPr>
                <w:rFonts w:hint="eastAsia" w:ascii="宋体" w:hAnsi="宋体" w:eastAsia="宋体" w:cs="宋体"/>
                <w:i w:val="0"/>
                <w:caps w:val="0"/>
                <w:color w:val="auto"/>
                <w:spacing w:val="0"/>
                <w:sz w:val="24"/>
                <w:szCs w:val="24"/>
                <w:shd w:val="clear" w:color="auto" w:fill="FFFFFF"/>
              </w:rPr>
              <w:t>提升煤炭供应保障能力，加快在建和规划煤矿建设，推进轮台、库尔勒、若羌煤炭矿区建设，力争煤炭规划产能达到2000万吨。推动新材料产业上游做优、下游做强，打造具备特色优势的新材料产业，推动硅基、锂基、氟基等矿山资源综合开发利用和产业链一体化建设，建强罗布泊钾盐基地，支持和硕碳基产业发展。加强伴生矿和尾矿有价组分提取，推动尾矿减量化、资源化。围绕矿石运输和电力供应，加快矿山配套基础设</w:t>
            </w:r>
            <w:r>
              <w:rPr>
                <w:rFonts w:hint="eastAsia" w:ascii="宋体" w:hAnsi="宋体" w:eastAsia="宋体" w:cs="宋体"/>
                <w:i w:val="0"/>
                <w:caps w:val="0"/>
                <w:color w:val="auto"/>
                <w:spacing w:val="0"/>
                <w:sz w:val="24"/>
                <w:szCs w:val="24"/>
                <w:shd w:val="clear" w:color="auto" w:fill="FFFFFF"/>
                <w:lang w:val="en-US" w:eastAsia="zh-CN"/>
              </w:rPr>
              <w:t>施建设。</w:t>
            </w:r>
          </w:p>
          <w:p w14:paraId="02743212">
            <w:pPr>
              <w:snapToGrid w:val="0"/>
              <w:spacing w:line="44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lang w:val="en-US" w:eastAsia="zh-CN"/>
              </w:rPr>
              <w:t>本</w:t>
            </w:r>
            <w:r>
              <w:rPr>
                <w:rFonts w:hint="eastAsia" w:ascii="宋体" w:hAnsi="宋体" w:eastAsia="宋体" w:cs="宋体"/>
                <w:color w:val="auto"/>
                <w:sz w:val="24"/>
                <w:szCs w:val="24"/>
              </w:rPr>
              <w:t>项目以外购周边洗煤厂洗选原煤产生的副产物煤泥为原料进行</w:t>
            </w:r>
            <w:r>
              <w:rPr>
                <w:rFonts w:hint="eastAsia" w:ascii="宋体" w:hAnsi="宋体" w:eastAsia="宋体" w:cs="宋体"/>
                <w:color w:val="auto"/>
                <w:sz w:val="24"/>
                <w:szCs w:val="24"/>
                <w:lang w:val="en-US" w:eastAsia="zh-CN"/>
              </w:rPr>
              <w:t>洗选</w:t>
            </w:r>
            <w:r>
              <w:rPr>
                <w:rFonts w:hint="eastAsia" w:ascii="宋体" w:hAnsi="宋体" w:eastAsia="宋体" w:cs="宋体"/>
                <w:color w:val="auto"/>
                <w:sz w:val="24"/>
                <w:szCs w:val="24"/>
              </w:rPr>
              <w:t>加工，产出燃料煤产品，可补充区域煤炭燃料供给，有利于提升当地煤炭供应保障能力；同时项目实现了煤泥一般工业固体废物资源化利用，践行尾矿减量化、资源化的发展要求，项目不属于原煤开采类项目，与矿产资源开发相关管控要求无冲突，因此本项目建设符合规划要求。</w:t>
            </w:r>
          </w:p>
          <w:p w14:paraId="0E0DF2AB">
            <w:pPr>
              <w:snapToGrid w:val="0"/>
              <w:spacing w:line="440" w:lineRule="exact"/>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lang w:val="en-US" w:eastAsia="zh-CN"/>
              </w:rPr>
              <w:t>与</w:t>
            </w:r>
            <w:r>
              <w:rPr>
                <w:rFonts w:hint="eastAsia" w:ascii="Times New Roman" w:hAnsi="Times New Roman" w:eastAsia="宋体" w:cs="Times New Roman"/>
                <w:color w:val="auto"/>
                <w:sz w:val="24"/>
                <w:szCs w:val="24"/>
                <w:highlight w:val="none"/>
                <w:lang w:val="en-US" w:eastAsia="zh-CN"/>
              </w:rPr>
              <w:t>《库尔勒市</w:t>
            </w:r>
            <w:r>
              <w:rPr>
                <w:rFonts w:hint="default" w:ascii="Times New Roman" w:hAnsi="Times New Roman" w:eastAsia="宋体" w:cs="Times New Roman"/>
                <w:color w:val="auto"/>
                <w:sz w:val="24"/>
                <w:szCs w:val="24"/>
                <w:highlight w:val="none"/>
                <w:lang w:val="en-US" w:eastAsia="zh-CN"/>
              </w:rPr>
              <w:t>国民经济和社会发展第十四个五年规划和二〇三五年远景目标纲要</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符合性分析</w:t>
            </w:r>
          </w:p>
          <w:p w14:paraId="01924F51">
            <w:pPr>
              <w:snapToGrid w:val="0"/>
              <w:spacing w:line="440" w:lineRule="exact"/>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《纲要》中“第四章</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四、着力加快推进塔什店循环经济产业园区发展”提出：</w:t>
            </w:r>
          </w:p>
          <w:p w14:paraId="341AA291">
            <w:pPr>
              <w:snapToGrid w:val="0"/>
              <w:spacing w:line="440" w:lineRule="exact"/>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加快推进塔什店循环经济产业发展，打造煤炭开发、循环经济、新型建材等产业链，大力发展旅游业，加快市场体系和物流集散地建设，推进塔什店镇老工业基地振兴，打造高起点规划、高水平建设的循环经济产业园。</w:t>
            </w:r>
          </w:p>
          <w:p w14:paraId="06E857E6">
            <w:pPr>
              <w:snapToGrid w:val="0"/>
              <w:spacing w:line="440" w:lineRule="exact"/>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推进产业链供应链协同发展。加强煤炭资源</w:t>
            </w:r>
            <w:r>
              <w:rPr>
                <w:rFonts w:hint="eastAsia" w:ascii="Times New Roman" w:hAnsi="Times New Roman" w:eastAsia="宋体" w:cs="Times New Roman"/>
                <w:color w:val="auto"/>
                <w:sz w:val="24"/>
                <w:szCs w:val="24"/>
                <w:highlight w:val="none"/>
                <w:lang w:val="en-US" w:eastAsia="zh-CN"/>
              </w:rPr>
              <w:t>的详勘工作</w:t>
            </w:r>
            <w:r>
              <w:rPr>
                <w:rFonts w:hint="default" w:ascii="Times New Roman" w:hAnsi="Times New Roman" w:eastAsia="宋体" w:cs="Times New Roman"/>
                <w:color w:val="auto"/>
                <w:sz w:val="24"/>
                <w:szCs w:val="24"/>
                <w:highlight w:val="none"/>
                <w:lang w:val="en-US" w:eastAsia="zh-CN"/>
              </w:rPr>
              <w:t>，有效整合煤炭资源，提高煤炭开采能力，加快煤炭、煤电和煤化工等向深加工方向转化，形成开采、洗选、火电、化工为一体的煤炭产业链，为工业发展提供能源基础。以发展新型建材为方向，构建煤炭—石灰石—碳酸钙，煤炭—矸石—墙体材料，锅炉灰渣（脱硫石膏）—建材，水泥生产—余热—发电等产业链，建成自治区重要的绿色新型建材加工基地。通过“减量化、再利用和再循环”模式，构建废旧物资回收利用循环经济产业链。积极发展旅游产业，推进红光回水湾水寨风景旅游区、二造水寨景区建设，发展塔什店特色工业旅游。依托高速公路、铁路站场，推进物流、仓储、贸易、配送等产业发展，规划建设塔什店物流园。建设塔什店南疆中药材交易市场，打造全疆最大的中草药集散地，推动中医药和新疆民族医药发展。</w:t>
            </w:r>
          </w:p>
          <w:p w14:paraId="7AD68C5A">
            <w:pPr>
              <w:snapToGrid w:val="0"/>
              <w:spacing w:line="440" w:lineRule="exact"/>
              <w:ind w:firstLine="480" w:firstLineChars="200"/>
              <w:rPr>
                <w:rFonts w:ascii="宋体" w:hAnsi="宋体" w:eastAsia="宋体" w:cs="宋体"/>
                <w:sz w:val="24"/>
                <w:szCs w:val="24"/>
              </w:rPr>
            </w:pPr>
            <w:r>
              <w:rPr>
                <w:rFonts w:ascii="宋体" w:hAnsi="宋体" w:eastAsia="宋体" w:cs="宋体"/>
                <w:sz w:val="24"/>
                <w:szCs w:val="24"/>
              </w:rPr>
              <w:t>本项目</w:t>
            </w:r>
            <w:r>
              <w:rPr>
                <w:rFonts w:hint="eastAsia" w:ascii="宋体" w:hAnsi="宋体" w:eastAsia="宋体" w:cs="宋体"/>
                <w:sz w:val="24"/>
                <w:szCs w:val="24"/>
              </w:rPr>
              <w:t>以其他企业</w:t>
            </w:r>
            <w:r>
              <w:rPr>
                <w:rFonts w:hint="eastAsia" w:ascii="宋体" w:hAnsi="宋体" w:eastAsia="宋体" w:cs="宋体"/>
                <w:sz w:val="24"/>
                <w:szCs w:val="24"/>
                <w:lang w:val="en-US" w:eastAsia="zh-CN"/>
              </w:rPr>
              <w:t>废弃的</w:t>
            </w:r>
            <w:r>
              <w:rPr>
                <w:rFonts w:hint="eastAsia" w:ascii="宋体" w:hAnsi="宋体" w:eastAsia="宋体" w:cs="宋体"/>
                <w:sz w:val="24"/>
                <w:szCs w:val="24"/>
              </w:rPr>
              <w:t>煤泥为原料，进一步浮选出精煤</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中煤、</w:t>
            </w:r>
            <w:r>
              <w:rPr>
                <w:rFonts w:hint="default" w:ascii="宋体" w:hAnsi="宋体" w:eastAsia="宋体" w:cs="宋体"/>
                <w:sz w:val="24"/>
                <w:szCs w:val="24"/>
                <w:lang w:val="en-US" w:eastAsia="zh-CN"/>
              </w:rPr>
              <w:t>低卡动力煤</w:t>
            </w:r>
            <w:r>
              <w:rPr>
                <w:rFonts w:hint="eastAsia" w:ascii="宋体" w:hAnsi="宋体" w:eastAsia="宋体" w:cs="宋体"/>
                <w:sz w:val="24"/>
                <w:szCs w:val="24"/>
              </w:rPr>
              <w:t>产品，实现固废“减量化、再利用和再循环”模式</w:t>
            </w:r>
            <w:r>
              <w:rPr>
                <w:rFonts w:hint="eastAsia" w:ascii="宋体" w:hAnsi="宋体" w:eastAsia="宋体" w:cs="宋体"/>
                <w:sz w:val="24"/>
                <w:szCs w:val="24"/>
                <w:lang w:eastAsia="zh-CN"/>
              </w:rPr>
              <w:t>，</w:t>
            </w:r>
            <w:r>
              <w:rPr>
                <w:rFonts w:hint="eastAsia" w:ascii="宋体" w:hAnsi="宋体" w:eastAsia="宋体" w:cs="宋体"/>
                <w:sz w:val="24"/>
                <w:szCs w:val="24"/>
              </w:rPr>
              <w:t>属于煤</w:t>
            </w:r>
            <w:r>
              <w:rPr>
                <w:rFonts w:ascii="宋体" w:hAnsi="宋体" w:eastAsia="宋体" w:cs="宋体"/>
                <w:sz w:val="24"/>
                <w:szCs w:val="24"/>
              </w:rPr>
              <w:t>泥提质洗选加工，固废、废水均实现循环利用，配套煤炭仓储运营，符合纲要煤炭循环经济产业链及仓储物流发展要求。</w:t>
            </w:r>
          </w:p>
          <w:p w14:paraId="684D139D">
            <w:pPr>
              <w:snapToGrid w:val="0"/>
              <w:spacing w:line="440" w:lineRule="exact"/>
              <w:ind w:firstLine="480" w:firstLineChars="200"/>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7、</w:t>
            </w:r>
            <w:r>
              <w:rPr>
                <w:rFonts w:hint="default" w:ascii="Times New Roman" w:hAnsi="Times New Roman" w:eastAsia="宋体" w:cs="Times New Roman"/>
                <w:color w:val="auto"/>
                <w:sz w:val="24"/>
                <w:szCs w:val="24"/>
                <w:highlight w:val="none"/>
                <w:lang w:val="en-US" w:eastAsia="zh-CN"/>
              </w:rPr>
              <w:t>与</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库尔勒市国土空间总体规划（2021</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2035年）</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符合性分析</w:t>
            </w:r>
          </w:p>
          <w:p w14:paraId="763B5592">
            <w:pPr>
              <w:pStyle w:val="50"/>
              <w:keepNext w:val="0"/>
              <w:keepLines w:val="0"/>
              <w:pageBreakBefore w:val="0"/>
              <w:widowControl w:val="0"/>
              <w:kinsoku/>
              <w:wordWrap/>
              <w:overflowPunct/>
              <w:topLinePunct w:val="0"/>
              <w:autoSpaceDE/>
              <w:autoSpaceDN/>
              <w:bidi w:val="0"/>
              <w:adjustRightInd/>
              <w:snapToGrid/>
              <w:spacing w:before="0" w:line="440" w:lineRule="exact"/>
              <w:ind w:firstLine="480"/>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根据《</w:t>
            </w:r>
            <w:r>
              <w:rPr>
                <w:rFonts w:hint="default" w:ascii="Times New Roman" w:hAnsi="Times New Roman" w:eastAsia="宋体" w:cs="Times New Roman"/>
                <w:color w:val="auto"/>
                <w:sz w:val="24"/>
                <w:szCs w:val="24"/>
                <w:highlight w:val="none"/>
                <w:lang w:val="en-US" w:eastAsia="zh-CN"/>
              </w:rPr>
              <w:t>规划</w:t>
            </w:r>
            <w:r>
              <w:rPr>
                <w:rFonts w:hint="eastAsia" w:ascii="Times New Roman" w:hAnsi="Times New Roman" w:eastAsia="宋体" w:cs="Times New Roman"/>
                <w:color w:val="auto"/>
                <w:sz w:val="24"/>
                <w:szCs w:val="24"/>
                <w:lang w:val="en-US" w:eastAsia="zh-CN"/>
              </w:rPr>
              <w:t>》“5集约高效城镇空间-5.1优化城镇发展格局”可知，本项目位于塔什店镇，本项目以塔什店及其周边煤炭为原料，通过洗选，</w:t>
            </w:r>
            <w:r>
              <w:rPr>
                <w:rFonts w:hint="default" w:ascii="Times New Roman" w:hAnsi="Times New Roman" w:eastAsia="宋体" w:cs="Times New Roman"/>
                <w:color w:val="auto"/>
                <w:sz w:val="24"/>
                <w:szCs w:val="24"/>
              </w:rPr>
              <w:t>增加</w:t>
            </w:r>
            <w:r>
              <w:rPr>
                <w:rFonts w:hint="eastAsia" w:ascii="Times New Roman" w:hAnsi="Times New Roman" w:eastAsia="宋体" w:cs="Times New Roman"/>
                <w:color w:val="auto"/>
                <w:sz w:val="24"/>
                <w:szCs w:val="24"/>
                <w:lang w:val="en-US" w:eastAsia="zh-CN"/>
              </w:rPr>
              <w:t>煤炭</w:t>
            </w:r>
            <w:r>
              <w:rPr>
                <w:rFonts w:hint="default" w:ascii="Times New Roman" w:hAnsi="Times New Roman" w:eastAsia="宋体" w:cs="Times New Roman"/>
                <w:color w:val="auto"/>
                <w:sz w:val="24"/>
                <w:szCs w:val="24"/>
              </w:rPr>
              <w:t>品种及质量级别</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符合《</w:t>
            </w:r>
            <w:r>
              <w:rPr>
                <w:rFonts w:hint="default" w:ascii="Times New Roman" w:hAnsi="Times New Roman" w:eastAsia="宋体" w:cs="Times New Roman"/>
                <w:color w:val="auto"/>
                <w:sz w:val="24"/>
                <w:szCs w:val="24"/>
                <w:lang w:val="en-US" w:eastAsia="zh-CN"/>
              </w:rPr>
              <w:t>规划</w:t>
            </w:r>
            <w:r>
              <w:rPr>
                <w:rFonts w:hint="eastAsia" w:ascii="Times New Roman" w:hAnsi="Times New Roman" w:eastAsia="宋体" w:cs="Times New Roman"/>
                <w:color w:val="auto"/>
                <w:sz w:val="24"/>
                <w:szCs w:val="24"/>
                <w:lang w:val="en-US" w:eastAsia="zh-CN"/>
              </w:rPr>
              <w:t>》相关要求。</w:t>
            </w:r>
          </w:p>
          <w:p w14:paraId="5E03A9A2">
            <w:pPr>
              <w:pStyle w:val="50"/>
              <w:keepNext w:val="0"/>
              <w:keepLines w:val="0"/>
              <w:pageBreakBefore w:val="0"/>
              <w:widowControl w:val="0"/>
              <w:kinsoku/>
              <w:wordWrap/>
              <w:overflowPunct/>
              <w:topLinePunct w:val="0"/>
              <w:autoSpaceDE/>
              <w:autoSpaceDN/>
              <w:bidi w:val="0"/>
              <w:adjustRightInd/>
              <w:snapToGrid/>
              <w:spacing w:before="0" w:line="440" w:lineRule="exact"/>
              <w:ind w:firstLine="480"/>
              <w:textAlignment w:val="auto"/>
              <w:rPr>
                <w:rFonts w:hint="default" w:ascii="Times New Roman" w:hAnsi="Times New Roman" w:cs="Times New Roman"/>
                <w:kern w:val="2"/>
                <w:sz w:val="24"/>
                <w:szCs w:val="24"/>
                <w:lang w:val="en-US" w:eastAsia="zh-CN" w:bidi="ar-SA"/>
              </w:rPr>
            </w:pPr>
            <w:r>
              <w:rPr>
                <w:rFonts w:hint="eastAsia" w:ascii="Times New Roman" w:hAnsi="Times New Roman" w:eastAsia="宋体" w:cs="Times New Roman"/>
                <w:color w:val="auto"/>
                <w:sz w:val="24"/>
                <w:szCs w:val="24"/>
                <w:lang w:val="en-US" w:eastAsia="zh-CN"/>
              </w:rPr>
              <w:t>项目与库尔勒市</w:t>
            </w:r>
            <w:r>
              <w:rPr>
                <w:rFonts w:hint="default" w:ascii="Times New Roman" w:hAnsi="Times New Roman" w:eastAsia="宋体" w:cs="Times New Roman"/>
                <w:color w:val="auto"/>
                <w:sz w:val="24"/>
                <w:szCs w:val="24"/>
                <w:lang w:val="en-US" w:eastAsia="zh-CN"/>
              </w:rPr>
              <w:t>国土空间规划</w:t>
            </w:r>
            <w:r>
              <w:rPr>
                <w:rFonts w:hint="eastAsia" w:ascii="Times New Roman" w:hAnsi="Times New Roman" w:eastAsia="宋体" w:cs="Times New Roman"/>
                <w:color w:val="auto"/>
                <w:sz w:val="24"/>
                <w:szCs w:val="24"/>
                <w:lang w:val="en-US" w:eastAsia="zh-CN"/>
              </w:rPr>
              <w:t>位置关系图见附图二。</w:t>
            </w:r>
          </w:p>
          <w:p w14:paraId="26068C78">
            <w:pPr>
              <w:keepNext w:val="0"/>
              <w:keepLines w:val="0"/>
              <w:pageBreakBefore w:val="0"/>
              <w:widowControl w:val="0"/>
              <w:numPr>
                <w:ilvl w:val="0"/>
                <w:numId w:val="0"/>
              </w:numPr>
              <w:kinsoku/>
              <w:wordWrap/>
              <w:overflowPunct/>
              <w:topLinePunct w:val="0"/>
              <w:autoSpaceDE/>
              <w:autoSpaceDN/>
              <w:bidi w:val="0"/>
              <w:adjustRightInd/>
              <w:snapToGrid w:val="0"/>
              <w:spacing w:line="440" w:lineRule="exact"/>
              <w:ind w:firstLine="480" w:firstLineChars="200"/>
              <w:textAlignment w:val="auto"/>
              <w:rPr>
                <w:rFonts w:hint="default" w:ascii="Times New Roman" w:hAnsi="Times New Roman" w:cs="Times New Roman"/>
                <w:color w:val="auto"/>
                <w:sz w:val="24"/>
                <w:szCs w:val="24"/>
                <w:lang w:val="en-US" w:eastAsia="zh-CN"/>
              </w:rPr>
            </w:pPr>
            <w:r>
              <w:rPr>
                <w:rFonts w:hint="eastAsia" w:ascii="Times New Roman" w:hAnsi="Times New Roman" w:cs="Times New Roman"/>
                <w:color w:val="auto"/>
                <w:kern w:val="2"/>
                <w:sz w:val="24"/>
                <w:szCs w:val="24"/>
                <w:lang w:val="en-US" w:eastAsia="zh-CN" w:bidi="ar-SA"/>
              </w:rPr>
              <w:t>8</w:t>
            </w:r>
            <w:r>
              <w:rPr>
                <w:rFonts w:hint="default" w:ascii="Times New Roman" w:hAnsi="Times New Roman" w:cs="Times New Roman"/>
                <w:color w:val="auto"/>
                <w:kern w:val="2"/>
                <w:sz w:val="24"/>
                <w:szCs w:val="24"/>
                <w:lang w:val="en-US" w:eastAsia="zh-CN" w:bidi="ar-SA"/>
              </w:rPr>
              <w:t>、</w:t>
            </w:r>
            <w:r>
              <w:rPr>
                <w:rFonts w:hint="default" w:ascii="Times New Roman" w:hAnsi="Times New Roman" w:eastAsia="宋体" w:cs="Times New Roman"/>
                <w:color w:val="auto"/>
                <w:sz w:val="24"/>
                <w:szCs w:val="24"/>
                <w:highlight w:val="none"/>
                <w:lang w:val="en-US" w:eastAsia="zh-CN"/>
              </w:rPr>
              <w:t>与《</w:t>
            </w:r>
            <w:r>
              <w:rPr>
                <w:rFonts w:hint="default" w:ascii="Times New Roman" w:hAnsi="Times New Roman" w:cs="Times New Roman"/>
                <w:color w:val="auto"/>
                <w:sz w:val="24"/>
                <w:szCs w:val="24"/>
                <w:lang w:val="en-US" w:eastAsia="zh-CN"/>
              </w:rPr>
              <w:t>固体废物污染防治“十五五”规划》(</w:t>
            </w:r>
            <w:r>
              <w:rPr>
                <w:rFonts w:hint="eastAsia" w:ascii="Times New Roman" w:hAnsi="Times New Roman" w:cs="Times New Roman"/>
                <w:color w:val="auto"/>
                <w:sz w:val="24"/>
                <w:szCs w:val="24"/>
                <w:lang w:val="en-US" w:eastAsia="zh-CN"/>
              </w:rPr>
              <w:t>环固体</w:t>
            </w:r>
            <w:r>
              <w:rPr>
                <w:rFonts w:hint="default" w:ascii="Times New Roman" w:hAnsi="Times New Roman" w:cs="Times New Roman"/>
                <w:color w:val="auto"/>
                <w:sz w:val="24"/>
                <w:szCs w:val="24"/>
                <w:lang w:val="en-US" w:eastAsia="zh-CN"/>
              </w:rPr>
              <w:t>〔202</w:t>
            </w:r>
            <w:r>
              <w:rPr>
                <w:rFonts w:hint="eastAsia" w:ascii="Times New Roman" w:hAnsi="Times New Roman" w:cs="Times New Roman"/>
                <w:color w:val="auto"/>
                <w:sz w:val="24"/>
                <w:szCs w:val="24"/>
                <w:lang w:val="en-US" w:eastAsia="zh-CN"/>
              </w:rPr>
              <w:t>6</w:t>
            </w:r>
            <w:r>
              <w:rPr>
                <w:rFonts w:hint="default" w:ascii="Times New Roman" w:hAnsi="Times New Roman" w:cs="Times New Roman"/>
                <w:color w:val="auto"/>
                <w:sz w:val="24"/>
                <w:szCs w:val="24"/>
                <w:lang w:val="en-US" w:eastAsia="zh-CN"/>
              </w:rPr>
              <w:t>〕</w:t>
            </w:r>
            <w:r>
              <w:rPr>
                <w:rFonts w:hint="eastAsia" w:ascii="Times New Roman" w:hAnsi="Times New Roman" w:cs="Times New Roman"/>
                <w:color w:val="auto"/>
                <w:sz w:val="24"/>
                <w:szCs w:val="24"/>
                <w:lang w:val="en-US" w:eastAsia="zh-CN"/>
              </w:rPr>
              <w:t>39</w:t>
            </w:r>
            <w:r>
              <w:rPr>
                <w:rFonts w:hint="default" w:ascii="Times New Roman" w:hAnsi="Times New Roman" w:cs="Times New Roman"/>
                <w:color w:val="auto"/>
                <w:sz w:val="24"/>
                <w:szCs w:val="24"/>
                <w:lang w:val="en-US" w:eastAsia="zh-CN"/>
              </w:rPr>
              <w:t>号)符合性分析。</w:t>
            </w:r>
          </w:p>
          <w:p w14:paraId="0A66B44B">
            <w:pPr>
              <w:pStyle w:val="8"/>
              <w:keepNext/>
              <w:keepLines/>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 xml:space="preserve">表1-5  </w:t>
            </w:r>
            <w:r>
              <w:rPr>
                <w:rFonts w:hint="default" w:ascii="Times New Roman" w:hAnsi="Times New Roman" w:eastAsia="宋体" w:cs="Times New Roman"/>
                <w:color w:val="auto"/>
                <w:sz w:val="21"/>
                <w:szCs w:val="21"/>
                <w:lang w:val="en-US" w:eastAsia="zh-CN"/>
              </w:rPr>
              <w:t>与《固体废物污染防治“十五五”规划》(</w:t>
            </w:r>
            <w:r>
              <w:rPr>
                <w:rFonts w:hint="eastAsia" w:ascii="Times New Roman" w:hAnsi="Times New Roman" w:eastAsia="宋体" w:cs="Times New Roman"/>
                <w:color w:val="auto"/>
                <w:sz w:val="21"/>
                <w:szCs w:val="21"/>
                <w:lang w:val="en-US" w:eastAsia="zh-CN"/>
              </w:rPr>
              <w:t>环固体</w:t>
            </w:r>
            <w:r>
              <w:rPr>
                <w:rFonts w:hint="default" w:ascii="Times New Roman" w:hAnsi="Times New Roman" w:eastAsia="宋体" w:cs="Times New Roman"/>
                <w:color w:val="auto"/>
                <w:sz w:val="21"/>
                <w:szCs w:val="21"/>
                <w:lang w:val="en-US" w:eastAsia="zh-CN"/>
              </w:rPr>
              <w:t>〔202</w:t>
            </w:r>
            <w:r>
              <w:rPr>
                <w:rFonts w:hint="eastAsia" w:ascii="Times New Roman" w:hAnsi="Times New Roman" w:eastAsia="宋体" w:cs="Times New Roman"/>
                <w:color w:val="auto"/>
                <w:sz w:val="21"/>
                <w:szCs w:val="21"/>
                <w:lang w:val="en-US" w:eastAsia="zh-CN"/>
              </w:rPr>
              <w:t>6</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39</w:t>
            </w:r>
            <w:r>
              <w:rPr>
                <w:rFonts w:hint="default" w:ascii="Times New Roman" w:hAnsi="Times New Roman" w:eastAsia="宋体" w:cs="Times New Roman"/>
                <w:color w:val="auto"/>
                <w:sz w:val="21"/>
                <w:szCs w:val="21"/>
                <w:lang w:val="en-US" w:eastAsia="zh-CN"/>
              </w:rPr>
              <w:t>号)符合性分析一览表</w:t>
            </w:r>
          </w:p>
          <w:tbl>
            <w:tblPr>
              <w:tblStyle w:val="26"/>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50"/>
              <w:gridCol w:w="2867"/>
              <w:gridCol w:w="912"/>
            </w:tblGrid>
            <w:tr w14:paraId="38993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86" w:type="pct"/>
                  <w:noWrap w:val="0"/>
                  <w:vAlign w:val="center"/>
                </w:tcPr>
                <w:p w14:paraId="6380C3D4">
                  <w:pPr>
                    <w:pStyle w:val="9"/>
                    <w:keepNext/>
                    <w:keepLines/>
                    <w:pageBreakBefore w:val="0"/>
                    <w:widowControl w:val="0"/>
                    <w:suppressLineNumbers w:val="0"/>
                    <w:kinsoku/>
                    <w:wordWrap w:val="0"/>
                    <w:overflowPunct/>
                    <w:topLinePunct w:val="0"/>
                    <w:autoSpaceDE w:val="0"/>
                    <w:autoSpaceDN w:val="0"/>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rPr>
                    <w:t>环境管理政策要求</w:t>
                  </w:r>
                </w:p>
              </w:tc>
              <w:tc>
                <w:tcPr>
                  <w:tcW w:w="1983" w:type="pct"/>
                  <w:noWrap w:val="0"/>
                  <w:vAlign w:val="center"/>
                </w:tcPr>
                <w:p w14:paraId="155AC886">
                  <w:pPr>
                    <w:pStyle w:val="9"/>
                    <w:keepNext/>
                    <w:keepLines/>
                    <w:pageBreakBefore w:val="0"/>
                    <w:widowControl w:val="0"/>
                    <w:suppressLineNumbers w:val="0"/>
                    <w:kinsoku/>
                    <w:wordWrap w:val="0"/>
                    <w:overflowPunct/>
                    <w:topLinePunct w:val="0"/>
                    <w:autoSpaceDE w:val="0"/>
                    <w:autoSpaceDN w:val="0"/>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lang w:val="en-US" w:eastAsia="zh-CN"/>
                    </w:rPr>
                    <w:t>本项目情况</w:t>
                  </w:r>
                </w:p>
              </w:tc>
              <w:tc>
                <w:tcPr>
                  <w:tcW w:w="630" w:type="pct"/>
                  <w:noWrap w:val="0"/>
                  <w:vAlign w:val="center"/>
                </w:tcPr>
                <w:p w14:paraId="12E61147">
                  <w:pPr>
                    <w:pStyle w:val="9"/>
                    <w:keepNext/>
                    <w:keepLines/>
                    <w:pageBreakBefore w:val="0"/>
                    <w:widowControl w:val="0"/>
                    <w:suppressLineNumbers w:val="0"/>
                    <w:kinsoku/>
                    <w:wordWrap w:val="0"/>
                    <w:overflowPunct/>
                    <w:topLinePunct w:val="0"/>
                    <w:autoSpaceDE w:val="0"/>
                    <w:autoSpaceDN w:val="0"/>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lang w:val="en-US" w:eastAsia="zh-CN"/>
                    </w:rPr>
                    <w:t>符合性</w:t>
                  </w:r>
                </w:p>
              </w:tc>
            </w:tr>
            <w:tr w14:paraId="26A5E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86" w:type="pct"/>
                  <w:noWrap w:val="0"/>
                  <w:vAlign w:val="center"/>
                </w:tcPr>
                <w:p w14:paraId="7980BCEF">
                  <w:pPr>
                    <w:pageBreakBefore w:val="0"/>
                    <w:widowControl w:val="0"/>
                    <w:numPr>
                      <w:ilvl w:val="0"/>
                      <w:numId w:val="0"/>
                    </w:numPr>
                    <w:kinsoku/>
                    <w:overflowPunct/>
                    <w:topLinePunct w:val="0"/>
                    <w:bidi w:val="0"/>
                    <w:adjustRightInd/>
                    <w:snapToGrid w:val="0"/>
                    <w:spacing w:line="240" w:lineRule="auto"/>
                    <w:jc w:val="both"/>
                    <w:textAlignment w:val="auto"/>
                    <w:rPr>
                      <w:rFonts w:hint="eastAsia" w:ascii="Times New Roman" w:hAnsi="Times New Roman" w:cs="Times New Roman"/>
                      <w:color w:val="auto"/>
                      <w:sz w:val="21"/>
                      <w:szCs w:val="21"/>
                      <w:vertAlign w:val="baseline"/>
                      <w:lang w:val="en-US" w:eastAsia="zh-CN"/>
                    </w:rPr>
                  </w:pPr>
                  <w:r>
                    <w:rPr>
                      <w:rFonts w:hint="eastAsia" w:ascii="Times New Roman" w:hAnsi="Times New Roman" w:cs="Times New Roman"/>
                      <w:color w:val="auto"/>
                      <w:kern w:val="2"/>
                      <w:sz w:val="21"/>
                      <w:szCs w:val="21"/>
                      <w:vertAlign w:val="baseline"/>
                      <w:lang w:val="en-US" w:eastAsia="zh-CN" w:bidi="ar-SA"/>
                    </w:rPr>
                    <w:t>一、</w:t>
                  </w:r>
                  <w:r>
                    <w:rPr>
                      <w:rFonts w:hint="eastAsia" w:ascii="Times New Roman" w:hAnsi="Times New Roman" w:cs="Times New Roman"/>
                      <w:color w:val="auto"/>
                      <w:sz w:val="21"/>
                      <w:szCs w:val="21"/>
                      <w:vertAlign w:val="baseline"/>
                      <w:lang w:val="en-US" w:eastAsia="zh-CN"/>
                    </w:rPr>
                    <w:t>总体要求：</w:t>
                  </w:r>
                </w:p>
                <w:p w14:paraId="4EC90CC4">
                  <w:pPr>
                    <w:pageBreakBefore w:val="0"/>
                    <w:widowControl w:val="0"/>
                    <w:numPr>
                      <w:ilvl w:val="0"/>
                      <w:numId w:val="0"/>
                    </w:numPr>
                    <w:kinsoku/>
                    <w:overflowPunct/>
                    <w:topLinePunct w:val="0"/>
                    <w:bidi w:val="0"/>
                    <w:adjustRightInd/>
                    <w:snapToGrid w:val="0"/>
                    <w:spacing w:line="240" w:lineRule="auto"/>
                    <w:jc w:val="both"/>
                    <w:textAlignment w:val="auto"/>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到2030年，重点领域固体废物专项整治取得明显成效，固体废物历史堆存量得到有效管控，非法倾倒处置高发态势得到遏制，固体废物综合治理能力和水平显著提升，固体废物信息化监管“一张网”实现重点领域全覆盖，建成一批“无废城市”。</w:t>
                  </w:r>
                </w:p>
              </w:tc>
              <w:tc>
                <w:tcPr>
                  <w:tcW w:w="1983" w:type="pct"/>
                  <w:noWrap w:val="0"/>
                  <w:vAlign w:val="center"/>
                </w:tcPr>
                <w:p w14:paraId="14C579B0">
                  <w:pPr>
                    <w:pageBreakBefore w:val="0"/>
                    <w:widowControl w:val="0"/>
                    <w:numPr>
                      <w:ilvl w:val="0"/>
                      <w:numId w:val="0"/>
                    </w:numPr>
                    <w:kinsoku/>
                    <w:overflowPunct/>
                    <w:topLinePunct w:val="0"/>
                    <w:bidi w:val="0"/>
                    <w:adjustRightInd/>
                    <w:snapToGrid w:val="0"/>
                    <w:spacing w:line="240" w:lineRule="auto"/>
                    <w:jc w:val="both"/>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项目外购周边洗煤厂产生的煤泥（煤炭洗选副产物，一般工业固体废物），经</w:t>
                  </w:r>
                  <w:r>
                    <w:rPr>
                      <w:rFonts w:hint="eastAsia" w:ascii="Times New Roman" w:hAnsi="Times New Roman" w:cs="Times New Roman"/>
                      <w:color w:val="auto"/>
                      <w:sz w:val="21"/>
                      <w:szCs w:val="21"/>
                      <w:vertAlign w:val="baseline"/>
                      <w:lang w:val="en-US" w:eastAsia="zh-CN"/>
                    </w:rPr>
                    <w:t>洗选</w:t>
                  </w:r>
                  <w:r>
                    <w:rPr>
                      <w:rFonts w:hint="default" w:ascii="Times New Roman" w:hAnsi="Times New Roman" w:cs="Times New Roman"/>
                      <w:color w:val="auto"/>
                      <w:sz w:val="21"/>
                      <w:szCs w:val="21"/>
                      <w:vertAlign w:val="baseline"/>
                      <w:lang w:val="en-US" w:eastAsia="zh-CN"/>
                    </w:rPr>
                    <w:t>后作为燃料煤外售，实现煤泥资源化利用，减少煤泥长期露天堆存带来的扬尘、水土污染风险</w:t>
                  </w:r>
                  <w:r>
                    <w:rPr>
                      <w:rFonts w:hint="eastAsia" w:ascii="Times New Roman" w:hAnsi="Times New Roman" w:cs="Times New Roman"/>
                      <w:color w:val="auto"/>
                      <w:sz w:val="21"/>
                      <w:szCs w:val="21"/>
                      <w:vertAlign w:val="baseline"/>
                      <w:lang w:val="en-US" w:eastAsia="zh-CN"/>
                    </w:rPr>
                    <w:t>。</w:t>
                  </w:r>
                </w:p>
              </w:tc>
              <w:tc>
                <w:tcPr>
                  <w:tcW w:w="630" w:type="pct"/>
                  <w:noWrap w:val="0"/>
                  <w:vAlign w:val="center"/>
                </w:tcPr>
                <w:p w14:paraId="7AF84687">
                  <w:pPr>
                    <w:pageBreakBefore w:val="0"/>
                    <w:widowControl w:val="0"/>
                    <w:numPr>
                      <w:ilvl w:val="0"/>
                      <w:numId w:val="0"/>
                    </w:numPr>
                    <w:kinsoku/>
                    <w:overflowPunct/>
                    <w:topLinePunct w:val="0"/>
                    <w:bidi w:val="0"/>
                    <w:adjustRightInd/>
                    <w:snapToGrid w:val="0"/>
                    <w:spacing w:line="240" w:lineRule="auto"/>
                    <w:jc w:val="center"/>
                    <w:textAlignment w:val="auto"/>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符合</w:t>
                  </w:r>
                </w:p>
              </w:tc>
            </w:tr>
            <w:tr w14:paraId="3685D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86" w:type="pct"/>
                  <w:noWrap w:val="0"/>
                  <w:vAlign w:val="center"/>
                </w:tcPr>
                <w:p w14:paraId="16C40282">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default"/>
                      <w:color w:val="auto"/>
                      <w:lang w:val="en-US" w:eastAsia="zh-CN"/>
                    </w:rPr>
                  </w:pPr>
                  <w:r>
                    <w:rPr>
                      <w:rFonts w:hint="eastAsia" w:ascii="Times New Roman" w:hAnsi="Times New Roman" w:cs="Times New Roman"/>
                      <w:color w:val="auto"/>
                      <w:kern w:val="2"/>
                      <w:sz w:val="21"/>
                      <w:szCs w:val="21"/>
                      <w:vertAlign w:val="baseline"/>
                      <w:lang w:val="en-US" w:eastAsia="zh-CN" w:bidi="ar-SA"/>
                    </w:rPr>
                    <w:t>二、</w:t>
                  </w:r>
                  <w:r>
                    <w:rPr>
                      <w:rFonts w:hint="default" w:ascii="Times New Roman" w:hAnsi="Times New Roman" w:cs="Times New Roman"/>
                      <w:color w:val="auto"/>
                      <w:sz w:val="21"/>
                      <w:szCs w:val="21"/>
                      <w:vertAlign w:val="baseline"/>
                      <w:lang w:val="en-US" w:eastAsia="zh-CN"/>
                    </w:rPr>
                    <w:t>扎实开展重点领域固体废物专项整治</w:t>
                  </w:r>
                  <w:r>
                    <w:rPr>
                      <w:rFonts w:hint="default"/>
                      <w:color w:val="auto"/>
                      <w:lang w:val="en-US" w:eastAsia="zh-CN"/>
                    </w:rPr>
                    <w:t>到2030年，非法倾倒和非法处置固体废物事件发生率控制在0.2当量起数/千平方公里以内，或较2027年下降60%以上。</w:t>
                  </w:r>
                </w:p>
              </w:tc>
              <w:tc>
                <w:tcPr>
                  <w:tcW w:w="1983" w:type="pct"/>
                  <w:noWrap w:val="0"/>
                  <w:vAlign w:val="center"/>
                </w:tcPr>
                <w:p w14:paraId="70C81C2F">
                  <w:pPr>
                    <w:pageBreakBefore w:val="0"/>
                    <w:widowControl w:val="0"/>
                    <w:numPr>
                      <w:ilvl w:val="0"/>
                      <w:numId w:val="0"/>
                    </w:numPr>
                    <w:kinsoku/>
                    <w:overflowPunct/>
                    <w:topLinePunct w:val="0"/>
                    <w:bidi w:val="0"/>
                    <w:adjustRightInd/>
                    <w:snapToGrid w:val="0"/>
                    <w:spacing w:line="240" w:lineRule="auto"/>
                    <w:jc w:val="both"/>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本项目无填埋、倾倒处置工序</w:t>
                  </w:r>
                  <w:r>
                    <w:rPr>
                      <w:rFonts w:hint="eastAsia" w:ascii="Times New Roman" w:hAnsi="Times New Roman" w:cs="Times New Roman"/>
                      <w:color w:val="auto"/>
                      <w:sz w:val="21"/>
                      <w:szCs w:val="21"/>
                      <w:vertAlign w:val="baseline"/>
                      <w:lang w:val="en-US" w:eastAsia="zh-CN"/>
                    </w:rPr>
                    <w:t>，</w:t>
                  </w:r>
                  <w:r>
                    <w:rPr>
                      <w:rFonts w:hint="default" w:ascii="Times New Roman" w:hAnsi="Times New Roman" w:cs="Times New Roman"/>
                      <w:color w:val="auto"/>
                      <w:sz w:val="21"/>
                      <w:szCs w:val="21"/>
                      <w:vertAlign w:val="baseline"/>
                      <w:lang w:val="en-US" w:eastAsia="zh-CN"/>
                    </w:rPr>
                    <w:t>建立煤泥原料来源台账，原料、成品煤均密闭贮存，生产全过程规范管理，从源头上杜绝非法倾倒、非法处置固体废物行为，有利于区域降低固废违法事件发生风险。</w:t>
                  </w:r>
                </w:p>
              </w:tc>
              <w:tc>
                <w:tcPr>
                  <w:tcW w:w="630" w:type="pct"/>
                  <w:noWrap w:val="0"/>
                  <w:vAlign w:val="center"/>
                </w:tcPr>
                <w:p w14:paraId="40F0178C">
                  <w:pPr>
                    <w:pageBreakBefore w:val="0"/>
                    <w:widowControl w:val="0"/>
                    <w:numPr>
                      <w:ilvl w:val="0"/>
                      <w:numId w:val="0"/>
                    </w:numPr>
                    <w:kinsoku/>
                    <w:overflowPunct/>
                    <w:topLinePunct w:val="0"/>
                    <w:bidi w:val="0"/>
                    <w:adjustRightInd/>
                    <w:snapToGrid w:val="0"/>
                    <w:spacing w:line="240" w:lineRule="auto"/>
                    <w:jc w:val="center"/>
                    <w:textAlignment w:val="auto"/>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符合</w:t>
                  </w:r>
                </w:p>
              </w:tc>
            </w:tr>
          </w:tbl>
          <w:p w14:paraId="2D6CA5A7">
            <w:pPr>
              <w:pStyle w:val="7"/>
              <w:keepNext/>
              <w:keepLines w:val="0"/>
              <w:pageBreakBefore w:val="0"/>
              <w:widowControl w:val="0"/>
              <w:suppressLineNumbers w:val="0"/>
              <w:kinsoku/>
              <w:wordWrap/>
              <w:overflowPunct w:val="0"/>
              <w:topLinePunct w:val="0"/>
              <w:autoSpaceDE/>
              <w:autoSpaceDN/>
              <w:bidi w:val="0"/>
              <w:adjustRightInd/>
              <w:snapToGrid w:val="0"/>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val="0"/>
                <w:color w:val="000000"/>
                <w:kern w:val="0"/>
                <w:sz w:val="24"/>
                <w:szCs w:val="24"/>
                <w:highlight w:val="none"/>
                <w:lang w:val="en-US" w:eastAsia="zh-CN" w:bidi="ar-SA"/>
              </w:rPr>
            </w:pPr>
            <w:r>
              <w:rPr>
                <w:rFonts w:hint="eastAsia" w:ascii="Times New Roman" w:hAnsi="Times New Roman" w:eastAsia="宋体" w:cs="Times New Roman"/>
                <w:b w:val="0"/>
                <w:bCs w:val="0"/>
                <w:color w:val="000000"/>
                <w:kern w:val="0"/>
                <w:sz w:val="24"/>
                <w:szCs w:val="24"/>
                <w:highlight w:val="none"/>
                <w:lang w:val="en-US" w:eastAsia="zh-CN" w:bidi="ar-SA"/>
              </w:rPr>
              <w:t>9</w:t>
            </w:r>
            <w:r>
              <w:rPr>
                <w:rFonts w:hint="default" w:ascii="Times New Roman" w:hAnsi="Times New Roman" w:eastAsia="宋体" w:cs="Times New Roman"/>
                <w:b w:val="0"/>
                <w:bCs w:val="0"/>
                <w:color w:val="000000"/>
                <w:kern w:val="0"/>
                <w:sz w:val="24"/>
                <w:szCs w:val="24"/>
                <w:highlight w:val="none"/>
                <w:lang w:val="en-US" w:eastAsia="zh-CN" w:bidi="ar-SA"/>
              </w:rPr>
              <w:t>、相关法律、法规符合性分析</w:t>
            </w:r>
          </w:p>
          <w:p w14:paraId="6864A190">
            <w:pPr>
              <w:pStyle w:val="7"/>
              <w:keepNext/>
              <w:keepLines w:val="0"/>
              <w:pageBreakBefore w:val="0"/>
              <w:widowControl w:val="0"/>
              <w:suppressLineNumbers w:val="0"/>
              <w:kinsoku/>
              <w:wordWrap/>
              <w:overflowPunct w:val="0"/>
              <w:topLinePunct w:val="0"/>
              <w:autoSpaceDE/>
              <w:autoSpaceDN/>
              <w:bidi w:val="0"/>
              <w:adjustRightInd/>
              <w:snapToGrid w:val="0"/>
              <w:spacing w:before="0" w:beforeAutospacing="0" w:after="0" w:afterAutospacing="0" w:line="440" w:lineRule="exact"/>
              <w:ind w:left="0" w:right="0" w:firstLine="480" w:firstLineChars="200"/>
              <w:textAlignment w:val="auto"/>
              <w:rPr>
                <w:rFonts w:hint="default" w:ascii="Times New Roman" w:hAnsi="Times New Roman" w:eastAsia="宋体" w:cs="Times New Roman"/>
                <w:b w:val="0"/>
                <w:bCs w:val="0"/>
                <w:color w:val="000000"/>
                <w:kern w:val="0"/>
                <w:sz w:val="24"/>
                <w:szCs w:val="24"/>
                <w:highlight w:val="none"/>
                <w:lang w:val="en-US" w:eastAsia="zh-CN" w:bidi="ar-SA"/>
              </w:rPr>
            </w:pPr>
            <w:r>
              <w:rPr>
                <w:rFonts w:hint="default" w:ascii="Times New Roman" w:hAnsi="Times New Roman" w:eastAsia="宋体" w:cs="Times New Roman"/>
                <w:b w:val="0"/>
                <w:bCs w:val="0"/>
                <w:color w:val="000000"/>
                <w:kern w:val="0"/>
                <w:sz w:val="24"/>
                <w:szCs w:val="24"/>
                <w:highlight w:val="none"/>
                <w:lang w:val="en-US" w:eastAsia="zh-CN" w:bidi="ar-SA"/>
              </w:rPr>
              <w:t>本项目相关法律、法规符合性分析见下表。</w:t>
            </w:r>
          </w:p>
          <w:p w14:paraId="7369458A">
            <w:pPr>
              <w:pStyle w:val="8"/>
              <w:keepNext/>
              <w:keepLines/>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表1-</w:t>
            </w:r>
            <w:r>
              <w:rPr>
                <w:rFonts w:hint="eastAsia" w:cs="Times New Roman"/>
                <w:sz w:val="21"/>
                <w:szCs w:val="21"/>
                <w:lang w:val="en-US" w:eastAsia="zh-CN"/>
              </w:rPr>
              <w:t>6</w:t>
            </w:r>
            <w:r>
              <w:rPr>
                <w:rFonts w:hint="default" w:ascii="Times New Roman" w:hAnsi="Times New Roman" w:cs="Times New Roman"/>
                <w:sz w:val="21"/>
                <w:szCs w:val="21"/>
                <w:lang w:val="en-US" w:eastAsia="zh-CN"/>
              </w:rPr>
              <w:t xml:space="preserve">  法律法规政策符合性分析</w:t>
            </w:r>
          </w:p>
          <w:tbl>
            <w:tblPr>
              <w:tblStyle w:val="26"/>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7"/>
              <w:gridCol w:w="3154"/>
              <w:gridCol w:w="2048"/>
              <w:gridCol w:w="487"/>
            </w:tblGrid>
            <w:tr w14:paraId="65419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87" w:type="pct"/>
                  <w:noWrap w:val="0"/>
                  <w:vAlign w:val="center"/>
                </w:tcPr>
                <w:p w14:paraId="4F9059BC">
                  <w:pPr>
                    <w:pStyle w:val="9"/>
                    <w:keepNext/>
                    <w:keepLines/>
                    <w:pageBreakBefore w:val="0"/>
                    <w:widowControl w:val="0"/>
                    <w:suppressLineNumbers w:val="0"/>
                    <w:kinsoku/>
                    <w:wordWrap w:val="0"/>
                    <w:overflowPunct/>
                    <w:topLinePunct w:val="0"/>
                    <w:autoSpaceDE w:val="0"/>
                    <w:autoSpaceDN w:val="0"/>
                    <w:bidi w:val="0"/>
                    <w:adjustRightInd/>
                    <w:snapToGrid/>
                    <w:spacing w:before="0" w:beforeAutospacing="0" w:after="0" w:afterAutospacing="0"/>
                    <w:ind w:left="0" w:right="0"/>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文件</w:t>
                  </w:r>
                </w:p>
              </w:tc>
              <w:tc>
                <w:tcPr>
                  <w:tcW w:w="2206" w:type="pct"/>
                  <w:noWrap w:val="0"/>
                  <w:vAlign w:val="center"/>
                </w:tcPr>
                <w:p w14:paraId="1C463CD8">
                  <w:pPr>
                    <w:pStyle w:val="9"/>
                    <w:keepNext/>
                    <w:keepLines/>
                    <w:pageBreakBefore w:val="0"/>
                    <w:widowControl w:val="0"/>
                    <w:suppressLineNumbers w:val="0"/>
                    <w:kinsoku/>
                    <w:wordWrap w:val="0"/>
                    <w:overflowPunct/>
                    <w:topLinePunct w:val="0"/>
                    <w:autoSpaceDE w:val="0"/>
                    <w:autoSpaceDN w:val="0"/>
                    <w:bidi w:val="0"/>
                    <w:adjustRightInd/>
                    <w:snapToGrid/>
                    <w:spacing w:before="0" w:beforeAutospacing="0" w:after="0" w:afterAutospacing="0"/>
                    <w:ind w:left="0" w:right="0"/>
                    <w:jc w:val="center"/>
                    <w:textAlignment w:val="auto"/>
                    <w:rPr>
                      <w:rFonts w:hint="default" w:ascii="Times New Roman" w:hAnsi="Times New Roman" w:cs="Times New Roman"/>
                      <w:sz w:val="21"/>
                      <w:szCs w:val="21"/>
                    </w:rPr>
                  </w:pPr>
                  <w:r>
                    <w:rPr>
                      <w:rFonts w:hint="default" w:ascii="Times New Roman" w:hAnsi="Times New Roman" w:cs="Times New Roman"/>
                      <w:sz w:val="21"/>
                      <w:szCs w:val="21"/>
                    </w:rPr>
                    <w:t>环境管理政策要求</w:t>
                  </w:r>
                </w:p>
              </w:tc>
              <w:tc>
                <w:tcPr>
                  <w:tcW w:w="1344" w:type="pct"/>
                  <w:noWrap w:val="0"/>
                  <w:vAlign w:val="center"/>
                </w:tcPr>
                <w:p w14:paraId="1157576F">
                  <w:pPr>
                    <w:pStyle w:val="9"/>
                    <w:keepNext/>
                    <w:keepLines/>
                    <w:pageBreakBefore w:val="0"/>
                    <w:widowControl w:val="0"/>
                    <w:suppressLineNumbers w:val="0"/>
                    <w:kinsoku/>
                    <w:wordWrap w:val="0"/>
                    <w:overflowPunct/>
                    <w:topLinePunct w:val="0"/>
                    <w:autoSpaceDE w:val="0"/>
                    <w:autoSpaceDN w:val="0"/>
                    <w:bidi w:val="0"/>
                    <w:adjustRightInd/>
                    <w:snapToGrid/>
                    <w:spacing w:before="0" w:beforeAutospacing="0" w:after="0" w:afterAutospacing="0"/>
                    <w:ind w:left="0" w:right="0"/>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本项目情况</w:t>
                  </w:r>
                </w:p>
              </w:tc>
              <w:tc>
                <w:tcPr>
                  <w:tcW w:w="361" w:type="pct"/>
                  <w:noWrap w:val="0"/>
                  <w:vAlign w:val="center"/>
                </w:tcPr>
                <w:p w14:paraId="558D7770">
                  <w:pPr>
                    <w:pStyle w:val="9"/>
                    <w:keepNext/>
                    <w:keepLines/>
                    <w:pageBreakBefore w:val="0"/>
                    <w:widowControl w:val="0"/>
                    <w:suppressLineNumbers w:val="0"/>
                    <w:kinsoku/>
                    <w:wordWrap w:val="0"/>
                    <w:overflowPunct/>
                    <w:topLinePunct w:val="0"/>
                    <w:autoSpaceDE w:val="0"/>
                    <w:autoSpaceDN w:val="0"/>
                    <w:bidi w:val="0"/>
                    <w:adjustRightInd/>
                    <w:snapToGrid/>
                    <w:spacing w:before="0" w:beforeAutospacing="0" w:after="0" w:afterAutospacing="0"/>
                    <w:ind w:left="0" w:right="0"/>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符合性</w:t>
                  </w:r>
                </w:p>
              </w:tc>
            </w:tr>
            <w:tr w14:paraId="616FA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87" w:type="pct"/>
                  <w:noWrap w:val="0"/>
                  <w:vAlign w:val="center"/>
                </w:tcPr>
                <w:p w14:paraId="6232DEA8">
                  <w:pPr>
                    <w:pStyle w:val="9"/>
                    <w:keepNext/>
                    <w:keepLines/>
                    <w:pageBreakBefore w:val="0"/>
                    <w:widowControl w:val="0"/>
                    <w:suppressLineNumbers w:val="0"/>
                    <w:kinsoku/>
                    <w:wordWrap w:val="0"/>
                    <w:overflowPunct/>
                    <w:topLinePunct w:val="0"/>
                    <w:autoSpaceDE w:val="0"/>
                    <w:autoSpaceDN w:val="0"/>
                    <w:bidi w:val="0"/>
                    <w:adjustRightInd/>
                    <w:snapToGrid/>
                    <w:spacing w:before="0" w:beforeAutospacing="0" w:after="0" w:afterAutospacing="0"/>
                    <w:ind w:left="0" w:right="0"/>
                    <w:jc w:val="center"/>
                    <w:textAlignment w:val="auto"/>
                    <w:rPr>
                      <w:rFonts w:hint="default" w:ascii="Times New Roman" w:hAnsi="Times New Roman" w:cs="Times New Roman"/>
                      <w:sz w:val="21"/>
                      <w:szCs w:val="21"/>
                    </w:rPr>
                  </w:pPr>
                  <w:r>
                    <w:rPr>
                      <w:rFonts w:hint="default" w:ascii="Times New Roman" w:hAnsi="Times New Roman" w:cs="Times New Roman"/>
                      <w:sz w:val="21"/>
                      <w:szCs w:val="21"/>
                      <w:lang w:val="en-US" w:eastAsia="zh-CN"/>
                    </w:rPr>
                    <w:t>国务院关于印发《空气质量持续改善行动计划》的通知（国发〔2023〕24号）</w:t>
                  </w:r>
                </w:p>
              </w:tc>
              <w:tc>
                <w:tcPr>
                  <w:tcW w:w="2206" w:type="pct"/>
                  <w:noWrap w:val="0"/>
                  <w:vAlign w:val="center"/>
                </w:tcPr>
                <w:p w14:paraId="0312B6B1">
                  <w:pPr>
                    <w:pStyle w:val="9"/>
                    <w:keepNext/>
                    <w:keepLines/>
                    <w:pageBreakBefore w:val="0"/>
                    <w:widowControl w:val="0"/>
                    <w:suppressLineNumbers w:val="0"/>
                    <w:kinsoku/>
                    <w:wordWrap w:val="0"/>
                    <w:overflowPunct/>
                    <w:topLinePunct w:val="0"/>
                    <w:autoSpaceDE w:val="0"/>
                    <w:autoSpaceDN w:val="0"/>
                    <w:bidi w:val="0"/>
                    <w:adjustRightInd/>
                    <w:snapToGrid/>
                    <w:spacing w:before="0" w:beforeAutospacing="0" w:after="0" w:afterAutospacing="0"/>
                    <w:ind w:left="0" w:right="0"/>
                    <w:jc w:val="both"/>
                    <w:textAlignment w:val="auto"/>
                    <w:rPr>
                      <w:rFonts w:hint="default" w:ascii="Times New Roman" w:hAnsi="Times New Roman" w:cs="Times New Roman"/>
                      <w:sz w:val="21"/>
                      <w:szCs w:val="21"/>
                    </w:rPr>
                  </w:pPr>
                  <w:r>
                    <w:rPr>
                      <w:rFonts w:hint="default" w:ascii="Times New Roman" w:hAnsi="Times New Roman" w:cs="Times New Roman"/>
                      <w:sz w:val="21"/>
                      <w:szCs w:val="21"/>
                    </w:rPr>
                    <w:t>（四）坚决遏制高耗能、高排放、低水平项目盲目上马。新改扩建项目严格落实国家产业规划、产业政策、生态环境分区管控方案、规划环评、项目环评、节能审查、产能置换、重点污染物总量控制、污染物排放区域削减、碳排放达峰目标等相关要求，原则上采用清洁运输方式。涉及产能置换的项目，被置换产能及其配套设施关停后，新建项目方可投产。</w:t>
                  </w:r>
                </w:p>
              </w:tc>
              <w:tc>
                <w:tcPr>
                  <w:tcW w:w="1344" w:type="pct"/>
                  <w:noWrap w:val="0"/>
                  <w:vAlign w:val="center"/>
                </w:tcPr>
                <w:p w14:paraId="156665C9">
                  <w:pPr>
                    <w:pStyle w:val="9"/>
                    <w:keepNext/>
                    <w:keepLines/>
                    <w:pageBreakBefore w:val="0"/>
                    <w:widowControl w:val="0"/>
                    <w:suppressLineNumbers w:val="0"/>
                    <w:kinsoku/>
                    <w:wordWrap w:val="0"/>
                    <w:overflowPunct/>
                    <w:topLinePunct w:val="0"/>
                    <w:autoSpaceDE w:val="0"/>
                    <w:autoSpaceDN w:val="0"/>
                    <w:bidi w:val="0"/>
                    <w:adjustRightInd/>
                    <w:snapToGrid/>
                    <w:spacing w:before="0" w:beforeAutospacing="0" w:after="0" w:afterAutospacing="0"/>
                    <w:ind w:left="0" w:right="0"/>
                    <w:jc w:val="both"/>
                    <w:textAlignment w:val="auto"/>
                    <w:rPr>
                      <w:rFonts w:hint="default" w:ascii="Times New Roman" w:hAnsi="Times New Roman" w:cs="Times New Roman"/>
                      <w:sz w:val="21"/>
                      <w:szCs w:val="21"/>
                    </w:rPr>
                  </w:pPr>
                  <w:r>
                    <w:rPr>
                      <w:rFonts w:hint="default" w:ascii="Times New Roman" w:hAnsi="Times New Roman" w:eastAsia="宋体" w:cs="Times New Roman"/>
                      <w:sz w:val="21"/>
                      <w:szCs w:val="21"/>
                    </w:rPr>
                    <w:t>本项目为煤泥洗选资源综合利用项目，不属于高耗能、高排放、低水平项目；粉尘、废水、固废均配套完善污染治理设施；厂区原料、产品优先采用密闭输送、密闭车辆运输等清洁运输方式，各项建设内容均满足文件管控要求。</w:t>
                  </w:r>
                </w:p>
              </w:tc>
              <w:tc>
                <w:tcPr>
                  <w:tcW w:w="361" w:type="pct"/>
                  <w:noWrap w:val="0"/>
                  <w:vAlign w:val="center"/>
                </w:tcPr>
                <w:p w14:paraId="109E69E8">
                  <w:pPr>
                    <w:pStyle w:val="9"/>
                    <w:keepNext/>
                    <w:keepLines/>
                    <w:pageBreakBefore w:val="0"/>
                    <w:widowControl w:val="0"/>
                    <w:suppressLineNumbers w:val="0"/>
                    <w:kinsoku/>
                    <w:wordWrap w:val="0"/>
                    <w:overflowPunct/>
                    <w:topLinePunct w:val="0"/>
                    <w:autoSpaceDE w:val="0"/>
                    <w:autoSpaceDN w:val="0"/>
                    <w:bidi w:val="0"/>
                    <w:adjustRightInd/>
                    <w:snapToGrid/>
                    <w:spacing w:before="0" w:beforeAutospacing="0" w:after="0" w:afterAutospacing="0"/>
                    <w:ind w:left="0" w:right="0"/>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符合</w:t>
                  </w:r>
                </w:p>
              </w:tc>
            </w:tr>
            <w:tr w14:paraId="669B9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87" w:type="pct"/>
                  <w:vMerge w:val="restart"/>
                  <w:noWrap w:val="0"/>
                  <w:vAlign w:val="center"/>
                </w:tcPr>
                <w:p w14:paraId="47725FF2">
                  <w:pPr>
                    <w:pStyle w:val="9"/>
                    <w:keepNext/>
                    <w:keepLines/>
                    <w:pageBreakBefore w:val="0"/>
                    <w:widowControl w:val="0"/>
                    <w:suppressLineNumbers w:val="0"/>
                    <w:kinsoku/>
                    <w:wordWrap w:val="0"/>
                    <w:overflowPunct/>
                    <w:topLinePunct w:val="0"/>
                    <w:autoSpaceDE w:val="0"/>
                    <w:autoSpaceDN w:val="0"/>
                    <w:bidi w:val="0"/>
                    <w:adjustRightInd/>
                    <w:snapToGrid/>
                    <w:spacing w:before="0" w:beforeAutospacing="0" w:after="0" w:afterAutospacing="0"/>
                    <w:ind w:left="0" w:right="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国务院关于印发《固体废物综合治理行动计划》的通知国发〔2025〕14号</w:t>
                  </w:r>
                </w:p>
              </w:tc>
              <w:tc>
                <w:tcPr>
                  <w:tcW w:w="2206" w:type="pct"/>
                  <w:noWrap w:val="0"/>
                  <w:vAlign w:val="center"/>
                </w:tcPr>
                <w:p w14:paraId="5C1829F4">
                  <w:pPr>
                    <w:pStyle w:val="9"/>
                    <w:keepNext/>
                    <w:keepLines/>
                    <w:pageBreakBefore w:val="0"/>
                    <w:widowControl w:val="0"/>
                    <w:suppressLineNumbers w:val="0"/>
                    <w:kinsoku/>
                    <w:wordWrap w:val="0"/>
                    <w:overflowPunct/>
                    <w:topLinePunct w:val="0"/>
                    <w:autoSpaceDE w:val="0"/>
                    <w:autoSpaceDN w:val="0"/>
                    <w:bidi w:val="0"/>
                    <w:adjustRightInd/>
                    <w:snapToGrid/>
                    <w:spacing w:before="0" w:beforeAutospacing="0" w:after="0" w:afterAutospacing="0"/>
                    <w:ind w:left="0" w:right="0"/>
                    <w:jc w:val="lef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四、提升资源化利用水平</w:t>
                  </w:r>
                </w:p>
                <w:p w14:paraId="0BB59E42">
                  <w:pPr>
                    <w:pStyle w:val="9"/>
                    <w:keepNext/>
                    <w:keepLines/>
                    <w:pageBreakBefore w:val="0"/>
                    <w:widowControl w:val="0"/>
                    <w:suppressLineNumbers w:val="0"/>
                    <w:kinsoku/>
                    <w:wordWrap w:val="0"/>
                    <w:overflowPunct/>
                    <w:topLinePunct w:val="0"/>
                    <w:autoSpaceDE w:val="0"/>
                    <w:autoSpaceDN w:val="0"/>
                    <w:bidi w:val="0"/>
                    <w:adjustRightInd/>
                    <w:snapToGrid/>
                    <w:spacing w:before="0" w:beforeAutospacing="0" w:after="0" w:afterAutospacing="0"/>
                    <w:ind w:left="0" w:right="0"/>
                    <w:jc w:val="both"/>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七）加强大宗固体废弃物综合利用。提升冶炼渣、尾矿、共伴生矿、赤泥、建筑垃圾综合利用能力，加强有价组分高效提取及整体利用，因地制宜推动煤矸石多元化利用。拓宽秸秆综合利用途径，提高秸秆还田科学化、规范化水平。推进畜禽养殖废弃物资源化利用。</w:t>
                  </w:r>
                </w:p>
              </w:tc>
              <w:tc>
                <w:tcPr>
                  <w:tcW w:w="1344" w:type="pct"/>
                  <w:noWrap w:val="0"/>
                  <w:vAlign w:val="center"/>
                </w:tcPr>
                <w:p w14:paraId="7B4CF8B5">
                  <w:pPr>
                    <w:pStyle w:val="9"/>
                    <w:keepNext/>
                    <w:keepLines/>
                    <w:pageBreakBefore w:val="0"/>
                    <w:widowControl w:val="0"/>
                    <w:suppressLineNumbers w:val="0"/>
                    <w:kinsoku/>
                    <w:wordWrap w:val="0"/>
                    <w:overflowPunct/>
                    <w:topLinePunct w:val="0"/>
                    <w:autoSpaceDE w:val="0"/>
                    <w:autoSpaceDN w:val="0"/>
                    <w:bidi w:val="0"/>
                    <w:adjustRightInd/>
                    <w:snapToGrid/>
                    <w:spacing w:before="0" w:beforeAutospacing="0" w:after="0" w:afterAutospacing="0"/>
                    <w:ind w:left="0" w:right="0"/>
                    <w:jc w:val="both"/>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本项目核心定位为煤泥（煤矿大宗工业固废）循环利用，对周边煤矿堆存、闲置的煤泥资源进行分选、加工，转化为商品煤产品，拓宽了煤泥固废资源化利用渠道，减少煤泥长期堆存占地及环境风险，属于大宗工业固废资源化项目。</w:t>
                  </w:r>
                </w:p>
              </w:tc>
              <w:tc>
                <w:tcPr>
                  <w:tcW w:w="361" w:type="pct"/>
                  <w:noWrap w:val="0"/>
                  <w:vAlign w:val="center"/>
                </w:tcPr>
                <w:p w14:paraId="52CF037C">
                  <w:pPr>
                    <w:pStyle w:val="9"/>
                    <w:keepNext/>
                    <w:keepLines/>
                    <w:pageBreakBefore w:val="0"/>
                    <w:widowControl w:val="0"/>
                    <w:suppressLineNumbers w:val="0"/>
                    <w:kinsoku/>
                    <w:wordWrap w:val="0"/>
                    <w:overflowPunct/>
                    <w:topLinePunct w:val="0"/>
                    <w:autoSpaceDE w:val="0"/>
                    <w:autoSpaceDN w:val="0"/>
                    <w:bidi w:val="0"/>
                    <w:adjustRightInd/>
                    <w:snapToGrid/>
                    <w:spacing w:before="0" w:beforeAutospacing="0" w:after="0" w:afterAutospacing="0"/>
                    <w:ind w:left="0" w:right="0"/>
                    <w:jc w:val="center"/>
                    <w:textAlignment w:val="auto"/>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符合</w:t>
                  </w:r>
                </w:p>
              </w:tc>
            </w:tr>
            <w:tr w14:paraId="7AEA8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87" w:type="pct"/>
                  <w:vMerge w:val="continue"/>
                  <w:noWrap w:val="0"/>
                  <w:vAlign w:val="center"/>
                </w:tcPr>
                <w:p w14:paraId="6DD7F596">
                  <w:pPr>
                    <w:pStyle w:val="9"/>
                    <w:keepNext/>
                    <w:keepLines/>
                    <w:pageBreakBefore w:val="0"/>
                    <w:widowControl w:val="0"/>
                    <w:suppressLineNumbers w:val="0"/>
                    <w:kinsoku/>
                    <w:wordWrap w:val="0"/>
                    <w:overflowPunct/>
                    <w:topLinePunct w:val="0"/>
                    <w:autoSpaceDE w:val="0"/>
                    <w:autoSpaceDN w:val="0"/>
                    <w:bidi w:val="0"/>
                    <w:adjustRightInd/>
                    <w:snapToGrid/>
                    <w:spacing w:before="0" w:beforeAutospacing="0" w:after="0" w:afterAutospacing="0"/>
                    <w:ind w:left="0" w:right="0"/>
                    <w:jc w:val="center"/>
                    <w:textAlignment w:val="auto"/>
                    <w:rPr>
                      <w:rFonts w:hint="default" w:ascii="Times New Roman" w:hAnsi="Times New Roman" w:cs="Times New Roman"/>
                      <w:color w:val="auto"/>
                      <w:sz w:val="21"/>
                      <w:szCs w:val="21"/>
                      <w:lang w:val="en-US" w:eastAsia="zh-CN"/>
                    </w:rPr>
                  </w:pPr>
                </w:p>
              </w:tc>
              <w:tc>
                <w:tcPr>
                  <w:tcW w:w="2206" w:type="pct"/>
                  <w:noWrap w:val="0"/>
                  <w:vAlign w:val="center"/>
                </w:tcPr>
                <w:p w14:paraId="21BA8D3F">
                  <w:pPr>
                    <w:pStyle w:val="9"/>
                    <w:keepNext/>
                    <w:keepLines/>
                    <w:pageBreakBefore w:val="0"/>
                    <w:widowControl w:val="0"/>
                    <w:suppressLineNumbers w:val="0"/>
                    <w:kinsoku/>
                    <w:wordWrap w:val="0"/>
                    <w:overflowPunct/>
                    <w:topLinePunct w:val="0"/>
                    <w:autoSpaceDE w:val="0"/>
                    <w:autoSpaceDN w:val="0"/>
                    <w:bidi w:val="0"/>
                    <w:adjustRightInd/>
                    <w:snapToGrid/>
                    <w:spacing w:before="0" w:beforeAutospacing="0" w:after="0" w:afterAutospacing="0"/>
                    <w:ind w:left="0" w:right="0"/>
                    <w:jc w:val="lef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五、增加无害化治理能力</w:t>
                  </w:r>
                </w:p>
                <w:p w14:paraId="46D923F1">
                  <w:pPr>
                    <w:pStyle w:val="9"/>
                    <w:keepNext/>
                    <w:keepLines/>
                    <w:pageBreakBefore w:val="0"/>
                    <w:widowControl w:val="0"/>
                    <w:numPr>
                      <w:ilvl w:val="0"/>
                      <w:numId w:val="0"/>
                    </w:numPr>
                    <w:suppressLineNumbers w:val="0"/>
                    <w:kinsoku/>
                    <w:wordWrap w:val="0"/>
                    <w:overflowPunct/>
                    <w:topLinePunct w:val="0"/>
                    <w:autoSpaceDE w:val="0"/>
                    <w:autoSpaceDN w:val="0"/>
                    <w:bidi w:val="0"/>
                    <w:adjustRightInd/>
                    <w:snapToGrid/>
                    <w:spacing w:before="0" w:beforeAutospacing="0" w:after="0" w:afterAutospacing="0"/>
                    <w:ind w:left="0" w:leftChars="0" w:right="0" w:rightChars="0" w:firstLine="0" w:firstLineChars="0"/>
                    <w:jc w:val="both"/>
                    <w:textAlignment w:val="auto"/>
                    <w:rPr>
                      <w:rFonts w:hint="default" w:ascii="Times New Roman" w:hAnsi="Times New Roman" w:cs="Times New Roman"/>
                      <w:color w:val="auto"/>
                      <w:sz w:val="21"/>
                      <w:szCs w:val="21"/>
                    </w:rPr>
                  </w:pPr>
                  <w:r>
                    <w:rPr>
                      <w:rFonts w:hint="eastAsia" w:ascii="Times New Roman" w:hAnsi="Times New Roman" w:eastAsia="宋体" w:cs="Times New Roman"/>
                      <w:color w:val="auto"/>
                      <w:kern w:val="2"/>
                      <w:sz w:val="21"/>
                      <w:szCs w:val="21"/>
                      <w:lang w:val="en-US" w:eastAsia="zh-CN" w:bidi="ar-SA"/>
                    </w:rPr>
                    <w:t>（十）</w:t>
                  </w:r>
                  <w:r>
                    <w:rPr>
                      <w:rFonts w:hint="default" w:ascii="Times New Roman" w:hAnsi="Times New Roman" w:cs="Times New Roman"/>
                      <w:color w:val="auto"/>
                      <w:sz w:val="21"/>
                      <w:szCs w:val="21"/>
                    </w:rPr>
                    <w:t>提升全过程无害化水平。加强大宗工业固体废物无害化预处理，降低贮存填埋量和环境污染风险。因地制宜确定生活垃圾处理方式，合理布局建设生活垃圾焚烧处理设施，鼓励在确保安全稳定运行前提下，协同处置城镇污水处理厂污泥和工业固体废物。新建生活垃圾焚烧项目应同步落实飞灰处理途径，逐步减少飞灰填埋量。优化污泥处理处置结构，压减填埋规模。</w:t>
                  </w:r>
                </w:p>
                <w:p w14:paraId="31D631B5">
                  <w:pPr>
                    <w:numPr>
                      <w:ilvl w:val="0"/>
                      <w:numId w:val="0"/>
                    </w:numPr>
                    <w:jc w:val="both"/>
                    <w:rPr>
                      <w:rFonts w:hint="default"/>
                      <w:color w:val="auto"/>
                    </w:rPr>
                  </w:pPr>
                  <w:r>
                    <w:rPr>
                      <w:rFonts w:hint="eastAsia"/>
                      <w:color w:val="auto"/>
                      <w:kern w:val="2"/>
                      <w:sz w:val="21"/>
                      <w:szCs w:val="24"/>
                      <w:lang w:val="en-US" w:eastAsia="zh-CN" w:bidi="ar-SA"/>
                    </w:rPr>
                    <w:t>（十一）</w:t>
                  </w:r>
                  <w:r>
                    <w:rPr>
                      <w:rFonts w:hint="default"/>
                      <w:color w:val="auto"/>
                    </w:rPr>
                    <w:t>稳妥有序探索规模化消纳利用渠道。在符合环境质量标准、污染风险管控要求和安全生产要求前提下，探索通过井下充填、矿坑回填、生态修复等方式规模化消纳利用大宗工业固体废物。建立统一规范的管理制度，加强部门协同，严格履行相关审批和决策程序，坚决防范以规模化消纳利用名义非法倾倒。</w:t>
                  </w:r>
                </w:p>
              </w:tc>
              <w:tc>
                <w:tcPr>
                  <w:tcW w:w="1344" w:type="pct"/>
                  <w:noWrap w:val="0"/>
                  <w:vAlign w:val="center"/>
                </w:tcPr>
                <w:p w14:paraId="0D0C885A">
                  <w:pPr>
                    <w:pStyle w:val="9"/>
                    <w:keepNext/>
                    <w:keepLines/>
                    <w:pageBreakBefore w:val="0"/>
                    <w:widowControl w:val="0"/>
                    <w:suppressLineNumbers w:val="0"/>
                    <w:kinsoku/>
                    <w:wordWrap w:val="0"/>
                    <w:overflowPunct/>
                    <w:topLinePunct w:val="0"/>
                    <w:autoSpaceDE w:val="0"/>
                    <w:autoSpaceDN w:val="0"/>
                    <w:bidi w:val="0"/>
                    <w:adjustRightInd/>
                    <w:snapToGrid/>
                    <w:spacing w:before="0" w:beforeAutospacing="0" w:after="0" w:afterAutospacing="0"/>
                    <w:ind w:left="0" w:right="0"/>
                    <w:jc w:val="both"/>
                    <w:textAlignment w:val="auto"/>
                    <w:rPr>
                      <w:rFonts w:hint="default"/>
                      <w:color w:val="auto"/>
                    </w:rPr>
                  </w:pPr>
                  <w:r>
                    <w:rPr>
                      <w:rFonts w:hint="eastAsia" w:ascii="Times New Roman" w:hAnsi="Times New Roman" w:eastAsia="宋体" w:cs="Times New Roman"/>
                      <w:color w:val="auto"/>
                      <w:sz w:val="21"/>
                      <w:szCs w:val="21"/>
                      <w:lang w:val="en-US" w:eastAsia="zh-CN"/>
                    </w:rPr>
                    <w:t>本</w:t>
                  </w:r>
                  <w:r>
                    <w:rPr>
                      <w:rFonts w:hint="default" w:ascii="Times New Roman" w:hAnsi="Times New Roman" w:eastAsia="宋体" w:cs="Times New Roman"/>
                      <w:color w:val="auto"/>
                      <w:sz w:val="21"/>
                      <w:szCs w:val="21"/>
                    </w:rPr>
                    <w:t>项目原料煤泥全部进入生产工序</w:t>
                  </w:r>
                  <w:r>
                    <w:rPr>
                      <w:rFonts w:hint="eastAsia" w:ascii="Times New Roman" w:hAnsi="Times New Roman" w:eastAsia="宋体" w:cs="Times New Roman"/>
                      <w:color w:val="auto"/>
                      <w:sz w:val="21"/>
                      <w:szCs w:val="21"/>
                      <w:lang w:val="en-US" w:eastAsia="zh-CN"/>
                    </w:rPr>
                    <w:t>洗选</w:t>
                  </w:r>
                  <w:r>
                    <w:rPr>
                      <w:rFonts w:hint="default" w:ascii="Times New Roman" w:hAnsi="Times New Roman" w:eastAsia="宋体" w:cs="Times New Roman"/>
                      <w:color w:val="auto"/>
                      <w:sz w:val="21"/>
                      <w:szCs w:val="21"/>
                    </w:rPr>
                    <w:t>，煤泥不在厂区长期堆存；原料、成品煤存放于全密闭储煤棚内，配套喷淋抑尘、场区</w:t>
                  </w:r>
                  <w:r>
                    <w:rPr>
                      <w:rFonts w:hint="eastAsia" w:ascii="Times New Roman" w:hAnsi="Times New Roman" w:eastAsia="宋体" w:cs="Times New Roman"/>
                      <w:color w:val="auto"/>
                      <w:sz w:val="21"/>
                      <w:szCs w:val="21"/>
                      <w:lang w:val="en-US" w:eastAsia="zh-CN"/>
                    </w:rPr>
                    <w:t>防渗</w:t>
                  </w:r>
                  <w:r>
                    <w:rPr>
                      <w:rFonts w:hint="default" w:ascii="Times New Roman" w:hAnsi="Times New Roman" w:eastAsia="宋体" w:cs="Times New Roman"/>
                      <w:color w:val="auto"/>
                      <w:sz w:val="21"/>
                      <w:szCs w:val="21"/>
                    </w:rPr>
                    <w:t>等污染防控措施；煤泥经加工后全部资源化外销，不采取填埋处置方式，从源头减少固废贮存填埋量。煤泥资源化利用方案</w:t>
                  </w:r>
                  <w:r>
                    <w:rPr>
                      <w:rFonts w:hint="eastAsia" w:ascii="Times New Roman" w:hAnsi="Times New Roman" w:eastAsia="宋体" w:cs="Times New Roman"/>
                      <w:color w:val="auto"/>
                      <w:sz w:val="21"/>
                      <w:szCs w:val="21"/>
                      <w:lang w:val="en-US" w:eastAsia="zh-CN"/>
                    </w:rPr>
                    <w:t>经本次</w:t>
                  </w:r>
                  <w:r>
                    <w:rPr>
                      <w:rFonts w:hint="default" w:ascii="Times New Roman" w:hAnsi="Times New Roman" w:eastAsia="宋体" w:cs="Times New Roman"/>
                      <w:color w:val="auto"/>
                      <w:sz w:val="21"/>
                      <w:szCs w:val="21"/>
                    </w:rPr>
                    <w:t>环评论证，项目选址、生产工艺、污染防控措施均满足区域环境质量、风险管控要求；不存在固体废物非法倾倒、违规处置行为。</w:t>
                  </w:r>
                </w:p>
              </w:tc>
              <w:tc>
                <w:tcPr>
                  <w:tcW w:w="361" w:type="pct"/>
                  <w:noWrap w:val="0"/>
                  <w:vAlign w:val="center"/>
                </w:tcPr>
                <w:p w14:paraId="3421109B">
                  <w:pPr>
                    <w:pStyle w:val="9"/>
                    <w:keepNext/>
                    <w:keepLines/>
                    <w:pageBreakBefore w:val="0"/>
                    <w:widowControl w:val="0"/>
                    <w:suppressLineNumbers w:val="0"/>
                    <w:kinsoku/>
                    <w:wordWrap w:val="0"/>
                    <w:overflowPunct/>
                    <w:topLinePunct w:val="0"/>
                    <w:autoSpaceDE w:val="0"/>
                    <w:autoSpaceDN w:val="0"/>
                    <w:bidi w:val="0"/>
                    <w:adjustRightInd/>
                    <w:snapToGrid/>
                    <w:spacing w:before="0" w:beforeAutospacing="0" w:after="0" w:afterAutospacing="0"/>
                    <w:ind w:left="0" w:right="0"/>
                    <w:jc w:val="center"/>
                    <w:textAlignment w:val="auto"/>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符合</w:t>
                  </w:r>
                </w:p>
              </w:tc>
            </w:tr>
            <w:tr w14:paraId="11815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87" w:type="pct"/>
                  <w:noWrap w:val="0"/>
                  <w:vAlign w:val="center"/>
                </w:tcPr>
                <w:p w14:paraId="0E5F3CD6">
                  <w:pPr>
                    <w:pStyle w:val="9"/>
                    <w:keepNext/>
                    <w:keepLines/>
                    <w:pageBreakBefore w:val="0"/>
                    <w:widowControl w:val="0"/>
                    <w:suppressLineNumbers w:val="0"/>
                    <w:kinsoku/>
                    <w:wordWrap w:val="0"/>
                    <w:overflowPunct/>
                    <w:topLinePunct w:val="0"/>
                    <w:autoSpaceDE w:val="0"/>
                    <w:autoSpaceDN w:val="0"/>
                    <w:bidi w:val="0"/>
                    <w:adjustRightInd/>
                    <w:snapToGrid/>
                    <w:spacing w:before="0" w:beforeAutospacing="0" w:after="0" w:afterAutospacing="0"/>
                    <w:ind w:left="0" w:right="0"/>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rPr>
                    <w:t>《新疆维吾尔自治区环境保护条例》</w:t>
                  </w:r>
                </w:p>
              </w:tc>
              <w:tc>
                <w:tcPr>
                  <w:tcW w:w="2206" w:type="pct"/>
                  <w:noWrap w:val="0"/>
                  <w:vAlign w:val="center"/>
                </w:tcPr>
                <w:p w14:paraId="5DAED00B">
                  <w:pPr>
                    <w:pStyle w:val="9"/>
                    <w:keepNext/>
                    <w:keepLines/>
                    <w:pageBreakBefore w:val="0"/>
                    <w:widowControl w:val="0"/>
                    <w:suppressLineNumbers w:val="0"/>
                    <w:kinsoku/>
                    <w:wordWrap w:val="0"/>
                    <w:overflowPunct/>
                    <w:topLinePunct w:val="0"/>
                    <w:autoSpaceDE w:val="0"/>
                    <w:autoSpaceDN w:val="0"/>
                    <w:bidi w:val="0"/>
                    <w:adjustRightInd/>
                    <w:snapToGrid/>
                    <w:spacing w:before="0" w:beforeAutospacing="0" w:after="0" w:afterAutospacing="0"/>
                    <w:ind w:left="0" w:right="0"/>
                    <w:jc w:val="both"/>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rPr>
                    <w:t>县级以上人民政府可以根据环境质量的需要，划定并公布高污染燃料禁燃区。在禁燃区内，禁止销售、燃用原煤、粉</w:t>
                  </w:r>
                  <w:r>
                    <w:rPr>
                      <w:rFonts w:hint="default" w:ascii="Times New Roman" w:hAnsi="Times New Roman" w:cs="Times New Roman"/>
                      <w:sz w:val="21"/>
                      <w:szCs w:val="21"/>
                      <w:lang w:eastAsia="zh-CN"/>
                    </w:rPr>
                    <w:t>煤等</w:t>
                  </w:r>
                  <w:r>
                    <w:rPr>
                      <w:rFonts w:hint="default" w:ascii="Times New Roman" w:hAnsi="Times New Roman" w:cs="Times New Roman"/>
                      <w:sz w:val="21"/>
                      <w:szCs w:val="21"/>
                    </w:rPr>
                    <w:t>各种可燃废物等高污染燃料</w:t>
                  </w:r>
                  <w:r>
                    <w:rPr>
                      <w:rFonts w:hint="default" w:ascii="Times New Roman" w:hAnsi="Times New Roman" w:cs="Times New Roman"/>
                      <w:sz w:val="21"/>
                      <w:szCs w:val="21"/>
                      <w:lang w:eastAsia="zh-CN"/>
                    </w:rPr>
                    <w:t>；</w:t>
                  </w:r>
                  <w:r>
                    <w:rPr>
                      <w:rFonts w:hint="default" w:ascii="Times New Roman" w:hAnsi="Times New Roman" w:cs="Times New Roman"/>
                      <w:sz w:val="21"/>
                      <w:szCs w:val="21"/>
                    </w:rPr>
                    <w:t>禁止新建、扩建燃用高污染燃料的设施，已建设成的，应当在规定的期限内改用清洁能源</w:t>
                  </w:r>
                  <w:r>
                    <w:rPr>
                      <w:rFonts w:hint="default" w:ascii="Times New Roman" w:hAnsi="Times New Roman" w:cs="Times New Roman"/>
                      <w:sz w:val="21"/>
                      <w:szCs w:val="21"/>
                      <w:lang w:eastAsia="zh-CN"/>
                    </w:rPr>
                    <w:t>。</w:t>
                  </w:r>
                </w:p>
              </w:tc>
              <w:tc>
                <w:tcPr>
                  <w:tcW w:w="1344" w:type="pct"/>
                  <w:noWrap w:val="0"/>
                  <w:vAlign w:val="center"/>
                </w:tcPr>
                <w:p w14:paraId="29E44B98">
                  <w:pPr>
                    <w:pStyle w:val="9"/>
                    <w:keepNext/>
                    <w:keepLines/>
                    <w:pageBreakBefore w:val="0"/>
                    <w:widowControl w:val="0"/>
                    <w:suppressLineNumbers w:val="0"/>
                    <w:kinsoku/>
                    <w:wordWrap w:val="0"/>
                    <w:overflowPunct/>
                    <w:topLinePunct w:val="0"/>
                    <w:autoSpaceDE w:val="0"/>
                    <w:autoSpaceDN w:val="0"/>
                    <w:bidi w:val="0"/>
                    <w:adjustRightInd/>
                    <w:snapToGrid/>
                    <w:spacing w:before="0" w:beforeAutospacing="0" w:after="0" w:afterAutospacing="0"/>
                    <w:ind w:left="0" w:right="0"/>
                    <w:jc w:val="both"/>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本项目为煤泥洗选项目，不自建燃煤设施、不燃用高污染燃料</w:t>
                  </w:r>
                  <w:r>
                    <w:rPr>
                      <w:rFonts w:hint="eastAsia" w:cs="Times New Roman"/>
                      <w:sz w:val="21"/>
                      <w:szCs w:val="21"/>
                      <w:lang w:val="en-US" w:eastAsia="zh-CN"/>
                    </w:rPr>
                    <w:t>。</w:t>
                  </w:r>
                </w:p>
              </w:tc>
              <w:tc>
                <w:tcPr>
                  <w:tcW w:w="361" w:type="pct"/>
                  <w:noWrap w:val="0"/>
                  <w:vAlign w:val="center"/>
                </w:tcPr>
                <w:p w14:paraId="093C1610">
                  <w:pPr>
                    <w:pStyle w:val="9"/>
                    <w:keepNext/>
                    <w:keepLines/>
                    <w:pageBreakBefore w:val="0"/>
                    <w:widowControl w:val="0"/>
                    <w:suppressLineNumbers w:val="0"/>
                    <w:kinsoku/>
                    <w:wordWrap w:val="0"/>
                    <w:overflowPunct/>
                    <w:topLinePunct w:val="0"/>
                    <w:autoSpaceDE w:val="0"/>
                    <w:autoSpaceDN w:val="0"/>
                    <w:bidi w:val="0"/>
                    <w:adjustRightInd/>
                    <w:snapToGrid/>
                    <w:spacing w:before="0" w:beforeAutospacing="0" w:after="0" w:afterAutospacing="0"/>
                    <w:ind w:left="0" w:right="0"/>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符合</w:t>
                  </w:r>
                </w:p>
              </w:tc>
            </w:tr>
            <w:tr w14:paraId="0B47E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87" w:type="pct"/>
                  <w:noWrap w:val="0"/>
                  <w:vAlign w:val="center"/>
                </w:tcPr>
                <w:p w14:paraId="5D64ACF5">
                  <w:pPr>
                    <w:pStyle w:val="9"/>
                    <w:keepNext/>
                    <w:keepLines/>
                    <w:pageBreakBefore w:val="0"/>
                    <w:widowControl w:val="0"/>
                    <w:suppressLineNumbers w:val="0"/>
                    <w:kinsoku/>
                    <w:wordWrap w:val="0"/>
                    <w:overflowPunct/>
                    <w:topLinePunct w:val="0"/>
                    <w:autoSpaceDE w:val="0"/>
                    <w:autoSpaceDN w:val="0"/>
                    <w:bidi w:val="0"/>
                    <w:adjustRightInd/>
                    <w:snapToGrid/>
                    <w:spacing w:before="0" w:beforeAutospacing="0" w:after="0" w:afterAutospacing="0"/>
                    <w:ind w:left="0" w:right="0"/>
                    <w:jc w:val="center"/>
                    <w:textAlignment w:val="auto"/>
                    <w:rPr>
                      <w:rFonts w:hint="default" w:ascii="Times New Roman" w:hAnsi="Times New Roman" w:cs="Times New Roman"/>
                      <w:color w:val="auto"/>
                      <w:sz w:val="21"/>
                      <w:szCs w:val="21"/>
                      <w:lang w:val="en-US" w:eastAsia="zh-CN"/>
                    </w:rPr>
                  </w:pPr>
                  <w:r>
                    <w:rPr>
                      <w:rFonts w:hint="eastAsia" w:cs="Times New Roman"/>
                      <w:color w:val="auto"/>
                      <w:sz w:val="21"/>
                      <w:szCs w:val="21"/>
                      <w:lang w:eastAsia="zh-CN"/>
                    </w:rPr>
                    <w:t>《</w:t>
                  </w:r>
                  <w:r>
                    <w:rPr>
                      <w:rFonts w:hint="default" w:ascii="Times New Roman" w:hAnsi="Times New Roman" w:cs="Times New Roman"/>
                      <w:color w:val="auto"/>
                      <w:sz w:val="21"/>
                      <w:szCs w:val="21"/>
                    </w:rPr>
                    <w:t>新疆维吾尔自治区2025年空气质量持续改善行动实施方案</w:t>
                  </w:r>
                  <w:r>
                    <w:rPr>
                      <w:rFonts w:hint="eastAsia" w:cs="Times New Roman"/>
                      <w:color w:val="auto"/>
                      <w:sz w:val="21"/>
                      <w:szCs w:val="21"/>
                      <w:lang w:eastAsia="zh-CN"/>
                    </w:rPr>
                    <w:t>》</w:t>
                  </w:r>
                  <w:r>
                    <w:rPr>
                      <w:rFonts w:hint="eastAsia"/>
                      <w:color w:val="auto"/>
                      <w:lang w:val="en-US" w:eastAsia="zh-CN"/>
                    </w:rPr>
                    <w:t>新政办发〔2024〕58号</w:t>
                  </w:r>
                </w:p>
              </w:tc>
              <w:tc>
                <w:tcPr>
                  <w:tcW w:w="2206" w:type="pct"/>
                  <w:noWrap w:val="0"/>
                  <w:vAlign w:val="center"/>
                </w:tcPr>
                <w:p w14:paraId="4C1755DA">
                  <w:pPr>
                    <w:pStyle w:val="9"/>
                    <w:keepNext/>
                    <w:keepLines/>
                    <w:pageBreakBefore w:val="0"/>
                    <w:widowControl w:val="0"/>
                    <w:suppressLineNumbers w:val="0"/>
                    <w:kinsoku/>
                    <w:wordWrap w:val="0"/>
                    <w:overflowPunct/>
                    <w:topLinePunct w:val="0"/>
                    <w:autoSpaceDE w:val="0"/>
                    <w:autoSpaceDN w:val="0"/>
                    <w:bidi w:val="0"/>
                    <w:adjustRightInd/>
                    <w:snapToGrid/>
                    <w:spacing w:before="0" w:beforeAutospacing="0" w:after="0" w:afterAutospacing="0"/>
                    <w:ind w:left="0" w:right="0"/>
                    <w:jc w:val="left"/>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二、持续优化产业结构</w:t>
                  </w:r>
                </w:p>
                <w:p w14:paraId="214093D6">
                  <w:pPr>
                    <w:pStyle w:val="9"/>
                    <w:keepNext/>
                    <w:keepLines/>
                    <w:pageBreakBefore w:val="0"/>
                    <w:widowControl w:val="0"/>
                    <w:suppressLineNumbers w:val="0"/>
                    <w:kinsoku/>
                    <w:wordWrap w:val="0"/>
                    <w:overflowPunct/>
                    <w:topLinePunct w:val="0"/>
                    <w:autoSpaceDE w:val="0"/>
                    <w:autoSpaceDN w:val="0"/>
                    <w:bidi w:val="0"/>
                    <w:adjustRightInd/>
                    <w:snapToGrid/>
                    <w:spacing w:before="0" w:beforeAutospacing="0" w:after="0" w:afterAutospacing="0"/>
                    <w:ind w:left="0" w:right="0"/>
                    <w:jc w:val="left"/>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一）坚决遏制高耗能、高排放、低水平项目盲目上马。新改扩建项目严格落实国家和自治区产业规划、产业政策、生态环境分区管控方案、规划环评、项目环评、节能审查、产能置换、重点污染物总量控制、污染物排放区域削减、碳排放达峰目标等相关要求，原则上采用清洁运输方式，达到能效标杆水平、环保绩效A级水平。涉及产能置换的项目，被置换产能及设备关停后，新建项目方可投产。</w:t>
                  </w:r>
                </w:p>
              </w:tc>
              <w:tc>
                <w:tcPr>
                  <w:tcW w:w="1344" w:type="pct"/>
                  <w:noWrap w:val="0"/>
                  <w:vAlign w:val="center"/>
                </w:tcPr>
                <w:p w14:paraId="11BA4FC9">
                  <w:pPr>
                    <w:pStyle w:val="10"/>
                    <w:jc w:val="both"/>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本</w:t>
                  </w:r>
                  <w:r>
                    <w:rPr>
                      <w:rFonts w:hint="default" w:ascii="Times New Roman" w:hAnsi="Times New Roman" w:eastAsia="宋体" w:cs="Times New Roman"/>
                      <w:color w:val="auto"/>
                      <w:kern w:val="2"/>
                      <w:sz w:val="21"/>
                      <w:szCs w:val="21"/>
                      <w:lang w:val="en-US" w:eastAsia="zh-CN" w:bidi="ar-SA"/>
                    </w:rPr>
                    <w:t>项目不属于高耗能、高排放、低水平项目</w:t>
                  </w:r>
                  <w:r>
                    <w:rPr>
                      <w:rFonts w:hint="eastAsia" w:ascii="Times New Roman" w:hAnsi="Times New Roman" w:eastAsia="宋体" w:cs="Times New Roman"/>
                      <w:color w:val="auto"/>
                      <w:kern w:val="2"/>
                      <w:sz w:val="21"/>
                      <w:szCs w:val="21"/>
                      <w:lang w:val="en-US" w:eastAsia="zh-CN" w:bidi="ar-SA"/>
                    </w:rPr>
                    <w:t>，选址符合区域生态环境分区管控要求，不涉及产能置换。项目粉尘治理采用全封闭储煤棚，安装喷淋装置的污染治理措施，</w:t>
                  </w:r>
                  <w:r>
                    <w:rPr>
                      <w:rFonts w:hint="default" w:ascii="Times New Roman" w:hAnsi="Times New Roman" w:eastAsia="宋体" w:cs="Times New Roman"/>
                      <w:color w:val="auto"/>
                      <w:kern w:val="2"/>
                      <w:sz w:val="21"/>
                      <w:szCs w:val="21"/>
                      <w:lang w:val="en-US" w:eastAsia="zh-CN" w:bidi="ar-SA"/>
                    </w:rPr>
                    <w:t>废气排放浓度</w:t>
                  </w:r>
                  <w:r>
                    <w:rPr>
                      <w:rFonts w:hint="eastAsia" w:ascii="Times New Roman" w:hAnsi="Times New Roman" w:eastAsia="宋体" w:cs="Times New Roman"/>
                      <w:color w:val="auto"/>
                      <w:kern w:val="2"/>
                      <w:sz w:val="21"/>
                      <w:szCs w:val="21"/>
                      <w:lang w:val="en-US" w:eastAsia="zh-CN" w:bidi="ar-SA"/>
                    </w:rPr>
                    <w:t>满足</w:t>
                  </w:r>
                  <w:r>
                    <w:rPr>
                      <w:rFonts w:hint="default" w:ascii="Times New Roman" w:hAnsi="Times New Roman" w:eastAsia="宋体" w:cs="Times New Roman"/>
                      <w:color w:val="auto"/>
                      <w:kern w:val="2"/>
                      <w:sz w:val="21"/>
                      <w:szCs w:val="21"/>
                      <w:lang w:val="en-US" w:eastAsia="zh-CN" w:bidi="ar-SA"/>
                    </w:rPr>
                    <w:t>《煤炭工业污染物排放标准》（GB20426-2006）</w:t>
                  </w:r>
                  <w:r>
                    <w:rPr>
                      <w:rFonts w:hint="eastAsia" w:ascii="Times New Roman" w:hAnsi="Times New Roman" w:eastAsia="宋体" w:cs="Times New Roman"/>
                      <w:color w:val="auto"/>
                      <w:kern w:val="2"/>
                      <w:sz w:val="21"/>
                      <w:szCs w:val="21"/>
                      <w:lang w:val="en-US" w:eastAsia="zh-CN" w:bidi="ar-SA"/>
                    </w:rPr>
                    <w:t>中标准限值要求。</w:t>
                  </w:r>
                </w:p>
              </w:tc>
              <w:tc>
                <w:tcPr>
                  <w:tcW w:w="361" w:type="pct"/>
                  <w:noWrap w:val="0"/>
                  <w:vAlign w:val="center"/>
                </w:tcPr>
                <w:p w14:paraId="34BFBDC0">
                  <w:pPr>
                    <w:pStyle w:val="9"/>
                    <w:keepNext/>
                    <w:keepLines/>
                    <w:pageBreakBefore w:val="0"/>
                    <w:widowControl w:val="0"/>
                    <w:suppressLineNumbers w:val="0"/>
                    <w:kinsoku/>
                    <w:wordWrap w:val="0"/>
                    <w:overflowPunct/>
                    <w:topLinePunct w:val="0"/>
                    <w:autoSpaceDE w:val="0"/>
                    <w:autoSpaceDN w:val="0"/>
                    <w:bidi w:val="0"/>
                    <w:adjustRightInd/>
                    <w:snapToGrid/>
                    <w:spacing w:before="0" w:beforeAutospacing="0" w:after="0" w:afterAutospacing="0"/>
                    <w:ind w:left="0" w:right="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符合</w:t>
                  </w:r>
                </w:p>
              </w:tc>
            </w:tr>
            <w:tr w14:paraId="1F758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6" w:hRule="atLeast"/>
              </w:trPr>
              <w:tc>
                <w:tcPr>
                  <w:tcW w:w="1087" w:type="pct"/>
                  <w:vMerge w:val="restart"/>
                  <w:noWrap w:val="0"/>
                  <w:vAlign w:val="center"/>
                </w:tcPr>
                <w:p w14:paraId="6D8DE353">
                  <w:pPr>
                    <w:pStyle w:val="10"/>
                    <w:jc w:val="center"/>
                    <w:rPr>
                      <w:rFonts w:hint="eastAsia"/>
                      <w:lang w:val="en-US" w:eastAsia="zh-CN"/>
                    </w:rPr>
                  </w:pPr>
                  <w:r>
                    <w:rPr>
                      <w:rFonts w:hint="eastAsia" w:ascii="Times New Roman" w:hAnsi="Times New Roman" w:eastAsia="宋体" w:cs="Times New Roman"/>
                      <w:kern w:val="2"/>
                      <w:sz w:val="21"/>
                      <w:szCs w:val="21"/>
                      <w:lang w:val="en-US" w:eastAsia="zh-CN" w:bidi="ar-SA"/>
                    </w:rPr>
                    <w:t>《环境空气细颗粒物污染综合防治技术政策》</w:t>
                  </w:r>
                </w:p>
                <w:p w14:paraId="73781815">
                  <w:pPr>
                    <w:pStyle w:val="9"/>
                    <w:keepNext/>
                    <w:keepLines/>
                    <w:pageBreakBefore w:val="0"/>
                    <w:widowControl w:val="0"/>
                    <w:suppressLineNumbers w:val="0"/>
                    <w:kinsoku/>
                    <w:wordWrap w:val="0"/>
                    <w:overflowPunct/>
                    <w:topLinePunct w:val="0"/>
                    <w:autoSpaceDE w:val="0"/>
                    <w:autoSpaceDN w:val="0"/>
                    <w:bidi w:val="0"/>
                    <w:adjustRightInd/>
                    <w:snapToGrid/>
                    <w:spacing w:before="0" w:beforeAutospacing="0" w:after="0" w:afterAutospacing="0"/>
                    <w:ind w:left="0" w:right="0"/>
                    <w:jc w:val="center"/>
                    <w:textAlignment w:val="auto"/>
                    <w:rPr>
                      <w:rFonts w:hint="default" w:ascii="Times New Roman" w:hAnsi="Times New Roman" w:cs="Times New Roman"/>
                      <w:sz w:val="21"/>
                      <w:szCs w:val="21"/>
                      <w:lang w:val="en-US" w:eastAsia="zh-CN"/>
                    </w:rPr>
                  </w:pPr>
                </w:p>
              </w:tc>
              <w:tc>
                <w:tcPr>
                  <w:tcW w:w="2206" w:type="pct"/>
                  <w:noWrap w:val="0"/>
                  <w:vAlign w:val="center"/>
                </w:tcPr>
                <w:p w14:paraId="6AE1BD8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default"/>
                      <w:lang w:val="en-US" w:eastAsia="zh-CN"/>
                    </w:rPr>
                  </w:pPr>
                  <w:r>
                    <w:rPr>
                      <w:rFonts w:hint="eastAsia" w:ascii="Times New Roman" w:hAnsi="Times New Roman" w:eastAsia="宋体" w:cs="Times New Roman"/>
                      <w:color w:val="auto"/>
                      <w:sz w:val="21"/>
                      <w:szCs w:val="21"/>
                      <w:highlight w:val="none"/>
                      <w:lang w:val="en-US" w:eastAsia="zh-CN"/>
                    </w:rPr>
                    <w:t>工业污染源的污染防治，应参照燃煤二氧化硫、火电厂氮氧化物和冶金、建材、化工等污染防治技术政策的具体内容，开展相关工作。</w:t>
                  </w:r>
                </w:p>
              </w:tc>
              <w:tc>
                <w:tcPr>
                  <w:tcW w:w="1344" w:type="pct"/>
                  <w:noWrap w:val="0"/>
                  <w:vAlign w:val="center"/>
                </w:tcPr>
                <w:p w14:paraId="750B4CC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default"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本项目不使用燃煤锅炉。</w:t>
                  </w:r>
                </w:p>
              </w:tc>
              <w:tc>
                <w:tcPr>
                  <w:tcW w:w="361" w:type="pct"/>
                  <w:vMerge w:val="restart"/>
                  <w:noWrap w:val="0"/>
                  <w:vAlign w:val="center"/>
                </w:tcPr>
                <w:p w14:paraId="1069FDB4">
                  <w:pPr>
                    <w:pStyle w:val="9"/>
                    <w:keepNext/>
                    <w:keepLines/>
                    <w:pageBreakBefore w:val="0"/>
                    <w:widowControl w:val="0"/>
                    <w:suppressLineNumbers w:val="0"/>
                    <w:kinsoku/>
                    <w:wordWrap w:val="0"/>
                    <w:overflowPunct/>
                    <w:topLinePunct w:val="0"/>
                    <w:autoSpaceDE w:val="0"/>
                    <w:autoSpaceDN w:val="0"/>
                    <w:bidi w:val="0"/>
                    <w:adjustRightInd/>
                    <w:snapToGrid/>
                    <w:spacing w:before="0" w:beforeAutospacing="0" w:after="0" w:afterAutospacing="0"/>
                    <w:ind w:left="0" w:right="0"/>
                    <w:jc w:val="center"/>
                    <w:textAlignment w:val="auto"/>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符合</w:t>
                  </w:r>
                </w:p>
              </w:tc>
            </w:tr>
            <w:tr w14:paraId="35BCC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trPr>
              <w:tc>
                <w:tcPr>
                  <w:tcW w:w="1087" w:type="pct"/>
                  <w:vMerge w:val="continue"/>
                  <w:noWrap w:val="0"/>
                  <w:vAlign w:val="center"/>
                </w:tcPr>
                <w:p w14:paraId="4584509D"/>
              </w:tc>
              <w:tc>
                <w:tcPr>
                  <w:tcW w:w="2206" w:type="pct"/>
                  <w:noWrap w:val="0"/>
                  <w:vAlign w:val="center"/>
                </w:tcPr>
                <w:p w14:paraId="648E22D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lang w:val="en-US" w:eastAsia="zh-CN"/>
                    </w:rPr>
                  </w:pPr>
                  <w:r>
                    <w:rPr>
                      <w:rFonts w:hint="eastAsia" w:ascii="Times New Roman" w:hAnsi="Times New Roman" w:eastAsia="宋体" w:cs="Times New Roman"/>
                      <w:color w:val="auto"/>
                      <w:sz w:val="21"/>
                      <w:szCs w:val="21"/>
                      <w:highlight w:val="none"/>
                      <w:lang w:val="en-US" w:eastAsia="zh-CN"/>
                    </w:rPr>
                    <w:t>扬尘污染源应以道路扬尘、施工扬尘、粉状物料贮存场扬尘、城市裸土起尘等为防治重点。应参照《防治城市扬尘污染技术规范》，开展城市扬尘综合整治，减少城市裸地面积，采取植树种草等措施提高绿化率，或适当采用地面硬化措施，遏止扬尘污染。</w:t>
                  </w:r>
                </w:p>
              </w:tc>
              <w:tc>
                <w:tcPr>
                  <w:tcW w:w="1344" w:type="pct"/>
                  <w:noWrap w:val="0"/>
                  <w:vAlign w:val="center"/>
                </w:tcPr>
                <w:p w14:paraId="598E25E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lang w:val="en-US" w:eastAsia="zh-CN"/>
                    </w:rPr>
                  </w:pPr>
                  <w:r>
                    <w:rPr>
                      <w:rFonts w:hint="eastAsia" w:ascii="Times New Roman" w:hAnsi="Times New Roman" w:eastAsia="宋体" w:cs="Times New Roman"/>
                      <w:color w:val="auto"/>
                      <w:sz w:val="21"/>
                      <w:szCs w:val="21"/>
                      <w:highlight w:val="none"/>
                      <w:lang w:val="en-US" w:eastAsia="zh-CN"/>
                    </w:rPr>
                    <w:t>本项目运输路面做好硬化，积极清扫地面粉尘，植树种草；粉料输送进行密封处理，通过以上措施减少扬尘污染。</w:t>
                  </w:r>
                </w:p>
              </w:tc>
              <w:tc>
                <w:tcPr>
                  <w:tcW w:w="361" w:type="pct"/>
                  <w:vMerge w:val="continue"/>
                  <w:noWrap w:val="0"/>
                  <w:vAlign w:val="center"/>
                </w:tcPr>
                <w:p w14:paraId="42DFA3BC">
                  <w:pPr>
                    <w:rPr>
                      <w:rFonts w:hint="default"/>
                      <w:lang w:val="en-US" w:eastAsia="zh-CN"/>
                    </w:rPr>
                  </w:pPr>
                </w:p>
              </w:tc>
            </w:tr>
            <w:tr w14:paraId="6F89F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trPr>
              <w:tc>
                <w:tcPr>
                  <w:tcW w:w="1087" w:type="pct"/>
                  <w:noWrap w:val="0"/>
                  <w:vAlign w:val="center"/>
                </w:tcPr>
                <w:p w14:paraId="6C857414">
                  <w:pPr>
                    <w:jc w:val="center"/>
                    <w:rPr>
                      <w:color w:val="auto"/>
                    </w:rPr>
                  </w:pPr>
                  <w:r>
                    <w:rPr>
                      <w:rFonts w:hint="eastAsia"/>
                      <w:color w:val="auto"/>
                    </w:rPr>
                    <w:t>《国家能源局关于加快推进煤炭洗选高质量发展的意见》国能发煤炭〔2025〕86号</w:t>
                  </w:r>
                </w:p>
              </w:tc>
              <w:tc>
                <w:tcPr>
                  <w:tcW w:w="2206" w:type="pct"/>
                  <w:noWrap w:val="0"/>
                  <w:vAlign w:val="center"/>
                </w:tcPr>
                <w:p w14:paraId="1B9278EE">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firstLine="0" w:firstLineChars="0"/>
                    <w:jc w:val="both"/>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kern w:val="2"/>
                      <w:sz w:val="21"/>
                      <w:szCs w:val="21"/>
                      <w:lang w:val="en-US" w:eastAsia="zh-CN" w:bidi="ar-SA"/>
                    </w:rPr>
                    <w:t>二、</w:t>
                  </w:r>
                  <w:r>
                    <w:rPr>
                      <w:rFonts w:hint="eastAsia" w:ascii="Times New Roman" w:hAnsi="Times New Roman" w:eastAsia="宋体" w:cs="Times New Roman"/>
                      <w:color w:val="auto"/>
                      <w:sz w:val="21"/>
                      <w:szCs w:val="21"/>
                      <w:highlight w:val="none"/>
                      <w:lang w:val="en-US" w:eastAsia="zh-CN"/>
                    </w:rPr>
                    <w:t>主要任务</w:t>
                  </w:r>
                </w:p>
                <w:p w14:paraId="516EE210">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firstLine="0" w:firstLineChars="0"/>
                    <w:jc w:val="both"/>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五）推动洗选废弃物减排增用。新建、改扩建煤矿（含配套选煤厂）项目申请报告应包括煤矸石治理方案，明确煤矸石处置方式和综合利用途径，新建独立选煤厂项目需明确煤矸石治理方案。积极实施井（坑）下分选，减少煤矸石升井（出坑）量，推广充填开采、覆岩离层注浆等技术处置煤矸石，减少地面煤矸石产量。鼓励根据热值和含碳量对煤矸石、煤泥等分类进行资源化综合利用，优先用于发电、建材、筑路、回收矿产品、制取化工品等领域，支持煤矸石回填、土地复垦等规模化利用。发挥大宗固废（煤矸石）综合利用示范基地和企业的引领带动作用，利用中央预算内投资现有渠道对符合条件的煤矸石综合利用项目予以支持，促进洗选废弃物处置利用。</w:t>
                  </w:r>
                </w:p>
              </w:tc>
              <w:tc>
                <w:tcPr>
                  <w:tcW w:w="1344" w:type="pct"/>
                  <w:noWrap w:val="0"/>
                  <w:vAlign w:val="center"/>
                </w:tcPr>
                <w:p w14:paraId="4542FB7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本项目核心功能为消纳周边煤矿堆存的煤泥固废，将废弃煤泥分选加工为合格商品煤，实现煤泥资源化利用，减少区域煤泥固废堆存量，降低煤泥长期堆存的环境隐患。</w:t>
                  </w:r>
                </w:p>
              </w:tc>
              <w:tc>
                <w:tcPr>
                  <w:tcW w:w="361" w:type="pct"/>
                  <w:noWrap w:val="0"/>
                  <w:vAlign w:val="center"/>
                </w:tcPr>
                <w:p w14:paraId="59170F26">
                  <w:pPr>
                    <w:rPr>
                      <w:rFonts w:hint="default"/>
                      <w:color w:val="auto"/>
                      <w:lang w:val="en-US" w:eastAsia="zh-CN"/>
                    </w:rPr>
                  </w:pPr>
                  <w:r>
                    <w:rPr>
                      <w:rFonts w:hint="eastAsia"/>
                      <w:color w:val="auto"/>
                      <w:lang w:val="en-US" w:eastAsia="zh-CN"/>
                    </w:rPr>
                    <w:t>符合</w:t>
                  </w:r>
                </w:p>
              </w:tc>
            </w:tr>
            <w:tr w14:paraId="5B5E4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trPr>
              <w:tc>
                <w:tcPr>
                  <w:tcW w:w="1087" w:type="pct"/>
                  <w:noWrap w:val="0"/>
                  <w:vAlign w:val="center"/>
                </w:tcPr>
                <w:p w14:paraId="6E8DA6F6">
                  <w:pPr>
                    <w:pStyle w:val="1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《国家发展改革委等部门关于加强煤炭清洁高效利用的意见》发改运行〔2024〕1345号</w:t>
                  </w:r>
                </w:p>
                <w:p w14:paraId="6F1FF460">
                  <w:pPr>
                    <w:rPr>
                      <w:rFonts w:hint="eastAsia"/>
                      <w:color w:val="auto"/>
                    </w:rPr>
                  </w:pPr>
                </w:p>
              </w:tc>
              <w:tc>
                <w:tcPr>
                  <w:tcW w:w="2206" w:type="pct"/>
                  <w:noWrap w:val="0"/>
                  <w:vAlign w:val="center"/>
                </w:tcPr>
                <w:p w14:paraId="7857837C">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firstLine="0" w:firstLineChars="0"/>
                    <w:jc w:val="both"/>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kern w:val="2"/>
                      <w:sz w:val="21"/>
                      <w:szCs w:val="21"/>
                      <w:lang w:val="en-US" w:eastAsia="zh-CN" w:bidi="ar-SA"/>
                    </w:rPr>
                    <w:t>四、</w:t>
                  </w:r>
                  <w:r>
                    <w:rPr>
                      <w:rFonts w:hint="eastAsia" w:ascii="Times New Roman" w:hAnsi="Times New Roman" w:eastAsia="宋体" w:cs="Times New Roman"/>
                      <w:color w:val="auto"/>
                      <w:sz w:val="21"/>
                      <w:szCs w:val="21"/>
                      <w:highlight w:val="none"/>
                      <w:lang w:val="en-US" w:eastAsia="zh-CN"/>
                    </w:rPr>
                    <w:t>构建清洁完善的储运体系</w:t>
                  </w:r>
                </w:p>
                <w:p w14:paraId="71947500">
                  <w:pPr>
                    <w:pStyle w:val="2"/>
                    <w:numPr>
                      <w:ilvl w:val="0"/>
                      <w:numId w:val="0"/>
                    </w:numPr>
                    <w:rPr>
                      <w:rFonts w:hint="eastAsia"/>
                      <w:color w:val="auto"/>
                      <w:lang w:val="en-US" w:eastAsia="zh-CN"/>
                    </w:rPr>
                  </w:pPr>
                  <w:r>
                    <w:rPr>
                      <w:rFonts w:hint="eastAsia"/>
                      <w:color w:val="auto"/>
                      <w:lang w:val="en-US" w:eastAsia="zh-CN"/>
                    </w:rPr>
                    <w:t>（九）提升煤炭流通效率。推动煤炭运输、仓储、加工配送一体化融合发展，支持建设大型煤炭储配中心，鼓励精细化加工配送，促进储运规模化、集约化发展。加快物联网、移动互联等先进技术在煤炭物流领域的应用，推动煤炭物流标准化建设。发挥煤炭交易中心作用，鼓励产品创新和线上交易，持续深化煤炭市场体系建设，推动完善全国统一的煤炭交易市场。</w:t>
                  </w:r>
                </w:p>
              </w:tc>
              <w:tc>
                <w:tcPr>
                  <w:tcW w:w="1344" w:type="pct"/>
                  <w:noWrap w:val="0"/>
                  <w:vAlign w:val="center"/>
                </w:tcPr>
                <w:p w14:paraId="588353F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本项目选址库尔勒市塔什店镇，临近周边原煤洗选厂，就近消纳区域产生的煤泥，缩短煤泥原料转运距离，降低运输过程污染物排放。项目集煤泥精细化分选加工、煤炭仓储储存、成品煤外运配送于一体，实现煤炭加工、仓储、配送一体化融合发展，项目定位为煤炭储存运营示范基地，有利于促进区域煤炭储运朝着规模化、集约化方向发展。</w:t>
                  </w:r>
                </w:p>
              </w:tc>
              <w:tc>
                <w:tcPr>
                  <w:tcW w:w="361" w:type="pct"/>
                  <w:noWrap w:val="0"/>
                  <w:vAlign w:val="center"/>
                </w:tcPr>
                <w:p w14:paraId="338813E6">
                  <w:pPr>
                    <w:rPr>
                      <w:rFonts w:hint="default"/>
                      <w:color w:val="auto"/>
                      <w:lang w:val="en-US" w:eastAsia="zh-CN"/>
                    </w:rPr>
                  </w:pPr>
                  <w:r>
                    <w:rPr>
                      <w:rFonts w:hint="eastAsia"/>
                      <w:color w:val="auto"/>
                      <w:lang w:val="en-US" w:eastAsia="zh-CN"/>
                    </w:rPr>
                    <w:t>符合</w:t>
                  </w:r>
                </w:p>
              </w:tc>
            </w:tr>
            <w:tr w14:paraId="6D272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trPr>
              <w:tc>
                <w:tcPr>
                  <w:tcW w:w="1087" w:type="pct"/>
                  <w:noWrap w:val="0"/>
                  <w:vAlign w:val="center"/>
                </w:tcPr>
                <w:p w14:paraId="2FB69BB9">
                  <w:pPr>
                    <w:jc w:val="center"/>
                    <w:rPr>
                      <w:rFonts w:hint="eastAsia"/>
                      <w:color w:val="auto"/>
                    </w:rPr>
                  </w:pPr>
                  <w:r>
                    <w:rPr>
                      <w:rFonts w:hint="eastAsia"/>
                      <w:color w:val="auto"/>
                    </w:rPr>
                    <w:t>国家能源局关于印发《能源领域节能降碳行动计划（2026—2028年）》的通知</w:t>
                  </w:r>
                </w:p>
                <w:p w14:paraId="2E97E9E6">
                  <w:pPr>
                    <w:jc w:val="center"/>
                    <w:rPr>
                      <w:rFonts w:hint="eastAsia"/>
                      <w:color w:val="auto"/>
                    </w:rPr>
                  </w:pPr>
                  <w:r>
                    <w:rPr>
                      <w:rFonts w:hint="eastAsia"/>
                      <w:color w:val="auto"/>
                    </w:rPr>
                    <w:t>国能发规划〔2026〕45号</w:t>
                  </w:r>
                </w:p>
              </w:tc>
              <w:tc>
                <w:tcPr>
                  <w:tcW w:w="2206" w:type="pct"/>
                  <w:noWrap w:val="0"/>
                  <w:vAlign w:val="center"/>
                </w:tcPr>
                <w:p w14:paraId="3159B9C5">
                  <w:pPr>
                    <w:pStyle w:val="2"/>
                    <w:keepNext w:val="0"/>
                    <w:keepLines w:val="0"/>
                    <w:pageBreakBefore w:val="0"/>
                    <w:widowControl w:val="0"/>
                    <w:numPr>
                      <w:ilvl w:val="0"/>
                      <w:numId w:val="1"/>
                    </w:numPr>
                    <w:kinsoku/>
                    <w:wordWrap/>
                    <w:overflowPunct/>
                    <w:topLinePunct w:val="0"/>
                    <w:autoSpaceDE/>
                    <w:autoSpaceDN/>
                    <w:bidi w:val="0"/>
                    <w:adjustRightInd/>
                    <w:snapToGrid/>
                    <w:ind w:firstLine="0" w:firstLineChars="0"/>
                    <w:textAlignment w:val="auto"/>
                    <w:rPr>
                      <w:rFonts w:hint="eastAsia"/>
                      <w:color w:val="auto"/>
                      <w:lang w:val="en-US" w:eastAsia="zh-CN"/>
                    </w:rPr>
                  </w:pPr>
                  <w:r>
                    <w:rPr>
                      <w:rFonts w:hint="eastAsia"/>
                      <w:color w:val="auto"/>
                      <w:lang w:val="en-US" w:eastAsia="zh-CN"/>
                    </w:rPr>
                    <w:t>加强煤炭生产供应环节的节能降碳</w:t>
                  </w:r>
                </w:p>
                <w:p w14:paraId="767399A9">
                  <w:pPr>
                    <w:pStyle w:val="2"/>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color w:val="auto"/>
                      <w:lang w:val="en-US" w:eastAsia="zh-CN"/>
                    </w:rPr>
                  </w:pPr>
                  <w:r>
                    <w:rPr>
                      <w:rFonts w:hint="eastAsia"/>
                      <w:color w:val="auto"/>
                      <w:lang w:val="en-US" w:eastAsia="zh-CN"/>
                    </w:rPr>
                    <w:t>（六）提升煤炭资源综合循环利用水平。积极推进煤矸石、煤泥等资源化生态化利用，优先用于发电、制取化工品等领域。深化瓦斯利用技术创新，加强煤矿瓦斯全浓度利用，推动瓦斯发电、蓄热氧化等资源化利用项目建设。因地制宜推进富油煤等分质分级利用。鼓励矿区实施瓦斯就地利用、低位热能利用、余热利用、节水节材等节能降碳措施。</w:t>
                  </w:r>
                </w:p>
              </w:tc>
              <w:tc>
                <w:tcPr>
                  <w:tcW w:w="1344" w:type="pct"/>
                  <w:noWrap w:val="0"/>
                  <w:vAlign w:val="center"/>
                </w:tcPr>
                <w:p w14:paraId="568F198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本项目以周边煤矿产生的煤泥为原料开展分选提质加工，将堆存闲置的煤泥资源化加工成为合格商品煤产品对外销售，属于煤泥资源化生态化利用途径；项目采用湿法分选工艺，产生较少的粉尘，生产过程用水循环使用，落实节水节能降碳要求。项目不属于煤矿井下开采项目，不涉及煤矿瓦斯、富油煤开发利用相关建设内容。</w:t>
                  </w:r>
                </w:p>
              </w:tc>
              <w:tc>
                <w:tcPr>
                  <w:tcW w:w="361" w:type="pct"/>
                  <w:noWrap w:val="0"/>
                  <w:vAlign w:val="center"/>
                </w:tcPr>
                <w:p w14:paraId="48DC18FF">
                  <w:pPr>
                    <w:rPr>
                      <w:rFonts w:hint="default"/>
                      <w:color w:val="auto"/>
                      <w:lang w:val="en-US" w:eastAsia="zh-CN"/>
                    </w:rPr>
                  </w:pPr>
                  <w:r>
                    <w:rPr>
                      <w:rFonts w:hint="eastAsia"/>
                      <w:color w:val="auto"/>
                      <w:lang w:val="en-US" w:eastAsia="zh-CN"/>
                    </w:rPr>
                    <w:t>符合</w:t>
                  </w:r>
                </w:p>
              </w:tc>
            </w:tr>
            <w:tr w14:paraId="51345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1087" w:type="pct"/>
                  <w:vMerge w:val="restart"/>
                  <w:noWrap w:val="0"/>
                  <w:vAlign w:val="center"/>
                </w:tcPr>
                <w:p w14:paraId="516FF6CA">
                  <w:pPr>
                    <w:jc w:val="center"/>
                    <w:rPr>
                      <w:rFonts w:hint="eastAsia"/>
                    </w:rPr>
                  </w:pPr>
                  <w:r>
                    <w:rPr>
                      <w:rFonts w:hint="eastAsia"/>
                      <w:lang w:val="en-US" w:eastAsia="zh-CN"/>
                    </w:rPr>
                    <w:t>《</w:t>
                  </w:r>
                  <w:r>
                    <w:rPr>
                      <w:rFonts w:hint="default"/>
                      <w:lang w:val="en-US" w:eastAsia="zh-CN"/>
                    </w:rPr>
                    <w:t>中华人民共和国生态环境法典</w:t>
                  </w:r>
                  <w:r>
                    <w:rPr>
                      <w:rFonts w:hint="eastAsia"/>
                      <w:lang w:val="en-US" w:eastAsia="zh-CN"/>
                    </w:rPr>
                    <w:t>》</w:t>
                  </w:r>
                </w:p>
              </w:tc>
              <w:tc>
                <w:tcPr>
                  <w:tcW w:w="2206" w:type="pct"/>
                  <w:noWrap w:val="0"/>
                  <w:vAlign w:val="center"/>
                </w:tcPr>
                <w:p w14:paraId="36345F11">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第二篇第二章排污许可管理第一百八十二条排污许可证有效期为五年。在排污许可证有效期内，实行排污许可管理的企业事业单位和其他生产经营者有下列情形之一的，应当重新取得排污许可证：（一）新建、改建、扩建排放污染物的项目；</w:t>
                  </w:r>
                  <w:r>
                    <w:rPr>
                      <w:rFonts w:hint="eastAsia" w:ascii="Times New Roman" w:hAnsi="Times New Roman" w:eastAsia="宋体" w:cs="Times New Roman"/>
                      <w:color w:val="auto"/>
                      <w:kern w:val="2"/>
                      <w:sz w:val="21"/>
                      <w:szCs w:val="21"/>
                      <w:lang w:val="en-US" w:eastAsia="zh-CN" w:bidi="ar-SA"/>
                    </w:rPr>
                    <w:t>（二）</w:t>
                  </w:r>
                  <w:r>
                    <w:rPr>
                      <w:rFonts w:hint="eastAsia" w:ascii="Times New Roman" w:hAnsi="Times New Roman" w:eastAsia="宋体" w:cs="Times New Roman"/>
                      <w:color w:val="auto"/>
                      <w:sz w:val="21"/>
                      <w:szCs w:val="21"/>
                      <w:highlight w:val="none"/>
                      <w:lang w:val="en-US" w:eastAsia="zh-CN"/>
                    </w:rPr>
                    <w:t>生产经营场所、排污口位置或者污染物排放方式、排放去向发生变化；（三）排污口数量或者污染物排放种类、排放浓度、排放量增加；（四）法律、行政法规规定的其他情形。</w:t>
                  </w:r>
                </w:p>
              </w:tc>
              <w:tc>
                <w:tcPr>
                  <w:tcW w:w="1344" w:type="pct"/>
                  <w:noWrap w:val="0"/>
                  <w:vAlign w:val="center"/>
                </w:tcPr>
                <w:p w14:paraId="06186D4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本项目</w:t>
                  </w:r>
                  <w:r>
                    <w:rPr>
                      <w:rFonts w:hint="eastAsia" w:ascii="Times New Roman" w:hAnsi="Times New Roman" w:eastAsia="宋体" w:cs="Times New Roman"/>
                      <w:color w:val="auto"/>
                      <w:sz w:val="21"/>
                      <w:szCs w:val="21"/>
                      <w:highlight w:val="none"/>
                      <w:lang w:val="en-US" w:eastAsia="zh-CN"/>
                    </w:rPr>
                    <w:t>属于重点管理，应在项目投产、实际排污前，在全国排污许可证管理信息平台提交申请，依法取得排污许可证后方可排污。</w:t>
                  </w:r>
                </w:p>
              </w:tc>
              <w:tc>
                <w:tcPr>
                  <w:tcW w:w="361" w:type="pct"/>
                  <w:noWrap w:val="0"/>
                  <w:vAlign w:val="center"/>
                </w:tcPr>
                <w:p w14:paraId="75C2F122">
                  <w:pPr>
                    <w:rPr>
                      <w:rFonts w:hint="eastAsia"/>
                      <w:lang w:val="en-US" w:eastAsia="zh-CN"/>
                    </w:rPr>
                  </w:pPr>
                  <w:r>
                    <w:rPr>
                      <w:rFonts w:hint="eastAsia"/>
                      <w:lang w:val="en-US" w:eastAsia="zh-CN"/>
                    </w:rPr>
                    <w:t>符合</w:t>
                  </w:r>
                </w:p>
              </w:tc>
            </w:tr>
            <w:tr w14:paraId="6E577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6" w:hRule="atLeast"/>
              </w:trPr>
              <w:tc>
                <w:tcPr>
                  <w:tcW w:w="1087" w:type="pct"/>
                  <w:vMerge w:val="continue"/>
                  <w:noWrap w:val="0"/>
                  <w:vAlign w:val="center"/>
                </w:tcPr>
                <w:p w14:paraId="3D2A7805">
                  <w:pPr>
                    <w:rPr>
                      <w:rFonts w:hint="eastAsia"/>
                    </w:rPr>
                  </w:pPr>
                </w:p>
              </w:tc>
              <w:tc>
                <w:tcPr>
                  <w:tcW w:w="2206" w:type="pct"/>
                  <w:noWrap w:val="0"/>
                  <w:vAlign w:val="center"/>
                </w:tcPr>
                <w:p w14:paraId="77ED88F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第二分篇第四章大气污染防治措施第二百一十七条钢铁、建材、有色金属、石油、化工、制药、矿产开采企业和其他工业生产企业，应当加强精细化管理，采取集中收集处理等措施，严格控制粉尘和气态污染物的排放。工业生产企业应当采取密闭、围挡、遮盖、清扫、洒水等措施，减少内部物料的堆存、传输、装卸等环节产生的粉尘和气态污染物的排放。</w:t>
                  </w:r>
                </w:p>
              </w:tc>
              <w:tc>
                <w:tcPr>
                  <w:tcW w:w="1344" w:type="pct"/>
                  <w:noWrap w:val="0"/>
                  <w:vAlign w:val="center"/>
                </w:tcPr>
                <w:p w14:paraId="5F14E0B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本项目为煤泥洗选工业项目，生产粉尘主要产生于原料卸料、输送等工序。项目设计中原料、产品输送皮带设置密闭廊道；物料堆场采取围挡、遮盖、洒水抑尘措施；从堆存、传输、装卸全流程控制粉尘排放。</w:t>
                  </w:r>
                </w:p>
              </w:tc>
              <w:tc>
                <w:tcPr>
                  <w:tcW w:w="361" w:type="pct"/>
                  <w:noWrap w:val="0"/>
                  <w:vAlign w:val="center"/>
                </w:tcPr>
                <w:p w14:paraId="77939713">
                  <w:pPr>
                    <w:rPr>
                      <w:rFonts w:hint="eastAsia"/>
                      <w:lang w:val="en-US" w:eastAsia="zh-CN"/>
                    </w:rPr>
                  </w:pPr>
                  <w:r>
                    <w:rPr>
                      <w:rFonts w:hint="eastAsia"/>
                      <w:lang w:val="en-US" w:eastAsia="zh-CN"/>
                    </w:rPr>
                    <w:t>符合</w:t>
                  </w:r>
                </w:p>
              </w:tc>
            </w:tr>
            <w:tr w14:paraId="2D936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1087" w:type="pct"/>
                  <w:vMerge w:val="continue"/>
                  <w:noWrap w:val="0"/>
                  <w:vAlign w:val="center"/>
                </w:tcPr>
                <w:p w14:paraId="56B99CD7">
                  <w:pPr>
                    <w:rPr>
                      <w:rFonts w:hint="eastAsia"/>
                    </w:rPr>
                  </w:pPr>
                </w:p>
              </w:tc>
              <w:tc>
                <w:tcPr>
                  <w:tcW w:w="2206" w:type="pct"/>
                  <w:noWrap w:val="0"/>
                  <w:vAlign w:val="center"/>
                </w:tcPr>
                <w:p w14:paraId="2E2F431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第三分篇水污染防治措施第二百九十八条排放工业废水的企业应当采取有效措施，收集和处理产生的全部废水，防止污染环境。含有毒有害水污染物的工业废水应当分类收集和处理，防止渗漏、流失，不得稀释排放。工业园区等区域应当配套建设相应的污水集中处理设施，按照规定安装自动监测设备，与生态环境主管部门的监控设备联网，并保证监测设备正常运行。向污水集中处理设施排放工业废水的，应当按照国家规定进行预处理，达到集中处理设施处理工艺要求后，方可排放。</w:t>
                  </w:r>
                </w:p>
              </w:tc>
              <w:tc>
                <w:tcPr>
                  <w:tcW w:w="1344" w:type="pct"/>
                  <w:noWrap w:val="0"/>
                  <w:vAlign w:val="center"/>
                </w:tcPr>
                <w:p w14:paraId="7E2E43A1">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本项目</w:t>
                  </w:r>
                  <w:r>
                    <w:rPr>
                      <w:rFonts w:hint="default" w:ascii="Times New Roman" w:hAnsi="Times New Roman" w:eastAsia="宋体" w:cs="Times New Roman"/>
                      <w:color w:val="000000"/>
                      <w:sz w:val="21"/>
                      <w:szCs w:val="21"/>
                      <w:lang w:val="en-US" w:eastAsia="zh-CN"/>
                    </w:rPr>
                    <w:t>生活污水经一体化污水处理设施处理后，达到《农村生活污水处理排放标准》（DB654275-2019）表2的B级标准，</w:t>
                  </w:r>
                  <w:r>
                    <w:rPr>
                      <w:rFonts w:hint="eastAsia" w:ascii="Times New Roman" w:hAnsi="Times New Roman" w:eastAsia="宋体" w:cs="Times New Roman"/>
                      <w:color w:val="auto"/>
                      <w:sz w:val="21"/>
                      <w:szCs w:val="21"/>
                      <w:vertAlign w:val="baseline"/>
                      <w:lang w:val="en-US" w:eastAsia="zh-CN"/>
                    </w:rPr>
                    <w:t>冬储夏灌</w:t>
                  </w:r>
                  <w:r>
                    <w:rPr>
                      <w:rFonts w:hint="eastAsia" w:cs="Times New Roman"/>
                      <w:color w:val="auto"/>
                      <w:sz w:val="21"/>
                      <w:szCs w:val="21"/>
                      <w:vertAlign w:val="baseline"/>
                      <w:lang w:val="en-US" w:eastAsia="zh-CN"/>
                    </w:rPr>
                    <w:t>，</w:t>
                  </w:r>
                  <w:r>
                    <w:rPr>
                      <w:rFonts w:hint="default" w:ascii="Times New Roman" w:hAnsi="Times New Roman" w:eastAsia="宋体" w:cs="Times New Roman"/>
                      <w:color w:val="000000"/>
                      <w:sz w:val="21"/>
                      <w:szCs w:val="21"/>
                      <w:lang w:val="en-US" w:eastAsia="zh-CN"/>
                    </w:rPr>
                    <w:t>用于荒漠灌溉</w:t>
                  </w:r>
                  <w:r>
                    <w:rPr>
                      <w:rFonts w:hint="default" w:ascii="Times New Roman" w:hAnsi="Times New Roman" w:eastAsia="宋体" w:cs="Times New Roman"/>
                      <w:color w:val="auto"/>
                      <w:sz w:val="21"/>
                      <w:szCs w:val="21"/>
                      <w:highlight w:val="none"/>
                      <w:lang w:val="en-US" w:eastAsia="zh-CN"/>
                    </w:rPr>
                    <w:t>，生产用水循环使用，不外排。</w:t>
                  </w:r>
                </w:p>
              </w:tc>
              <w:tc>
                <w:tcPr>
                  <w:tcW w:w="361" w:type="pct"/>
                  <w:noWrap w:val="0"/>
                  <w:vAlign w:val="center"/>
                </w:tcPr>
                <w:p w14:paraId="6E7A670B">
                  <w:pPr>
                    <w:rPr>
                      <w:rFonts w:hint="eastAsia"/>
                      <w:lang w:val="en-US" w:eastAsia="zh-CN"/>
                    </w:rPr>
                  </w:pPr>
                  <w:r>
                    <w:rPr>
                      <w:rFonts w:hint="eastAsia"/>
                      <w:lang w:val="en-US" w:eastAsia="zh-CN"/>
                    </w:rPr>
                    <w:t>符合</w:t>
                  </w:r>
                </w:p>
              </w:tc>
            </w:tr>
            <w:tr w14:paraId="248AB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6" w:hRule="atLeast"/>
              </w:trPr>
              <w:tc>
                <w:tcPr>
                  <w:tcW w:w="1087" w:type="pct"/>
                  <w:vMerge w:val="continue"/>
                  <w:noWrap w:val="0"/>
                  <w:vAlign w:val="center"/>
                </w:tcPr>
                <w:p w14:paraId="2C52190F">
                  <w:pPr>
                    <w:rPr>
                      <w:rFonts w:hint="eastAsia"/>
                    </w:rPr>
                  </w:pPr>
                </w:p>
              </w:tc>
              <w:tc>
                <w:tcPr>
                  <w:tcW w:w="2206" w:type="pct"/>
                  <w:noWrap w:val="0"/>
                  <w:vAlign w:val="center"/>
                </w:tcPr>
                <w:p w14:paraId="3506460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第五分篇土壤污染防治第四百一十二条生产、贮存、运输、使用、回收、处置、排放有毒有害物质的单位和个人，应当采取有效措施，防止有毒有害物质渗漏、流失、扬散，避免土壤受到污染。</w:t>
                  </w:r>
                </w:p>
              </w:tc>
              <w:tc>
                <w:tcPr>
                  <w:tcW w:w="1344" w:type="pct"/>
                  <w:noWrap w:val="0"/>
                  <w:vAlign w:val="center"/>
                </w:tcPr>
                <w:p w14:paraId="66CEFD5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本项目运营期采取分区防渗，不会对土壤造成不良影响。</w:t>
                  </w:r>
                </w:p>
              </w:tc>
              <w:tc>
                <w:tcPr>
                  <w:tcW w:w="361" w:type="pct"/>
                  <w:noWrap w:val="0"/>
                  <w:vAlign w:val="center"/>
                </w:tcPr>
                <w:p w14:paraId="42F636C2">
                  <w:pPr>
                    <w:rPr>
                      <w:rFonts w:hint="eastAsia"/>
                      <w:lang w:val="en-US" w:eastAsia="zh-CN"/>
                    </w:rPr>
                  </w:pPr>
                  <w:r>
                    <w:rPr>
                      <w:rFonts w:hint="eastAsia"/>
                      <w:lang w:val="en-US" w:eastAsia="zh-CN"/>
                    </w:rPr>
                    <w:t>符合</w:t>
                  </w:r>
                </w:p>
              </w:tc>
            </w:tr>
            <w:tr w14:paraId="0416E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6" w:hRule="atLeast"/>
              </w:trPr>
              <w:tc>
                <w:tcPr>
                  <w:tcW w:w="1087" w:type="pct"/>
                  <w:vMerge w:val="continue"/>
                  <w:noWrap w:val="0"/>
                  <w:vAlign w:val="center"/>
                </w:tcPr>
                <w:p w14:paraId="2A473917">
                  <w:pPr>
                    <w:rPr>
                      <w:rFonts w:hint="eastAsia"/>
                    </w:rPr>
                  </w:pPr>
                </w:p>
              </w:tc>
              <w:tc>
                <w:tcPr>
                  <w:tcW w:w="2206" w:type="pct"/>
                  <w:noWrap w:val="0"/>
                  <w:vAlign w:val="center"/>
                </w:tcPr>
                <w:p w14:paraId="3BCF790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第六分篇固体废物污染防治第四百九十四条产生工业固体废物的单位应当根据经济、技术条件对工业固体废物加以利用；对暂时不利用或者不能利用的，应当按照国务院生态环境等有关部门的规定建设贮存设施、场所，安全分类存放，或者采取无害化处置措施。贮存工业固体废物应当采取符合国家生态环境保护标准的防护措施。建设工业固体废物贮存、处置的设施、场所，应当符合国家生态环境保护标准。</w:t>
                  </w:r>
                </w:p>
              </w:tc>
              <w:tc>
                <w:tcPr>
                  <w:tcW w:w="1344" w:type="pct"/>
                  <w:noWrap w:val="0"/>
                  <w:vAlign w:val="center"/>
                </w:tcPr>
                <w:p w14:paraId="291C81B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本项目运营期按照</w:t>
                  </w:r>
                  <w:r>
                    <w:rPr>
                      <w:rFonts w:hint="default" w:ascii="Times New Roman" w:hAnsi="Times New Roman" w:eastAsia="宋体" w:cs="Times New Roman"/>
                      <w:color w:val="auto"/>
                      <w:kern w:val="0"/>
                      <w:sz w:val="21"/>
                      <w:szCs w:val="21"/>
                      <w:lang w:val="en-US" w:eastAsia="zh-CN" w:bidi="ar"/>
                    </w:rPr>
                    <w:t>《一般工业固体废物贮存和填埋污染控制标准》（GB18599-2020）设置</w:t>
                  </w:r>
                  <w:r>
                    <w:rPr>
                      <w:rFonts w:hint="eastAsia" w:ascii="Times New Roman" w:hAnsi="Times New Roman" w:eastAsia="宋体" w:cs="Times New Roman"/>
                      <w:color w:val="auto"/>
                      <w:kern w:val="0"/>
                      <w:sz w:val="21"/>
                      <w:szCs w:val="21"/>
                      <w:lang w:val="en-US" w:eastAsia="zh-CN" w:bidi="ar"/>
                    </w:rPr>
                    <w:t>一般固废暂存区。</w:t>
                  </w:r>
                </w:p>
              </w:tc>
              <w:tc>
                <w:tcPr>
                  <w:tcW w:w="361" w:type="pct"/>
                  <w:noWrap w:val="0"/>
                  <w:vAlign w:val="center"/>
                </w:tcPr>
                <w:p w14:paraId="07B802F4">
                  <w:pPr>
                    <w:rPr>
                      <w:rFonts w:hint="eastAsia"/>
                      <w:lang w:val="en-US" w:eastAsia="zh-CN"/>
                    </w:rPr>
                  </w:pPr>
                  <w:r>
                    <w:rPr>
                      <w:rFonts w:hint="eastAsia"/>
                      <w:lang w:val="en-US" w:eastAsia="zh-CN"/>
                    </w:rPr>
                    <w:t>符合</w:t>
                  </w:r>
                </w:p>
              </w:tc>
            </w:tr>
          </w:tbl>
          <w:p w14:paraId="68819F3C">
            <w:pPr>
              <w:pStyle w:val="10"/>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lang w:val="en-US" w:eastAsia="zh-CN"/>
              </w:rPr>
            </w:pPr>
            <w:r>
              <w:rPr>
                <w:rFonts w:hint="eastAsia" w:ascii="Times New Roman" w:hAnsi="Times New Roman" w:cs="Times New Roman"/>
                <w:lang w:val="en-US" w:eastAsia="zh-CN"/>
              </w:rPr>
              <w:t>10</w:t>
            </w:r>
            <w:r>
              <w:rPr>
                <w:rFonts w:hint="default" w:ascii="Times New Roman" w:hAnsi="Times New Roman" w:cs="Times New Roman"/>
                <w:lang w:val="en-US" w:eastAsia="zh-CN"/>
              </w:rPr>
              <w:t>、选址合理性分析</w:t>
            </w:r>
          </w:p>
          <w:p w14:paraId="202A5D2F">
            <w:pPr>
              <w:pStyle w:val="10"/>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（1）项目用地符合性分析</w:t>
            </w:r>
          </w:p>
          <w:p w14:paraId="13E6F1BC">
            <w:pPr>
              <w:pStyle w:val="10"/>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本项目位于巴音郭楞蒙古自治州库尔勒市塔什店镇，根据</w:t>
            </w:r>
            <w:r>
              <w:rPr>
                <w:rFonts w:hint="eastAsia" w:ascii="Times New Roman" w:hAnsi="Times New Roman" w:cs="Times New Roman"/>
                <w:lang w:val="en-US" w:eastAsia="zh-CN"/>
              </w:rPr>
              <w:t>本项目的不动产权证书</w:t>
            </w:r>
            <w:r>
              <w:rPr>
                <w:rFonts w:hint="eastAsia" w:ascii="Times New Roman" w:hAnsi="Times New Roman" w:cs="Times New Roman"/>
                <w:color w:val="auto"/>
                <w:lang w:val="en-US" w:eastAsia="zh-CN"/>
              </w:rPr>
              <w:t>（</w:t>
            </w:r>
            <w:r>
              <w:rPr>
                <w:rFonts w:hint="default" w:ascii="Times New Roman" w:hAnsi="Times New Roman" w:cs="Times New Roman"/>
                <w:color w:val="auto"/>
                <w:lang w:val="en-US" w:eastAsia="zh-CN"/>
              </w:rPr>
              <w:t>新（2026）库尔勒市不动产权第00023819号</w:t>
            </w:r>
            <w:r>
              <w:rPr>
                <w:rFonts w:hint="eastAsia" w:ascii="Times New Roman" w:hAnsi="Times New Roman" w:cs="Times New Roman"/>
                <w:color w:val="auto"/>
                <w:lang w:val="en-US" w:eastAsia="zh-CN"/>
              </w:rPr>
              <w:t>）、</w:t>
            </w:r>
            <w:r>
              <w:rPr>
                <w:rFonts w:hint="eastAsia" w:ascii="Times New Roman" w:hAnsi="Times New Roman" w:eastAsia="宋体" w:cs="Times New Roman"/>
                <w:color w:val="auto"/>
                <w:sz w:val="24"/>
                <w:szCs w:val="24"/>
                <w:lang w:val="en-US" w:eastAsia="zh-CN"/>
              </w:rPr>
              <w:t>《建设项目用地预审和选址意见书》（用字第6528012026YG0037629号），</w:t>
            </w:r>
            <w:r>
              <w:rPr>
                <w:rFonts w:hint="default" w:ascii="Times New Roman" w:hAnsi="Times New Roman" w:cs="Times New Roman"/>
                <w:lang w:val="en-US" w:eastAsia="zh-CN"/>
              </w:rPr>
              <w:t>用地性质为工业用地，同意项目选址，同时项目符合库尔勒市国土空间总体规划。</w:t>
            </w:r>
          </w:p>
          <w:p w14:paraId="3FD21EFB">
            <w:pPr>
              <w:pStyle w:val="10"/>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（2）周围基础设施依托可行性分析</w:t>
            </w:r>
          </w:p>
          <w:p w14:paraId="0949E82E">
            <w:pPr>
              <w:pStyle w:val="10"/>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本项目供电依托市政供电；</w:t>
            </w:r>
          </w:p>
          <w:p w14:paraId="2FBDDFC2">
            <w:pPr>
              <w:pStyle w:val="10"/>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lang w:val="en-US" w:eastAsia="zh-CN"/>
              </w:rPr>
            </w:pPr>
            <w:r>
              <w:rPr>
                <w:rFonts w:hint="default" w:ascii="Times New Roman" w:hAnsi="Times New Roman" w:cs="Times New Roman"/>
                <w:lang w:val="en-US" w:eastAsia="zh-CN"/>
              </w:rPr>
              <w:t>给水、污水管网条件分析：市政给水管网已铺设，污水管网未铺设，本项目依托市政</w:t>
            </w:r>
            <w:r>
              <w:rPr>
                <w:rFonts w:hint="default" w:ascii="Times New Roman" w:hAnsi="Times New Roman" w:eastAsia="宋体" w:cs="Times New Roman"/>
                <w:lang w:val="en-US" w:eastAsia="zh-CN"/>
              </w:rPr>
              <w:t>供水，生活污水经一体化污水处理设施处理后，达到《农村生活污水处理排放标准》（DB654275-2019）表2的B级标准</w:t>
            </w:r>
            <w:r>
              <w:rPr>
                <w:rFonts w:hint="default" w:ascii="Times New Roman" w:hAnsi="Times New Roman" w:cs="Times New Roman"/>
                <w:lang w:val="en-US" w:eastAsia="zh-CN"/>
              </w:rPr>
              <w:t>，</w:t>
            </w:r>
            <w:r>
              <w:rPr>
                <w:rFonts w:hint="eastAsia" w:ascii="Times New Roman" w:hAnsi="Times New Roman" w:cs="Times New Roman"/>
                <w:lang w:val="en-US" w:eastAsia="zh-CN"/>
              </w:rPr>
              <w:t>冬储夏灌，</w:t>
            </w:r>
            <w:r>
              <w:rPr>
                <w:rFonts w:hint="default" w:ascii="Times New Roman" w:hAnsi="Times New Roman" w:cs="Times New Roman"/>
                <w:lang w:val="en-US" w:eastAsia="zh-CN"/>
              </w:rPr>
              <w:t>用于荒漠灌</w:t>
            </w:r>
            <w:r>
              <w:rPr>
                <w:rFonts w:hint="default" w:ascii="Times New Roman" w:hAnsi="Times New Roman" w:eastAsia="宋体" w:cs="Times New Roman"/>
                <w:lang w:val="en-US" w:eastAsia="zh-CN"/>
              </w:rPr>
              <w:t>溉。</w:t>
            </w:r>
          </w:p>
          <w:p w14:paraId="04ED72D2">
            <w:pPr>
              <w:pStyle w:val="10"/>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lang w:val="en-US" w:eastAsia="zh-CN"/>
              </w:rPr>
            </w:pPr>
            <w:r>
              <w:rPr>
                <w:rFonts w:hint="default" w:ascii="Times New Roman" w:hAnsi="Times New Roman" w:eastAsia="宋体" w:cs="Times New Roman"/>
                <w:lang w:val="en-US" w:eastAsia="zh-CN"/>
              </w:rPr>
              <w:t>交通条件分析：项目</w:t>
            </w:r>
            <w:r>
              <w:rPr>
                <w:rFonts w:hint="eastAsia" w:ascii="Times New Roman" w:hAnsi="Times New Roman" w:eastAsia="宋体" w:cs="Times New Roman"/>
                <w:lang w:val="en-US" w:eastAsia="zh-CN"/>
              </w:rPr>
              <w:t>南</w:t>
            </w:r>
            <w:r>
              <w:rPr>
                <w:rFonts w:hint="default" w:ascii="Times New Roman" w:hAnsi="Times New Roman" w:eastAsia="宋体" w:cs="Times New Roman"/>
                <w:lang w:val="en-US" w:eastAsia="zh-CN"/>
              </w:rPr>
              <w:t>侧</w:t>
            </w:r>
            <w:r>
              <w:rPr>
                <w:rFonts w:hint="eastAsia" w:ascii="Times New Roman" w:hAnsi="Times New Roman" w:eastAsia="宋体" w:cs="Times New Roman"/>
                <w:lang w:val="en-US" w:eastAsia="zh-CN"/>
              </w:rPr>
              <w:t>约1</w:t>
            </w:r>
            <w:r>
              <w:rPr>
                <w:rFonts w:hint="default" w:ascii="Times New Roman" w:hAnsi="Times New Roman" w:eastAsia="宋体" w:cs="Times New Roman"/>
                <w:lang w:val="en-US" w:eastAsia="zh-CN"/>
              </w:rPr>
              <w:t>km为G3012</w:t>
            </w:r>
            <w:r>
              <w:rPr>
                <w:rFonts w:hint="eastAsia" w:ascii="Times New Roman" w:hAnsi="Times New Roman" w:eastAsia="宋体" w:cs="Times New Roman"/>
                <w:lang w:val="en-US" w:eastAsia="zh-CN"/>
              </w:rPr>
              <w:t>吐和</w:t>
            </w:r>
            <w:r>
              <w:rPr>
                <w:rFonts w:hint="default" w:ascii="Times New Roman" w:hAnsi="Times New Roman" w:eastAsia="宋体" w:cs="Times New Roman"/>
                <w:lang w:val="en-US" w:eastAsia="zh-CN"/>
              </w:rPr>
              <w:t>高速，路况条件较好，项目选址交通便利，从交通条件分析，项目选址具有环境合理性。</w:t>
            </w:r>
          </w:p>
          <w:p w14:paraId="79344D62">
            <w:pPr>
              <w:pStyle w:val="10"/>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（3）周边环境关系符合性分析</w:t>
            </w:r>
          </w:p>
          <w:p w14:paraId="7C2AAC84">
            <w:pPr>
              <w:pStyle w:val="10"/>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本项目厂界外500m范围内无</w:t>
            </w:r>
            <w:r>
              <w:rPr>
                <w:rFonts w:hint="eastAsia" w:ascii="Times New Roman" w:hAnsi="Times New Roman" w:cs="Times New Roman"/>
                <w:lang w:val="en-US" w:eastAsia="zh-CN"/>
              </w:rPr>
              <w:t>生态</w:t>
            </w:r>
            <w:r>
              <w:rPr>
                <w:rFonts w:hint="default" w:ascii="Times New Roman" w:hAnsi="Times New Roman" w:cs="Times New Roman"/>
                <w:lang w:val="en-US" w:eastAsia="zh-CN"/>
              </w:rPr>
              <w:t>环境保护目标，对周边影响较小。</w:t>
            </w:r>
          </w:p>
          <w:p w14:paraId="01D62E41">
            <w:pPr>
              <w:pStyle w:val="10"/>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本项目选址不在新疆维吾尔自治区生态保护红线范围内，符合资源利用上线以及环境准入负面清单管理要求。</w:t>
            </w:r>
          </w:p>
          <w:p w14:paraId="68B12539">
            <w:pPr>
              <w:pStyle w:val="10"/>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lang w:val="en-US" w:eastAsia="zh-CN"/>
              </w:rPr>
            </w:pPr>
          </w:p>
        </w:tc>
      </w:tr>
    </w:tbl>
    <w:p w14:paraId="75A20FE7">
      <w:pPr>
        <w:spacing w:line="360" w:lineRule="auto"/>
        <w:outlineLvl w:val="0"/>
        <w:rPr>
          <w:rFonts w:eastAsia="黑体"/>
          <w:sz w:val="30"/>
        </w:rPr>
        <w:sectPr>
          <w:footerReference r:id="rId5" w:type="default"/>
          <w:pgSz w:w="11906" w:h="16838"/>
          <w:pgMar w:top="1701" w:right="1531" w:bottom="1701" w:left="1531" w:header="851" w:footer="1077" w:gutter="0"/>
          <w:pgBorders>
            <w:top w:val="none" w:sz="0" w:space="0"/>
            <w:left w:val="none" w:sz="0" w:space="0"/>
            <w:bottom w:val="none" w:sz="0" w:space="0"/>
            <w:right w:val="none" w:sz="0" w:space="0"/>
          </w:pgBorders>
          <w:pgNumType w:fmt="decimal" w:start="1"/>
          <w:cols w:space="720" w:num="1"/>
          <w:docGrid w:linePitch="312" w:charSpace="0"/>
        </w:sectPr>
      </w:pPr>
    </w:p>
    <w:p w14:paraId="48173C95">
      <w:pPr>
        <w:pStyle w:val="21"/>
        <w:jc w:val="center"/>
        <w:outlineLvl w:val="0"/>
        <w:rPr>
          <w:rFonts w:ascii="黑体" w:hAnsi="黑体" w:eastAsia="黑体"/>
          <w:snapToGrid w:val="0"/>
          <w:sz w:val="30"/>
          <w:szCs w:val="30"/>
        </w:rPr>
      </w:pPr>
      <w:r>
        <w:rPr>
          <w:rFonts w:hint="eastAsia" w:ascii="黑体" w:hAnsi="黑体" w:eastAsia="黑体"/>
          <w:snapToGrid w:val="0"/>
          <w:sz w:val="30"/>
          <w:szCs w:val="30"/>
        </w:rPr>
        <w:t>二、建设项目工程分析</w:t>
      </w:r>
    </w:p>
    <w:tbl>
      <w:tblPr>
        <w:tblStyle w:val="25"/>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23"/>
        <w:gridCol w:w="8161"/>
      </w:tblGrid>
      <w:tr w14:paraId="7450B4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75" w:hRule="atLeast"/>
          <w:jc w:val="center"/>
        </w:trPr>
        <w:tc>
          <w:tcPr>
            <w:tcW w:w="823" w:type="dxa"/>
            <w:noWrap w:val="0"/>
            <w:vAlign w:val="center"/>
          </w:tcPr>
          <w:p w14:paraId="7E5D1E68">
            <w:pPr>
              <w:pStyle w:val="21"/>
              <w:adjustRightInd w:val="0"/>
              <w:snapToGrid w:val="0"/>
              <w:spacing w:before="0" w:beforeAutospacing="0" w:after="0" w:afterAutospacing="0"/>
              <w:jc w:val="center"/>
              <w:rPr>
                <w:rFonts w:cs="宋体"/>
                <w:sz w:val="21"/>
                <w:szCs w:val="21"/>
              </w:rPr>
            </w:pPr>
            <w:r>
              <w:rPr>
                <w:rFonts w:hint="default" w:ascii="Times New Roman" w:hAnsi="Times New Roman" w:cs="Times New Roman"/>
                <w:sz w:val="24"/>
                <w:szCs w:val="24"/>
              </w:rPr>
              <w:t>建设内容</w:t>
            </w:r>
          </w:p>
        </w:tc>
        <w:tc>
          <w:tcPr>
            <w:tcW w:w="8161" w:type="dxa"/>
            <w:noWrap w:val="0"/>
            <w:vAlign w:val="top"/>
          </w:tcPr>
          <w:p w14:paraId="76BBD55C">
            <w:pPr>
              <w:pStyle w:val="50"/>
              <w:keepNext w:val="0"/>
              <w:keepLines w:val="0"/>
              <w:pageBreakBefore w:val="0"/>
              <w:widowControl w:val="0"/>
              <w:kinsoku/>
              <w:wordWrap/>
              <w:overflowPunct/>
              <w:topLinePunct w:val="0"/>
              <w:autoSpaceDE/>
              <w:autoSpaceDN/>
              <w:bidi w:val="0"/>
              <w:adjustRightInd/>
              <w:snapToGrid/>
              <w:spacing w:before="0" w:line="440" w:lineRule="exact"/>
              <w:ind w:firstLine="480"/>
              <w:textAlignment w:val="auto"/>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1、项目概况</w:t>
            </w:r>
          </w:p>
          <w:p w14:paraId="46D06131">
            <w:pPr>
              <w:pStyle w:val="50"/>
              <w:keepNext w:val="0"/>
              <w:keepLines w:val="0"/>
              <w:pageBreakBefore w:val="0"/>
              <w:widowControl w:val="0"/>
              <w:kinsoku/>
              <w:wordWrap/>
              <w:overflowPunct/>
              <w:topLinePunct w:val="0"/>
              <w:autoSpaceDE/>
              <w:autoSpaceDN/>
              <w:bidi w:val="0"/>
              <w:adjustRightInd/>
              <w:snapToGrid/>
              <w:spacing w:before="0" w:line="440" w:lineRule="exact"/>
              <w:ind w:firstLine="480"/>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项目名称：</w:t>
            </w:r>
            <w:r>
              <w:rPr>
                <w:rFonts w:hint="default" w:ascii="Times New Roman" w:hAnsi="Times New Roman" w:eastAsia="宋体" w:cs="Times New Roman"/>
                <w:szCs w:val="21"/>
              </w:rPr>
              <w:t>库尔勒大存立远能源有限公司30万吨煤泥循环利用生产基地和煤炭储存运营示范项</w:t>
            </w:r>
            <w:r>
              <w:rPr>
                <w:rFonts w:hint="default" w:ascii="Times New Roman" w:hAnsi="Times New Roman" w:eastAsia="宋体" w:cs="Times New Roman"/>
                <w:szCs w:val="21"/>
                <w:lang w:val="en-US" w:eastAsia="zh-CN"/>
              </w:rPr>
              <w:t>目</w:t>
            </w:r>
            <w:r>
              <w:rPr>
                <w:rFonts w:hint="default" w:ascii="Times New Roman" w:hAnsi="Times New Roman" w:eastAsia="宋体" w:cs="Times New Roman"/>
                <w:color w:val="auto"/>
                <w:kern w:val="2"/>
                <w:sz w:val="24"/>
                <w:szCs w:val="24"/>
                <w:lang w:val="en-US" w:eastAsia="zh-CN" w:bidi="ar-SA"/>
              </w:rPr>
              <w:t>；</w:t>
            </w:r>
          </w:p>
          <w:p w14:paraId="70EA791D">
            <w:pPr>
              <w:pStyle w:val="5"/>
              <w:keepNext w:val="0"/>
              <w:keepLines w:val="0"/>
              <w:pageBreakBefore w:val="0"/>
              <w:widowControl/>
              <w:kinsoku/>
              <w:wordWrap/>
              <w:overflowPunct/>
              <w:topLinePunct w:val="0"/>
              <w:autoSpaceDE/>
              <w:autoSpaceDN/>
              <w:bidi w:val="0"/>
              <w:adjustRightInd/>
              <w:snapToGrid w:val="0"/>
              <w:spacing w:before="0" w:after="0" w:line="440" w:lineRule="exact"/>
              <w:ind w:right="0" w:firstLine="480" w:firstLineChars="200"/>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建设单位</w:t>
            </w:r>
            <w:r>
              <w:rPr>
                <w:rFonts w:hint="default" w:ascii="Times New Roman" w:hAnsi="Times New Roman" w:eastAsia="宋体" w:cs="Times New Roman"/>
                <w:kern w:val="2"/>
                <w:sz w:val="24"/>
                <w:szCs w:val="21"/>
                <w:lang w:val="en-US" w:eastAsia="zh-CN" w:bidi="ar-SA"/>
              </w:rPr>
              <w:t>：库尔勒大存立远能源有限公司</w:t>
            </w:r>
            <w:r>
              <w:rPr>
                <w:rFonts w:hint="default" w:ascii="Times New Roman" w:hAnsi="Times New Roman" w:eastAsia="宋体" w:cs="Times New Roman"/>
                <w:kern w:val="2"/>
                <w:sz w:val="24"/>
                <w:szCs w:val="24"/>
                <w:lang w:val="en-US" w:eastAsia="zh-CN" w:bidi="ar-SA"/>
              </w:rPr>
              <w:t>；</w:t>
            </w:r>
          </w:p>
          <w:p w14:paraId="14D457B7">
            <w:pPr>
              <w:pStyle w:val="50"/>
              <w:keepNext w:val="0"/>
              <w:keepLines w:val="0"/>
              <w:pageBreakBefore w:val="0"/>
              <w:widowControl w:val="0"/>
              <w:kinsoku/>
              <w:wordWrap/>
              <w:overflowPunct/>
              <w:topLinePunct w:val="0"/>
              <w:autoSpaceDE/>
              <w:autoSpaceDN/>
              <w:bidi w:val="0"/>
              <w:adjustRightInd/>
              <w:snapToGrid/>
              <w:spacing w:before="0" w:line="440" w:lineRule="exact"/>
              <w:ind w:firstLine="480"/>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建设性质：新建；</w:t>
            </w:r>
          </w:p>
          <w:p w14:paraId="16B7890D">
            <w:pPr>
              <w:pStyle w:val="50"/>
              <w:keepNext w:val="0"/>
              <w:keepLines w:val="0"/>
              <w:pageBreakBefore w:val="0"/>
              <w:widowControl w:val="0"/>
              <w:kinsoku/>
              <w:wordWrap/>
              <w:overflowPunct/>
              <w:topLinePunct w:val="0"/>
              <w:autoSpaceDE/>
              <w:autoSpaceDN/>
              <w:bidi w:val="0"/>
              <w:adjustRightInd/>
              <w:snapToGrid/>
              <w:spacing w:before="0" w:line="440" w:lineRule="exact"/>
              <w:ind w:firstLine="480"/>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工程投资：</w:t>
            </w:r>
            <w:r>
              <w:rPr>
                <w:rFonts w:hint="default" w:ascii="Times New Roman" w:hAnsi="Times New Roman" w:eastAsia="宋体" w:cs="Times New Roman"/>
                <w:color w:val="auto"/>
                <w:sz w:val="24"/>
                <w:szCs w:val="24"/>
                <w:lang w:val="en-US" w:eastAsia="zh-CN"/>
              </w:rPr>
              <w:t>本项目总投资</w:t>
            </w:r>
            <w:r>
              <w:rPr>
                <w:rFonts w:hint="eastAsia" w:ascii="Times New Roman" w:hAnsi="Times New Roman" w:cs="Times New Roman"/>
                <w:szCs w:val="21"/>
                <w:lang w:val="en-US" w:eastAsia="zh-CN"/>
              </w:rPr>
              <w:t>5000</w:t>
            </w:r>
            <w:r>
              <w:rPr>
                <w:rFonts w:hint="default" w:ascii="Times New Roman" w:hAnsi="Times New Roman" w:eastAsia="宋体" w:cs="Times New Roman"/>
                <w:color w:val="auto"/>
                <w:sz w:val="24"/>
                <w:szCs w:val="24"/>
                <w:lang w:val="en-US" w:eastAsia="zh-CN"/>
              </w:rPr>
              <w:t>万元，其中环保投资</w:t>
            </w:r>
            <w:r>
              <w:rPr>
                <w:rFonts w:hint="eastAsia" w:ascii="Times New Roman" w:hAnsi="Times New Roman" w:eastAsia="宋体" w:cs="Times New Roman"/>
                <w:color w:val="auto"/>
                <w:sz w:val="24"/>
                <w:szCs w:val="24"/>
                <w:lang w:val="en-US" w:eastAsia="zh-CN"/>
              </w:rPr>
              <w:t>118</w:t>
            </w:r>
            <w:r>
              <w:rPr>
                <w:rFonts w:hint="default" w:ascii="Times New Roman" w:hAnsi="Times New Roman" w:eastAsia="宋体" w:cs="Times New Roman"/>
                <w:color w:val="auto"/>
                <w:sz w:val="24"/>
                <w:szCs w:val="24"/>
                <w:lang w:val="en-US" w:eastAsia="zh-CN"/>
              </w:rPr>
              <w:t>万元，占项目总投资的</w:t>
            </w:r>
            <w:r>
              <w:rPr>
                <w:rFonts w:hint="eastAsia" w:ascii="Times New Roman" w:hAnsi="Times New Roman" w:eastAsia="宋体" w:cs="Times New Roman"/>
                <w:color w:val="auto"/>
                <w:sz w:val="24"/>
                <w:szCs w:val="24"/>
                <w:lang w:val="en-US" w:eastAsia="zh-CN"/>
              </w:rPr>
              <w:t>2.36</w:t>
            </w:r>
            <w:r>
              <w:rPr>
                <w:rFonts w:hint="default" w:ascii="Times New Roman" w:hAnsi="Times New Roman" w:eastAsia="宋体" w:cs="Times New Roman"/>
                <w:color w:val="auto"/>
                <w:sz w:val="24"/>
                <w:szCs w:val="24"/>
                <w:lang w:val="en-US" w:eastAsia="zh-CN"/>
              </w:rPr>
              <w:t>%；</w:t>
            </w:r>
          </w:p>
          <w:p w14:paraId="3854AF8E">
            <w:pPr>
              <w:pStyle w:val="50"/>
              <w:keepNext w:val="0"/>
              <w:keepLines w:val="0"/>
              <w:pageBreakBefore w:val="0"/>
              <w:widowControl w:val="0"/>
              <w:kinsoku/>
              <w:wordWrap/>
              <w:overflowPunct/>
              <w:topLinePunct w:val="0"/>
              <w:autoSpaceDE/>
              <w:autoSpaceDN/>
              <w:bidi w:val="0"/>
              <w:adjustRightInd/>
              <w:snapToGrid/>
              <w:spacing w:before="0" w:line="440" w:lineRule="exact"/>
              <w:ind w:firstLine="480"/>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建设地点及周边关系：</w:t>
            </w:r>
            <w:r>
              <w:rPr>
                <w:rFonts w:hint="default" w:ascii="Times New Roman" w:hAnsi="Times New Roman" w:cs="Times New Roman"/>
                <w:sz w:val="24"/>
                <w:szCs w:val="24"/>
                <w:lang w:val="en-US" w:eastAsia="zh-CN"/>
              </w:rPr>
              <w:t>新疆维吾尔自治区巴音郭楞蒙古自治州库尔勒塔什店镇</w:t>
            </w:r>
            <w:r>
              <w:rPr>
                <w:rFonts w:hint="default" w:ascii="Times New Roman" w:hAnsi="Times New Roman" w:eastAsia="宋体" w:cs="Times New Roman"/>
                <w:color w:val="auto"/>
                <w:kern w:val="2"/>
                <w:sz w:val="24"/>
                <w:szCs w:val="24"/>
                <w:lang w:val="en-US" w:eastAsia="zh-CN" w:bidi="ar-SA"/>
              </w:rPr>
              <w:t>，项目中心地理坐标为E86°18′3.289″，N41°51′7.464″。</w:t>
            </w:r>
          </w:p>
          <w:p w14:paraId="2CDF4BB9">
            <w:pPr>
              <w:pStyle w:val="50"/>
              <w:keepNext w:val="0"/>
              <w:keepLines w:val="0"/>
              <w:pageBreakBefore w:val="0"/>
              <w:widowControl w:val="0"/>
              <w:kinsoku/>
              <w:wordWrap/>
              <w:overflowPunct/>
              <w:topLinePunct w:val="0"/>
              <w:autoSpaceDE/>
              <w:autoSpaceDN/>
              <w:bidi w:val="0"/>
              <w:adjustRightInd/>
              <w:snapToGrid/>
              <w:spacing w:before="0" w:line="440" w:lineRule="exact"/>
              <w:ind w:firstLine="480"/>
              <w:textAlignment w:val="auto"/>
              <w:rPr>
                <w:rFonts w:hint="default" w:ascii="Times New Roman" w:hAnsi="Times New Roman" w:eastAsia="宋体" w:cs="Times New Roman"/>
                <w:b w:val="0"/>
                <w:bCs w:val="0"/>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项目北侧为新疆德能煤炭有限公司，西侧、南侧、东侧均为空地。地理位</w:t>
            </w:r>
            <w:r>
              <w:rPr>
                <w:rFonts w:hint="default" w:ascii="Times New Roman" w:hAnsi="Times New Roman" w:eastAsia="宋体" w:cs="Times New Roman"/>
                <w:b w:val="0"/>
                <w:bCs w:val="0"/>
                <w:color w:val="auto"/>
                <w:kern w:val="2"/>
                <w:sz w:val="24"/>
                <w:szCs w:val="24"/>
                <w:lang w:val="en-US" w:eastAsia="zh-CN" w:bidi="ar-SA"/>
              </w:rPr>
              <w:t>置图见附图三，周边关系图见附图四。</w:t>
            </w:r>
          </w:p>
          <w:p w14:paraId="76E10D84">
            <w:pPr>
              <w:pStyle w:val="50"/>
              <w:keepNext w:val="0"/>
              <w:keepLines w:val="0"/>
              <w:pageBreakBefore w:val="0"/>
              <w:widowControl w:val="0"/>
              <w:kinsoku/>
              <w:wordWrap/>
              <w:overflowPunct/>
              <w:topLinePunct w:val="0"/>
              <w:autoSpaceDE/>
              <w:autoSpaceDN/>
              <w:bidi w:val="0"/>
              <w:adjustRightInd/>
              <w:snapToGrid/>
              <w:spacing w:before="0" w:line="440" w:lineRule="exact"/>
              <w:ind w:firstLine="480"/>
              <w:textAlignment w:val="auto"/>
              <w:rPr>
                <w:rFonts w:hint="default" w:ascii="Times New Roman" w:hAnsi="Times New Roman" w:eastAsia="宋体" w:cs="Times New Roman"/>
                <w:b/>
                <w:bCs/>
                <w:color w:val="auto"/>
                <w:kern w:val="2"/>
                <w:sz w:val="24"/>
                <w:szCs w:val="24"/>
                <w:lang w:val="en-US" w:eastAsia="zh-CN" w:bidi="ar-SA"/>
              </w:rPr>
            </w:pPr>
            <w:r>
              <w:rPr>
                <w:rFonts w:hint="default" w:ascii="Times New Roman" w:hAnsi="Times New Roman" w:eastAsia="宋体" w:cs="Times New Roman"/>
                <w:b/>
                <w:bCs/>
                <w:color w:val="auto"/>
                <w:kern w:val="2"/>
                <w:sz w:val="24"/>
                <w:szCs w:val="24"/>
                <w:lang w:val="en-US" w:eastAsia="zh-CN" w:bidi="ar-SA"/>
              </w:rPr>
              <w:t>情况说明：根据“对自治州十四届人大二次会议第2-63号议案的答复”（巴州经济和信息化委员会，2018年6月8日）：目前，库尔勒市已有库尔勒经济技术开发区和库尔勒上库综合产业园区两家自治区级及以上园区，库尔勒塔什店循环经济产业园区的设立不符合国家相关政策的要求。因此，项目区未设置产业园区，本项目不位于产业园区内。</w:t>
            </w:r>
          </w:p>
          <w:p w14:paraId="280516F3">
            <w:pPr>
              <w:pStyle w:val="50"/>
              <w:keepNext w:val="0"/>
              <w:keepLines w:val="0"/>
              <w:pageBreakBefore w:val="0"/>
              <w:widowControl w:val="0"/>
              <w:kinsoku/>
              <w:wordWrap/>
              <w:overflowPunct/>
              <w:topLinePunct w:val="0"/>
              <w:autoSpaceDE/>
              <w:autoSpaceDN/>
              <w:bidi w:val="0"/>
              <w:adjustRightInd/>
              <w:snapToGrid/>
              <w:spacing w:before="0" w:line="440" w:lineRule="exact"/>
              <w:ind w:firstLine="480"/>
              <w:textAlignment w:val="auto"/>
              <w:rPr>
                <w:rFonts w:hint="default" w:ascii="Times New Roman" w:hAnsi="Times New Roman" w:eastAsia="宋体" w:cs="Times New Roman"/>
                <w:b w:val="0"/>
                <w:bCs w:val="0"/>
                <w:color w:val="auto"/>
                <w:kern w:val="2"/>
                <w:sz w:val="24"/>
                <w:szCs w:val="24"/>
                <w:lang w:val="en-US" w:eastAsia="zh-CN" w:bidi="ar-SA"/>
              </w:rPr>
            </w:pPr>
            <w:r>
              <w:rPr>
                <w:rFonts w:hint="default" w:ascii="Times New Roman" w:hAnsi="Times New Roman" w:eastAsia="宋体" w:cs="Times New Roman"/>
                <w:b w:val="0"/>
                <w:bCs w:val="0"/>
                <w:color w:val="auto"/>
                <w:kern w:val="2"/>
                <w:sz w:val="24"/>
                <w:szCs w:val="24"/>
                <w:lang w:val="en-US" w:eastAsia="zh-CN" w:bidi="ar-SA"/>
              </w:rPr>
              <w:t>2、项目主要建设内容</w:t>
            </w:r>
          </w:p>
          <w:p w14:paraId="1E02CA19">
            <w:pPr>
              <w:pStyle w:val="50"/>
              <w:keepNext w:val="0"/>
              <w:keepLines w:val="0"/>
              <w:pageBreakBefore w:val="0"/>
              <w:widowControl w:val="0"/>
              <w:kinsoku/>
              <w:wordWrap/>
              <w:overflowPunct/>
              <w:topLinePunct w:val="0"/>
              <w:autoSpaceDE/>
              <w:autoSpaceDN/>
              <w:bidi w:val="0"/>
              <w:adjustRightInd/>
              <w:snapToGrid/>
              <w:spacing w:before="0" w:line="440" w:lineRule="exact"/>
              <w:ind w:firstLine="480"/>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b w:val="0"/>
                <w:bCs w:val="0"/>
                <w:color w:val="auto"/>
                <w:kern w:val="2"/>
                <w:sz w:val="24"/>
                <w:szCs w:val="24"/>
                <w:lang w:val="en-US" w:eastAsia="zh-CN" w:bidi="ar-SA"/>
              </w:rPr>
              <w:t>本项目新建一条年处理30万吨煤泥循环利用生产线，主要建</w:t>
            </w:r>
            <w:r>
              <w:rPr>
                <w:rFonts w:hint="default" w:ascii="Times New Roman" w:hAnsi="Times New Roman" w:eastAsia="宋体" w:cs="Times New Roman"/>
                <w:color w:val="auto"/>
                <w:kern w:val="2"/>
                <w:sz w:val="24"/>
                <w:szCs w:val="24"/>
                <w:lang w:val="en-US" w:eastAsia="zh-CN" w:bidi="ar-SA"/>
              </w:rPr>
              <w:t>设洗煤厂房、储煤厂房，配套建设行政办公和生活服务用房等。</w:t>
            </w:r>
          </w:p>
          <w:p w14:paraId="69068F53">
            <w:pPr>
              <w:pStyle w:val="50"/>
              <w:keepNext w:val="0"/>
              <w:keepLines w:val="0"/>
              <w:pageBreakBefore w:val="0"/>
              <w:widowControl w:val="0"/>
              <w:kinsoku/>
              <w:wordWrap/>
              <w:overflowPunct/>
              <w:topLinePunct w:val="0"/>
              <w:autoSpaceDE/>
              <w:autoSpaceDN/>
              <w:bidi w:val="0"/>
              <w:adjustRightInd/>
              <w:snapToGrid/>
              <w:spacing w:before="0" w:line="440" w:lineRule="exact"/>
              <w:ind w:firstLine="480"/>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项目分三期建设，</w:t>
            </w:r>
            <w:r>
              <w:rPr>
                <w:rFonts w:hint="eastAsia" w:ascii="Times New Roman" w:hAnsi="Times New Roman" w:eastAsia="宋体" w:cs="Times New Roman"/>
                <w:color w:val="auto"/>
                <w:kern w:val="2"/>
                <w:sz w:val="24"/>
                <w:szCs w:val="24"/>
                <w:lang w:val="en-US" w:eastAsia="zh-CN" w:bidi="ar-SA"/>
              </w:rPr>
              <w:t>一</w:t>
            </w:r>
            <w:r>
              <w:rPr>
                <w:rFonts w:hint="default" w:ascii="Times New Roman" w:hAnsi="Times New Roman" w:eastAsia="宋体" w:cs="Times New Roman"/>
                <w:color w:val="auto"/>
                <w:kern w:val="2"/>
                <w:sz w:val="24"/>
                <w:szCs w:val="24"/>
                <w:lang w:val="en-US" w:eastAsia="zh-CN" w:bidi="ar-SA"/>
              </w:rPr>
              <w:t>期建设洗煤车间和煤棚</w:t>
            </w:r>
            <w:r>
              <w:rPr>
                <w:rFonts w:hint="eastAsia" w:ascii="Times New Roman" w:hAnsi="Times New Roman" w:eastAsia="宋体" w:cs="Times New Roman"/>
                <w:color w:val="auto"/>
                <w:kern w:val="2"/>
                <w:sz w:val="24"/>
                <w:szCs w:val="24"/>
                <w:lang w:val="en-US" w:eastAsia="zh-CN" w:bidi="ar-SA"/>
              </w:rPr>
              <w:t>6000</w:t>
            </w:r>
            <w:r>
              <w:rPr>
                <w:rFonts w:hint="default" w:ascii="Times New Roman" w:hAnsi="Times New Roman" w:eastAsia="宋体" w:cs="Times New Roman"/>
                <w:color w:val="auto"/>
                <w:sz w:val="21"/>
                <w:szCs w:val="21"/>
                <w:vertAlign w:val="baseline"/>
                <w:lang w:val="en-US" w:eastAsia="zh-CN"/>
              </w:rPr>
              <w:t>m</w:t>
            </w:r>
            <w:r>
              <w:rPr>
                <w:rFonts w:hint="default" w:ascii="Times New Roman" w:hAnsi="Times New Roman" w:eastAsia="宋体" w:cs="Times New Roman"/>
                <w:color w:val="auto"/>
                <w:sz w:val="21"/>
                <w:szCs w:val="21"/>
                <w:vertAlign w:val="superscript"/>
                <w:lang w:val="en-US" w:eastAsia="zh-CN"/>
              </w:rPr>
              <w:t>2</w:t>
            </w:r>
            <w:r>
              <w:rPr>
                <w:rFonts w:hint="default" w:ascii="Times New Roman" w:hAnsi="Times New Roman" w:eastAsia="宋体" w:cs="Times New Roman"/>
                <w:color w:val="auto"/>
                <w:kern w:val="2"/>
                <w:sz w:val="24"/>
                <w:szCs w:val="24"/>
                <w:lang w:val="en-US" w:eastAsia="zh-CN" w:bidi="ar-SA"/>
              </w:rPr>
              <w:t>，购置螺旋溜槽，振动筛和压滤机等设备对原材料煤泥进行初加工，选出产成品粗颗粒煤沙和副产品低卡动力粉煤并进行销售，一期产品合计约200吨/天。二期在原洗煤厂房内增加浮选机等设备，增加原料采购渠道，采用浮选法对原副产品低卡动力粉煤中的细小颗粒进行再次洗选，产品规模约合计约400吨/天。三期采购配煤机，装载机等设备，并按规划设计建设动力煤配煤和大型煤炭储运中心</w:t>
            </w:r>
            <w:r>
              <w:rPr>
                <w:rFonts w:hint="eastAsia" w:ascii="Times New Roman" w:hAnsi="Times New Roman" w:eastAsia="宋体" w:cs="Times New Roman"/>
                <w:color w:val="auto"/>
                <w:kern w:val="2"/>
                <w:sz w:val="24"/>
                <w:szCs w:val="24"/>
                <w:lang w:val="en-US" w:eastAsia="zh-CN" w:bidi="ar-SA"/>
              </w:rPr>
              <w:t>12000</w:t>
            </w:r>
            <w:r>
              <w:rPr>
                <w:rFonts w:hint="default" w:ascii="Times New Roman" w:hAnsi="Times New Roman" w:eastAsia="宋体" w:cs="Times New Roman"/>
                <w:color w:val="auto"/>
                <w:sz w:val="21"/>
                <w:szCs w:val="21"/>
                <w:vertAlign w:val="baseline"/>
                <w:lang w:val="en-US" w:eastAsia="zh-CN"/>
              </w:rPr>
              <w:t>m</w:t>
            </w:r>
            <w:r>
              <w:rPr>
                <w:rFonts w:hint="default" w:ascii="Times New Roman" w:hAnsi="Times New Roman" w:eastAsia="宋体" w:cs="Times New Roman"/>
                <w:color w:val="auto"/>
                <w:sz w:val="21"/>
                <w:szCs w:val="21"/>
                <w:vertAlign w:val="superscript"/>
                <w:lang w:val="en-US" w:eastAsia="zh-CN"/>
              </w:rPr>
              <w:t>2</w:t>
            </w:r>
            <w:r>
              <w:rPr>
                <w:rFonts w:hint="default" w:ascii="Times New Roman" w:hAnsi="Times New Roman" w:eastAsia="宋体" w:cs="Times New Roman"/>
                <w:color w:val="auto"/>
                <w:kern w:val="2"/>
                <w:sz w:val="24"/>
                <w:szCs w:val="24"/>
                <w:lang w:val="en-US" w:eastAsia="zh-CN" w:bidi="ar-SA"/>
              </w:rPr>
              <w:t>及配套和办公用房</w:t>
            </w:r>
            <w:r>
              <w:rPr>
                <w:rFonts w:hint="eastAsia" w:ascii="Times New Roman" w:hAnsi="Times New Roman" w:eastAsia="宋体" w:cs="Times New Roman"/>
                <w:color w:val="auto"/>
                <w:kern w:val="2"/>
                <w:sz w:val="24"/>
                <w:szCs w:val="24"/>
                <w:lang w:val="en-US" w:eastAsia="zh-CN" w:bidi="ar-SA"/>
              </w:rPr>
              <w:t>4000</w:t>
            </w:r>
            <w:r>
              <w:rPr>
                <w:rFonts w:hint="default" w:ascii="Times New Roman" w:hAnsi="Times New Roman" w:eastAsia="宋体" w:cs="Times New Roman"/>
                <w:color w:val="auto"/>
                <w:sz w:val="21"/>
                <w:szCs w:val="21"/>
                <w:vertAlign w:val="baseline"/>
                <w:lang w:val="en-US" w:eastAsia="zh-CN"/>
              </w:rPr>
              <w:t>m</w:t>
            </w:r>
            <w:r>
              <w:rPr>
                <w:rFonts w:hint="default" w:ascii="Times New Roman" w:hAnsi="Times New Roman" w:eastAsia="宋体" w:cs="Times New Roman"/>
                <w:color w:val="auto"/>
                <w:sz w:val="21"/>
                <w:szCs w:val="21"/>
                <w:vertAlign w:val="superscript"/>
                <w:lang w:val="en-US" w:eastAsia="zh-CN"/>
              </w:rPr>
              <w:t>2</w:t>
            </w:r>
            <w:r>
              <w:rPr>
                <w:rFonts w:hint="default" w:ascii="Times New Roman" w:hAnsi="Times New Roman" w:eastAsia="宋体" w:cs="Times New Roman"/>
                <w:color w:val="auto"/>
                <w:kern w:val="2"/>
                <w:sz w:val="24"/>
                <w:szCs w:val="24"/>
                <w:lang w:val="en-US" w:eastAsia="zh-CN" w:bidi="ar-SA"/>
              </w:rPr>
              <w:t>，本项目总产能将提升到30万吨/年。</w:t>
            </w:r>
          </w:p>
          <w:p w14:paraId="3C145F71">
            <w:pPr>
              <w:pStyle w:val="50"/>
              <w:keepNext w:val="0"/>
              <w:keepLines w:val="0"/>
              <w:pageBreakBefore w:val="0"/>
              <w:widowControl w:val="0"/>
              <w:kinsoku/>
              <w:wordWrap/>
              <w:overflowPunct/>
              <w:topLinePunct w:val="0"/>
              <w:autoSpaceDE/>
              <w:autoSpaceDN/>
              <w:bidi w:val="0"/>
              <w:adjustRightInd/>
              <w:snapToGrid/>
              <w:spacing w:before="0" w:line="440" w:lineRule="exact"/>
              <w:ind w:firstLine="48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项目的主要工程组成情况见表2-1。</w:t>
            </w:r>
          </w:p>
          <w:p w14:paraId="30DFD663">
            <w:pPr>
              <w:pStyle w:val="13"/>
              <w:keepNext w:val="0"/>
              <w:keepLines w:val="0"/>
              <w:pageBreakBefore w:val="0"/>
              <w:widowControl w:val="0"/>
              <w:kinsoku/>
              <w:wordWrap/>
              <w:overflowPunct/>
              <w:topLinePunct w:val="0"/>
              <w:autoSpaceDE w:val="0"/>
              <w:autoSpaceDN w:val="0"/>
              <w:bidi w:val="0"/>
              <w:adjustRightInd w:val="0"/>
              <w:snapToGrid w:val="0"/>
              <w:spacing w:line="440" w:lineRule="exact"/>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表2-1  项目工程组成表</w:t>
            </w:r>
          </w:p>
          <w:tbl>
            <w:tblPr>
              <w:tblStyle w:val="2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1"/>
              <w:gridCol w:w="960"/>
              <w:gridCol w:w="636"/>
              <w:gridCol w:w="4788"/>
              <w:gridCol w:w="937"/>
            </w:tblGrid>
            <w:tr w14:paraId="4E34F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90" w:type="pct"/>
                  <w:gridSpan w:val="2"/>
                  <w:noWrap w:val="0"/>
                  <w:vAlign w:val="center"/>
                </w:tcPr>
                <w:p w14:paraId="13752962">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项目组成</w:t>
                  </w:r>
                </w:p>
              </w:tc>
              <w:tc>
                <w:tcPr>
                  <w:tcW w:w="3418" w:type="pct"/>
                  <w:gridSpan w:val="2"/>
                  <w:noWrap w:val="0"/>
                  <w:vAlign w:val="center"/>
                </w:tcPr>
                <w:p w14:paraId="52CEA95F">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建设内容</w:t>
                  </w:r>
                </w:p>
              </w:tc>
              <w:tc>
                <w:tcPr>
                  <w:tcW w:w="590" w:type="pct"/>
                  <w:noWrap w:val="0"/>
                  <w:vAlign w:val="center"/>
                </w:tcPr>
                <w:p w14:paraId="2C94509E">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备注</w:t>
                  </w:r>
                </w:p>
              </w:tc>
            </w:tr>
            <w:tr w14:paraId="47810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85" w:type="pct"/>
                  <w:noWrap w:val="0"/>
                  <w:vAlign w:val="center"/>
                </w:tcPr>
                <w:p w14:paraId="0F008160">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主体工程</w:t>
                  </w:r>
                </w:p>
              </w:tc>
              <w:tc>
                <w:tcPr>
                  <w:tcW w:w="605" w:type="pct"/>
                  <w:noWrap w:val="0"/>
                  <w:vAlign w:val="center"/>
                </w:tcPr>
                <w:p w14:paraId="4D19654C">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洗煤厂房</w:t>
                  </w:r>
                </w:p>
              </w:tc>
              <w:tc>
                <w:tcPr>
                  <w:tcW w:w="3418" w:type="pct"/>
                  <w:gridSpan w:val="2"/>
                  <w:noWrap w:val="0"/>
                  <w:vAlign w:val="center"/>
                </w:tcPr>
                <w:p w14:paraId="42D92FFC">
                  <w:pPr>
                    <w:keepNext w:val="0"/>
                    <w:keepLines w:val="0"/>
                    <w:pageBreakBefore w:val="0"/>
                    <w:widowControl w:val="0"/>
                    <w:kinsoku/>
                    <w:wordWrap/>
                    <w:overflowPunct/>
                    <w:topLinePunct w:val="0"/>
                    <w:autoSpaceDN/>
                    <w:bidi w:val="0"/>
                    <w:jc w:val="both"/>
                    <w:textAlignment w:val="auto"/>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一期建设洗煤厂房2000m</w:t>
                  </w:r>
                  <w:r>
                    <w:rPr>
                      <w:rFonts w:hint="default" w:ascii="Times New Roman" w:hAnsi="Times New Roman" w:eastAsia="宋体" w:cs="Times New Roman"/>
                      <w:sz w:val="21"/>
                      <w:szCs w:val="21"/>
                      <w:vertAlign w:val="superscript"/>
                      <w:lang w:val="en-US" w:eastAsia="zh-CN"/>
                    </w:rPr>
                    <w:t>2</w:t>
                  </w:r>
                  <w:r>
                    <w:rPr>
                      <w:rFonts w:hint="default" w:ascii="Times New Roman" w:hAnsi="Times New Roman" w:eastAsia="宋体" w:cs="Times New Roman"/>
                      <w:sz w:val="21"/>
                      <w:szCs w:val="21"/>
                      <w:vertAlign w:val="baseline"/>
                      <w:lang w:val="en-US" w:eastAsia="zh-CN"/>
                    </w:rPr>
                    <w:t>，位于厂区北侧，购置螺旋溜槽，振动筛和压滤机等设备对原材料煤泥进行初加工，一期产品合计约200吨/天；</w:t>
                  </w:r>
                </w:p>
                <w:p w14:paraId="5E135A60">
                  <w:pPr>
                    <w:keepNext w:val="0"/>
                    <w:keepLines w:val="0"/>
                    <w:pageBreakBefore w:val="0"/>
                    <w:widowControl w:val="0"/>
                    <w:kinsoku/>
                    <w:wordWrap/>
                    <w:overflowPunct/>
                    <w:topLinePunct w:val="0"/>
                    <w:autoSpaceDN/>
                    <w:bidi w:val="0"/>
                    <w:jc w:val="both"/>
                    <w:textAlignment w:val="auto"/>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二期在原洗煤厂房内增加浮选机等设备，增加原料采购渠道，采用浮选法进行再次洗选，产品规模约合计约400吨/天；</w:t>
                  </w:r>
                </w:p>
                <w:p w14:paraId="64C1B657">
                  <w:pPr>
                    <w:keepNext w:val="0"/>
                    <w:keepLines w:val="0"/>
                    <w:pageBreakBefore w:val="0"/>
                    <w:widowControl w:val="0"/>
                    <w:kinsoku/>
                    <w:wordWrap/>
                    <w:overflowPunct/>
                    <w:topLinePunct w:val="0"/>
                    <w:autoSpaceDN/>
                    <w:bidi w:val="0"/>
                    <w:jc w:val="both"/>
                    <w:textAlignment w:val="auto"/>
                    <w:rPr>
                      <w:rFonts w:hint="default" w:ascii="Times New Roman" w:hAnsi="Times New Roman"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三期采购配煤机，装载机等设备，建成后总产能将提升到30万吨/年。</w:t>
                  </w:r>
                </w:p>
              </w:tc>
              <w:tc>
                <w:tcPr>
                  <w:tcW w:w="590" w:type="pct"/>
                  <w:noWrap w:val="0"/>
                  <w:vAlign w:val="center"/>
                </w:tcPr>
                <w:p w14:paraId="4B426A28">
                  <w:pPr>
                    <w:pStyle w:val="10"/>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sz w:val="21"/>
                      <w:szCs w:val="21"/>
                      <w:vertAlign w:val="baseline"/>
                      <w:lang w:val="en-US" w:eastAsia="zh-CN"/>
                    </w:rPr>
                  </w:pPr>
                  <w:r>
                    <w:rPr>
                      <w:rFonts w:hint="default" w:ascii="Times New Roman" w:hAnsi="Times New Roman" w:eastAsia="宋体" w:cs="Times New Roman"/>
                      <w:sz w:val="21"/>
                      <w:szCs w:val="21"/>
                      <w:lang w:val="en-US" w:eastAsia="zh-CN"/>
                    </w:rPr>
                    <w:t>一期建设1座洗煤厂房，二期、三期依托现有厂房增设设备</w:t>
                  </w:r>
                </w:p>
              </w:tc>
            </w:tr>
            <w:tr w14:paraId="78914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85" w:type="pct"/>
                  <w:vMerge w:val="restart"/>
                  <w:noWrap w:val="0"/>
                  <w:vAlign w:val="center"/>
                </w:tcPr>
                <w:p w14:paraId="7922BA26">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储运工程</w:t>
                  </w:r>
                </w:p>
              </w:tc>
              <w:tc>
                <w:tcPr>
                  <w:tcW w:w="605" w:type="pct"/>
                  <w:noWrap w:val="0"/>
                  <w:vAlign w:val="center"/>
                </w:tcPr>
                <w:p w14:paraId="6C19E699">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运输系统</w:t>
                  </w:r>
                </w:p>
              </w:tc>
              <w:tc>
                <w:tcPr>
                  <w:tcW w:w="3418" w:type="pct"/>
                  <w:gridSpan w:val="2"/>
                  <w:noWrap w:val="0"/>
                  <w:vAlign w:val="center"/>
                </w:tcPr>
                <w:p w14:paraId="7B626CBC">
                  <w:pPr>
                    <w:keepNext w:val="0"/>
                    <w:keepLines w:val="0"/>
                    <w:pageBreakBefore w:val="0"/>
                    <w:widowControl w:val="0"/>
                    <w:kinsoku/>
                    <w:wordWrap/>
                    <w:overflowPunct/>
                    <w:topLinePunct w:val="0"/>
                    <w:autoSpaceDN/>
                    <w:bidi w:val="0"/>
                    <w:jc w:val="both"/>
                    <w:textAlignment w:val="auto"/>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本项目煤泥由汽车拉运进场，铲车棚内装卸，精煤、中煤、尾煤泥由汽车拉运出厂，汽车均加盖篷布。</w:t>
                  </w:r>
                </w:p>
              </w:tc>
              <w:tc>
                <w:tcPr>
                  <w:tcW w:w="590" w:type="pct"/>
                  <w:noWrap w:val="0"/>
                  <w:vAlign w:val="center"/>
                </w:tcPr>
                <w:p w14:paraId="65D6584A">
                  <w:pPr>
                    <w:pStyle w:val="10"/>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w:t>
                  </w:r>
                </w:p>
              </w:tc>
            </w:tr>
            <w:tr w14:paraId="02314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85" w:type="pct"/>
                  <w:vMerge w:val="continue"/>
                  <w:noWrap w:val="0"/>
                  <w:vAlign w:val="center"/>
                </w:tcPr>
                <w:p w14:paraId="2315A6E6">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sz w:val="21"/>
                      <w:szCs w:val="21"/>
                      <w:vertAlign w:val="baseline"/>
                      <w:lang w:val="en-US" w:eastAsia="zh-CN"/>
                    </w:rPr>
                  </w:pPr>
                </w:p>
              </w:tc>
              <w:tc>
                <w:tcPr>
                  <w:tcW w:w="605" w:type="pct"/>
                  <w:vMerge w:val="restart"/>
                  <w:noWrap w:val="0"/>
                  <w:vAlign w:val="center"/>
                </w:tcPr>
                <w:p w14:paraId="6FBADE0F">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pacing w:val="-4"/>
                      <w:sz w:val="21"/>
                      <w:szCs w:val="21"/>
                    </w:rPr>
                    <w:t>大型煤炭储运中心</w:t>
                  </w:r>
                </w:p>
              </w:tc>
              <w:tc>
                <w:tcPr>
                  <w:tcW w:w="3418" w:type="pct"/>
                  <w:gridSpan w:val="2"/>
                  <w:noWrap w:val="0"/>
                  <w:vAlign w:val="center"/>
                </w:tcPr>
                <w:p w14:paraId="22518911">
                  <w:pPr>
                    <w:keepNext w:val="0"/>
                    <w:keepLines w:val="0"/>
                    <w:pageBreakBefore w:val="0"/>
                    <w:widowControl w:val="0"/>
                    <w:kinsoku/>
                    <w:wordWrap/>
                    <w:overflowPunct/>
                    <w:topLinePunct w:val="0"/>
                    <w:autoSpaceDN/>
                    <w:bidi w:val="0"/>
                    <w:jc w:val="both"/>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一期建设1座4000m</w:t>
                  </w:r>
                  <w:r>
                    <w:rPr>
                      <w:rFonts w:hint="default" w:ascii="Times New Roman" w:hAnsi="Times New Roman" w:eastAsia="宋体" w:cs="Times New Roman"/>
                      <w:color w:val="auto"/>
                      <w:sz w:val="21"/>
                      <w:szCs w:val="21"/>
                      <w:vertAlign w:val="superscript"/>
                      <w:lang w:val="en-US" w:eastAsia="zh-CN"/>
                    </w:rPr>
                    <w:t>2</w:t>
                  </w:r>
                  <w:r>
                    <w:rPr>
                      <w:rFonts w:hint="default" w:ascii="Times New Roman" w:hAnsi="Times New Roman" w:eastAsia="宋体" w:cs="Times New Roman"/>
                      <w:color w:val="auto"/>
                      <w:sz w:val="21"/>
                      <w:szCs w:val="21"/>
                      <w:vertAlign w:val="baseline"/>
                      <w:lang w:val="en-US" w:eastAsia="zh-CN"/>
                    </w:rPr>
                    <w:t>煤棚，全封闭，钢混结构，内部设置原料储存区、精煤、中煤储存区、尾煤泥储存区、一般固废暂存区（20m</w:t>
                  </w:r>
                  <w:r>
                    <w:rPr>
                      <w:rFonts w:hint="default" w:ascii="Times New Roman" w:hAnsi="Times New Roman" w:eastAsia="宋体" w:cs="Times New Roman"/>
                      <w:color w:val="auto"/>
                      <w:sz w:val="21"/>
                      <w:szCs w:val="21"/>
                      <w:vertAlign w:val="superscript"/>
                      <w:lang w:val="en-US" w:eastAsia="zh-CN"/>
                    </w:rPr>
                    <w:t>2</w:t>
                  </w:r>
                  <w:r>
                    <w:rPr>
                      <w:rFonts w:hint="default" w:ascii="Times New Roman" w:hAnsi="Times New Roman" w:eastAsia="宋体" w:cs="Times New Roman"/>
                      <w:color w:val="auto"/>
                      <w:sz w:val="21"/>
                      <w:szCs w:val="21"/>
                      <w:vertAlign w:val="baseline"/>
                      <w:lang w:val="en-US" w:eastAsia="zh-CN"/>
                    </w:rPr>
                    <w:t>）。</w:t>
                  </w:r>
                </w:p>
              </w:tc>
              <w:tc>
                <w:tcPr>
                  <w:tcW w:w="590" w:type="pct"/>
                  <w:noWrap w:val="0"/>
                  <w:vAlign w:val="center"/>
                </w:tcPr>
                <w:p w14:paraId="33F78356">
                  <w:pPr>
                    <w:pStyle w:val="10"/>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一期建设</w:t>
                  </w:r>
                </w:p>
              </w:tc>
            </w:tr>
            <w:tr w14:paraId="7951E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85" w:type="pct"/>
                  <w:vMerge w:val="continue"/>
                  <w:noWrap w:val="0"/>
                  <w:vAlign w:val="center"/>
                </w:tcPr>
                <w:p w14:paraId="2F50D918">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sz w:val="21"/>
                      <w:szCs w:val="21"/>
                    </w:rPr>
                  </w:pPr>
                </w:p>
              </w:tc>
              <w:tc>
                <w:tcPr>
                  <w:tcW w:w="605" w:type="pct"/>
                  <w:vMerge w:val="continue"/>
                  <w:noWrap w:val="0"/>
                  <w:vAlign w:val="center"/>
                </w:tcPr>
                <w:p w14:paraId="6BB9946D">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color w:val="auto"/>
                      <w:sz w:val="21"/>
                      <w:szCs w:val="21"/>
                    </w:rPr>
                  </w:pPr>
                </w:p>
              </w:tc>
              <w:tc>
                <w:tcPr>
                  <w:tcW w:w="3418" w:type="pct"/>
                  <w:gridSpan w:val="2"/>
                  <w:noWrap w:val="0"/>
                  <w:vAlign w:val="center"/>
                </w:tcPr>
                <w:p w14:paraId="7264CAB7">
                  <w:pPr>
                    <w:keepNext w:val="0"/>
                    <w:keepLines w:val="0"/>
                    <w:pageBreakBefore w:val="0"/>
                    <w:widowControl w:val="0"/>
                    <w:kinsoku/>
                    <w:wordWrap/>
                    <w:overflowPunct/>
                    <w:topLinePunct w:val="0"/>
                    <w:autoSpaceDN/>
                    <w:bidi w:val="0"/>
                    <w:jc w:val="both"/>
                    <w:textAlignment w:val="auto"/>
                    <w:rPr>
                      <w:rFonts w:hint="default" w:ascii="Times New Roman" w:hAnsi="Times New Roman" w:cs="Times New Roman"/>
                      <w:color w:val="auto"/>
                      <w:spacing w:val="-4"/>
                      <w:sz w:val="21"/>
                      <w:szCs w:val="21"/>
                      <w:lang w:val="en-US" w:eastAsia="zh-CN"/>
                    </w:rPr>
                  </w:pPr>
                  <w:r>
                    <w:rPr>
                      <w:rFonts w:hint="default" w:ascii="Times New Roman" w:hAnsi="Times New Roman" w:eastAsia="宋体" w:cs="Times New Roman"/>
                      <w:color w:val="auto"/>
                      <w:sz w:val="21"/>
                      <w:szCs w:val="21"/>
                      <w:vertAlign w:val="baseline"/>
                      <w:lang w:val="en-US" w:eastAsia="zh-CN"/>
                    </w:rPr>
                    <w:t>二期建设2座2000m</w:t>
                  </w:r>
                  <w:r>
                    <w:rPr>
                      <w:rFonts w:hint="default" w:ascii="Times New Roman" w:hAnsi="Times New Roman" w:eastAsia="宋体" w:cs="Times New Roman"/>
                      <w:color w:val="auto"/>
                      <w:sz w:val="21"/>
                      <w:szCs w:val="21"/>
                      <w:vertAlign w:val="superscript"/>
                      <w:lang w:val="en-US" w:eastAsia="zh-CN"/>
                    </w:rPr>
                    <w:t>2</w:t>
                  </w:r>
                  <w:r>
                    <w:rPr>
                      <w:rFonts w:hint="default" w:ascii="Times New Roman" w:hAnsi="Times New Roman" w:eastAsia="宋体" w:cs="Times New Roman"/>
                      <w:color w:val="auto"/>
                      <w:sz w:val="21"/>
                      <w:szCs w:val="21"/>
                      <w:vertAlign w:val="baseline"/>
                      <w:lang w:val="en-US" w:eastAsia="zh-CN"/>
                    </w:rPr>
                    <w:t>煤棚，内部设置原料储存区、精煤、中煤储存区、尾煤泥储存区。</w:t>
                  </w:r>
                </w:p>
              </w:tc>
              <w:tc>
                <w:tcPr>
                  <w:tcW w:w="590" w:type="pct"/>
                  <w:noWrap w:val="0"/>
                  <w:vAlign w:val="center"/>
                </w:tcPr>
                <w:p w14:paraId="48BE8368">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color w:val="auto"/>
                      <w:spacing w:val="-4"/>
                      <w:sz w:val="21"/>
                      <w:szCs w:val="21"/>
                      <w:lang w:val="en-US" w:eastAsia="zh-CN"/>
                    </w:rPr>
                  </w:pPr>
                  <w:r>
                    <w:rPr>
                      <w:rFonts w:hint="default" w:ascii="Times New Roman" w:hAnsi="Times New Roman" w:eastAsia="宋体" w:cs="Times New Roman"/>
                      <w:color w:val="auto"/>
                      <w:sz w:val="21"/>
                      <w:szCs w:val="21"/>
                      <w:lang w:val="en-US" w:eastAsia="zh-CN"/>
                    </w:rPr>
                    <w:t>二期建设</w:t>
                  </w:r>
                </w:p>
              </w:tc>
            </w:tr>
            <w:tr w14:paraId="07CAE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85" w:type="pct"/>
                  <w:vMerge w:val="continue"/>
                  <w:noWrap w:val="0"/>
                  <w:vAlign w:val="center"/>
                </w:tcPr>
                <w:p w14:paraId="4F782812">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spacing w:val="-4"/>
                      <w:sz w:val="21"/>
                      <w:szCs w:val="21"/>
                      <w:lang w:val="en-US" w:eastAsia="zh-CN"/>
                    </w:rPr>
                  </w:pPr>
                </w:p>
              </w:tc>
              <w:tc>
                <w:tcPr>
                  <w:tcW w:w="605" w:type="pct"/>
                  <w:vMerge w:val="continue"/>
                  <w:noWrap w:val="0"/>
                  <w:vAlign w:val="center"/>
                </w:tcPr>
                <w:p w14:paraId="2AA269E8">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color w:val="auto"/>
                      <w:spacing w:val="-4"/>
                      <w:sz w:val="21"/>
                      <w:szCs w:val="21"/>
                      <w:lang w:val="en-US" w:eastAsia="zh-CN"/>
                    </w:rPr>
                  </w:pPr>
                </w:p>
              </w:tc>
              <w:tc>
                <w:tcPr>
                  <w:tcW w:w="3418" w:type="pct"/>
                  <w:gridSpan w:val="2"/>
                  <w:noWrap w:val="0"/>
                  <w:vAlign w:val="center"/>
                </w:tcPr>
                <w:p w14:paraId="27AF7A6C">
                  <w:pPr>
                    <w:keepNext w:val="0"/>
                    <w:keepLines w:val="0"/>
                    <w:pageBreakBefore w:val="0"/>
                    <w:widowControl w:val="0"/>
                    <w:kinsoku/>
                    <w:wordWrap/>
                    <w:overflowPunct/>
                    <w:topLinePunct w:val="0"/>
                    <w:autoSpaceDN/>
                    <w:bidi w:val="0"/>
                    <w:jc w:val="left"/>
                    <w:textAlignment w:val="auto"/>
                    <w:rPr>
                      <w:rFonts w:hint="default" w:ascii="Times New Roman" w:hAnsi="Times New Roman" w:cs="Times New Roman"/>
                      <w:color w:val="auto"/>
                      <w:spacing w:val="-4"/>
                      <w:sz w:val="21"/>
                      <w:szCs w:val="21"/>
                      <w:lang w:val="en-US" w:eastAsia="zh-CN"/>
                    </w:rPr>
                  </w:pPr>
                  <w:r>
                    <w:rPr>
                      <w:rFonts w:hint="default" w:ascii="Times New Roman" w:hAnsi="Times New Roman" w:eastAsia="宋体" w:cs="Times New Roman"/>
                      <w:color w:val="auto"/>
                      <w:sz w:val="21"/>
                      <w:szCs w:val="21"/>
                      <w:vertAlign w:val="baseline"/>
                      <w:lang w:val="en-US" w:eastAsia="zh-CN"/>
                    </w:rPr>
                    <w:t>三期建设2座2000m</w:t>
                  </w:r>
                  <w:r>
                    <w:rPr>
                      <w:rFonts w:hint="default" w:ascii="Times New Roman" w:hAnsi="Times New Roman" w:eastAsia="宋体" w:cs="Times New Roman"/>
                      <w:color w:val="auto"/>
                      <w:sz w:val="21"/>
                      <w:szCs w:val="21"/>
                      <w:vertAlign w:val="superscript"/>
                      <w:lang w:val="en-US" w:eastAsia="zh-CN"/>
                    </w:rPr>
                    <w:t>2</w:t>
                  </w:r>
                  <w:r>
                    <w:rPr>
                      <w:rFonts w:hint="default" w:ascii="Times New Roman" w:hAnsi="Times New Roman" w:eastAsia="宋体" w:cs="Times New Roman"/>
                      <w:color w:val="auto"/>
                      <w:sz w:val="21"/>
                      <w:szCs w:val="21"/>
                      <w:vertAlign w:val="baseline"/>
                      <w:lang w:val="en-US" w:eastAsia="zh-CN"/>
                    </w:rPr>
                    <w:t>煤棚，内部设置原料储存区、精煤、中煤储存区、尾煤泥储存区。</w:t>
                  </w:r>
                </w:p>
              </w:tc>
              <w:tc>
                <w:tcPr>
                  <w:tcW w:w="590" w:type="pct"/>
                  <w:noWrap w:val="0"/>
                  <w:vAlign w:val="center"/>
                </w:tcPr>
                <w:p w14:paraId="72B55C96">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color w:val="auto"/>
                      <w:spacing w:val="-4"/>
                      <w:sz w:val="21"/>
                      <w:szCs w:val="21"/>
                      <w:lang w:val="en-US" w:eastAsia="zh-CN"/>
                    </w:rPr>
                  </w:pPr>
                  <w:r>
                    <w:rPr>
                      <w:rFonts w:hint="default" w:ascii="Times New Roman" w:hAnsi="Times New Roman" w:eastAsia="宋体" w:cs="Times New Roman"/>
                      <w:color w:val="auto"/>
                      <w:sz w:val="21"/>
                      <w:szCs w:val="21"/>
                      <w:lang w:val="en-US" w:eastAsia="zh-CN"/>
                    </w:rPr>
                    <w:t>三期建设</w:t>
                  </w:r>
                </w:p>
              </w:tc>
            </w:tr>
            <w:tr w14:paraId="31E42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85" w:type="pct"/>
                  <w:vMerge w:val="continue"/>
                  <w:noWrap w:val="0"/>
                  <w:vAlign w:val="center"/>
                </w:tcPr>
                <w:p w14:paraId="3618DDCB">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spacing w:val="-4"/>
                      <w:sz w:val="21"/>
                      <w:szCs w:val="21"/>
                      <w:lang w:val="en-US" w:eastAsia="zh-CN"/>
                    </w:rPr>
                  </w:pPr>
                </w:p>
              </w:tc>
              <w:tc>
                <w:tcPr>
                  <w:tcW w:w="605" w:type="pct"/>
                  <w:noWrap w:val="0"/>
                  <w:vAlign w:val="center"/>
                </w:tcPr>
                <w:p w14:paraId="21E4999F">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color w:val="auto"/>
                      <w:spacing w:val="-4"/>
                      <w:sz w:val="21"/>
                      <w:szCs w:val="21"/>
                      <w:lang w:val="en-US" w:eastAsia="zh-CN"/>
                    </w:rPr>
                  </w:pPr>
                  <w:r>
                    <w:rPr>
                      <w:rFonts w:hint="default" w:ascii="Times New Roman" w:hAnsi="Times New Roman" w:cs="Times New Roman"/>
                      <w:color w:val="auto"/>
                      <w:spacing w:val="-4"/>
                      <w:sz w:val="21"/>
                      <w:szCs w:val="21"/>
                      <w:lang w:val="en-US" w:eastAsia="zh-CN"/>
                    </w:rPr>
                    <w:t>一般固废暂存区</w:t>
                  </w:r>
                </w:p>
              </w:tc>
              <w:tc>
                <w:tcPr>
                  <w:tcW w:w="3418" w:type="pct"/>
                  <w:gridSpan w:val="2"/>
                  <w:noWrap w:val="0"/>
                  <w:vAlign w:val="center"/>
                </w:tcPr>
                <w:p w14:paraId="6CBC5E91">
                  <w:pPr>
                    <w:keepNext w:val="0"/>
                    <w:keepLines w:val="0"/>
                    <w:pageBreakBefore w:val="0"/>
                    <w:widowControl w:val="0"/>
                    <w:kinsoku/>
                    <w:wordWrap/>
                    <w:overflowPunct/>
                    <w:topLinePunct w:val="0"/>
                    <w:autoSpaceDN/>
                    <w:bidi w:val="0"/>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位于一期煤棚东北侧，20m</w:t>
                  </w:r>
                  <w:r>
                    <w:rPr>
                      <w:rFonts w:hint="default" w:ascii="Times New Roman" w:hAnsi="Times New Roman" w:eastAsia="宋体" w:cs="Times New Roman"/>
                      <w:color w:val="auto"/>
                      <w:sz w:val="21"/>
                      <w:szCs w:val="21"/>
                      <w:vertAlign w:val="superscript"/>
                      <w:lang w:val="en-US" w:eastAsia="zh-CN"/>
                    </w:rPr>
                    <w:t>2</w:t>
                  </w:r>
                  <w:r>
                    <w:rPr>
                      <w:rFonts w:hint="default" w:ascii="Times New Roman" w:hAnsi="Times New Roman" w:eastAsia="宋体" w:cs="Times New Roman"/>
                      <w:color w:val="auto"/>
                      <w:sz w:val="21"/>
                      <w:szCs w:val="21"/>
                      <w:vertAlign w:val="baseline"/>
                      <w:lang w:val="en-US" w:eastAsia="zh-CN"/>
                    </w:rPr>
                    <w:t>。</w:t>
                  </w:r>
                </w:p>
              </w:tc>
              <w:tc>
                <w:tcPr>
                  <w:tcW w:w="590" w:type="pct"/>
                  <w:noWrap w:val="0"/>
                  <w:vAlign w:val="center"/>
                </w:tcPr>
                <w:p w14:paraId="1AF83D10">
                  <w:pPr>
                    <w:keepNext w:val="0"/>
                    <w:keepLines w:val="0"/>
                    <w:pageBreakBefore w:val="0"/>
                    <w:widowControl w:val="0"/>
                    <w:kinsoku/>
                    <w:wordWrap/>
                    <w:overflowPunct/>
                    <w:topLinePunct w:val="0"/>
                    <w:autoSpaceDN/>
                    <w:bidi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一期建设</w:t>
                  </w:r>
                </w:p>
              </w:tc>
            </w:tr>
            <w:tr w14:paraId="0A534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85" w:type="pct"/>
                  <w:vMerge w:val="continue"/>
                  <w:noWrap w:val="0"/>
                  <w:vAlign w:val="center"/>
                </w:tcPr>
                <w:p w14:paraId="03F71A34">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spacing w:val="-4"/>
                      <w:sz w:val="21"/>
                      <w:szCs w:val="21"/>
                      <w:lang w:val="en-US" w:eastAsia="zh-CN"/>
                    </w:rPr>
                  </w:pPr>
                </w:p>
              </w:tc>
              <w:tc>
                <w:tcPr>
                  <w:tcW w:w="605" w:type="pct"/>
                  <w:noWrap w:val="0"/>
                  <w:vAlign w:val="center"/>
                </w:tcPr>
                <w:p w14:paraId="1EDB0189">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color w:val="auto"/>
                      <w:spacing w:val="-4"/>
                      <w:sz w:val="21"/>
                      <w:szCs w:val="21"/>
                      <w:lang w:val="en-US" w:eastAsia="zh-CN"/>
                    </w:rPr>
                  </w:pPr>
                  <w:r>
                    <w:rPr>
                      <w:rFonts w:hint="default" w:ascii="Times New Roman" w:hAnsi="Times New Roman" w:cs="Times New Roman"/>
                      <w:color w:val="auto"/>
                      <w:spacing w:val="-4"/>
                      <w:sz w:val="21"/>
                      <w:szCs w:val="21"/>
                      <w:lang w:val="en-US" w:eastAsia="zh-CN"/>
                    </w:rPr>
                    <w:t>危废贮存点</w:t>
                  </w:r>
                </w:p>
              </w:tc>
              <w:tc>
                <w:tcPr>
                  <w:tcW w:w="3418" w:type="pct"/>
                  <w:gridSpan w:val="2"/>
                  <w:noWrap w:val="0"/>
                  <w:vAlign w:val="center"/>
                </w:tcPr>
                <w:p w14:paraId="46140D47">
                  <w:pPr>
                    <w:keepNext w:val="0"/>
                    <w:keepLines w:val="0"/>
                    <w:pageBreakBefore w:val="0"/>
                    <w:widowControl w:val="0"/>
                    <w:kinsoku/>
                    <w:wordWrap/>
                    <w:overflowPunct/>
                    <w:topLinePunct w:val="0"/>
                    <w:autoSpaceDN/>
                    <w:bidi w:val="0"/>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位于洗煤厂房东南侧，10m</w:t>
                  </w:r>
                  <w:r>
                    <w:rPr>
                      <w:rFonts w:hint="default" w:ascii="Times New Roman" w:hAnsi="Times New Roman" w:eastAsia="宋体" w:cs="Times New Roman"/>
                      <w:color w:val="auto"/>
                      <w:sz w:val="21"/>
                      <w:szCs w:val="21"/>
                      <w:vertAlign w:val="superscript"/>
                      <w:lang w:val="en-US" w:eastAsia="zh-CN"/>
                    </w:rPr>
                    <w:t>2</w:t>
                  </w:r>
                  <w:r>
                    <w:rPr>
                      <w:rFonts w:hint="default" w:ascii="Times New Roman" w:hAnsi="Times New Roman" w:eastAsia="宋体" w:cs="Times New Roman"/>
                      <w:color w:val="auto"/>
                      <w:sz w:val="21"/>
                      <w:szCs w:val="21"/>
                      <w:vertAlign w:val="baseline"/>
                      <w:lang w:val="en-US" w:eastAsia="zh-CN"/>
                    </w:rPr>
                    <w:t>。</w:t>
                  </w:r>
                </w:p>
              </w:tc>
              <w:tc>
                <w:tcPr>
                  <w:tcW w:w="590" w:type="pct"/>
                  <w:noWrap w:val="0"/>
                  <w:vAlign w:val="center"/>
                </w:tcPr>
                <w:p w14:paraId="6D3C7F59">
                  <w:pPr>
                    <w:keepNext w:val="0"/>
                    <w:keepLines w:val="0"/>
                    <w:pageBreakBefore w:val="0"/>
                    <w:widowControl w:val="0"/>
                    <w:kinsoku/>
                    <w:wordWrap/>
                    <w:overflowPunct/>
                    <w:topLinePunct w:val="0"/>
                    <w:autoSpaceDN/>
                    <w:bidi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一期建设</w:t>
                  </w:r>
                </w:p>
              </w:tc>
            </w:tr>
            <w:tr w14:paraId="32A68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85" w:type="pct"/>
                  <w:vMerge w:val="continue"/>
                  <w:noWrap w:val="0"/>
                  <w:vAlign w:val="center"/>
                </w:tcPr>
                <w:p w14:paraId="6BF7A6A8">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spacing w:val="-4"/>
                      <w:sz w:val="21"/>
                      <w:szCs w:val="21"/>
                      <w:lang w:val="en-US" w:eastAsia="zh-CN"/>
                    </w:rPr>
                  </w:pPr>
                </w:p>
              </w:tc>
              <w:tc>
                <w:tcPr>
                  <w:tcW w:w="605" w:type="pct"/>
                  <w:noWrap w:val="0"/>
                  <w:vAlign w:val="center"/>
                </w:tcPr>
                <w:p w14:paraId="16BE8765">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color w:val="auto"/>
                      <w:spacing w:val="-4"/>
                      <w:sz w:val="21"/>
                      <w:szCs w:val="21"/>
                      <w:lang w:val="en-US" w:eastAsia="zh-CN"/>
                    </w:rPr>
                  </w:pPr>
                  <w:r>
                    <w:rPr>
                      <w:rFonts w:hint="eastAsia" w:cs="Times New Roman"/>
                      <w:color w:val="auto"/>
                      <w:spacing w:val="-4"/>
                      <w:sz w:val="21"/>
                      <w:szCs w:val="21"/>
                      <w:lang w:val="en-US" w:eastAsia="zh-CN"/>
                    </w:rPr>
                    <w:t>生活污水暂存池</w:t>
                  </w:r>
                </w:p>
              </w:tc>
              <w:tc>
                <w:tcPr>
                  <w:tcW w:w="3418" w:type="pct"/>
                  <w:gridSpan w:val="2"/>
                  <w:noWrap w:val="0"/>
                  <w:vAlign w:val="center"/>
                </w:tcPr>
                <w:p w14:paraId="386F85ED">
                  <w:pPr>
                    <w:keepNext w:val="0"/>
                    <w:keepLines w:val="0"/>
                    <w:pageBreakBefore w:val="0"/>
                    <w:widowControl w:val="0"/>
                    <w:kinsoku/>
                    <w:wordWrap/>
                    <w:overflowPunct/>
                    <w:topLinePunct w:val="0"/>
                    <w:autoSpaceDN/>
                    <w:bidi w:val="0"/>
                    <w:jc w:val="both"/>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位于综合办公楼西侧，</w:t>
                  </w:r>
                  <w:r>
                    <w:rPr>
                      <w:rFonts w:hint="eastAsia" w:cs="Times New Roman"/>
                      <w:color w:val="auto"/>
                      <w:sz w:val="21"/>
                      <w:szCs w:val="21"/>
                      <w:vertAlign w:val="baseline"/>
                      <w:lang w:val="en-US" w:eastAsia="zh-CN"/>
                    </w:rPr>
                    <w:t>200</w:t>
                  </w:r>
                  <w:r>
                    <w:rPr>
                      <w:rFonts w:hint="eastAsia" w:ascii="Times New Roman" w:hAnsi="Times New Roman" w:eastAsia="宋体" w:cs="Times New Roman"/>
                      <w:color w:val="auto"/>
                      <w:sz w:val="21"/>
                      <w:szCs w:val="21"/>
                      <w:vertAlign w:val="baseline"/>
                      <w:lang w:val="en-US" w:eastAsia="zh-CN"/>
                    </w:rPr>
                    <w:t>m</w:t>
                  </w:r>
                  <w:r>
                    <w:rPr>
                      <w:rFonts w:hint="eastAsia" w:ascii="Times New Roman" w:hAnsi="Times New Roman" w:eastAsia="宋体" w:cs="Times New Roman"/>
                      <w:color w:val="auto"/>
                      <w:sz w:val="21"/>
                      <w:szCs w:val="21"/>
                      <w:vertAlign w:val="superscript"/>
                      <w:lang w:val="en-US" w:eastAsia="zh-CN"/>
                    </w:rPr>
                    <w:t>3</w:t>
                  </w:r>
                  <w:r>
                    <w:rPr>
                      <w:rFonts w:hint="eastAsia" w:cs="Times New Roman"/>
                      <w:color w:val="auto"/>
                      <w:sz w:val="21"/>
                      <w:szCs w:val="21"/>
                      <w:vertAlign w:val="baseline"/>
                      <w:lang w:val="en-US" w:eastAsia="zh-CN"/>
                    </w:rPr>
                    <w:t>，暂存冬季经</w:t>
                  </w:r>
                  <w:r>
                    <w:rPr>
                      <w:rFonts w:hint="default" w:ascii="Times New Roman" w:hAnsi="Times New Roman" w:eastAsia="宋体" w:cs="Times New Roman"/>
                      <w:color w:val="auto"/>
                      <w:sz w:val="21"/>
                      <w:szCs w:val="21"/>
                      <w:lang w:val="en-US" w:eastAsia="zh-CN"/>
                    </w:rPr>
                    <w:t>一体化污水处理设施</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化粪池+A/O</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沉淀</w:t>
                  </w:r>
                  <w:r>
                    <w:rPr>
                      <w:rFonts w:hint="eastAsia" w:ascii="Times New Roman" w:hAnsi="Times New Roman" w:eastAsia="宋体" w:cs="Times New Roman"/>
                      <w:color w:val="auto"/>
                      <w:sz w:val="21"/>
                      <w:szCs w:val="21"/>
                      <w:lang w:val="en-US" w:eastAsia="zh-CN"/>
                    </w:rPr>
                    <w:t>+消毒</w:t>
                  </w:r>
                  <w:r>
                    <w:rPr>
                      <w:rFonts w:hint="default" w:ascii="Times New Roman" w:hAnsi="Times New Roman" w:eastAsia="宋体" w:cs="Times New Roman"/>
                      <w:color w:val="auto"/>
                      <w:sz w:val="21"/>
                      <w:szCs w:val="21"/>
                      <w:lang w:val="en-US" w:eastAsia="zh-CN"/>
                    </w:rPr>
                    <w:t>一体化</w:t>
                  </w:r>
                  <w:r>
                    <w:rPr>
                      <w:rFonts w:hint="eastAsia" w:ascii="Times New Roman" w:hAnsi="Times New Roman" w:eastAsia="宋体" w:cs="Times New Roman"/>
                      <w:color w:val="auto"/>
                      <w:sz w:val="21"/>
                      <w:szCs w:val="21"/>
                      <w:lang w:val="en-US" w:eastAsia="zh-CN"/>
                    </w:rPr>
                    <w:t>”</w:t>
                  </w:r>
                  <w:r>
                    <w:rPr>
                      <w:rFonts w:hint="eastAsia" w:cs="Times New Roman"/>
                      <w:color w:val="auto"/>
                      <w:sz w:val="21"/>
                      <w:szCs w:val="21"/>
                      <w:lang w:val="en-US" w:eastAsia="zh-CN"/>
                    </w:rPr>
                    <w:t>）</w:t>
                  </w:r>
                  <w:r>
                    <w:rPr>
                      <w:rFonts w:hint="eastAsia" w:cs="Times New Roman"/>
                      <w:color w:val="auto"/>
                      <w:sz w:val="21"/>
                      <w:szCs w:val="21"/>
                      <w:vertAlign w:val="baseline"/>
                      <w:lang w:val="en-US" w:eastAsia="zh-CN"/>
                    </w:rPr>
                    <w:t>处理后的生活污水。</w:t>
                  </w:r>
                </w:p>
              </w:tc>
              <w:tc>
                <w:tcPr>
                  <w:tcW w:w="590" w:type="pct"/>
                  <w:noWrap w:val="0"/>
                  <w:vAlign w:val="center"/>
                </w:tcPr>
                <w:p w14:paraId="712B6010">
                  <w:pPr>
                    <w:keepNext w:val="0"/>
                    <w:keepLines w:val="0"/>
                    <w:pageBreakBefore w:val="0"/>
                    <w:widowControl w:val="0"/>
                    <w:kinsoku/>
                    <w:wordWrap/>
                    <w:overflowPunct/>
                    <w:topLinePunct w:val="0"/>
                    <w:autoSpaceDN/>
                    <w:bidi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一期建设</w:t>
                  </w:r>
                </w:p>
              </w:tc>
            </w:tr>
            <w:tr w14:paraId="100AC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85" w:type="pct"/>
                  <w:vMerge w:val="restart"/>
                  <w:noWrap w:val="0"/>
                  <w:vAlign w:val="center"/>
                </w:tcPr>
                <w:p w14:paraId="6AE73058">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spacing w:val="-4"/>
                      <w:sz w:val="21"/>
                      <w:szCs w:val="21"/>
                      <w:lang w:val="en-US" w:eastAsia="zh-CN"/>
                    </w:rPr>
                  </w:pPr>
                  <w:r>
                    <w:rPr>
                      <w:rFonts w:hint="default" w:ascii="Times New Roman" w:hAnsi="Times New Roman" w:cs="Times New Roman"/>
                      <w:spacing w:val="-4"/>
                      <w:sz w:val="21"/>
                      <w:szCs w:val="21"/>
                      <w:lang w:val="en-US" w:eastAsia="zh-CN"/>
                    </w:rPr>
                    <w:t>辅助工程</w:t>
                  </w:r>
                </w:p>
              </w:tc>
              <w:tc>
                <w:tcPr>
                  <w:tcW w:w="605" w:type="pct"/>
                  <w:noWrap w:val="0"/>
                  <w:vAlign w:val="center"/>
                </w:tcPr>
                <w:p w14:paraId="6ACE4F7C">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spacing w:val="-4"/>
                      <w:sz w:val="21"/>
                      <w:szCs w:val="21"/>
                      <w:lang w:val="en-US" w:eastAsia="zh-CN"/>
                    </w:rPr>
                  </w:pPr>
                  <w:r>
                    <w:rPr>
                      <w:rFonts w:hint="default" w:ascii="Times New Roman" w:hAnsi="Times New Roman" w:cs="Times New Roman"/>
                      <w:spacing w:val="-4"/>
                      <w:sz w:val="21"/>
                      <w:szCs w:val="21"/>
                      <w:lang w:val="en-US" w:eastAsia="zh-CN"/>
                    </w:rPr>
                    <w:t>综合办公楼</w:t>
                  </w:r>
                </w:p>
              </w:tc>
              <w:tc>
                <w:tcPr>
                  <w:tcW w:w="3418" w:type="pct"/>
                  <w:gridSpan w:val="2"/>
                  <w:noWrap w:val="0"/>
                  <w:vAlign w:val="center"/>
                </w:tcPr>
                <w:p w14:paraId="24D7ED58">
                  <w:pPr>
                    <w:keepNext w:val="0"/>
                    <w:keepLines w:val="0"/>
                    <w:pageBreakBefore w:val="0"/>
                    <w:widowControl w:val="0"/>
                    <w:kinsoku/>
                    <w:wordWrap/>
                    <w:overflowPunct/>
                    <w:topLinePunct w:val="0"/>
                    <w:autoSpaceDN/>
                    <w:bidi w:val="0"/>
                    <w:jc w:val="left"/>
                    <w:textAlignment w:val="auto"/>
                    <w:rPr>
                      <w:rFonts w:hint="default" w:ascii="Times New Roman" w:hAnsi="Times New Roman" w:cs="Times New Roman"/>
                      <w:spacing w:val="-4"/>
                      <w:sz w:val="21"/>
                      <w:szCs w:val="21"/>
                      <w:lang w:val="en-US" w:eastAsia="zh-CN"/>
                    </w:rPr>
                  </w:pPr>
                  <w:r>
                    <w:rPr>
                      <w:rFonts w:hint="default" w:ascii="Times New Roman" w:hAnsi="Times New Roman" w:cs="Times New Roman"/>
                      <w:spacing w:val="-4"/>
                      <w:sz w:val="21"/>
                      <w:szCs w:val="21"/>
                      <w:lang w:val="en-US" w:eastAsia="zh-CN"/>
                    </w:rPr>
                    <w:t>位于厂区南侧，2F，占地面积为4000m</w:t>
                  </w:r>
                  <w:r>
                    <w:rPr>
                      <w:rFonts w:hint="default" w:ascii="Times New Roman" w:hAnsi="Times New Roman" w:cs="Times New Roman"/>
                      <w:spacing w:val="-4"/>
                      <w:sz w:val="21"/>
                      <w:szCs w:val="21"/>
                      <w:vertAlign w:val="superscript"/>
                      <w:lang w:val="en-US" w:eastAsia="zh-CN"/>
                    </w:rPr>
                    <w:t>2</w:t>
                  </w:r>
                  <w:r>
                    <w:rPr>
                      <w:rFonts w:hint="default" w:ascii="Times New Roman" w:hAnsi="Times New Roman" w:cs="Times New Roman"/>
                      <w:spacing w:val="-4"/>
                      <w:sz w:val="21"/>
                      <w:szCs w:val="21"/>
                      <w:lang w:val="en-US" w:eastAsia="zh-CN"/>
                    </w:rPr>
                    <w:t>，钢混结构，地面硬化，主要包括配电室、办公室、宿舍等。</w:t>
                  </w:r>
                </w:p>
              </w:tc>
              <w:tc>
                <w:tcPr>
                  <w:tcW w:w="590" w:type="pct"/>
                  <w:noWrap w:val="0"/>
                  <w:vAlign w:val="center"/>
                </w:tcPr>
                <w:p w14:paraId="6DC586B1">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spacing w:val="-4"/>
                      <w:sz w:val="21"/>
                      <w:szCs w:val="21"/>
                      <w:lang w:val="en-US" w:eastAsia="zh-CN"/>
                    </w:rPr>
                  </w:pPr>
                  <w:r>
                    <w:rPr>
                      <w:rFonts w:hint="default" w:ascii="Times New Roman" w:hAnsi="Times New Roman" w:cs="Times New Roman"/>
                      <w:spacing w:val="-4"/>
                      <w:sz w:val="21"/>
                      <w:szCs w:val="21"/>
                      <w:lang w:val="en-US" w:eastAsia="zh-CN"/>
                    </w:rPr>
                    <w:t>三期建设</w:t>
                  </w:r>
                </w:p>
              </w:tc>
            </w:tr>
            <w:tr w14:paraId="41889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85" w:type="pct"/>
                  <w:vMerge w:val="continue"/>
                  <w:noWrap w:val="0"/>
                  <w:vAlign w:val="center"/>
                </w:tcPr>
                <w:p w14:paraId="05F7DC3F">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spacing w:val="-4"/>
                      <w:sz w:val="21"/>
                      <w:szCs w:val="21"/>
                      <w:lang w:val="en-US" w:eastAsia="zh-CN"/>
                    </w:rPr>
                  </w:pPr>
                </w:p>
              </w:tc>
              <w:tc>
                <w:tcPr>
                  <w:tcW w:w="605" w:type="pct"/>
                  <w:noWrap w:val="0"/>
                  <w:vAlign w:val="center"/>
                </w:tcPr>
                <w:p w14:paraId="5955BBD1">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spacing w:val="-4"/>
                      <w:sz w:val="21"/>
                      <w:szCs w:val="21"/>
                      <w:lang w:val="en-US" w:eastAsia="zh-CN"/>
                    </w:rPr>
                  </w:pPr>
                  <w:r>
                    <w:rPr>
                      <w:rFonts w:hint="default" w:ascii="Times New Roman" w:hAnsi="Times New Roman" w:cs="Times New Roman"/>
                      <w:spacing w:val="-4"/>
                      <w:sz w:val="21"/>
                      <w:szCs w:val="21"/>
                      <w:lang w:val="en-US" w:eastAsia="zh-CN"/>
                    </w:rPr>
                    <w:t>洗车平台</w:t>
                  </w:r>
                </w:p>
              </w:tc>
              <w:tc>
                <w:tcPr>
                  <w:tcW w:w="3418" w:type="pct"/>
                  <w:gridSpan w:val="2"/>
                  <w:noWrap w:val="0"/>
                  <w:vAlign w:val="center"/>
                </w:tcPr>
                <w:p w14:paraId="19AC461E">
                  <w:pPr>
                    <w:keepNext w:val="0"/>
                    <w:keepLines w:val="0"/>
                    <w:pageBreakBefore w:val="0"/>
                    <w:widowControl w:val="0"/>
                    <w:kinsoku/>
                    <w:wordWrap/>
                    <w:overflowPunct/>
                    <w:topLinePunct w:val="0"/>
                    <w:autoSpaceDN/>
                    <w:bidi w:val="0"/>
                    <w:jc w:val="both"/>
                    <w:textAlignment w:val="auto"/>
                    <w:rPr>
                      <w:rFonts w:hint="default" w:ascii="Times New Roman" w:hAnsi="Times New Roman" w:cs="Times New Roman"/>
                      <w:spacing w:val="-4"/>
                      <w:sz w:val="21"/>
                      <w:szCs w:val="21"/>
                      <w:lang w:val="en-US" w:eastAsia="zh-CN"/>
                    </w:rPr>
                  </w:pPr>
                  <w:r>
                    <w:rPr>
                      <w:rFonts w:hint="default" w:ascii="Times New Roman" w:hAnsi="Times New Roman" w:eastAsia="宋体" w:cs="Times New Roman"/>
                      <w:spacing w:val="-4"/>
                      <w:sz w:val="21"/>
                      <w:szCs w:val="21"/>
                      <w:lang w:val="en-US" w:eastAsia="zh-CN"/>
                    </w:rPr>
                    <w:t>厂区内出口处设置1座洗车平台清洗进厂车辆，配套20m</w:t>
                  </w:r>
                  <w:r>
                    <w:rPr>
                      <w:rFonts w:hint="default" w:ascii="Times New Roman" w:hAnsi="Times New Roman" w:eastAsia="宋体" w:cs="Times New Roman"/>
                      <w:spacing w:val="-4"/>
                      <w:sz w:val="21"/>
                      <w:szCs w:val="21"/>
                      <w:vertAlign w:val="superscript"/>
                      <w:lang w:val="en-US" w:eastAsia="zh-CN"/>
                    </w:rPr>
                    <w:t>3</w:t>
                  </w:r>
                  <w:r>
                    <w:rPr>
                      <w:rFonts w:hint="default" w:ascii="Times New Roman" w:hAnsi="Times New Roman" w:eastAsia="宋体" w:cs="Times New Roman"/>
                      <w:spacing w:val="-4"/>
                      <w:sz w:val="21"/>
                      <w:szCs w:val="21"/>
                      <w:lang w:val="en-US" w:eastAsia="zh-CN"/>
                    </w:rPr>
                    <w:t>沉淀池，循环使用。</w:t>
                  </w:r>
                </w:p>
              </w:tc>
              <w:tc>
                <w:tcPr>
                  <w:tcW w:w="590" w:type="pct"/>
                  <w:noWrap w:val="0"/>
                  <w:vAlign w:val="center"/>
                </w:tcPr>
                <w:p w14:paraId="6424620A">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spacing w:val="-4"/>
                      <w:sz w:val="21"/>
                      <w:szCs w:val="21"/>
                      <w:lang w:val="en-US" w:eastAsia="zh-CN"/>
                    </w:rPr>
                  </w:pPr>
                  <w:r>
                    <w:rPr>
                      <w:rFonts w:hint="default" w:ascii="Times New Roman" w:hAnsi="Times New Roman" w:cs="Times New Roman"/>
                      <w:spacing w:val="-4"/>
                      <w:sz w:val="21"/>
                      <w:szCs w:val="21"/>
                      <w:lang w:val="en-US" w:eastAsia="zh-CN"/>
                    </w:rPr>
                    <w:t>一期建设</w:t>
                  </w:r>
                </w:p>
              </w:tc>
            </w:tr>
            <w:tr w14:paraId="1D97E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85" w:type="pct"/>
                  <w:vMerge w:val="continue"/>
                  <w:noWrap w:val="0"/>
                  <w:vAlign w:val="center"/>
                </w:tcPr>
                <w:p w14:paraId="3770174E">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spacing w:val="-4"/>
                      <w:sz w:val="21"/>
                      <w:szCs w:val="21"/>
                      <w:lang w:val="en-US" w:eastAsia="zh-CN"/>
                    </w:rPr>
                  </w:pPr>
                </w:p>
              </w:tc>
              <w:tc>
                <w:tcPr>
                  <w:tcW w:w="605" w:type="pct"/>
                  <w:noWrap w:val="0"/>
                  <w:vAlign w:val="center"/>
                </w:tcPr>
                <w:p w14:paraId="5E4FCC5E">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spacing w:val="-4"/>
                      <w:sz w:val="21"/>
                      <w:szCs w:val="21"/>
                      <w:lang w:val="en-US" w:eastAsia="zh-CN"/>
                    </w:rPr>
                  </w:pPr>
                  <w:r>
                    <w:rPr>
                      <w:rFonts w:hint="default" w:ascii="Times New Roman" w:hAnsi="Times New Roman" w:cs="Times New Roman"/>
                      <w:spacing w:val="-4"/>
                      <w:sz w:val="21"/>
                      <w:szCs w:val="21"/>
                      <w:lang w:val="en-US" w:eastAsia="zh-CN"/>
                    </w:rPr>
                    <w:t>消防水池</w:t>
                  </w:r>
                </w:p>
              </w:tc>
              <w:tc>
                <w:tcPr>
                  <w:tcW w:w="3418" w:type="pct"/>
                  <w:gridSpan w:val="2"/>
                  <w:noWrap w:val="0"/>
                  <w:vAlign w:val="center"/>
                </w:tcPr>
                <w:p w14:paraId="4B595736">
                  <w:pPr>
                    <w:keepNext w:val="0"/>
                    <w:keepLines w:val="0"/>
                    <w:pageBreakBefore w:val="0"/>
                    <w:widowControl w:val="0"/>
                    <w:kinsoku/>
                    <w:wordWrap/>
                    <w:overflowPunct/>
                    <w:topLinePunct w:val="0"/>
                    <w:autoSpaceDN/>
                    <w:bidi w:val="0"/>
                    <w:jc w:val="center"/>
                    <w:textAlignment w:val="auto"/>
                    <w:rPr>
                      <w:rFonts w:hint="default" w:ascii="Times New Roman" w:hAnsi="Times New Roman" w:eastAsia="宋体" w:cs="Times New Roman"/>
                      <w:spacing w:val="-4"/>
                      <w:sz w:val="21"/>
                      <w:szCs w:val="21"/>
                      <w:vertAlign w:val="baseline"/>
                      <w:lang w:val="en-US" w:eastAsia="zh-CN"/>
                    </w:rPr>
                  </w:pPr>
                  <w:r>
                    <w:rPr>
                      <w:rFonts w:hint="default" w:ascii="Times New Roman" w:hAnsi="Times New Roman" w:eastAsia="宋体" w:cs="Times New Roman"/>
                      <w:spacing w:val="-4"/>
                      <w:sz w:val="21"/>
                      <w:szCs w:val="21"/>
                      <w:lang w:val="en-US" w:eastAsia="zh-CN"/>
                    </w:rPr>
                    <w:t>位于洗煤厂房南侧，200</w:t>
                  </w:r>
                  <w:r>
                    <w:rPr>
                      <w:rFonts w:hint="default" w:ascii="Times New Roman" w:hAnsi="Times New Roman" w:cs="Times New Roman"/>
                      <w:spacing w:val="-4"/>
                      <w:sz w:val="21"/>
                      <w:szCs w:val="21"/>
                      <w:lang w:val="en-US" w:eastAsia="zh-CN"/>
                    </w:rPr>
                    <w:t>m</w:t>
                  </w:r>
                  <w:r>
                    <w:rPr>
                      <w:rFonts w:hint="default" w:ascii="Times New Roman" w:hAnsi="Times New Roman" w:cs="Times New Roman"/>
                      <w:spacing w:val="-4"/>
                      <w:sz w:val="21"/>
                      <w:szCs w:val="21"/>
                      <w:vertAlign w:val="superscript"/>
                      <w:lang w:val="en-US" w:eastAsia="zh-CN"/>
                    </w:rPr>
                    <w:t>2</w:t>
                  </w:r>
                  <w:r>
                    <w:rPr>
                      <w:rFonts w:hint="default" w:ascii="Times New Roman" w:hAnsi="Times New Roman" w:cs="Times New Roman"/>
                      <w:spacing w:val="-4"/>
                      <w:sz w:val="21"/>
                      <w:szCs w:val="21"/>
                      <w:vertAlign w:val="baseline"/>
                      <w:lang w:val="en-US" w:eastAsia="zh-CN"/>
                    </w:rPr>
                    <w:t>。</w:t>
                  </w:r>
                </w:p>
              </w:tc>
              <w:tc>
                <w:tcPr>
                  <w:tcW w:w="590" w:type="pct"/>
                  <w:noWrap w:val="0"/>
                  <w:vAlign w:val="center"/>
                </w:tcPr>
                <w:p w14:paraId="31EB47E7">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spacing w:val="-4"/>
                      <w:kern w:val="2"/>
                      <w:sz w:val="21"/>
                      <w:szCs w:val="21"/>
                      <w:lang w:val="en-US" w:eastAsia="zh-CN" w:bidi="ar-SA"/>
                    </w:rPr>
                  </w:pPr>
                  <w:r>
                    <w:rPr>
                      <w:rFonts w:hint="default" w:ascii="Times New Roman" w:hAnsi="Times New Roman" w:cs="Times New Roman"/>
                      <w:spacing w:val="-4"/>
                      <w:sz w:val="21"/>
                      <w:szCs w:val="21"/>
                      <w:lang w:val="en-US" w:eastAsia="zh-CN"/>
                    </w:rPr>
                    <w:t>一期建设</w:t>
                  </w:r>
                </w:p>
              </w:tc>
            </w:tr>
            <w:tr w14:paraId="7B8AE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85" w:type="pct"/>
                  <w:vMerge w:val="restart"/>
                  <w:noWrap w:val="0"/>
                  <w:vAlign w:val="center"/>
                </w:tcPr>
                <w:p w14:paraId="779080B1">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公用工程</w:t>
                  </w:r>
                </w:p>
              </w:tc>
              <w:tc>
                <w:tcPr>
                  <w:tcW w:w="605" w:type="pct"/>
                  <w:noWrap w:val="0"/>
                  <w:vAlign w:val="center"/>
                </w:tcPr>
                <w:p w14:paraId="41D1400D">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供水</w:t>
                  </w:r>
                </w:p>
              </w:tc>
              <w:tc>
                <w:tcPr>
                  <w:tcW w:w="3418" w:type="pct"/>
                  <w:gridSpan w:val="2"/>
                  <w:noWrap w:val="0"/>
                  <w:vAlign w:val="center"/>
                </w:tcPr>
                <w:p w14:paraId="21DD13CC">
                  <w:pPr>
                    <w:pStyle w:val="1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cs="Times New Roman"/>
                      <w:color w:val="auto"/>
                      <w:sz w:val="21"/>
                      <w:szCs w:val="21"/>
                      <w:lang w:val="en-US" w:eastAsia="zh-CN"/>
                    </w:rPr>
                    <w:t>由市政统一供水</w:t>
                  </w:r>
                  <w:r>
                    <w:rPr>
                      <w:rFonts w:hint="eastAsia" w:ascii="Times New Roman" w:hAnsi="Times New Roman" w:cs="Times New Roman"/>
                      <w:color w:val="auto"/>
                      <w:sz w:val="21"/>
                      <w:szCs w:val="21"/>
                      <w:lang w:val="en-US" w:eastAsia="zh-CN"/>
                    </w:rPr>
                    <w:t>。</w:t>
                  </w:r>
                </w:p>
              </w:tc>
              <w:tc>
                <w:tcPr>
                  <w:tcW w:w="590" w:type="pct"/>
                  <w:vMerge w:val="restart"/>
                  <w:noWrap w:val="0"/>
                  <w:vAlign w:val="center"/>
                </w:tcPr>
                <w:p w14:paraId="182570D7">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sz w:val="21"/>
                      <w:szCs w:val="21"/>
                      <w:vertAlign w:val="baseline"/>
                      <w:lang w:val="en-US" w:eastAsia="zh-CN"/>
                    </w:rPr>
                  </w:pPr>
                  <w:r>
                    <w:rPr>
                      <w:rFonts w:hint="default" w:ascii="Times New Roman" w:hAnsi="Times New Roman" w:cs="Times New Roman"/>
                      <w:spacing w:val="-4"/>
                      <w:sz w:val="21"/>
                      <w:szCs w:val="21"/>
                      <w:lang w:val="en-US" w:eastAsia="zh-CN"/>
                    </w:rPr>
                    <w:t>一期建设</w:t>
                  </w:r>
                </w:p>
              </w:tc>
            </w:tr>
            <w:tr w14:paraId="5D391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85" w:type="pct"/>
                  <w:vMerge w:val="continue"/>
                  <w:noWrap w:val="0"/>
                  <w:vAlign w:val="center"/>
                </w:tcPr>
                <w:p w14:paraId="3C5FC574">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sz w:val="21"/>
                      <w:szCs w:val="21"/>
                      <w:vertAlign w:val="baseline"/>
                      <w:lang w:val="en-US" w:eastAsia="zh-CN"/>
                    </w:rPr>
                  </w:pPr>
                </w:p>
              </w:tc>
              <w:tc>
                <w:tcPr>
                  <w:tcW w:w="605" w:type="pct"/>
                  <w:noWrap w:val="0"/>
                  <w:vAlign w:val="center"/>
                </w:tcPr>
                <w:p w14:paraId="34A5C2B5">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排水</w:t>
                  </w:r>
                </w:p>
              </w:tc>
              <w:tc>
                <w:tcPr>
                  <w:tcW w:w="3418" w:type="pct"/>
                  <w:gridSpan w:val="2"/>
                  <w:noWrap w:val="0"/>
                  <w:vAlign w:val="center"/>
                </w:tcPr>
                <w:p w14:paraId="7C91B397">
                  <w:pPr>
                    <w:keepNext w:val="0"/>
                    <w:keepLines w:val="0"/>
                    <w:pageBreakBefore w:val="0"/>
                    <w:widowControl w:val="0"/>
                    <w:kinsoku/>
                    <w:wordWrap/>
                    <w:overflowPunct/>
                    <w:topLinePunct w:val="0"/>
                    <w:autoSpaceDN/>
                    <w:bidi w:val="0"/>
                    <w:jc w:val="both"/>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生活污水</w:t>
                  </w:r>
                  <w:r>
                    <w:rPr>
                      <w:rFonts w:hint="default" w:ascii="Times New Roman" w:hAnsi="Times New Roman" w:eastAsia="宋体" w:cs="Times New Roman"/>
                      <w:color w:val="auto"/>
                      <w:sz w:val="21"/>
                      <w:szCs w:val="21"/>
                      <w:lang w:val="en-US" w:eastAsia="zh-CN"/>
                    </w:rPr>
                    <w:t>经一体化污水处理设施</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化粪池+A/O</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沉淀</w:t>
                  </w:r>
                  <w:r>
                    <w:rPr>
                      <w:rFonts w:hint="eastAsia" w:ascii="Times New Roman" w:hAnsi="Times New Roman" w:eastAsia="宋体" w:cs="Times New Roman"/>
                      <w:color w:val="auto"/>
                      <w:sz w:val="21"/>
                      <w:szCs w:val="21"/>
                      <w:lang w:val="en-US" w:eastAsia="zh-CN"/>
                    </w:rPr>
                    <w:t>+消毒</w:t>
                  </w:r>
                  <w:r>
                    <w:rPr>
                      <w:rFonts w:hint="default" w:ascii="Times New Roman" w:hAnsi="Times New Roman" w:eastAsia="宋体" w:cs="Times New Roman"/>
                      <w:color w:val="auto"/>
                      <w:sz w:val="21"/>
                      <w:szCs w:val="21"/>
                      <w:lang w:val="en-US" w:eastAsia="zh-CN"/>
                    </w:rPr>
                    <w:t>一体化</w:t>
                  </w:r>
                  <w:r>
                    <w:rPr>
                      <w:rFonts w:hint="eastAsia" w:ascii="Times New Roman" w:hAnsi="Times New Roman" w:eastAsia="宋体" w:cs="Times New Roman"/>
                      <w:color w:val="auto"/>
                      <w:sz w:val="21"/>
                      <w:szCs w:val="21"/>
                      <w:lang w:val="en-US" w:eastAsia="zh-CN"/>
                    </w:rPr>
                    <w:t>”，处理规模为5m</w:t>
                  </w:r>
                  <w:r>
                    <w:rPr>
                      <w:rFonts w:hint="eastAsia" w:ascii="Times New Roman" w:hAnsi="Times New Roman" w:eastAsia="宋体" w:cs="Times New Roman"/>
                      <w:color w:val="auto"/>
                      <w:sz w:val="21"/>
                      <w:szCs w:val="21"/>
                      <w:vertAlign w:val="superscript"/>
                      <w:lang w:val="en-US" w:eastAsia="zh-CN"/>
                    </w:rPr>
                    <w:t>3</w:t>
                  </w:r>
                  <w:r>
                    <w:rPr>
                      <w:rFonts w:hint="eastAsia" w:ascii="Times New Roman" w:hAnsi="Times New Roman" w:eastAsia="宋体" w:cs="Times New Roman"/>
                      <w:color w:val="auto"/>
                      <w:sz w:val="21"/>
                      <w:szCs w:val="21"/>
                      <w:lang w:val="en-US" w:eastAsia="zh-CN"/>
                    </w:rPr>
                    <w:t>/d）</w:t>
                  </w:r>
                  <w:r>
                    <w:rPr>
                      <w:rFonts w:hint="default" w:ascii="Times New Roman" w:hAnsi="Times New Roman" w:eastAsia="宋体" w:cs="Times New Roman"/>
                      <w:color w:val="auto"/>
                      <w:sz w:val="21"/>
                      <w:szCs w:val="21"/>
                      <w:lang w:val="en-US" w:eastAsia="zh-CN"/>
                    </w:rPr>
                    <w:t>处理后，达到《农村生活污水处理排放标准》（DB654275-2019）表2的B级标准，</w:t>
                  </w:r>
                  <w:r>
                    <w:rPr>
                      <w:rFonts w:hint="eastAsia" w:ascii="Times New Roman" w:hAnsi="Times New Roman" w:eastAsia="宋体" w:cs="Times New Roman"/>
                      <w:color w:val="auto"/>
                      <w:sz w:val="21"/>
                      <w:szCs w:val="21"/>
                      <w:vertAlign w:val="baseline"/>
                      <w:lang w:val="en-US" w:eastAsia="zh-CN"/>
                    </w:rPr>
                    <w:t>冬储夏灌</w:t>
                  </w:r>
                  <w:r>
                    <w:rPr>
                      <w:rFonts w:hint="eastAsia" w:cs="Times New Roman"/>
                      <w:color w:val="auto"/>
                      <w:sz w:val="21"/>
                      <w:szCs w:val="21"/>
                      <w:vertAlign w:val="baseline"/>
                      <w:lang w:val="en-US" w:eastAsia="zh-CN"/>
                    </w:rPr>
                    <w:t>，</w:t>
                  </w:r>
                  <w:r>
                    <w:rPr>
                      <w:rFonts w:hint="default" w:ascii="Times New Roman" w:hAnsi="Times New Roman" w:eastAsia="宋体" w:cs="Times New Roman"/>
                      <w:color w:val="auto"/>
                      <w:sz w:val="21"/>
                      <w:szCs w:val="21"/>
                      <w:vertAlign w:val="baseline"/>
                      <w:lang w:val="en-US" w:eastAsia="zh-CN"/>
                    </w:rPr>
                    <w:t>用于荒</w:t>
                  </w:r>
                  <w:r>
                    <w:rPr>
                      <w:rFonts w:hint="default" w:ascii="Times New Roman" w:hAnsi="Times New Roman" w:eastAsia="宋体" w:cs="Times New Roman"/>
                      <w:color w:val="auto"/>
                      <w:sz w:val="21"/>
                      <w:szCs w:val="21"/>
                      <w:lang w:val="en-US" w:eastAsia="zh-CN"/>
                    </w:rPr>
                    <w:t>漠灌溉</w:t>
                  </w:r>
                  <w:r>
                    <w:rPr>
                      <w:rFonts w:hint="default" w:ascii="Times New Roman" w:hAnsi="Times New Roman" w:eastAsia="宋体" w:cs="Times New Roman"/>
                      <w:color w:val="auto"/>
                      <w:sz w:val="21"/>
                      <w:szCs w:val="21"/>
                      <w:vertAlign w:val="baseline"/>
                      <w:lang w:val="en-US" w:eastAsia="zh-CN"/>
                    </w:rPr>
                    <w:t>，运输车辆清洗废水经20m</w:t>
                  </w:r>
                  <w:r>
                    <w:rPr>
                      <w:rFonts w:hint="default" w:ascii="Times New Roman" w:hAnsi="Times New Roman" w:eastAsia="宋体" w:cs="Times New Roman"/>
                      <w:color w:val="auto"/>
                      <w:sz w:val="21"/>
                      <w:szCs w:val="21"/>
                      <w:vertAlign w:val="superscript"/>
                      <w:lang w:val="en-US" w:eastAsia="zh-CN"/>
                    </w:rPr>
                    <w:t>3</w:t>
                  </w:r>
                  <w:r>
                    <w:rPr>
                      <w:rFonts w:hint="default" w:ascii="Times New Roman" w:hAnsi="Times New Roman" w:eastAsia="宋体" w:cs="Times New Roman"/>
                      <w:color w:val="auto"/>
                      <w:sz w:val="21"/>
                      <w:szCs w:val="21"/>
                      <w:vertAlign w:val="baseline"/>
                      <w:lang w:val="en-US" w:eastAsia="zh-CN"/>
                    </w:rPr>
                    <w:t>沉淀池沉淀后回用不外排，煤泥洗选废水收集至循环水池，进入循环水系统循环使用，不外排。</w:t>
                  </w:r>
                </w:p>
              </w:tc>
              <w:tc>
                <w:tcPr>
                  <w:tcW w:w="590" w:type="pct"/>
                  <w:vMerge w:val="continue"/>
                  <w:noWrap w:val="0"/>
                  <w:vAlign w:val="center"/>
                </w:tcPr>
                <w:p w14:paraId="4A66E965">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sz w:val="21"/>
                      <w:szCs w:val="21"/>
                      <w:vertAlign w:val="baseline"/>
                      <w:lang w:val="en-US" w:eastAsia="zh-CN"/>
                    </w:rPr>
                  </w:pPr>
                </w:p>
              </w:tc>
            </w:tr>
            <w:tr w14:paraId="05681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85" w:type="pct"/>
                  <w:vMerge w:val="continue"/>
                  <w:noWrap w:val="0"/>
                  <w:vAlign w:val="center"/>
                </w:tcPr>
                <w:p w14:paraId="55F59951">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sz w:val="21"/>
                      <w:szCs w:val="21"/>
                    </w:rPr>
                  </w:pPr>
                </w:p>
              </w:tc>
              <w:tc>
                <w:tcPr>
                  <w:tcW w:w="605" w:type="pct"/>
                  <w:noWrap w:val="0"/>
                  <w:vAlign w:val="center"/>
                </w:tcPr>
                <w:p w14:paraId="4CAA3BE9">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供电</w:t>
                  </w:r>
                </w:p>
              </w:tc>
              <w:tc>
                <w:tcPr>
                  <w:tcW w:w="3418" w:type="pct"/>
                  <w:gridSpan w:val="2"/>
                  <w:noWrap w:val="0"/>
                  <w:vAlign w:val="center"/>
                </w:tcPr>
                <w:p w14:paraId="055D4E70">
                  <w:pPr>
                    <w:pStyle w:val="1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cs="Times New Roman"/>
                      <w:color w:val="auto"/>
                      <w:sz w:val="21"/>
                      <w:szCs w:val="21"/>
                      <w:lang w:val="en-US" w:eastAsia="zh-CN"/>
                    </w:rPr>
                    <w:t>由市政统一供电</w:t>
                  </w:r>
                  <w:r>
                    <w:rPr>
                      <w:rFonts w:hint="eastAsia" w:ascii="Times New Roman" w:hAnsi="Times New Roman" w:cs="Times New Roman"/>
                      <w:color w:val="auto"/>
                      <w:sz w:val="21"/>
                      <w:szCs w:val="21"/>
                      <w:lang w:val="en-US" w:eastAsia="zh-CN"/>
                    </w:rPr>
                    <w:t>。</w:t>
                  </w:r>
                </w:p>
              </w:tc>
              <w:tc>
                <w:tcPr>
                  <w:tcW w:w="590" w:type="pct"/>
                  <w:vMerge w:val="continue"/>
                  <w:noWrap w:val="0"/>
                  <w:vAlign w:val="center"/>
                </w:tcPr>
                <w:p w14:paraId="7DB0E8BB">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sz w:val="21"/>
                      <w:szCs w:val="21"/>
                      <w:vertAlign w:val="baseline"/>
                      <w:lang w:val="en-US" w:eastAsia="zh-CN"/>
                    </w:rPr>
                  </w:pPr>
                </w:p>
              </w:tc>
            </w:tr>
            <w:tr w14:paraId="07BD1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85" w:type="pct"/>
                  <w:vMerge w:val="continue"/>
                  <w:noWrap w:val="0"/>
                  <w:vAlign w:val="center"/>
                </w:tcPr>
                <w:p w14:paraId="0B747330">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sz w:val="21"/>
                      <w:szCs w:val="21"/>
                      <w:vertAlign w:val="baseline"/>
                      <w:lang w:val="en-US" w:eastAsia="zh-CN"/>
                    </w:rPr>
                  </w:pPr>
                </w:p>
              </w:tc>
              <w:tc>
                <w:tcPr>
                  <w:tcW w:w="605" w:type="pct"/>
                  <w:noWrap w:val="0"/>
                  <w:vAlign w:val="center"/>
                </w:tcPr>
                <w:p w14:paraId="263A331C">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供热</w:t>
                  </w:r>
                </w:p>
              </w:tc>
              <w:tc>
                <w:tcPr>
                  <w:tcW w:w="3418" w:type="pct"/>
                  <w:gridSpan w:val="2"/>
                  <w:noWrap w:val="0"/>
                  <w:vAlign w:val="center"/>
                </w:tcPr>
                <w:p w14:paraId="6F59D8F2">
                  <w:pPr>
                    <w:keepNext w:val="0"/>
                    <w:keepLines w:val="0"/>
                    <w:pageBreakBefore w:val="0"/>
                    <w:widowControl w:val="0"/>
                    <w:kinsoku/>
                    <w:wordWrap/>
                    <w:overflowPunct/>
                    <w:topLinePunct w:val="0"/>
                    <w:autoSpaceDN/>
                    <w:bidi w:val="0"/>
                    <w:jc w:val="left"/>
                    <w:textAlignment w:val="auto"/>
                    <w:rPr>
                      <w:rFonts w:hint="default" w:ascii="Times New Roman" w:hAnsi="Times New Roman" w:cs="Times New Roman"/>
                      <w:sz w:val="21"/>
                      <w:szCs w:val="21"/>
                      <w:vertAlign w:val="baseline"/>
                      <w:lang w:val="en-US" w:eastAsia="zh-CN"/>
                    </w:rPr>
                  </w:pPr>
                  <w:r>
                    <w:rPr>
                      <w:rFonts w:hint="default" w:ascii="Times New Roman" w:hAnsi="Times New Roman" w:cs="Times New Roman"/>
                      <w:color w:val="auto"/>
                      <w:sz w:val="21"/>
                      <w:szCs w:val="21"/>
                      <w:lang w:val="en-US" w:eastAsia="zh-CN"/>
                    </w:rPr>
                    <w:t>采用空气能热泵供热（电驱），一台位于生活区，一台位于洗煤车间。</w:t>
                  </w:r>
                </w:p>
              </w:tc>
              <w:tc>
                <w:tcPr>
                  <w:tcW w:w="590" w:type="pct"/>
                  <w:vMerge w:val="continue"/>
                  <w:noWrap w:val="0"/>
                  <w:vAlign w:val="center"/>
                </w:tcPr>
                <w:p w14:paraId="1157F49B">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sz w:val="21"/>
                      <w:szCs w:val="21"/>
                      <w:vertAlign w:val="baseline"/>
                      <w:lang w:val="en-US" w:eastAsia="zh-CN"/>
                    </w:rPr>
                  </w:pPr>
                </w:p>
              </w:tc>
            </w:tr>
            <w:tr w14:paraId="788A0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85" w:type="pct"/>
                  <w:vMerge w:val="restart"/>
                  <w:noWrap w:val="0"/>
                  <w:vAlign w:val="center"/>
                </w:tcPr>
                <w:p w14:paraId="47B85CF1">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环保工程</w:t>
                  </w:r>
                </w:p>
              </w:tc>
              <w:tc>
                <w:tcPr>
                  <w:tcW w:w="605" w:type="pct"/>
                  <w:vMerge w:val="restart"/>
                  <w:noWrap w:val="0"/>
                  <w:vAlign w:val="center"/>
                </w:tcPr>
                <w:p w14:paraId="5A2DDBB5">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施工期</w:t>
                  </w:r>
                </w:p>
              </w:tc>
              <w:tc>
                <w:tcPr>
                  <w:tcW w:w="401" w:type="pct"/>
                  <w:noWrap w:val="0"/>
                  <w:vAlign w:val="center"/>
                </w:tcPr>
                <w:p w14:paraId="5312C4E1">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固废</w:t>
                  </w:r>
                </w:p>
              </w:tc>
              <w:tc>
                <w:tcPr>
                  <w:tcW w:w="3017" w:type="pct"/>
                  <w:noWrap w:val="0"/>
                  <w:vAlign w:val="center"/>
                </w:tcPr>
                <w:p w14:paraId="2D33D57B">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left"/>
                    <w:textAlignment w:val="auto"/>
                    <w:rPr>
                      <w:rFonts w:hint="default" w:ascii="Times New Roman" w:hAnsi="Times New Roman" w:cs="Times New Roman"/>
                      <w:sz w:val="21"/>
                      <w:szCs w:val="21"/>
                      <w:vertAlign w:val="baseline"/>
                      <w:lang w:val="en-US" w:eastAsia="zh-CN"/>
                    </w:rPr>
                  </w:pPr>
                  <w:r>
                    <w:rPr>
                      <w:rFonts w:hint="default" w:ascii="Times New Roman" w:hAnsi="Times New Roman" w:eastAsia="宋体" w:cs="Times New Roman"/>
                      <w:b w:val="0"/>
                      <w:bCs/>
                      <w:color w:val="000000"/>
                      <w:kern w:val="2"/>
                      <w:sz w:val="21"/>
                      <w:szCs w:val="21"/>
                      <w:lang w:val="en-US" w:eastAsia="zh-CN" w:bidi="ar"/>
                    </w:rPr>
                    <w:t>建筑垃圾拉运到住建部门指定的地点处理；包装废弃物和废金属收集后外售处理。</w:t>
                  </w:r>
                </w:p>
              </w:tc>
              <w:tc>
                <w:tcPr>
                  <w:tcW w:w="590" w:type="pct"/>
                  <w:noWrap w:val="0"/>
                  <w:vAlign w:val="center"/>
                </w:tcPr>
                <w:p w14:paraId="294C6691">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拟建</w:t>
                  </w:r>
                </w:p>
              </w:tc>
            </w:tr>
            <w:tr w14:paraId="0049D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85" w:type="pct"/>
                  <w:vMerge w:val="continue"/>
                  <w:noWrap w:val="0"/>
                  <w:vAlign w:val="center"/>
                </w:tcPr>
                <w:p w14:paraId="6C8A2D04">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sz w:val="21"/>
                      <w:szCs w:val="21"/>
                      <w:vertAlign w:val="baseline"/>
                      <w:lang w:val="en-US" w:eastAsia="zh-CN"/>
                    </w:rPr>
                  </w:pPr>
                </w:p>
              </w:tc>
              <w:tc>
                <w:tcPr>
                  <w:tcW w:w="605" w:type="pct"/>
                  <w:vMerge w:val="continue"/>
                  <w:noWrap w:val="0"/>
                  <w:vAlign w:val="center"/>
                </w:tcPr>
                <w:p w14:paraId="67630BD6">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sz w:val="21"/>
                      <w:szCs w:val="21"/>
                      <w:vertAlign w:val="baseline"/>
                      <w:lang w:val="en-US" w:eastAsia="zh-CN"/>
                    </w:rPr>
                  </w:pPr>
                </w:p>
              </w:tc>
              <w:tc>
                <w:tcPr>
                  <w:tcW w:w="401" w:type="pct"/>
                  <w:noWrap w:val="0"/>
                  <w:vAlign w:val="center"/>
                </w:tcPr>
                <w:p w14:paraId="0CAAE078">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噪声</w:t>
                  </w:r>
                </w:p>
              </w:tc>
              <w:tc>
                <w:tcPr>
                  <w:tcW w:w="3017" w:type="pct"/>
                  <w:noWrap w:val="0"/>
                  <w:vAlign w:val="center"/>
                </w:tcPr>
                <w:p w14:paraId="6CE94A91">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cs="Times New Roman"/>
                      <w:sz w:val="21"/>
                      <w:szCs w:val="21"/>
                      <w:vertAlign w:val="baseline"/>
                      <w:lang w:val="en-US" w:eastAsia="zh-CN"/>
                    </w:rPr>
                  </w:pPr>
                  <w:r>
                    <w:rPr>
                      <w:rFonts w:hint="default" w:ascii="Times New Roman" w:hAnsi="Times New Roman" w:eastAsia="宋体" w:cs="Times New Roman"/>
                      <w:b w:val="0"/>
                      <w:bCs/>
                      <w:color w:val="000000"/>
                      <w:kern w:val="2"/>
                      <w:sz w:val="21"/>
                      <w:szCs w:val="21"/>
                      <w:lang w:val="en-US" w:eastAsia="zh-CN" w:bidi="ar"/>
                    </w:rPr>
                    <w:t>选用低噪声设备，定期维护机械和车辆。</w:t>
                  </w:r>
                </w:p>
              </w:tc>
              <w:tc>
                <w:tcPr>
                  <w:tcW w:w="590" w:type="pct"/>
                  <w:noWrap w:val="0"/>
                  <w:vAlign w:val="center"/>
                </w:tcPr>
                <w:p w14:paraId="71295F56">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拟建</w:t>
                  </w:r>
                </w:p>
              </w:tc>
            </w:tr>
            <w:tr w14:paraId="51A30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85" w:type="pct"/>
                  <w:vMerge w:val="continue"/>
                  <w:noWrap w:val="0"/>
                  <w:vAlign w:val="center"/>
                </w:tcPr>
                <w:p w14:paraId="38D23C31">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sz w:val="21"/>
                      <w:szCs w:val="21"/>
                      <w:vertAlign w:val="baseline"/>
                      <w:lang w:val="en-US" w:eastAsia="zh-CN"/>
                    </w:rPr>
                  </w:pPr>
                </w:p>
              </w:tc>
              <w:tc>
                <w:tcPr>
                  <w:tcW w:w="605" w:type="pct"/>
                  <w:vMerge w:val="continue"/>
                  <w:noWrap w:val="0"/>
                  <w:vAlign w:val="center"/>
                </w:tcPr>
                <w:p w14:paraId="0B62E0CD">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sz w:val="21"/>
                      <w:szCs w:val="21"/>
                      <w:vertAlign w:val="baseline"/>
                      <w:lang w:val="en-US" w:eastAsia="zh-CN"/>
                    </w:rPr>
                  </w:pPr>
                </w:p>
              </w:tc>
              <w:tc>
                <w:tcPr>
                  <w:tcW w:w="401" w:type="pct"/>
                  <w:noWrap w:val="0"/>
                  <w:vAlign w:val="center"/>
                </w:tcPr>
                <w:p w14:paraId="3DF27009">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废气</w:t>
                  </w:r>
                </w:p>
              </w:tc>
              <w:tc>
                <w:tcPr>
                  <w:tcW w:w="3017" w:type="pct"/>
                  <w:noWrap w:val="0"/>
                  <w:vAlign w:val="center"/>
                </w:tcPr>
                <w:p w14:paraId="34DB492F">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both"/>
                    <w:textAlignment w:val="auto"/>
                    <w:rPr>
                      <w:rFonts w:hint="default" w:ascii="Times New Roman" w:hAnsi="Times New Roman" w:eastAsia="宋体" w:cs="Times New Roman"/>
                      <w:b w:val="0"/>
                      <w:bCs/>
                      <w:color w:val="000000"/>
                      <w:kern w:val="2"/>
                      <w:sz w:val="21"/>
                      <w:szCs w:val="21"/>
                      <w:lang w:val="en-US" w:eastAsia="zh-CN" w:bidi="ar"/>
                    </w:rPr>
                  </w:pPr>
                  <w:r>
                    <w:rPr>
                      <w:rFonts w:hint="default" w:ascii="Times New Roman" w:hAnsi="Times New Roman" w:eastAsia="宋体" w:cs="Times New Roman"/>
                      <w:b w:val="0"/>
                      <w:bCs/>
                      <w:color w:val="000000"/>
                      <w:kern w:val="2"/>
                      <w:sz w:val="21"/>
                      <w:szCs w:val="21"/>
                      <w:lang w:val="en-US" w:eastAsia="zh-CN" w:bidi="ar"/>
                    </w:rPr>
                    <w:t>施工现场设置硬质围挡，裸露土方全覆盖防尘网，场内道路定时洒水抑尘。</w:t>
                  </w:r>
                </w:p>
              </w:tc>
              <w:tc>
                <w:tcPr>
                  <w:tcW w:w="590" w:type="pct"/>
                  <w:noWrap w:val="0"/>
                  <w:vAlign w:val="center"/>
                </w:tcPr>
                <w:p w14:paraId="0EBACC2C">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拟建</w:t>
                  </w:r>
                </w:p>
              </w:tc>
            </w:tr>
            <w:tr w14:paraId="66463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85" w:type="pct"/>
                  <w:vMerge w:val="continue"/>
                  <w:noWrap w:val="0"/>
                  <w:vAlign w:val="center"/>
                </w:tcPr>
                <w:p w14:paraId="4220728F">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sz w:val="21"/>
                      <w:szCs w:val="21"/>
                      <w:vertAlign w:val="baseline"/>
                      <w:lang w:val="en-US" w:eastAsia="zh-CN"/>
                    </w:rPr>
                  </w:pPr>
                </w:p>
              </w:tc>
              <w:tc>
                <w:tcPr>
                  <w:tcW w:w="605" w:type="pct"/>
                  <w:vMerge w:val="continue"/>
                  <w:noWrap w:val="0"/>
                  <w:vAlign w:val="center"/>
                </w:tcPr>
                <w:p w14:paraId="7ED1FE69">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sz w:val="21"/>
                      <w:szCs w:val="21"/>
                      <w:vertAlign w:val="baseline"/>
                      <w:lang w:val="en-US" w:eastAsia="zh-CN"/>
                    </w:rPr>
                  </w:pPr>
                </w:p>
              </w:tc>
              <w:tc>
                <w:tcPr>
                  <w:tcW w:w="401" w:type="pct"/>
                  <w:noWrap w:val="0"/>
                  <w:vAlign w:val="center"/>
                </w:tcPr>
                <w:p w14:paraId="18771762">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废水</w:t>
                  </w:r>
                </w:p>
              </w:tc>
              <w:tc>
                <w:tcPr>
                  <w:tcW w:w="3017" w:type="pct"/>
                  <w:noWrap w:val="0"/>
                  <w:vAlign w:val="center"/>
                </w:tcPr>
                <w:p w14:paraId="03365F6D">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color w:val="000000"/>
                      <w:kern w:val="2"/>
                      <w:sz w:val="21"/>
                      <w:szCs w:val="21"/>
                      <w:lang w:val="en-US" w:eastAsia="zh-CN" w:bidi="ar"/>
                    </w:rPr>
                  </w:pPr>
                  <w:r>
                    <w:rPr>
                      <w:rFonts w:hint="default" w:ascii="Times New Roman" w:hAnsi="Times New Roman" w:eastAsia="宋体" w:cs="Times New Roman"/>
                      <w:b w:val="0"/>
                      <w:bCs/>
                      <w:color w:val="000000"/>
                      <w:kern w:val="2"/>
                      <w:sz w:val="21"/>
                      <w:szCs w:val="21"/>
                      <w:lang w:val="en-US" w:eastAsia="zh-CN" w:bidi="ar"/>
                    </w:rPr>
                    <w:t>设临时沉淀池，施工结束后拆除、平整。</w:t>
                  </w:r>
                </w:p>
              </w:tc>
              <w:tc>
                <w:tcPr>
                  <w:tcW w:w="590" w:type="pct"/>
                  <w:noWrap w:val="0"/>
                  <w:vAlign w:val="center"/>
                </w:tcPr>
                <w:p w14:paraId="3841AC93">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拟建</w:t>
                  </w:r>
                </w:p>
              </w:tc>
            </w:tr>
            <w:tr w14:paraId="13310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85" w:type="pct"/>
                  <w:vMerge w:val="continue"/>
                  <w:noWrap w:val="0"/>
                  <w:vAlign w:val="center"/>
                </w:tcPr>
                <w:p w14:paraId="3D888B11">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sz w:val="21"/>
                      <w:szCs w:val="21"/>
                      <w:vertAlign w:val="baseline"/>
                      <w:lang w:val="en-US" w:eastAsia="zh-CN"/>
                    </w:rPr>
                  </w:pPr>
                </w:p>
              </w:tc>
              <w:tc>
                <w:tcPr>
                  <w:tcW w:w="605" w:type="pct"/>
                  <w:vMerge w:val="restart"/>
                  <w:noWrap w:val="0"/>
                  <w:vAlign w:val="center"/>
                </w:tcPr>
                <w:p w14:paraId="05222DA7">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运营期</w:t>
                  </w:r>
                </w:p>
              </w:tc>
              <w:tc>
                <w:tcPr>
                  <w:tcW w:w="401" w:type="pct"/>
                  <w:noWrap w:val="0"/>
                  <w:vAlign w:val="center"/>
                </w:tcPr>
                <w:p w14:paraId="450B9FA3">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废气</w:t>
                  </w:r>
                </w:p>
              </w:tc>
              <w:tc>
                <w:tcPr>
                  <w:tcW w:w="3017" w:type="pct"/>
                  <w:noWrap w:val="0"/>
                  <w:vAlign w:val="center"/>
                </w:tcPr>
                <w:p w14:paraId="031AB847">
                  <w:pPr>
                    <w:keepNext w:val="0"/>
                    <w:keepLines w:val="0"/>
                    <w:pageBreakBefore w:val="0"/>
                    <w:widowControl w:val="0"/>
                    <w:suppressLineNumbers w:val="0"/>
                    <w:kinsoku/>
                    <w:wordWrap/>
                    <w:overflowPunct/>
                    <w:topLinePunct w:val="0"/>
                    <w:autoSpaceDE w:val="0"/>
                    <w:autoSpaceDN/>
                    <w:bidi w:val="0"/>
                    <w:snapToGrid w:val="0"/>
                    <w:spacing w:before="0" w:beforeAutospacing="0" w:after="0" w:afterAutospacing="0"/>
                    <w:ind w:left="0" w:leftChars="0" w:right="0" w:rightChars="0" w:firstLine="0" w:firstLineChars="0"/>
                    <w:jc w:val="both"/>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fldChar w:fldCharType="begin"/>
                  </w:r>
                  <w:r>
                    <w:rPr>
                      <w:rFonts w:hint="default" w:ascii="Times New Roman" w:hAnsi="Times New Roman" w:cs="Times New Roman"/>
                      <w:sz w:val="21"/>
                      <w:szCs w:val="21"/>
                      <w:lang w:val="en-US" w:eastAsia="zh-CN"/>
                    </w:rPr>
                    <w:instrText xml:space="preserve"> = 1 \* GB3 \* MERGEFORMAT </w:instrText>
                  </w:r>
                  <w:r>
                    <w:rPr>
                      <w:rFonts w:hint="default" w:ascii="Times New Roman" w:hAnsi="Times New Roman" w:cs="Times New Roman"/>
                      <w:sz w:val="21"/>
                      <w:szCs w:val="21"/>
                      <w:lang w:val="en-US" w:eastAsia="zh-CN"/>
                    </w:rPr>
                    <w:fldChar w:fldCharType="separate"/>
                  </w:r>
                  <w:r>
                    <w:rPr>
                      <w:rFonts w:hint="default" w:ascii="Times New Roman" w:hAnsi="Times New Roman" w:cs="Times New Roman"/>
                      <w:sz w:val="21"/>
                      <w:szCs w:val="21"/>
                    </w:rPr>
                    <w:t>①</w:t>
                  </w:r>
                  <w:r>
                    <w:rPr>
                      <w:rFonts w:hint="default" w:ascii="Times New Roman" w:hAnsi="Times New Roman" w:cs="Times New Roman"/>
                      <w:sz w:val="21"/>
                      <w:szCs w:val="21"/>
                      <w:lang w:val="en-US" w:eastAsia="zh-CN"/>
                    </w:rPr>
                    <w:fldChar w:fldCharType="end"/>
                  </w:r>
                  <w:r>
                    <w:rPr>
                      <w:rFonts w:hint="default" w:ascii="Times New Roman" w:hAnsi="Times New Roman" w:cs="Times New Roman"/>
                      <w:sz w:val="21"/>
                      <w:szCs w:val="21"/>
                      <w:lang w:val="en-US" w:eastAsia="zh-CN"/>
                    </w:rPr>
                    <w:t>为减少物料在堆存、装卸过程中的扬尘量，</w:t>
                  </w:r>
                  <w:r>
                    <w:rPr>
                      <w:rFonts w:hint="default" w:ascii="Times New Roman" w:hAnsi="Times New Roman" w:cs="Times New Roman"/>
                      <w:spacing w:val="-4"/>
                      <w:sz w:val="21"/>
                      <w:szCs w:val="21"/>
                    </w:rPr>
                    <w:t>大型煤炭储运中心</w:t>
                  </w:r>
                  <w:r>
                    <w:rPr>
                      <w:rFonts w:hint="default" w:ascii="Times New Roman" w:hAnsi="Times New Roman" w:cs="Times New Roman"/>
                      <w:spacing w:val="-4"/>
                      <w:sz w:val="21"/>
                      <w:szCs w:val="21"/>
                      <w:lang w:eastAsia="zh-CN"/>
                    </w:rPr>
                    <w:t>（</w:t>
                  </w:r>
                  <w:r>
                    <w:rPr>
                      <w:rFonts w:hint="default" w:ascii="Times New Roman" w:hAnsi="Times New Roman" w:cs="Times New Roman"/>
                      <w:spacing w:val="-4"/>
                      <w:sz w:val="21"/>
                      <w:szCs w:val="21"/>
                      <w:lang w:val="en-US" w:eastAsia="zh-CN"/>
                    </w:rPr>
                    <w:t>原料棚、精煤、中煤棚、尾煤泥棚</w:t>
                  </w:r>
                  <w:r>
                    <w:rPr>
                      <w:rFonts w:hint="default" w:ascii="Times New Roman" w:hAnsi="Times New Roman" w:cs="Times New Roman"/>
                      <w:spacing w:val="-4"/>
                      <w:sz w:val="21"/>
                      <w:szCs w:val="21"/>
                      <w:lang w:eastAsia="zh-CN"/>
                    </w:rPr>
                    <w:t>）</w:t>
                  </w:r>
                  <w:r>
                    <w:rPr>
                      <w:rFonts w:hint="default" w:ascii="Times New Roman" w:hAnsi="Times New Roman" w:cs="Times New Roman"/>
                      <w:sz w:val="21"/>
                      <w:szCs w:val="21"/>
                      <w:lang w:val="en-US" w:eastAsia="zh-CN"/>
                    </w:rPr>
                    <w:t>安装喷淋装置；</w:t>
                  </w:r>
                </w:p>
                <w:p w14:paraId="60097707">
                  <w:pPr>
                    <w:keepNext w:val="0"/>
                    <w:keepLines w:val="0"/>
                    <w:pageBreakBefore w:val="0"/>
                    <w:widowControl w:val="0"/>
                    <w:suppressLineNumbers w:val="0"/>
                    <w:kinsoku/>
                    <w:wordWrap/>
                    <w:overflowPunct/>
                    <w:topLinePunct w:val="0"/>
                    <w:autoSpaceDE w:val="0"/>
                    <w:autoSpaceDN/>
                    <w:bidi w:val="0"/>
                    <w:snapToGrid w:val="0"/>
                    <w:spacing w:before="0" w:beforeAutospacing="0" w:after="0" w:afterAutospacing="0"/>
                    <w:ind w:left="0" w:leftChars="0" w:right="0" w:rightChars="0" w:firstLine="0" w:firstLineChars="0"/>
                    <w:jc w:val="left"/>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fldChar w:fldCharType="begin"/>
                  </w:r>
                  <w:r>
                    <w:rPr>
                      <w:rFonts w:hint="default" w:ascii="Times New Roman" w:hAnsi="Times New Roman" w:cs="Times New Roman"/>
                      <w:sz w:val="21"/>
                      <w:szCs w:val="21"/>
                      <w:lang w:val="en-US" w:eastAsia="zh-CN"/>
                    </w:rPr>
                    <w:instrText xml:space="preserve"> = 2 \* GB3 \* MERGEFORMAT </w:instrText>
                  </w:r>
                  <w:r>
                    <w:rPr>
                      <w:rFonts w:hint="default" w:ascii="Times New Roman" w:hAnsi="Times New Roman" w:cs="Times New Roman"/>
                      <w:sz w:val="21"/>
                      <w:szCs w:val="21"/>
                      <w:lang w:val="en-US" w:eastAsia="zh-CN"/>
                    </w:rPr>
                    <w:fldChar w:fldCharType="separate"/>
                  </w:r>
                  <w:r>
                    <w:rPr>
                      <w:rFonts w:hint="default" w:ascii="Times New Roman" w:hAnsi="Times New Roman" w:cs="Times New Roman"/>
                      <w:sz w:val="21"/>
                      <w:szCs w:val="21"/>
                    </w:rPr>
                    <w:t>②</w:t>
                  </w:r>
                  <w:r>
                    <w:rPr>
                      <w:rFonts w:hint="default" w:ascii="Times New Roman" w:hAnsi="Times New Roman" w:cs="Times New Roman"/>
                      <w:sz w:val="21"/>
                      <w:szCs w:val="21"/>
                      <w:lang w:val="en-US" w:eastAsia="zh-CN"/>
                    </w:rPr>
                    <w:fldChar w:fldCharType="end"/>
                  </w:r>
                  <w:r>
                    <w:rPr>
                      <w:rFonts w:hint="default" w:ascii="Times New Roman" w:hAnsi="Times New Roman" w:cs="Times New Roman"/>
                      <w:sz w:val="21"/>
                      <w:szCs w:val="21"/>
                      <w:lang w:val="en-US" w:eastAsia="zh-CN"/>
                    </w:rPr>
                    <w:t>货车限速，苫布遮盖；场区道路硬化，定期洒水、清扫；进出车辆清洗车身。</w:t>
                  </w:r>
                </w:p>
                <w:p w14:paraId="590A398E">
                  <w:pPr>
                    <w:pStyle w:val="2"/>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sz w:val="21"/>
                      <w:szCs w:val="21"/>
                      <w:lang w:val="en-US" w:eastAsia="zh-CN"/>
                    </w:rPr>
                  </w:pPr>
                  <w:r>
                    <w:rPr>
                      <w:rFonts w:hint="default" w:ascii="Times New Roman" w:hAnsi="Times New Roman" w:eastAsia="宋体" w:cs="Times New Roman"/>
                      <w:kern w:val="2"/>
                      <w:sz w:val="21"/>
                      <w:szCs w:val="21"/>
                      <w:lang w:val="en-US" w:eastAsia="zh-CN" w:bidi="ar-SA"/>
                    </w:rPr>
                    <w:fldChar w:fldCharType="begin"/>
                  </w:r>
                  <w:r>
                    <w:rPr>
                      <w:rFonts w:hint="default" w:ascii="Times New Roman" w:hAnsi="Times New Roman" w:eastAsia="宋体" w:cs="Times New Roman"/>
                      <w:kern w:val="2"/>
                      <w:sz w:val="21"/>
                      <w:szCs w:val="21"/>
                      <w:lang w:val="en-US" w:eastAsia="zh-CN" w:bidi="ar-SA"/>
                    </w:rPr>
                    <w:instrText xml:space="preserve"> = 3 \* GB3 \* MERGEFORMAT </w:instrText>
                  </w:r>
                  <w:r>
                    <w:rPr>
                      <w:rFonts w:hint="default" w:ascii="Times New Roman" w:hAnsi="Times New Roman" w:eastAsia="宋体" w:cs="Times New Roman"/>
                      <w:kern w:val="2"/>
                      <w:sz w:val="21"/>
                      <w:szCs w:val="21"/>
                      <w:lang w:val="en-US" w:eastAsia="zh-CN" w:bidi="ar-SA"/>
                    </w:rPr>
                    <w:fldChar w:fldCharType="separate"/>
                  </w:r>
                  <w:r>
                    <w:rPr>
                      <w:rFonts w:hint="default" w:ascii="Times New Roman" w:hAnsi="Times New Roman" w:eastAsia="宋体" w:cs="Times New Roman"/>
                      <w:kern w:val="2"/>
                      <w:sz w:val="21"/>
                      <w:szCs w:val="21"/>
                      <w:lang w:val="en-US" w:eastAsia="zh-CN" w:bidi="ar-SA"/>
                    </w:rPr>
                    <w:t>③</w:t>
                  </w:r>
                  <w:r>
                    <w:rPr>
                      <w:rFonts w:hint="default" w:ascii="Times New Roman" w:hAnsi="Times New Roman" w:eastAsia="宋体" w:cs="Times New Roman"/>
                      <w:kern w:val="2"/>
                      <w:sz w:val="21"/>
                      <w:szCs w:val="21"/>
                      <w:lang w:val="en-US" w:eastAsia="zh-CN" w:bidi="ar-SA"/>
                    </w:rPr>
                    <w:fldChar w:fldCharType="end"/>
                  </w:r>
                  <w:r>
                    <w:rPr>
                      <w:rFonts w:hint="default" w:ascii="Times New Roman" w:hAnsi="Times New Roman" w:eastAsia="宋体" w:cs="Times New Roman"/>
                      <w:kern w:val="2"/>
                      <w:sz w:val="21"/>
                      <w:szCs w:val="21"/>
                      <w:lang w:val="en-US" w:eastAsia="zh-CN" w:bidi="ar-SA"/>
                    </w:rPr>
                    <w:t>物料运转、转载过程中采用封闭廊道，喷雾除尘的方式减少粉尘量。</w:t>
                  </w:r>
                </w:p>
              </w:tc>
              <w:tc>
                <w:tcPr>
                  <w:tcW w:w="590" w:type="pct"/>
                  <w:noWrap w:val="0"/>
                  <w:vAlign w:val="center"/>
                </w:tcPr>
                <w:p w14:paraId="57F14CBD">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拟建</w:t>
                  </w:r>
                </w:p>
              </w:tc>
            </w:tr>
            <w:tr w14:paraId="60584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85" w:type="pct"/>
                  <w:vMerge w:val="continue"/>
                  <w:noWrap w:val="0"/>
                  <w:vAlign w:val="center"/>
                </w:tcPr>
                <w:p w14:paraId="0FCB457C">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sz w:val="21"/>
                      <w:szCs w:val="21"/>
                      <w:vertAlign w:val="baseline"/>
                      <w:lang w:val="en-US" w:eastAsia="zh-CN"/>
                    </w:rPr>
                  </w:pPr>
                </w:p>
              </w:tc>
              <w:tc>
                <w:tcPr>
                  <w:tcW w:w="605" w:type="pct"/>
                  <w:vMerge w:val="continue"/>
                  <w:noWrap w:val="0"/>
                  <w:vAlign w:val="center"/>
                </w:tcPr>
                <w:p w14:paraId="4AB1DED1">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sz w:val="21"/>
                      <w:szCs w:val="21"/>
                      <w:vertAlign w:val="baseline"/>
                      <w:lang w:val="en-US" w:eastAsia="zh-CN"/>
                    </w:rPr>
                  </w:pPr>
                </w:p>
              </w:tc>
              <w:tc>
                <w:tcPr>
                  <w:tcW w:w="401" w:type="pct"/>
                  <w:noWrap w:val="0"/>
                  <w:vAlign w:val="center"/>
                </w:tcPr>
                <w:p w14:paraId="6BB664F2">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废水</w:t>
                  </w:r>
                </w:p>
              </w:tc>
              <w:tc>
                <w:tcPr>
                  <w:tcW w:w="3017" w:type="pct"/>
                  <w:noWrap w:val="0"/>
                  <w:vAlign w:val="center"/>
                </w:tcPr>
                <w:p w14:paraId="1B2B3201">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both"/>
                    <w:textAlignment w:val="auto"/>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kern w:val="0"/>
                      <w:sz w:val="21"/>
                      <w:szCs w:val="21"/>
                      <w:lang w:val="en-US" w:eastAsia="zh-CN" w:bidi="ar-SA"/>
                    </w:rPr>
                    <w:fldChar w:fldCharType="begin"/>
                  </w:r>
                  <w:r>
                    <w:rPr>
                      <w:rFonts w:hint="default" w:ascii="Times New Roman" w:hAnsi="Times New Roman" w:eastAsia="宋体" w:cs="Times New Roman"/>
                      <w:kern w:val="0"/>
                      <w:sz w:val="21"/>
                      <w:szCs w:val="21"/>
                      <w:lang w:val="en-US" w:eastAsia="zh-CN" w:bidi="ar-SA"/>
                    </w:rPr>
                    <w:instrText xml:space="preserve"> = 1 \* GB3 \* MERGEFORMAT </w:instrText>
                  </w:r>
                  <w:r>
                    <w:rPr>
                      <w:rFonts w:hint="default" w:ascii="Times New Roman" w:hAnsi="Times New Roman" w:eastAsia="宋体" w:cs="Times New Roman"/>
                      <w:kern w:val="0"/>
                      <w:sz w:val="21"/>
                      <w:szCs w:val="21"/>
                      <w:lang w:val="en-US" w:eastAsia="zh-CN" w:bidi="ar-SA"/>
                    </w:rPr>
                    <w:fldChar w:fldCharType="separate"/>
                  </w:r>
                  <w:r>
                    <w:rPr>
                      <w:rFonts w:hint="default" w:ascii="Times New Roman" w:hAnsi="Times New Roman" w:eastAsia="宋体" w:cs="Times New Roman"/>
                      <w:kern w:val="0"/>
                      <w:sz w:val="21"/>
                      <w:szCs w:val="21"/>
                      <w:lang w:val="en-US" w:eastAsia="zh-CN" w:bidi="ar-SA"/>
                    </w:rPr>
                    <w:t>①</w:t>
                  </w:r>
                  <w:r>
                    <w:rPr>
                      <w:rFonts w:hint="default" w:ascii="Times New Roman" w:hAnsi="Times New Roman" w:eastAsia="宋体" w:cs="Times New Roman"/>
                      <w:kern w:val="0"/>
                      <w:sz w:val="21"/>
                      <w:szCs w:val="21"/>
                      <w:lang w:val="en-US" w:eastAsia="zh-CN" w:bidi="ar-SA"/>
                    </w:rPr>
                    <w:fldChar w:fldCharType="end"/>
                  </w:r>
                  <w:r>
                    <w:rPr>
                      <w:rFonts w:hint="default" w:ascii="Times New Roman" w:hAnsi="Times New Roman" w:eastAsia="宋体" w:cs="Times New Roman"/>
                      <w:sz w:val="21"/>
                      <w:szCs w:val="21"/>
                      <w:vertAlign w:val="baseline"/>
                      <w:lang w:val="en-US" w:eastAsia="zh-CN"/>
                    </w:rPr>
                    <w:t>生活污水</w:t>
                  </w:r>
                  <w:r>
                    <w:rPr>
                      <w:rFonts w:hint="default" w:ascii="Times New Roman" w:hAnsi="Times New Roman" w:eastAsia="宋体" w:cs="Times New Roman"/>
                      <w:color w:val="000000"/>
                      <w:sz w:val="21"/>
                      <w:szCs w:val="21"/>
                      <w:lang w:val="en-US" w:eastAsia="zh-CN"/>
                    </w:rPr>
                    <w:t>经一体化污水处理设施</w:t>
                  </w:r>
                  <w:r>
                    <w:rPr>
                      <w:rFonts w:hint="eastAsia" w:ascii="Times New Roman" w:hAnsi="Times New Roman" w:eastAsia="宋体" w:cs="Times New Roman"/>
                      <w:color w:val="000000"/>
                      <w:sz w:val="21"/>
                      <w:szCs w:val="21"/>
                      <w:lang w:val="en-US" w:eastAsia="zh-CN"/>
                    </w:rPr>
                    <w:t>（“</w:t>
                  </w:r>
                  <w:r>
                    <w:rPr>
                      <w:rFonts w:hint="default" w:ascii="Times New Roman" w:hAnsi="Times New Roman" w:eastAsia="宋体" w:cs="Times New Roman"/>
                      <w:color w:val="000000"/>
                      <w:sz w:val="21"/>
                      <w:szCs w:val="21"/>
                      <w:lang w:val="en-US" w:eastAsia="zh-CN"/>
                    </w:rPr>
                    <w:t>化粪池+A/O</w:t>
                  </w:r>
                  <w:r>
                    <w:rPr>
                      <w:rFonts w:hint="eastAsia" w:ascii="Times New Roman" w:hAnsi="Times New Roman" w:eastAsia="宋体" w:cs="Times New Roman"/>
                      <w:color w:val="000000"/>
                      <w:sz w:val="21"/>
                      <w:szCs w:val="21"/>
                      <w:lang w:val="en-US" w:eastAsia="zh-CN"/>
                    </w:rPr>
                    <w:t>+</w:t>
                  </w:r>
                  <w:r>
                    <w:rPr>
                      <w:rFonts w:hint="default" w:ascii="Times New Roman" w:hAnsi="Times New Roman" w:eastAsia="宋体" w:cs="Times New Roman"/>
                      <w:color w:val="000000"/>
                      <w:sz w:val="21"/>
                      <w:szCs w:val="21"/>
                      <w:lang w:val="en-US" w:eastAsia="zh-CN"/>
                    </w:rPr>
                    <w:t>沉淀</w:t>
                  </w:r>
                  <w:r>
                    <w:rPr>
                      <w:rFonts w:hint="eastAsia" w:ascii="Times New Roman" w:hAnsi="Times New Roman" w:eastAsia="宋体" w:cs="Times New Roman"/>
                      <w:color w:val="000000"/>
                      <w:sz w:val="21"/>
                      <w:szCs w:val="21"/>
                      <w:lang w:val="en-US" w:eastAsia="zh-CN"/>
                    </w:rPr>
                    <w:t>+消毒</w:t>
                  </w:r>
                  <w:r>
                    <w:rPr>
                      <w:rFonts w:hint="default" w:ascii="Times New Roman" w:hAnsi="Times New Roman" w:eastAsia="宋体" w:cs="Times New Roman"/>
                      <w:color w:val="000000"/>
                      <w:sz w:val="21"/>
                      <w:szCs w:val="21"/>
                      <w:lang w:val="en-US" w:eastAsia="zh-CN"/>
                    </w:rPr>
                    <w:t>一体化</w:t>
                  </w:r>
                  <w:r>
                    <w:rPr>
                      <w:rFonts w:hint="eastAsia" w:ascii="Times New Roman" w:hAnsi="Times New Roman" w:eastAsia="宋体" w:cs="Times New Roman"/>
                      <w:color w:val="000000"/>
                      <w:sz w:val="21"/>
                      <w:szCs w:val="21"/>
                      <w:lang w:val="en-US" w:eastAsia="zh-CN"/>
                    </w:rPr>
                    <w:t>”，</w:t>
                  </w:r>
                  <w:r>
                    <w:rPr>
                      <w:rFonts w:hint="eastAsia" w:ascii="Times New Roman" w:hAnsi="Times New Roman" w:eastAsia="宋体" w:cs="Times New Roman"/>
                      <w:color w:val="auto"/>
                      <w:sz w:val="21"/>
                      <w:szCs w:val="21"/>
                      <w:lang w:val="en-US" w:eastAsia="zh-CN"/>
                    </w:rPr>
                    <w:t>处理规模为5m</w:t>
                  </w:r>
                  <w:r>
                    <w:rPr>
                      <w:rFonts w:hint="eastAsia" w:ascii="Times New Roman" w:hAnsi="Times New Roman" w:eastAsia="宋体" w:cs="Times New Roman"/>
                      <w:color w:val="auto"/>
                      <w:sz w:val="21"/>
                      <w:szCs w:val="21"/>
                      <w:vertAlign w:val="superscript"/>
                      <w:lang w:val="en-US" w:eastAsia="zh-CN"/>
                    </w:rPr>
                    <w:t>3</w:t>
                  </w:r>
                  <w:r>
                    <w:rPr>
                      <w:rFonts w:hint="eastAsia" w:ascii="Times New Roman" w:hAnsi="Times New Roman" w:eastAsia="宋体" w:cs="Times New Roman"/>
                      <w:color w:val="auto"/>
                      <w:sz w:val="21"/>
                      <w:szCs w:val="21"/>
                      <w:lang w:val="en-US" w:eastAsia="zh-CN"/>
                    </w:rPr>
                    <w:t>/d</w:t>
                  </w:r>
                  <w:r>
                    <w:rPr>
                      <w:rFonts w:hint="eastAsia" w:ascii="Times New Roman" w:hAnsi="Times New Roman" w:eastAsia="宋体" w:cs="Times New Roman"/>
                      <w:color w:val="000000"/>
                      <w:sz w:val="21"/>
                      <w:szCs w:val="21"/>
                      <w:lang w:val="en-US" w:eastAsia="zh-CN"/>
                    </w:rPr>
                    <w:t>）</w:t>
                  </w:r>
                  <w:r>
                    <w:rPr>
                      <w:rFonts w:hint="default" w:ascii="Times New Roman" w:hAnsi="Times New Roman" w:eastAsia="宋体" w:cs="Times New Roman"/>
                      <w:color w:val="000000"/>
                      <w:sz w:val="21"/>
                      <w:szCs w:val="21"/>
                      <w:lang w:val="en-US" w:eastAsia="zh-CN"/>
                    </w:rPr>
                    <w:t>处理后，达到《农村生活污水处理排放标准》（DB654275-2019）表2的B级标准，</w:t>
                  </w:r>
                  <w:r>
                    <w:rPr>
                      <w:rFonts w:hint="eastAsia" w:ascii="Times New Roman" w:hAnsi="Times New Roman" w:eastAsia="宋体" w:cs="Times New Roman"/>
                      <w:color w:val="000000"/>
                      <w:sz w:val="21"/>
                      <w:szCs w:val="21"/>
                      <w:lang w:val="en-US" w:eastAsia="zh-CN"/>
                    </w:rPr>
                    <w:t>冬储夏灌，</w:t>
                  </w:r>
                  <w:r>
                    <w:rPr>
                      <w:rFonts w:hint="default" w:ascii="Times New Roman" w:hAnsi="Times New Roman" w:eastAsia="宋体" w:cs="Times New Roman"/>
                      <w:color w:val="000000"/>
                      <w:sz w:val="21"/>
                      <w:szCs w:val="21"/>
                      <w:lang w:val="en-US" w:eastAsia="zh-CN"/>
                    </w:rPr>
                    <w:t>用于荒漠灌溉；</w:t>
                  </w:r>
                </w:p>
                <w:p w14:paraId="76807EBA">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both"/>
                    <w:textAlignment w:val="auto"/>
                    <w:rPr>
                      <w:rFonts w:hint="default" w:ascii="Times New Roman" w:hAnsi="Times New Roman" w:cs="Times New Roman"/>
                      <w:kern w:val="0"/>
                      <w:sz w:val="21"/>
                      <w:szCs w:val="21"/>
                      <w:lang w:val="en-US" w:eastAsia="zh-CN" w:bidi="ar"/>
                    </w:rPr>
                  </w:pPr>
                  <w:r>
                    <w:rPr>
                      <w:rFonts w:hint="default" w:ascii="Times New Roman" w:hAnsi="Times New Roman" w:eastAsia="宋体" w:cs="Times New Roman"/>
                      <w:kern w:val="0"/>
                      <w:sz w:val="21"/>
                      <w:szCs w:val="21"/>
                      <w:lang w:val="en-US" w:eastAsia="zh-CN" w:bidi="ar-SA"/>
                    </w:rPr>
                    <w:fldChar w:fldCharType="begin"/>
                  </w:r>
                  <w:r>
                    <w:rPr>
                      <w:rFonts w:hint="default" w:ascii="Times New Roman" w:hAnsi="Times New Roman" w:eastAsia="宋体" w:cs="Times New Roman"/>
                      <w:kern w:val="0"/>
                      <w:sz w:val="21"/>
                      <w:szCs w:val="21"/>
                      <w:lang w:val="en-US" w:eastAsia="zh-CN" w:bidi="ar-SA"/>
                    </w:rPr>
                    <w:instrText xml:space="preserve"> = 2 \* GB3 \* MERGEFORMAT </w:instrText>
                  </w:r>
                  <w:r>
                    <w:rPr>
                      <w:rFonts w:hint="default" w:ascii="Times New Roman" w:hAnsi="Times New Roman" w:eastAsia="宋体" w:cs="Times New Roman"/>
                      <w:kern w:val="0"/>
                      <w:sz w:val="21"/>
                      <w:szCs w:val="21"/>
                      <w:lang w:val="en-US" w:eastAsia="zh-CN" w:bidi="ar-SA"/>
                    </w:rPr>
                    <w:fldChar w:fldCharType="separate"/>
                  </w:r>
                  <w:r>
                    <w:rPr>
                      <w:rFonts w:hint="default" w:ascii="Times New Roman" w:hAnsi="Times New Roman" w:eastAsia="宋体" w:cs="Times New Roman"/>
                      <w:kern w:val="0"/>
                      <w:sz w:val="21"/>
                      <w:szCs w:val="21"/>
                      <w:lang w:val="en-US" w:eastAsia="zh-CN" w:bidi="ar-SA"/>
                    </w:rPr>
                    <w:t>②</w:t>
                  </w:r>
                  <w:r>
                    <w:rPr>
                      <w:rFonts w:hint="default" w:ascii="Times New Roman" w:hAnsi="Times New Roman" w:eastAsia="宋体" w:cs="Times New Roman"/>
                      <w:kern w:val="0"/>
                      <w:sz w:val="21"/>
                      <w:szCs w:val="21"/>
                      <w:lang w:val="en-US" w:eastAsia="zh-CN" w:bidi="ar-SA"/>
                    </w:rPr>
                    <w:fldChar w:fldCharType="end"/>
                  </w:r>
                  <w:r>
                    <w:rPr>
                      <w:rFonts w:hint="default" w:ascii="Times New Roman" w:hAnsi="Times New Roman" w:cs="Times New Roman"/>
                      <w:kern w:val="0"/>
                      <w:sz w:val="21"/>
                      <w:szCs w:val="21"/>
                      <w:lang w:val="en-US" w:eastAsia="zh-CN" w:bidi="ar"/>
                    </w:rPr>
                    <w:t>运输车辆清洗废水经20m</w:t>
                  </w:r>
                  <w:r>
                    <w:rPr>
                      <w:rFonts w:hint="default" w:ascii="Times New Roman" w:hAnsi="Times New Roman" w:cs="Times New Roman"/>
                      <w:kern w:val="0"/>
                      <w:sz w:val="21"/>
                      <w:szCs w:val="21"/>
                      <w:vertAlign w:val="superscript"/>
                      <w:lang w:val="en-US" w:eastAsia="zh-CN" w:bidi="ar"/>
                    </w:rPr>
                    <w:t>3</w:t>
                  </w:r>
                  <w:r>
                    <w:rPr>
                      <w:rFonts w:hint="default" w:ascii="Times New Roman" w:hAnsi="Times New Roman" w:cs="Times New Roman"/>
                      <w:kern w:val="0"/>
                      <w:sz w:val="21"/>
                      <w:szCs w:val="21"/>
                      <w:lang w:val="en-US" w:eastAsia="zh-CN" w:bidi="ar"/>
                    </w:rPr>
                    <w:t>沉淀池沉淀后回用不外排；</w:t>
                  </w:r>
                </w:p>
                <w:p w14:paraId="4A026158">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both"/>
                    <w:textAlignment w:val="auto"/>
                    <w:rPr>
                      <w:rFonts w:hint="default" w:ascii="Times New Roman" w:hAnsi="Times New Roman" w:cs="Times New Roman"/>
                      <w:kern w:val="0"/>
                      <w:sz w:val="21"/>
                      <w:szCs w:val="21"/>
                      <w:lang w:val="en-US" w:eastAsia="zh-CN" w:bidi="ar"/>
                    </w:rPr>
                  </w:pPr>
                  <w:r>
                    <w:rPr>
                      <w:rFonts w:hint="default" w:ascii="Times New Roman" w:hAnsi="Times New Roman" w:cs="Times New Roman"/>
                      <w:kern w:val="0"/>
                      <w:sz w:val="21"/>
                      <w:szCs w:val="21"/>
                      <w:lang w:val="en-US" w:eastAsia="zh-CN" w:bidi="ar"/>
                    </w:rPr>
                    <w:fldChar w:fldCharType="begin"/>
                  </w:r>
                  <w:r>
                    <w:rPr>
                      <w:rFonts w:hint="default" w:ascii="Times New Roman" w:hAnsi="Times New Roman" w:cs="Times New Roman"/>
                      <w:kern w:val="0"/>
                      <w:sz w:val="21"/>
                      <w:szCs w:val="21"/>
                      <w:lang w:val="en-US" w:eastAsia="zh-CN" w:bidi="ar"/>
                    </w:rPr>
                    <w:instrText xml:space="preserve"> = 3 \* GB3 \* MERGEFORMAT </w:instrText>
                  </w:r>
                  <w:r>
                    <w:rPr>
                      <w:rFonts w:hint="default" w:ascii="Times New Roman" w:hAnsi="Times New Roman" w:cs="Times New Roman"/>
                      <w:kern w:val="0"/>
                      <w:sz w:val="21"/>
                      <w:szCs w:val="21"/>
                      <w:lang w:val="en-US" w:eastAsia="zh-CN" w:bidi="ar"/>
                    </w:rPr>
                    <w:fldChar w:fldCharType="separate"/>
                  </w:r>
                  <w:r>
                    <w:rPr>
                      <w:rFonts w:hint="default" w:ascii="Times New Roman" w:hAnsi="Times New Roman" w:cs="Times New Roman"/>
                      <w:sz w:val="21"/>
                      <w:szCs w:val="21"/>
                    </w:rPr>
                    <w:t>③</w:t>
                  </w:r>
                  <w:r>
                    <w:rPr>
                      <w:rFonts w:hint="default" w:ascii="Times New Roman" w:hAnsi="Times New Roman" w:cs="Times New Roman"/>
                      <w:kern w:val="0"/>
                      <w:sz w:val="21"/>
                      <w:szCs w:val="21"/>
                      <w:lang w:val="en-US" w:eastAsia="zh-CN" w:bidi="ar"/>
                    </w:rPr>
                    <w:fldChar w:fldCharType="end"/>
                  </w:r>
                  <w:r>
                    <w:rPr>
                      <w:rFonts w:hint="default" w:ascii="Times New Roman" w:hAnsi="Times New Roman" w:cs="Times New Roman"/>
                      <w:kern w:val="0"/>
                      <w:sz w:val="21"/>
                      <w:szCs w:val="21"/>
                      <w:lang w:val="en-US" w:eastAsia="zh-CN" w:bidi="ar"/>
                    </w:rPr>
                    <w:t>洗煤厂房场地清洗废水、煤泥洗选废水排入循环系统（浓缩罐加循环水池），沉淀后回用，不外排。浓缩池：1座，容积为847.8m</w:t>
                  </w:r>
                  <w:r>
                    <w:rPr>
                      <w:rFonts w:hint="default" w:ascii="Times New Roman" w:hAnsi="Times New Roman" w:cs="Times New Roman"/>
                      <w:kern w:val="0"/>
                      <w:sz w:val="21"/>
                      <w:szCs w:val="21"/>
                      <w:vertAlign w:val="superscript"/>
                      <w:lang w:val="en-US" w:eastAsia="zh-CN" w:bidi="ar"/>
                    </w:rPr>
                    <w:t>3</w:t>
                  </w:r>
                  <w:r>
                    <w:rPr>
                      <w:rFonts w:hint="default" w:ascii="Times New Roman" w:hAnsi="Times New Roman" w:cs="Times New Roman"/>
                      <w:kern w:val="0"/>
                      <w:sz w:val="21"/>
                      <w:szCs w:val="21"/>
                      <w:vertAlign w:val="baseline"/>
                      <w:lang w:val="en-US" w:eastAsia="zh-CN" w:bidi="ar"/>
                    </w:rPr>
                    <w:t>（直径12m，高度7.5m）</w:t>
                  </w:r>
                  <w:r>
                    <w:rPr>
                      <w:rFonts w:hint="default" w:ascii="Times New Roman" w:hAnsi="Times New Roman" w:cs="Times New Roman"/>
                      <w:kern w:val="0"/>
                      <w:sz w:val="21"/>
                      <w:szCs w:val="21"/>
                      <w:lang w:val="en-US" w:eastAsia="zh-CN" w:bidi="ar"/>
                    </w:rPr>
                    <w:t>，混凝土结构，事故状态下废水排入事故水池；循环水池：容积600m</w:t>
                  </w:r>
                  <w:r>
                    <w:rPr>
                      <w:rFonts w:hint="default" w:ascii="Times New Roman" w:hAnsi="Times New Roman" w:cs="Times New Roman"/>
                      <w:kern w:val="0"/>
                      <w:sz w:val="21"/>
                      <w:szCs w:val="21"/>
                      <w:vertAlign w:val="superscript"/>
                      <w:lang w:val="en-US" w:eastAsia="zh-CN" w:bidi="ar"/>
                    </w:rPr>
                    <w:t>3</w:t>
                  </w:r>
                  <w:r>
                    <w:rPr>
                      <w:rFonts w:hint="default" w:ascii="Times New Roman" w:hAnsi="Times New Roman" w:cs="Times New Roman"/>
                      <w:kern w:val="0"/>
                      <w:sz w:val="21"/>
                      <w:szCs w:val="21"/>
                      <w:vertAlign w:val="baseline"/>
                      <w:lang w:val="en-US" w:eastAsia="zh-CN" w:bidi="ar"/>
                    </w:rPr>
                    <w:t>（5m×40m×3m）</w:t>
                  </w:r>
                  <w:r>
                    <w:rPr>
                      <w:rFonts w:hint="default" w:ascii="Times New Roman" w:hAnsi="Times New Roman" w:cs="Times New Roman"/>
                      <w:kern w:val="0"/>
                      <w:sz w:val="21"/>
                      <w:szCs w:val="21"/>
                      <w:lang w:val="en-US" w:eastAsia="zh-CN" w:bidi="ar"/>
                    </w:rPr>
                    <w:t>，混凝土结构。</w:t>
                  </w:r>
                </w:p>
              </w:tc>
              <w:tc>
                <w:tcPr>
                  <w:tcW w:w="590" w:type="pct"/>
                  <w:noWrap w:val="0"/>
                  <w:vAlign w:val="center"/>
                </w:tcPr>
                <w:p w14:paraId="6012A7A7">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拟建</w:t>
                  </w:r>
                </w:p>
              </w:tc>
            </w:tr>
            <w:tr w14:paraId="74239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85" w:type="pct"/>
                  <w:vMerge w:val="continue"/>
                  <w:noWrap w:val="0"/>
                  <w:vAlign w:val="center"/>
                </w:tcPr>
                <w:p w14:paraId="130D9CCA">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sz w:val="21"/>
                      <w:szCs w:val="21"/>
                      <w:vertAlign w:val="baseline"/>
                      <w:lang w:val="en-US" w:eastAsia="zh-CN"/>
                    </w:rPr>
                  </w:pPr>
                </w:p>
              </w:tc>
              <w:tc>
                <w:tcPr>
                  <w:tcW w:w="605" w:type="pct"/>
                  <w:vMerge w:val="continue"/>
                  <w:noWrap w:val="0"/>
                  <w:vAlign w:val="center"/>
                </w:tcPr>
                <w:p w14:paraId="44F1A14C">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sz w:val="21"/>
                      <w:szCs w:val="21"/>
                      <w:vertAlign w:val="baseline"/>
                      <w:lang w:val="en-US" w:eastAsia="zh-CN"/>
                    </w:rPr>
                  </w:pPr>
                </w:p>
              </w:tc>
              <w:tc>
                <w:tcPr>
                  <w:tcW w:w="401" w:type="pct"/>
                  <w:noWrap w:val="0"/>
                  <w:vAlign w:val="center"/>
                </w:tcPr>
                <w:p w14:paraId="5BBE4B91">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固废</w:t>
                  </w:r>
                </w:p>
              </w:tc>
              <w:tc>
                <w:tcPr>
                  <w:tcW w:w="3017" w:type="pct"/>
                  <w:noWrap w:val="0"/>
                  <w:vAlign w:val="center"/>
                </w:tcPr>
                <w:p w14:paraId="3A060B33">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both"/>
                    <w:textAlignment w:val="auto"/>
                    <w:rPr>
                      <w:rFonts w:hint="default" w:ascii="Times New Roman" w:hAnsi="Times New Roman" w:cs="Times New Roman"/>
                      <w:sz w:val="21"/>
                      <w:szCs w:val="21"/>
                      <w:lang w:val="en-US" w:eastAsia="zh-CN"/>
                    </w:rPr>
                  </w:pPr>
                  <w:r>
                    <w:rPr>
                      <w:rFonts w:hint="default" w:ascii="Times New Roman" w:hAnsi="Times New Roman" w:eastAsia="宋体" w:cs="Times New Roman"/>
                      <w:kern w:val="0"/>
                      <w:sz w:val="21"/>
                      <w:szCs w:val="21"/>
                      <w:lang w:val="en-US" w:eastAsia="zh-CN" w:bidi="ar-SA"/>
                    </w:rPr>
                    <w:fldChar w:fldCharType="begin"/>
                  </w:r>
                  <w:r>
                    <w:rPr>
                      <w:rFonts w:hint="default" w:ascii="Times New Roman" w:hAnsi="Times New Roman" w:eastAsia="宋体" w:cs="Times New Roman"/>
                      <w:kern w:val="0"/>
                      <w:sz w:val="21"/>
                      <w:szCs w:val="21"/>
                      <w:lang w:val="en-US" w:eastAsia="zh-CN" w:bidi="ar-SA"/>
                    </w:rPr>
                    <w:instrText xml:space="preserve"> = 1 \* GB3 \* MERGEFORMAT </w:instrText>
                  </w:r>
                  <w:r>
                    <w:rPr>
                      <w:rFonts w:hint="default" w:ascii="Times New Roman" w:hAnsi="Times New Roman" w:eastAsia="宋体" w:cs="Times New Roman"/>
                      <w:kern w:val="0"/>
                      <w:sz w:val="21"/>
                      <w:szCs w:val="21"/>
                      <w:lang w:val="en-US" w:eastAsia="zh-CN" w:bidi="ar-SA"/>
                    </w:rPr>
                    <w:fldChar w:fldCharType="separate"/>
                  </w:r>
                  <w:r>
                    <w:rPr>
                      <w:rFonts w:hint="default" w:ascii="Times New Roman" w:hAnsi="Times New Roman" w:eastAsia="宋体" w:cs="Times New Roman"/>
                      <w:kern w:val="0"/>
                      <w:sz w:val="21"/>
                      <w:szCs w:val="21"/>
                      <w:lang w:val="en-US" w:eastAsia="zh-CN" w:bidi="ar-SA"/>
                    </w:rPr>
                    <w:t>①</w:t>
                  </w:r>
                  <w:r>
                    <w:rPr>
                      <w:rFonts w:hint="default" w:ascii="Times New Roman" w:hAnsi="Times New Roman" w:eastAsia="宋体" w:cs="Times New Roman"/>
                      <w:kern w:val="0"/>
                      <w:sz w:val="21"/>
                      <w:szCs w:val="21"/>
                      <w:lang w:val="en-US" w:eastAsia="zh-CN" w:bidi="ar-SA"/>
                    </w:rPr>
                    <w:fldChar w:fldCharType="end"/>
                  </w:r>
                  <w:r>
                    <w:rPr>
                      <w:rFonts w:hint="default" w:ascii="Times New Roman" w:hAnsi="Times New Roman" w:cs="Times New Roman"/>
                      <w:sz w:val="21"/>
                      <w:szCs w:val="21"/>
                      <w:lang w:val="en-US" w:eastAsia="zh-CN"/>
                    </w:rPr>
                    <w:t>煤泥洗选线筛分中产生的煤泥杂质，暂存于原料棚内一般固废暂存区，由环卫部门统一处理；</w:t>
                  </w:r>
                </w:p>
                <w:p w14:paraId="0D8C1256">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both"/>
                    <w:textAlignment w:val="auto"/>
                    <w:rPr>
                      <w:rFonts w:hint="default" w:ascii="Times New Roman" w:hAnsi="Times New Roman" w:cs="Times New Roman"/>
                      <w:sz w:val="21"/>
                      <w:szCs w:val="21"/>
                      <w:lang w:val="en-US" w:eastAsia="zh-CN"/>
                    </w:rPr>
                  </w:pPr>
                  <w:r>
                    <w:rPr>
                      <w:rFonts w:hint="default" w:ascii="Times New Roman" w:hAnsi="Times New Roman" w:eastAsia="宋体" w:cs="Times New Roman"/>
                      <w:kern w:val="0"/>
                      <w:sz w:val="21"/>
                      <w:szCs w:val="21"/>
                      <w:lang w:val="en-US" w:eastAsia="zh-CN" w:bidi="ar-SA"/>
                    </w:rPr>
                    <w:fldChar w:fldCharType="begin"/>
                  </w:r>
                  <w:r>
                    <w:rPr>
                      <w:rFonts w:hint="default" w:ascii="Times New Roman" w:hAnsi="Times New Roman" w:eastAsia="宋体" w:cs="Times New Roman"/>
                      <w:kern w:val="0"/>
                      <w:sz w:val="21"/>
                      <w:szCs w:val="21"/>
                      <w:lang w:val="en-US" w:eastAsia="zh-CN" w:bidi="ar-SA"/>
                    </w:rPr>
                    <w:instrText xml:space="preserve"> = 2 \* GB3 \* MERGEFORMAT </w:instrText>
                  </w:r>
                  <w:r>
                    <w:rPr>
                      <w:rFonts w:hint="default" w:ascii="Times New Roman" w:hAnsi="Times New Roman" w:eastAsia="宋体" w:cs="Times New Roman"/>
                      <w:kern w:val="0"/>
                      <w:sz w:val="21"/>
                      <w:szCs w:val="21"/>
                      <w:lang w:val="en-US" w:eastAsia="zh-CN" w:bidi="ar-SA"/>
                    </w:rPr>
                    <w:fldChar w:fldCharType="separate"/>
                  </w:r>
                  <w:r>
                    <w:rPr>
                      <w:rFonts w:hint="default" w:ascii="Times New Roman" w:hAnsi="Times New Roman" w:eastAsia="宋体" w:cs="Times New Roman"/>
                      <w:kern w:val="0"/>
                      <w:sz w:val="21"/>
                      <w:szCs w:val="21"/>
                      <w:lang w:val="en-US" w:eastAsia="zh-CN" w:bidi="ar-SA"/>
                    </w:rPr>
                    <w:t>②</w:t>
                  </w:r>
                  <w:r>
                    <w:rPr>
                      <w:rFonts w:hint="default" w:ascii="Times New Roman" w:hAnsi="Times New Roman" w:eastAsia="宋体" w:cs="Times New Roman"/>
                      <w:kern w:val="0"/>
                      <w:sz w:val="21"/>
                      <w:szCs w:val="21"/>
                      <w:lang w:val="en-US" w:eastAsia="zh-CN" w:bidi="ar-SA"/>
                    </w:rPr>
                    <w:fldChar w:fldCharType="end"/>
                  </w:r>
                  <w:r>
                    <w:rPr>
                      <w:rFonts w:hint="default" w:ascii="Times New Roman" w:hAnsi="Times New Roman" w:cs="Times New Roman"/>
                      <w:sz w:val="21"/>
                      <w:szCs w:val="21"/>
                      <w:lang w:val="en-US" w:eastAsia="zh-CN"/>
                    </w:rPr>
                    <w:t>洗车沉淀池沉渣、循环水池底泥送入浓缩池‑尾煤压滤机脱水、合并作为尾煤，外售至砖厂制砖；</w:t>
                  </w:r>
                </w:p>
                <w:p w14:paraId="441D7233">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both"/>
                    <w:textAlignment w:val="auto"/>
                    <w:rPr>
                      <w:rFonts w:hint="default" w:ascii="Times New Roman" w:hAnsi="Times New Roman" w:cs="Times New Roman"/>
                      <w:sz w:val="21"/>
                      <w:szCs w:val="21"/>
                      <w:lang w:val="en-US" w:eastAsia="zh-CN"/>
                    </w:rPr>
                  </w:pPr>
                  <w:r>
                    <w:rPr>
                      <w:rFonts w:hint="default" w:ascii="Times New Roman" w:hAnsi="Times New Roman" w:eastAsia="宋体" w:cs="Times New Roman"/>
                      <w:kern w:val="0"/>
                      <w:sz w:val="21"/>
                      <w:szCs w:val="21"/>
                      <w:lang w:val="en-US" w:eastAsia="zh-CN" w:bidi="ar-SA"/>
                    </w:rPr>
                    <w:fldChar w:fldCharType="begin"/>
                  </w:r>
                  <w:r>
                    <w:rPr>
                      <w:rFonts w:hint="default" w:ascii="Times New Roman" w:hAnsi="Times New Roman" w:eastAsia="宋体" w:cs="Times New Roman"/>
                      <w:kern w:val="0"/>
                      <w:sz w:val="21"/>
                      <w:szCs w:val="21"/>
                      <w:lang w:val="en-US" w:eastAsia="zh-CN" w:bidi="ar-SA"/>
                    </w:rPr>
                    <w:instrText xml:space="preserve"> = 3 \* GB3 \* MERGEFORMAT </w:instrText>
                  </w:r>
                  <w:r>
                    <w:rPr>
                      <w:rFonts w:hint="default" w:ascii="Times New Roman" w:hAnsi="Times New Roman" w:eastAsia="宋体" w:cs="Times New Roman"/>
                      <w:kern w:val="0"/>
                      <w:sz w:val="21"/>
                      <w:szCs w:val="21"/>
                      <w:lang w:val="en-US" w:eastAsia="zh-CN" w:bidi="ar-SA"/>
                    </w:rPr>
                    <w:fldChar w:fldCharType="separate"/>
                  </w:r>
                  <w:r>
                    <w:rPr>
                      <w:rFonts w:hint="default" w:ascii="Times New Roman" w:hAnsi="Times New Roman" w:eastAsia="宋体" w:cs="Times New Roman"/>
                      <w:kern w:val="0"/>
                      <w:sz w:val="21"/>
                      <w:szCs w:val="21"/>
                      <w:lang w:val="en-US" w:eastAsia="zh-CN" w:bidi="ar-SA"/>
                    </w:rPr>
                    <w:t>③</w:t>
                  </w:r>
                  <w:r>
                    <w:rPr>
                      <w:rFonts w:hint="default" w:ascii="Times New Roman" w:hAnsi="Times New Roman" w:eastAsia="宋体" w:cs="Times New Roman"/>
                      <w:kern w:val="0"/>
                      <w:sz w:val="21"/>
                      <w:szCs w:val="21"/>
                      <w:lang w:val="en-US" w:eastAsia="zh-CN" w:bidi="ar-SA"/>
                    </w:rPr>
                    <w:fldChar w:fldCharType="end"/>
                  </w:r>
                  <w:r>
                    <w:rPr>
                      <w:rFonts w:hint="default" w:ascii="Times New Roman" w:hAnsi="Times New Roman" w:cs="Times New Roman"/>
                      <w:sz w:val="21"/>
                      <w:szCs w:val="21"/>
                      <w:lang w:val="en-US" w:eastAsia="zh-CN"/>
                    </w:rPr>
                    <w:t>洗选过程中压滤机产生的最终尾煤，暂存于尾煤棚，外售至砖厂制砖；</w:t>
                  </w:r>
                </w:p>
                <w:p w14:paraId="74C9FC46">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both"/>
                    <w:textAlignment w:val="auto"/>
                    <w:rPr>
                      <w:rFonts w:hint="default" w:ascii="Times New Roman" w:hAnsi="Times New Roman" w:cs="Times New Roman"/>
                      <w:sz w:val="21"/>
                      <w:szCs w:val="21"/>
                      <w:lang w:val="en-US" w:eastAsia="zh-CN"/>
                    </w:rPr>
                  </w:pPr>
                  <w:r>
                    <w:rPr>
                      <w:rFonts w:hint="default" w:ascii="Times New Roman" w:hAnsi="Times New Roman" w:eastAsia="宋体" w:cs="Times New Roman"/>
                      <w:kern w:val="0"/>
                      <w:sz w:val="21"/>
                      <w:szCs w:val="21"/>
                      <w:lang w:val="en-US" w:eastAsia="zh-CN" w:bidi="ar-SA"/>
                    </w:rPr>
                    <w:fldChar w:fldCharType="begin"/>
                  </w:r>
                  <w:r>
                    <w:rPr>
                      <w:rFonts w:hint="default" w:ascii="Times New Roman" w:hAnsi="Times New Roman" w:eastAsia="宋体" w:cs="Times New Roman"/>
                      <w:kern w:val="0"/>
                      <w:sz w:val="21"/>
                      <w:szCs w:val="21"/>
                      <w:lang w:val="en-US" w:eastAsia="zh-CN" w:bidi="ar-SA"/>
                    </w:rPr>
                    <w:instrText xml:space="preserve"> = 4 \* GB3 \* MERGEFORMAT </w:instrText>
                  </w:r>
                  <w:r>
                    <w:rPr>
                      <w:rFonts w:hint="default" w:ascii="Times New Roman" w:hAnsi="Times New Roman" w:eastAsia="宋体" w:cs="Times New Roman"/>
                      <w:kern w:val="0"/>
                      <w:sz w:val="21"/>
                      <w:szCs w:val="21"/>
                      <w:lang w:val="en-US" w:eastAsia="zh-CN" w:bidi="ar-SA"/>
                    </w:rPr>
                    <w:fldChar w:fldCharType="separate"/>
                  </w:r>
                  <w:r>
                    <w:rPr>
                      <w:rFonts w:hint="default" w:ascii="Times New Roman" w:hAnsi="Times New Roman" w:eastAsia="宋体" w:cs="Times New Roman"/>
                      <w:kern w:val="0"/>
                      <w:sz w:val="21"/>
                      <w:szCs w:val="21"/>
                      <w:lang w:val="en-US" w:eastAsia="zh-CN" w:bidi="ar-SA"/>
                    </w:rPr>
                    <w:t>④</w:t>
                  </w:r>
                  <w:r>
                    <w:rPr>
                      <w:rFonts w:hint="default" w:ascii="Times New Roman" w:hAnsi="Times New Roman" w:eastAsia="宋体" w:cs="Times New Roman"/>
                      <w:kern w:val="0"/>
                      <w:sz w:val="21"/>
                      <w:szCs w:val="21"/>
                      <w:lang w:val="en-US" w:eastAsia="zh-CN" w:bidi="ar-SA"/>
                    </w:rPr>
                    <w:fldChar w:fldCharType="end"/>
                  </w:r>
                  <w:r>
                    <w:rPr>
                      <w:rFonts w:hint="eastAsia" w:ascii="Times New Roman" w:hAnsi="Times New Roman" w:cs="Times New Roman"/>
                      <w:sz w:val="21"/>
                      <w:szCs w:val="21"/>
                      <w:lang w:val="en-US" w:eastAsia="zh-CN"/>
                    </w:rPr>
                    <w:t>废柴油桶</w:t>
                  </w:r>
                  <w:r>
                    <w:rPr>
                      <w:rFonts w:hint="default" w:ascii="Times New Roman" w:hAnsi="Times New Roman" w:cs="Times New Roman"/>
                      <w:sz w:val="21"/>
                      <w:szCs w:val="21"/>
                      <w:lang w:val="en-US" w:eastAsia="zh-CN"/>
                    </w:rPr>
                    <w:t>及设备维修产生的废机油为危废废物，危废贮存点暂存，定期交由有资质单位处理。本项目新建一座危废贮存点，位于循环水池南侧，1F，</w:t>
                  </w:r>
                  <w:r>
                    <w:rPr>
                      <w:rFonts w:hint="eastAsia" w:ascii="Times New Roman" w:hAnsi="Times New Roman" w:cs="Times New Roman"/>
                      <w:color w:val="auto"/>
                      <w:sz w:val="21"/>
                      <w:szCs w:val="21"/>
                      <w:lang w:val="en-US" w:eastAsia="zh-CN"/>
                    </w:rPr>
                    <w:t>1</w:t>
                  </w:r>
                  <w:r>
                    <w:rPr>
                      <w:rFonts w:hint="default" w:ascii="Times New Roman" w:hAnsi="Times New Roman" w:cs="Times New Roman"/>
                      <w:color w:val="auto"/>
                      <w:sz w:val="21"/>
                      <w:szCs w:val="21"/>
                      <w:lang w:val="en-US" w:eastAsia="zh-CN"/>
                    </w:rPr>
                    <w:t>0m</w:t>
                  </w:r>
                  <w:r>
                    <w:rPr>
                      <w:rFonts w:hint="default" w:ascii="Times New Roman" w:hAnsi="Times New Roman" w:cs="Times New Roman"/>
                      <w:color w:val="auto"/>
                      <w:sz w:val="21"/>
                      <w:szCs w:val="21"/>
                      <w:vertAlign w:val="superscript"/>
                      <w:lang w:val="en-US" w:eastAsia="zh-CN"/>
                    </w:rPr>
                    <w:t>2</w:t>
                  </w:r>
                  <w:r>
                    <w:rPr>
                      <w:rFonts w:hint="default" w:ascii="Times New Roman" w:hAnsi="Times New Roman" w:cs="Times New Roman"/>
                      <w:color w:val="auto"/>
                      <w:sz w:val="21"/>
                      <w:szCs w:val="21"/>
                      <w:lang w:val="en-US" w:eastAsia="zh-CN"/>
                    </w:rPr>
                    <w:t>，</w:t>
                  </w:r>
                  <w:r>
                    <w:rPr>
                      <w:rFonts w:hint="default" w:ascii="Times New Roman" w:hAnsi="Times New Roman" w:cs="Times New Roman"/>
                      <w:sz w:val="21"/>
                      <w:szCs w:val="21"/>
                      <w:lang w:val="en-US" w:eastAsia="zh-CN"/>
                    </w:rPr>
                    <w:t>参照GB18597要求执行；</w:t>
                  </w:r>
                </w:p>
                <w:p w14:paraId="103BBA91">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both"/>
                    <w:textAlignment w:val="auto"/>
                    <w:rPr>
                      <w:rFonts w:hint="default" w:ascii="Times New Roman" w:hAnsi="Times New Roman" w:cs="Times New Roman"/>
                      <w:sz w:val="21"/>
                      <w:szCs w:val="21"/>
                      <w:lang w:val="en-US" w:eastAsia="zh-CN"/>
                    </w:rPr>
                  </w:pPr>
                  <w:r>
                    <w:rPr>
                      <w:rFonts w:hint="default" w:ascii="Times New Roman" w:hAnsi="Times New Roman" w:eastAsia="宋体" w:cs="Times New Roman"/>
                      <w:kern w:val="0"/>
                      <w:sz w:val="21"/>
                      <w:szCs w:val="21"/>
                      <w:lang w:val="en-US" w:eastAsia="zh-CN" w:bidi="ar-SA"/>
                    </w:rPr>
                    <w:fldChar w:fldCharType="begin"/>
                  </w:r>
                  <w:r>
                    <w:rPr>
                      <w:rFonts w:hint="default" w:ascii="Times New Roman" w:hAnsi="Times New Roman" w:eastAsia="宋体" w:cs="Times New Roman"/>
                      <w:kern w:val="0"/>
                      <w:sz w:val="21"/>
                      <w:szCs w:val="21"/>
                      <w:lang w:val="en-US" w:eastAsia="zh-CN" w:bidi="ar-SA"/>
                    </w:rPr>
                    <w:instrText xml:space="preserve"> = 5 \* GB3 \* MERGEFORMAT </w:instrText>
                  </w:r>
                  <w:r>
                    <w:rPr>
                      <w:rFonts w:hint="default" w:ascii="Times New Roman" w:hAnsi="Times New Roman" w:eastAsia="宋体" w:cs="Times New Roman"/>
                      <w:kern w:val="0"/>
                      <w:sz w:val="21"/>
                      <w:szCs w:val="21"/>
                      <w:lang w:val="en-US" w:eastAsia="zh-CN" w:bidi="ar-SA"/>
                    </w:rPr>
                    <w:fldChar w:fldCharType="separate"/>
                  </w:r>
                  <w:r>
                    <w:rPr>
                      <w:rFonts w:hint="default" w:ascii="Times New Roman" w:hAnsi="Times New Roman" w:eastAsia="宋体" w:cs="Times New Roman"/>
                      <w:kern w:val="0"/>
                      <w:sz w:val="21"/>
                      <w:szCs w:val="21"/>
                      <w:lang w:val="en-US" w:eastAsia="zh-CN" w:bidi="ar-SA"/>
                    </w:rPr>
                    <w:t>⑤</w:t>
                  </w:r>
                  <w:r>
                    <w:rPr>
                      <w:rFonts w:hint="default" w:ascii="Times New Roman" w:hAnsi="Times New Roman" w:eastAsia="宋体" w:cs="Times New Roman"/>
                      <w:kern w:val="0"/>
                      <w:sz w:val="21"/>
                      <w:szCs w:val="21"/>
                      <w:lang w:val="en-US" w:eastAsia="zh-CN" w:bidi="ar-SA"/>
                    </w:rPr>
                    <w:fldChar w:fldCharType="end"/>
                  </w:r>
                  <w:r>
                    <w:rPr>
                      <w:rFonts w:hint="default" w:ascii="Times New Roman" w:hAnsi="Times New Roman" w:cs="Times New Roman"/>
                      <w:sz w:val="21"/>
                      <w:szCs w:val="21"/>
                      <w:lang w:val="en-US" w:eastAsia="zh-CN"/>
                    </w:rPr>
                    <w:t>生活垃圾由环卫部门统一处理。</w:t>
                  </w:r>
                </w:p>
              </w:tc>
              <w:tc>
                <w:tcPr>
                  <w:tcW w:w="590" w:type="pct"/>
                  <w:noWrap w:val="0"/>
                  <w:vAlign w:val="center"/>
                </w:tcPr>
                <w:p w14:paraId="5B23037A">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拟建</w:t>
                  </w:r>
                </w:p>
              </w:tc>
            </w:tr>
            <w:tr w14:paraId="59F45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85" w:type="pct"/>
                  <w:vMerge w:val="continue"/>
                  <w:noWrap w:val="0"/>
                  <w:vAlign w:val="center"/>
                </w:tcPr>
                <w:p w14:paraId="6C57EA4D">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sz w:val="21"/>
                      <w:szCs w:val="21"/>
                      <w:vertAlign w:val="baseline"/>
                      <w:lang w:val="en-US" w:eastAsia="zh-CN"/>
                    </w:rPr>
                  </w:pPr>
                </w:p>
              </w:tc>
              <w:tc>
                <w:tcPr>
                  <w:tcW w:w="605" w:type="pct"/>
                  <w:vMerge w:val="continue"/>
                  <w:noWrap w:val="0"/>
                  <w:vAlign w:val="center"/>
                </w:tcPr>
                <w:p w14:paraId="722139C6">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sz w:val="21"/>
                      <w:szCs w:val="21"/>
                      <w:vertAlign w:val="baseline"/>
                      <w:lang w:val="en-US" w:eastAsia="zh-CN"/>
                    </w:rPr>
                  </w:pPr>
                </w:p>
              </w:tc>
              <w:tc>
                <w:tcPr>
                  <w:tcW w:w="401" w:type="pct"/>
                  <w:noWrap w:val="0"/>
                  <w:vAlign w:val="center"/>
                </w:tcPr>
                <w:p w14:paraId="77107117">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噪声</w:t>
                  </w:r>
                </w:p>
              </w:tc>
              <w:tc>
                <w:tcPr>
                  <w:tcW w:w="3017" w:type="pct"/>
                  <w:noWrap w:val="0"/>
                  <w:vAlign w:val="center"/>
                </w:tcPr>
                <w:p w14:paraId="30BFD1EA">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left"/>
                    <w:textAlignment w:val="auto"/>
                    <w:rPr>
                      <w:rFonts w:hint="default" w:ascii="Times New Roman" w:hAnsi="Times New Roman" w:cs="Times New Roman"/>
                      <w:sz w:val="21"/>
                      <w:szCs w:val="21"/>
                      <w:vertAlign w:val="baseline"/>
                      <w:lang w:val="en-US" w:eastAsia="zh-CN"/>
                    </w:rPr>
                  </w:pPr>
                  <w:r>
                    <w:rPr>
                      <w:rFonts w:hint="default" w:ascii="Times New Roman" w:hAnsi="Times New Roman" w:eastAsia="宋体" w:cs="Times New Roman"/>
                      <w:bCs/>
                      <w:kern w:val="2"/>
                      <w:sz w:val="21"/>
                      <w:szCs w:val="21"/>
                      <w:lang w:val="en-US" w:eastAsia="zh-CN" w:bidi="ar"/>
                    </w:rPr>
                    <w:t>选用低噪声设备，通过基础减震、厂房屏蔽、距离衰减等隔音措施。</w:t>
                  </w:r>
                </w:p>
              </w:tc>
              <w:tc>
                <w:tcPr>
                  <w:tcW w:w="590" w:type="pct"/>
                  <w:noWrap w:val="0"/>
                  <w:vAlign w:val="center"/>
                </w:tcPr>
                <w:p w14:paraId="5B7136FF">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拟建</w:t>
                  </w:r>
                </w:p>
              </w:tc>
            </w:tr>
            <w:tr w14:paraId="1BBC3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85" w:type="pct"/>
                  <w:vMerge w:val="continue"/>
                  <w:noWrap w:val="0"/>
                  <w:vAlign w:val="center"/>
                </w:tcPr>
                <w:p w14:paraId="750D0590">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sz w:val="21"/>
                      <w:szCs w:val="21"/>
                      <w:vertAlign w:val="baseline"/>
                      <w:lang w:val="en-US" w:eastAsia="zh-CN"/>
                    </w:rPr>
                  </w:pPr>
                </w:p>
              </w:tc>
              <w:tc>
                <w:tcPr>
                  <w:tcW w:w="605" w:type="pct"/>
                  <w:vMerge w:val="continue"/>
                  <w:noWrap w:val="0"/>
                  <w:vAlign w:val="center"/>
                </w:tcPr>
                <w:p w14:paraId="401B486B">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sz w:val="21"/>
                      <w:szCs w:val="21"/>
                      <w:vertAlign w:val="baseline"/>
                      <w:lang w:val="en-US" w:eastAsia="zh-CN"/>
                    </w:rPr>
                  </w:pPr>
                </w:p>
              </w:tc>
              <w:tc>
                <w:tcPr>
                  <w:tcW w:w="401" w:type="pct"/>
                  <w:noWrap w:val="0"/>
                  <w:vAlign w:val="center"/>
                </w:tcPr>
                <w:p w14:paraId="5ABDFD5E">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地下水、土壤</w:t>
                  </w:r>
                </w:p>
              </w:tc>
              <w:tc>
                <w:tcPr>
                  <w:tcW w:w="3017" w:type="pct"/>
                  <w:noWrap w:val="0"/>
                  <w:vAlign w:val="center"/>
                </w:tcPr>
                <w:p w14:paraId="1771A7C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fldChar w:fldCharType="begin"/>
                  </w:r>
                  <w:r>
                    <w:rPr>
                      <w:rFonts w:hint="default" w:ascii="Times New Roman" w:hAnsi="Times New Roman" w:eastAsia="宋体" w:cs="Times New Roman"/>
                      <w:color w:val="auto"/>
                      <w:sz w:val="21"/>
                      <w:szCs w:val="21"/>
                      <w:lang w:val="en-US" w:eastAsia="zh-CN"/>
                    </w:rPr>
                    <w:instrText xml:space="preserve"> = 1 \* GB3 \* MERGEFORMAT </w:instrText>
                  </w:r>
                  <w:r>
                    <w:rPr>
                      <w:rFonts w:hint="default" w:ascii="Times New Roman" w:hAnsi="Times New Roman" w:eastAsia="宋体" w:cs="Times New Roman"/>
                      <w:color w:val="auto"/>
                      <w:sz w:val="21"/>
                      <w:szCs w:val="21"/>
                      <w:lang w:val="en-US" w:eastAsia="zh-CN"/>
                    </w:rPr>
                    <w:fldChar w:fldCharType="separate"/>
                  </w:r>
                  <w:r>
                    <w:rPr>
                      <w:rFonts w:hint="default" w:ascii="Times New Roman" w:hAnsi="Times New Roman" w:cs="Times New Roman"/>
                      <w:sz w:val="21"/>
                      <w:szCs w:val="21"/>
                    </w:rPr>
                    <w:t>①</w:t>
                  </w:r>
                  <w:r>
                    <w:rPr>
                      <w:rFonts w:hint="default" w:ascii="Times New Roman" w:hAnsi="Times New Roman" w:eastAsia="宋体" w:cs="Times New Roman"/>
                      <w:color w:val="auto"/>
                      <w:sz w:val="21"/>
                      <w:szCs w:val="21"/>
                      <w:lang w:val="en-US" w:eastAsia="zh-CN"/>
                    </w:rPr>
                    <w:fldChar w:fldCharType="end"/>
                  </w:r>
                  <w:r>
                    <w:rPr>
                      <w:rFonts w:hint="default" w:ascii="Times New Roman" w:hAnsi="Times New Roman" w:eastAsia="宋体" w:cs="Times New Roman"/>
                      <w:color w:val="auto"/>
                      <w:sz w:val="21"/>
                      <w:szCs w:val="21"/>
                      <w:lang w:val="en-US" w:eastAsia="zh-CN"/>
                    </w:rPr>
                    <w:t>重点防渗区：</w:t>
                  </w:r>
                  <w:r>
                    <w:rPr>
                      <w:rFonts w:hint="default" w:ascii="Times New Roman" w:hAnsi="Times New Roman" w:cs="Times New Roman"/>
                      <w:sz w:val="21"/>
                      <w:szCs w:val="21"/>
                      <w:lang w:val="en-US" w:eastAsia="zh-CN"/>
                    </w:rPr>
                    <w:t>危废贮存点</w:t>
                  </w:r>
                  <w:r>
                    <w:rPr>
                      <w:rFonts w:hint="default" w:ascii="Times New Roman" w:hAnsi="Times New Roman" w:cs="Times New Roman"/>
                      <w:color w:val="auto"/>
                      <w:sz w:val="21"/>
                      <w:szCs w:val="21"/>
                      <w:lang w:val="en-US" w:eastAsia="zh-CN"/>
                    </w:rPr>
                    <w:t>，</w:t>
                  </w:r>
                  <w:r>
                    <w:rPr>
                      <w:rFonts w:hint="default" w:ascii="Times New Roman" w:hAnsi="Times New Roman" w:cs="Times New Roman"/>
                      <w:sz w:val="21"/>
                      <w:szCs w:val="21"/>
                      <w:lang w:val="en-US" w:eastAsia="zh-CN"/>
                    </w:rPr>
                    <w:t>参</w:t>
                  </w:r>
                  <w:r>
                    <w:rPr>
                      <w:rFonts w:hint="default" w:ascii="Times New Roman" w:hAnsi="Times New Roman" w:cs="Times New Roman"/>
                      <w:sz w:val="21"/>
                      <w:szCs w:val="21"/>
                    </w:rPr>
                    <w:t>照GB18597要求执行</w:t>
                  </w:r>
                  <w:r>
                    <w:rPr>
                      <w:rFonts w:hint="default" w:ascii="Times New Roman" w:hAnsi="Times New Roman" w:cs="Times New Roman"/>
                      <w:sz w:val="21"/>
                      <w:szCs w:val="21"/>
                      <w:lang w:eastAsia="zh-CN"/>
                    </w:rPr>
                    <w:t>；</w:t>
                  </w:r>
                </w:p>
                <w:p w14:paraId="68DC074A">
                  <w:pPr>
                    <w:pStyle w:val="10"/>
                    <w:keepNext w:val="0"/>
                    <w:keepLines w:val="0"/>
                    <w:pageBreakBefore w:val="0"/>
                    <w:widowControl w:val="0"/>
                    <w:kinsoku/>
                    <w:wordWrap/>
                    <w:overflowPunct/>
                    <w:topLinePunct w:val="0"/>
                    <w:autoSpaceDN/>
                    <w:bidi w:val="0"/>
                    <w:jc w:val="both"/>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kern w:val="0"/>
                      <w:sz w:val="21"/>
                      <w:szCs w:val="21"/>
                      <w:lang w:val="en-US" w:eastAsia="zh-CN" w:bidi="ar-SA"/>
                    </w:rPr>
                    <w:fldChar w:fldCharType="begin"/>
                  </w:r>
                  <w:r>
                    <w:rPr>
                      <w:rFonts w:hint="default" w:ascii="Times New Roman" w:hAnsi="Times New Roman" w:eastAsia="宋体" w:cs="Times New Roman"/>
                      <w:kern w:val="0"/>
                      <w:sz w:val="21"/>
                      <w:szCs w:val="21"/>
                      <w:lang w:val="en-US" w:eastAsia="zh-CN" w:bidi="ar-SA"/>
                    </w:rPr>
                    <w:instrText xml:space="preserve"> = 2 \* GB3 \* MERGEFORMAT </w:instrText>
                  </w:r>
                  <w:r>
                    <w:rPr>
                      <w:rFonts w:hint="default" w:ascii="Times New Roman" w:hAnsi="Times New Roman" w:eastAsia="宋体" w:cs="Times New Roman"/>
                      <w:kern w:val="0"/>
                      <w:sz w:val="21"/>
                      <w:szCs w:val="21"/>
                      <w:lang w:val="en-US" w:eastAsia="zh-CN" w:bidi="ar-SA"/>
                    </w:rPr>
                    <w:fldChar w:fldCharType="separate"/>
                  </w:r>
                  <w:r>
                    <w:rPr>
                      <w:rFonts w:hint="default" w:ascii="Times New Roman" w:hAnsi="Times New Roman" w:eastAsia="宋体" w:cs="Times New Roman"/>
                      <w:kern w:val="0"/>
                      <w:sz w:val="21"/>
                      <w:szCs w:val="21"/>
                      <w:lang w:val="en-US" w:eastAsia="zh-CN" w:bidi="ar-SA"/>
                    </w:rPr>
                    <w:t>②</w:t>
                  </w:r>
                  <w:r>
                    <w:rPr>
                      <w:rFonts w:hint="default" w:ascii="Times New Roman" w:hAnsi="Times New Roman" w:eastAsia="宋体" w:cs="Times New Roman"/>
                      <w:kern w:val="0"/>
                      <w:sz w:val="21"/>
                      <w:szCs w:val="21"/>
                      <w:lang w:val="en-US" w:eastAsia="zh-CN" w:bidi="ar-SA"/>
                    </w:rPr>
                    <w:fldChar w:fldCharType="end"/>
                  </w:r>
                  <w:r>
                    <w:rPr>
                      <w:rFonts w:hint="default" w:ascii="Times New Roman" w:hAnsi="Times New Roman" w:eastAsia="宋体" w:cs="Times New Roman"/>
                      <w:color w:val="auto"/>
                      <w:sz w:val="21"/>
                      <w:szCs w:val="21"/>
                    </w:rPr>
                    <w:t>一般防渗区</w:t>
                  </w:r>
                  <w:r>
                    <w:rPr>
                      <w:rFonts w:hint="default" w:ascii="Times New Roman" w:hAnsi="Times New Roman" w:eastAsia="宋体" w:cs="Times New Roman"/>
                      <w:color w:val="auto"/>
                      <w:sz w:val="21"/>
                      <w:szCs w:val="21"/>
                      <w:lang w:eastAsia="zh-CN"/>
                    </w:rPr>
                    <w:t>：</w:t>
                  </w:r>
                  <w:r>
                    <w:rPr>
                      <w:rFonts w:hint="eastAsia" w:ascii="Times New Roman" w:hAnsi="Times New Roman" w:eastAsia="宋体" w:cs="Times New Roman"/>
                      <w:spacing w:val="-4"/>
                      <w:sz w:val="21"/>
                      <w:szCs w:val="21"/>
                      <w:lang w:val="en-US" w:eastAsia="zh-CN"/>
                    </w:rPr>
                    <w:t>煤棚</w:t>
                  </w:r>
                  <w:r>
                    <w:rPr>
                      <w:rFonts w:hint="default" w:ascii="Times New Roman" w:hAnsi="Times New Roman" w:cs="Times New Roman"/>
                      <w:spacing w:val="-4"/>
                      <w:sz w:val="21"/>
                      <w:szCs w:val="21"/>
                      <w:lang w:eastAsia="zh-CN"/>
                    </w:rPr>
                    <w:t>、</w:t>
                  </w:r>
                  <w:r>
                    <w:rPr>
                      <w:rFonts w:hint="default" w:ascii="Times New Roman" w:hAnsi="Times New Roman" w:cs="Times New Roman"/>
                      <w:spacing w:val="-4"/>
                      <w:sz w:val="21"/>
                      <w:szCs w:val="21"/>
                      <w:lang w:val="en-US" w:eastAsia="zh-CN"/>
                    </w:rPr>
                    <w:t>洗煤厂房、沉淀池、</w:t>
                  </w:r>
                  <w:r>
                    <w:rPr>
                      <w:rFonts w:hint="eastAsia" w:ascii="Times New Roman" w:hAnsi="Times New Roman" w:cs="Times New Roman"/>
                      <w:spacing w:val="-4"/>
                      <w:sz w:val="21"/>
                      <w:szCs w:val="21"/>
                      <w:lang w:val="en-US" w:eastAsia="zh-CN"/>
                    </w:rPr>
                    <w:t>一体化污水处理设施</w:t>
                  </w:r>
                  <w:r>
                    <w:rPr>
                      <w:rFonts w:hint="eastAsia" w:cs="Times New Roman"/>
                      <w:spacing w:val="-4"/>
                      <w:sz w:val="21"/>
                      <w:szCs w:val="21"/>
                      <w:lang w:val="en-US" w:eastAsia="zh-CN"/>
                    </w:rPr>
                    <w:t>、</w:t>
                  </w:r>
                  <w:r>
                    <w:rPr>
                      <w:rFonts w:hint="eastAsia" w:cs="Times New Roman"/>
                      <w:color w:val="auto"/>
                      <w:spacing w:val="-4"/>
                      <w:sz w:val="21"/>
                      <w:szCs w:val="21"/>
                      <w:lang w:val="en-US" w:eastAsia="zh-CN"/>
                    </w:rPr>
                    <w:t>生活污水暂存池</w:t>
                  </w:r>
                  <w:r>
                    <w:rPr>
                      <w:rFonts w:hint="default" w:ascii="Times New Roman" w:hAnsi="Times New Roman" w:cs="Times New Roman"/>
                      <w:color w:val="auto"/>
                      <w:sz w:val="21"/>
                      <w:szCs w:val="21"/>
                      <w:lang w:val="en-US" w:eastAsia="zh-CN"/>
                    </w:rPr>
                    <w:t>，</w:t>
                  </w:r>
                  <w:r>
                    <w:rPr>
                      <w:rFonts w:hint="default" w:ascii="Times New Roman" w:hAnsi="Times New Roman" w:eastAsia="宋体" w:cs="Times New Roman"/>
                      <w:color w:val="auto"/>
                      <w:sz w:val="21"/>
                      <w:szCs w:val="21"/>
                    </w:rPr>
                    <w:t>等效黏土防渗层Mb≥1.5m，K≤1.0×10</w:t>
                  </w:r>
                  <w:r>
                    <w:rPr>
                      <w:rFonts w:hint="default" w:ascii="Times New Roman" w:hAnsi="Times New Roman" w:eastAsia="宋体" w:cs="Times New Roman"/>
                      <w:color w:val="auto"/>
                      <w:sz w:val="21"/>
                      <w:szCs w:val="21"/>
                      <w:vertAlign w:val="superscript"/>
                    </w:rPr>
                    <w:t>-7</w:t>
                  </w:r>
                  <w:r>
                    <w:rPr>
                      <w:rFonts w:hint="default" w:ascii="Times New Roman" w:hAnsi="Times New Roman" w:eastAsia="宋体" w:cs="Times New Roman"/>
                      <w:color w:val="auto"/>
                      <w:sz w:val="21"/>
                      <w:szCs w:val="21"/>
                    </w:rPr>
                    <w:t>cm/s</w:t>
                  </w:r>
                  <w:r>
                    <w:rPr>
                      <w:rFonts w:hint="default" w:ascii="Times New Roman" w:hAnsi="Times New Roman" w:cs="Times New Roman"/>
                      <w:color w:val="auto"/>
                      <w:sz w:val="21"/>
                      <w:szCs w:val="21"/>
                      <w:lang w:val="en-US" w:eastAsia="zh-CN"/>
                    </w:rPr>
                    <w:t>或参照GB16889执行；</w:t>
                  </w:r>
                </w:p>
                <w:p w14:paraId="5B240210">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left"/>
                    <w:textAlignment w:val="auto"/>
                    <w:rPr>
                      <w:rFonts w:hint="default" w:ascii="Times New Roman" w:hAnsi="Times New Roman" w:eastAsia="宋体" w:cs="Times New Roman"/>
                      <w:bCs/>
                      <w:kern w:val="2"/>
                      <w:sz w:val="21"/>
                      <w:szCs w:val="21"/>
                      <w:lang w:val="en-US" w:eastAsia="zh-CN" w:bidi="ar"/>
                    </w:rPr>
                  </w:pPr>
                  <w:r>
                    <w:rPr>
                      <w:rFonts w:hint="default" w:ascii="Times New Roman" w:hAnsi="Times New Roman" w:eastAsia="宋体" w:cs="Times New Roman"/>
                      <w:kern w:val="0"/>
                      <w:sz w:val="21"/>
                      <w:szCs w:val="21"/>
                      <w:lang w:val="en-US" w:eastAsia="zh-CN" w:bidi="ar-SA"/>
                    </w:rPr>
                    <w:fldChar w:fldCharType="begin"/>
                  </w:r>
                  <w:r>
                    <w:rPr>
                      <w:rFonts w:hint="default" w:ascii="Times New Roman" w:hAnsi="Times New Roman" w:eastAsia="宋体" w:cs="Times New Roman"/>
                      <w:kern w:val="0"/>
                      <w:sz w:val="21"/>
                      <w:szCs w:val="21"/>
                      <w:lang w:val="en-US" w:eastAsia="zh-CN" w:bidi="ar-SA"/>
                    </w:rPr>
                    <w:instrText xml:space="preserve"> = 3 \* GB3 \* MERGEFORMAT </w:instrText>
                  </w:r>
                  <w:r>
                    <w:rPr>
                      <w:rFonts w:hint="default" w:ascii="Times New Roman" w:hAnsi="Times New Roman" w:eastAsia="宋体" w:cs="Times New Roman"/>
                      <w:kern w:val="0"/>
                      <w:sz w:val="21"/>
                      <w:szCs w:val="21"/>
                      <w:lang w:val="en-US" w:eastAsia="zh-CN" w:bidi="ar-SA"/>
                    </w:rPr>
                    <w:fldChar w:fldCharType="separate"/>
                  </w:r>
                  <w:r>
                    <w:rPr>
                      <w:rFonts w:hint="default" w:ascii="Times New Roman" w:hAnsi="Times New Roman" w:eastAsia="宋体" w:cs="Times New Roman"/>
                      <w:kern w:val="0"/>
                      <w:sz w:val="21"/>
                      <w:szCs w:val="21"/>
                      <w:lang w:val="en-US" w:eastAsia="zh-CN" w:bidi="ar-SA"/>
                    </w:rPr>
                    <w:t>③</w:t>
                  </w:r>
                  <w:r>
                    <w:rPr>
                      <w:rFonts w:hint="default" w:ascii="Times New Roman" w:hAnsi="Times New Roman" w:eastAsia="宋体" w:cs="Times New Roman"/>
                      <w:kern w:val="0"/>
                      <w:sz w:val="21"/>
                      <w:szCs w:val="21"/>
                      <w:lang w:val="en-US" w:eastAsia="zh-CN" w:bidi="ar-SA"/>
                    </w:rPr>
                    <w:fldChar w:fldCharType="end"/>
                  </w:r>
                  <w:r>
                    <w:rPr>
                      <w:rFonts w:hint="default" w:ascii="Times New Roman" w:hAnsi="Times New Roman" w:eastAsia="宋体" w:cs="Times New Roman"/>
                      <w:color w:val="auto"/>
                      <w:sz w:val="21"/>
                      <w:szCs w:val="21"/>
                    </w:rPr>
                    <w:t>简单防渗区</w:t>
                  </w:r>
                  <w:r>
                    <w:rPr>
                      <w:rFonts w:hint="default" w:ascii="Times New Roman" w:hAnsi="Times New Roman" w:eastAsia="宋体" w:cs="Times New Roman"/>
                      <w:color w:val="auto"/>
                      <w:sz w:val="21"/>
                      <w:szCs w:val="21"/>
                      <w:lang w:eastAsia="zh-CN"/>
                    </w:rPr>
                    <w:t>：</w:t>
                  </w:r>
                  <w:r>
                    <w:rPr>
                      <w:rFonts w:hint="default" w:ascii="Times New Roman" w:hAnsi="Times New Roman" w:cs="Times New Roman"/>
                      <w:color w:val="auto"/>
                      <w:sz w:val="21"/>
                      <w:szCs w:val="21"/>
                      <w:lang w:val="en-US" w:eastAsia="zh-CN"/>
                    </w:rPr>
                    <w:t>其他区域</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地面硬化</w:t>
                  </w:r>
                  <w:r>
                    <w:rPr>
                      <w:rFonts w:hint="default" w:ascii="Times New Roman" w:hAnsi="Times New Roman" w:eastAsia="宋体" w:cs="Times New Roman"/>
                      <w:color w:val="auto"/>
                      <w:sz w:val="21"/>
                      <w:szCs w:val="21"/>
                      <w:lang w:val="en-US" w:eastAsia="zh-CN"/>
                    </w:rPr>
                    <w:t>处理</w:t>
                  </w:r>
                  <w:r>
                    <w:rPr>
                      <w:rFonts w:hint="default" w:ascii="Times New Roman" w:hAnsi="Times New Roman" w:cs="Times New Roman"/>
                      <w:color w:val="auto"/>
                      <w:sz w:val="21"/>
                      <w:szCs w:val="21"/>
                      <w:lang w:val="en-US" w:eastAsia="zh-CN"/>
                    </w:rPr>
                    <w:t>。</w:t>
                  </w:r>
                </w:p>
              </w:tc>
              <w:tc>
                <w:tcPr>
                  <w:tcW w:w="590" w:type="pct"/>
                  <w:noWrap w:val="0"/>
                  <w:vAlign w:val="center"/>
                </w:tcPr>
                <w:p w14:paraId="5594D54F">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拟建</w:t>
                  </w:r>
                </w:p>
              </w:tc>
            </w:tr>
            <w:tr w14:paraId="1556E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85" w:type="pct"/>
                  <w:vMerge w:val="continue"/>
                  <w:noWrap w:val="0"/>
                  <w:vAlign w:val="center"/>
                </w:tcPr>
                <w:p w14:paraId="7C286EF9">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sz w:val="21"/>
                      <w:szCs w:val="21"/>
                      <w:vertAlign w:val="baseline"/>
                      <w:lang w:val="en-US" w:eastAsia="zh-CN"/>
                    </w:rPr>
                  </w:pPr>
                </w:p>
              </w:tc>
              <w:tc>
                <w:tcPr>
                  <w:tcW w:w="605" w:type="pct"/>
                  <w:vMerge w:val="continue"/>
                  <w:noWrap w:val="0"/>
                  <w:vAlign w:val="center"/>
                </w:tcPr>
                <w:p w14:paraId="369AD6F8">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sz w:val="21"/>
                      <w:szCs w:val="21"/>
                      <w:vertAlign w:val="baseline"/>
                      <w:lang w:val="en-US" w:eastAsia="zh-CN"/>
                    </w:rPr>
                  </w:pPr>
                </w:p>
              </w:tc>
              <w:tc>
                <w:tcPr>
                  <w:tcW w:w="401" w:type="pct"/>
                  <w:noWrap w:val="0"/>
                  <w:vAlign w:val="center"/>
                </w:tcPr>
                <w:p w14:paraId="50B78542">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sz w:val="21"/>
                      <w:szCs w:val="21"/>
                      <w:vertAlign w:val="baseline"/>
                      <w:lang w:val="en-US" w:eastAsia="zh-CN"/>
                    </w:rPr>
                  </w:pPr>
                  <w:r>
                    <w:rPr>
                      <w:rFonts w:hint="default" w:ascii="Times New Roman" w:hAnsi="Times New Roman" w:eastAsia="宋体" w:cs="Times New Roman"/>
                      <w:color w:val="auto"/>
                      <w:sz w:val="21"/>
                      <w:szCs w:val="21"/>
                      <w:lang w:val="en-US" w:eastAsia="zh-CN"/>
                    </w:rPr>
                    <w:t>环境风险防范</w:t>
                  </w:r>
                </w:p>
              </w:tc>
              <w:tc>
                <w:tcPr>
                  <w:tcW w:w="3017" w:type="pct"/>
                  <w:noWrap w:val="0"/>
                  <w:vAlign w:val="center"/>
                </w:tcPr>
                <w:p w14:paraId="39D2F76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fldChar w:fldCharType="begin"/>
                  </w:r>
                  <w:r>
                    <w:rPr>
                      <w:rFonts w:hint="default" w:ascii="Times New Roman" w:hAnsi="Times New Roman" w:eastAsia="宋体" w:cs="Times New Roman"/>
                      <w:color w:val="auto"/>
                      <w:sz w:val="21"/>
                      <w:szCs w:val="21"/>
                      <w:lang w:val="en-US" w:eastAsia="zh-CN"/>
                    </w:rPr>
                    <w:instrText xml:space="preserve"> = 1 \* GB3 \* MERGEFORMAT </w:instrText>
                  </w:r>
                  <w:r>
                    <w:rPr>
                      <w:rFonts w:hint="default" w:ascii="Times New Roman" w:hAnsi="Times New Roman" w:eastAsia="宋体" w:cs="Times New Roman"/>
                      <w:color w:val="auto"/>
                      <w:sz w:val="21"/>
                      <w:szCs w:val="21"/>
                      <w:lang w:val="en-US" w:eastAsia="zh-CN"/>
                    </w:rPr>
                    <w:fldChar w:fldCharType="separate"/>
                  </w:r>
                  <w:r>
                    <w:rPr>
                      <w:rFonts w:hint="default" w:ascii="Times New Roman" w:hAnsi="Times New Roman" w:cs="Times New Roman"/>
                      <w:color w:val="auto"/>
                      <w:sz w:val="21"/>
                      <w:szCs w:val="21"/>
                    </w:rPr>
                    <w:t>①</w:t>
                  </w:r>
                  <w:r>
                    <w:rPr>
                      <w:rFonts w:hint="default" w:ascii="Times New Roman" w:hAnsi="Times New Roman" w:eastAsia="宋体" w:cs="Times New Roman"/>
                      <w:color w:val="auto"/>
                      <w:sz w:val="21"/>
                      <w:szCs w:val="21"/>
                      <w:lang w:val="en-US" w:eastAsia="zh-CN"/>
                    </w:rPr>
                    <w:fldChar w:fldCharType="end"/>
                  </w:r>
                  <w:r>
                    <w:rPr>
                      <w:rFonts w:hint="default" w:ascii="Times New Roman" w:hAnsi="Times New Roman" w:eastAsia="宋体" w:cs="Times New Roman"/>
                      <w:color w:val="auto"/>
                      <w:sz w:val="21"/>
                      <w:szCs w:val="21"/>
                      <w:lang w:val="en-US" w:eastAsia="zh-CN"/>
                    </w:rPr>
                    <w:t>危废贮存点采用防风、防晒、防雨、防漏、防渗和防腐措施；</w:t>
                  </w:r>
                </w:p>
                <w:p w14:paraId="0089957E">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left"/>
                    <w:textAlignment w:val="auto"/>
                    <w:rPr>
                      <w:rFonts w:hint="default" w:ascii="Times New Roman" w:hAnsi="Times New Roman" w:eastAsia="宋体" w:cs="Times New Roman"/>
                      <w:bCs/>
                      <w:color w:val="auto"/>
                      <w:sz w:val="21"/>
                      <w:szCs w:val="21"/>
                      <w:lang w:eastAsia="zh-CN"/>
                    </w:rPr>
                  </w:pPr>
                  <w:r>
                    <w:rPr>
                      <w:rFonts w:hint="default" w:ascii="Times New Roman" w:hAnsi="Times New Roman" w:eastAsia="宋体" w:cs="Times New Roman"/>
                      <w:kern w:val="0"/>
                      <w:sz w:val="21"/>
                      <w:szCs w:val="21"/>
                      <w:lang w:val="en-US" w:eastAsia="zh-CN" w:bidi="ar-SA"/>
                    </w:rPr>
                    <w:fldChar w:fldCharType="begin"/>
                  </w:r>
                  <w:r>
                    <w:rPr>
                      <w:rFonts w:hint="default" w:ascii="Times New Roman" w:hAnsi="Times New Roman" w:eastAsia="宋体" w:cs="Times New Roman"/>
                      <w:kern w:val="0"/>
                      <w:sz w:val="21"/>
                      <w:szCs w:val="21"/>
                      <w:lang w:val="en-US" w:eastAsia="zh-CN" w:bidi="ar-SA"/>
                    </w:rPr>
                    <w:instrText xml:space="preserve"> = 2 \* GB3 \* MERGEFORMAT </w:instrText>
                  </w:r>
                  <w:r>
                    <w:rPr>
                      <w:rFonts w:hint="default" w:ascii="Times New Roman" w:hAnsi="Times New Roman" w:eastAsia="宋体" w:cs="Times New Roman"/>
                      <w:kern w:val="0"/>
                      <w:sz w:val="21"/>
                      <w:szCs w:val="21"/>
                      <w:lang w:val="en-US" w:eastAsia="zh-CN" w:bidi="ar-SA"/>
                    </w:rPr>
                    <w:fldChar w:fldCharType="separate"/>
                  </w:r>
                  <w:r>
                    <w:rPr>
                      <w:rFonts w:hint="default" w:ascii="Times New Roman" w:hAnsi="Times New Roman" w:eastAsia="宋体" w:cs="Times New Roman"/>
                      <w:kern w:val="0"/>
                      <w:sz w:val="21"/>
                      <w:szCs w:val="21"/>
                      <w:lang w:val="en-US" w:eastAsia="zh-CN" w:bidi="ar-SA"/>
                    </w:rPr>
                    <w:t>②</w:t>
                  </w:r>
                  <w:r>
                    <w:rPr>
                      <w:rFonts w:hint="default" w:ascii="Times New Roman" w:hAnsi="Times New Roman" w:eastAsia="宋体" w:cs="Times New Roman"/>
                      <w:kern w:val="0"/>
                      <w:sz w:val="21"/>
                      <w:szCs w:val="21"/>
                      <w:lang w:val="en-US" w:eastAsia="zh-CN" w:bidi="ar-SA"/>
                    </w:rPr>
                    <w:fldChar w:fldCharType="end"/>
                  </w:r>
                  <w:r>
                    <w:rPr>
                      <w:rFonts w:hint="default" w:ascii="Times New Roman" w:hAnsi="Times New Roman" w:eastAsia="宋体" w:cs="Times New Roman"/>
                      <w:bCs/>
                      <w:color w:val="auto"/>
                      <w:sz w:val="21"/>
                      <w:szCs w:val="21"/>
                    </w:rPr>
                    <w:t>制订</w:t>
                  </w:r>
                  <w:r>
                    <w:rPr>
                      <w:rFonts w:hint="default" w:ascii="Times New Roman" w:hAnsi="Times New Roman" w:eastAsia="宋体" w:cs="Times New Roman"/>
                      <w:bCs/>
                      <w:color w:val="auto"/>
                      <w:sz w:val="21"/>
                      <w:szCs w:val="21"/>
                      <w:lang w:val="en-US" w:eastAsia="zh-CN"/>
                    </w:rPr>
                    <w:t>突发环境事件应急预案并定期演练，落实</w:t>
                  </w:r>
                  <w:r>
                    <w:rPr>
                      <w:rFonts w:hint="default" w:ascii="Times New Roman" w:hAnsi="Times New Roman" w:eastAsia="宋体" w:cs="Times New Roman"/>
                      <w:bCs/>
                      <w:color w:val="auto"/>
                      <w:sz w:val="21"/>
                      <w:szCs w:val="21"/>
                    </w:rPr>
                    <w:t>风险防范措施</w:t>
                  </w:r>
                  <w:r>
                    <w:rPr>
                      <w:rFonts w:hint="default" w:ascii="Times New Roman" w:hAnsi="Times New Roman" w:eastAsia="宋体" w:cs="Times New Roman"/>
                      <w:bCs/>
                      <w:color w:val="auto"/>
                      <w:sz w:val="21"/>
                      <w:szCs w:val="21"/>
                      <w:lang w:eastAsia="zh-CN"/>
                    </w:rPr>
                    <w:t>；</w:t>
                  </w:r>
                </w:p>
                <w:p w14:paraId="0E92F87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fldChar w:fldCharType="begin"/>
                  </w:r>
                  <w:r>
                    <w:rPr>
                      <w:rFonts w:hint="default" w:ascii="Times New Roman" w:hAnsi="Times New Roman" w:eastAsia="宋体" w:cs="Times New Roman"/>
                      <w:color w:val="auto"/>
                      <w:sz w:val="21"/>
                      <w:szCs w:val="21"/>
                      <w:lang w:val="en-US" w:eastAsia="zh-CN"/>
                    </w:rPr>
                    <w:instrText xml:space="preserve"> = 3 \* GB3 \* MERGEFORMAT </w:instrText>
                  </w:r>
                  <w:r>
                    <w:rPr>
                      <w:rFonts w:hint="default" w:ascii="Times New Roman" w:hAnsi="Times New Roman" w:eastAsia="宋体" w:cs="Times New Roman"/>
                      <w:color w:val="auto"/>
                      <w:sz w:val="21"/>
                      <w:szCs w:val="21"/>
                      <w:lang w:val="en-US" w:eastAsia="zh-CN"/>
                    </w:rPr>
                    <w:fldChar w:fldCharType="separate"/>
                  </w:r>
                  <w:r>
                    <w:rPr>
                      <w:rFonts w:hint="default" w:ascii="Times New Roman" w:hAnsi="Times New Roman" w:cs="Times New Roman"/>
                      <w:sz w:val="21"/>
                      <w:szCs w:val="21"/>
                    </w:rPr>
                    <w:t>③</w:t>
                  </w:r>
                  <w:r>
                    <w:rPr>
                      <w:rFonts w:hint="default" w:ascii="Times New Roman" w:hAnsi="Times New Roman" w:eastAsia="宋体" w:cs="Times New Roman"/>
                      <w:color w:val="auto"/>
                      <w:sz w:val="21"/>
                      <w:szCs w:val="21"/>
                      <w:lang w:val="en-US" w:eastAsia="zh-CN"/>
                    </w:rPr>
                    <w:fldChar w:fldCharType="end"/>
                  </w:r>
                  <w:r>
                    <w:rPr>
                      <w:rFonts w:hint="default" w:ascii="Times New Roman" w:hAnsi="Times New Roman" w:eastAsia="宋体" w:cs="Times New Roman"/>
                      <w:color w:val="auto"/>
                      <w:sz w:val="21"/>
                      <w:szCs w:val="21"/>
                      <w:lang w:val="en-US" w:eastAsia="zh-CN"/>
                    </w:rPr>
                    <w:t>物料</w:t>
                  </w:r>
                  <w:r>
                    <w:rPr>
                      <w:rFonts w:hint="eastAsia" w:ascii="Times New Roman" w:hAnsi="Times New Roman" w:eastAsia="宋体" w:cs="Times New Roman"/>
                      <w:color w:val="auto"/>
                      <w:sz w:val="21"/>
                      <w:szCs w:val="21"/>
                      <w:lang w:val="en-US" w:eastAsia="zh-CN"/>
                    </w:rPr>
                    <w:t>存</w:t>
                  </w:r>
                  <w:r>
                    <w:rPr>
                      <w:rFonts w:hint="default" w:ascii="Times New Roman" w:hAnsi="Times New Roman" w:eastAsia="宋体" w:cs="Times New Roman"/>
                      <w:color w:val="auto"/>
                      <w:sz w:val="21"/>
                      <w:szCs w:val="21"/>
                      <w:lang w:val="en-US" w:eastAsia="zh-CN"/>
                    </w:rPr>
                    <w:t>放设置明显标志，贮存场所采用防雨、防晒、防渗、防尘、防扬散和防火措施；</w:t>
                  </w:r>
                </w:p>
                <w:p w14:paraId="6177170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color w:val="auto"/>
                      <w:sz w:val="21"/>
                      <w:szCs w:val="21"/>
                      <w:lang w:val="en-US" w:eastAsia="zh-CN"/>
                    </w:rPr>
                    <w:fldChar w:fldCharType="begin"/>
                  </w:r>
                  <w:r>
                    <w:rPr>
                      <w:rFonts w:hint="default" w:ascii="Times New Roman" w:hAnsi="Times New Roman" w:eastAsia="宋体" w:cs="Times New Roman"/>
                      <w:color w:val="auto"/>
                      <w:sz w:val="21"/>
                      <w:szCs w:val="21"/>
                      <w:lang w:val="en-US" w:eastAsia="zh-CN"/>
                    </w:rPr>
                    <w:instrText xml:space="preserve"> = 4 \* GB3 \* MERGEFORMAT </w:instrText>
                  </w:r>
                  <w:r>
                    <w:rPr>
                      <w:rFonts w:hint="default" w:ascii="Times New Roman" w:hAnsi="Times New Roman" w:eastAsia="宋体" w:cs="Times New Roman"/>
                      <w:color w:val="auto"/>
                      <w:sz w:val="21"/>
                      <w:szCs w:val="21"/>
                      <w:lang w:val="en-US" w:eastAsia="zh-CN"/>
                    </w:rPr>
                    <w:fldChar w:fldCharType="separate"/>
                  </w:r>
                  <w:r>
                    <w:rPr>
                      <w:rFonts w:hint="default" w:ascii="Times New Roman" w:hAnsi="Times New Roman" w:cs="Times New Roman"/>
                      <w:sz w:val="21"/>
                      <w:szCs w:val="21"/>
                    </w:rPr>
                    <w:t>④</w:t>
                  </w:r>
                  <w:r>
                    <w:rPr>
                      <w:rFonts w:hint="default" w:ascii="Times New Roman" w:hAnsi="Times New Roman" w:eastAsia="宋体" w:cs="Times New Roman"/>
                      <w:color w:val="auto"/>
                      <w:sz w:val="21"/>
                      <w:szCs w:val="21"/>
                      <w:lang w:val="en-US" w:eastAsia="zh-CN"/>
                    </w:rPr>
                    <w:fldChar w:fldCharType="end"/>
                  </w:r>
                  <w:r>
                    <w:rPr>
                      <w:rFonts w:hint="default" w:ascii="Times New Roman" w:hAnsi="Times New Roman" w:eastAsia="宋体" w:cs="Times New Roman"/>
                      <w:color w:val="auto"/>
                      <w:sz w:val="21"/>
                      <w:szCs w:val="21"/>
                      <w:lang w:val="en-US" w:eastAsia="zh-CN"/>
                    </w:rPr>
                    <w:t>严禁在生产车间和库房使用明火。</w:t>
                  </w:r>
                </w:p>
              </w:tc>
              <w:tc>
                <w:tcPr>
                  <w:tcW w:w="590" w:type="pct"/>
                  <w:noWrap w:val="0"/>
                  <w:vAlign w:val="center"/>
                </w:tcPr>
                <w:p w14:paraId="00479F71">
                  <w:pPr>
                    <w:keepNext w:val="0"/>
                    <w:keepLines w:val="0"/>
                    <w:pageBreakBefore w:val="0"/>
                    <w:widowControl w:val="0"/>
                    <w:kinsoku/>
                    <w:wordWrap/>
                    <w:overflowPunct/>
                    <w:topLinePunct w:val="0"/>
                    <w:autoSpaceDN/>
                    <w:bidi w:val="0"/>
                    <w:jc w:val="center"/>
                    <w:textAlignment w:val="auto"/>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拟建</w:t>
                  </w:r>
                </w:p>
              </w:tc>
            </w:tr>
          </w:tbl>
          <w:p w14:paraId="41F3C607">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cs="Times New Roman"/>
                <w:bCs/>
                <w:sz w:val="24"/>
                <w:szCs w:val="24"/>
                <w:lang w:val="en-US" w:eastAsia="zh-CN"/>
              </w:rPr>
            </w:pPr>
            <w:r>
              <w:rPr>
                <w:rFonts w:hint="default" w:ascii="Times New Roman" w:hAnsi="Times New Roman" w:cs="Times New Roman"/>
                <w:bCs/>
                <w:kern w:val="2"/>
                <w:sz w:val="24"/>
                <w:szCs w:val="24"/>
                <w:lang w:val="en-US" w:eastAsia="zh-CN" w:bidi="ar-SA"/>
              </w:rPr>
              <w:t>3、</w:t>
            </w:r>
            <w:r>
              <w:rPr>
                <w:rFonts w:hint="default" w:ascii="Times New Roman" w:hAnsi="Times New Roman" w:cs="Times New Roman"/>
                <w:bCs/>
                <w:sz w:val="24"/>
                <w:szCs w:val="24"/>
                <w:lang w:val="en-US" w:eastAsia="zh-CN"/>
              </w:rPr>
              <w:t>主要产品及产能</w:t>
            </w:r>
          </w:p>
          <w:p w14:paraId="017AF6CF">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eastAsia" w:ascii="Times New Roman" w:hAnsi="Times New Roman" w:cs="Times New Roman"/>
                <w:bCs/>
                <w:sz w:val="24"/>
                <w:szCs w:val="24"/>
                <w:lang w:val="en-US" w:eastAsia="zh-CN"/>
              </w:rPr>
            </w:pPr>
            <w:r>
              <w:rPr>
                <w:rFonts w:hint="default" w:ascii="Times New Roman" w:hAnsi="Times New Roman" w:cs="Times New Roman"/>
                <w:bCs/>
                <w:sz w:val="24"/>
                <w:szCs w:val="24"/>
                <w:lang w:val="en-US" w:eastAsia="zh-CN"/>
              </w:rPr>
              <w:t>本项目主要产品为</w:t>
            </w:r>
            <w:r>
              <w:rPr>
                <w:rFonts w:hint="eastAsia" w:ascii="Times New Roman" w:hAnsi="Times New Roman" w:cs="Times New Roman"/>
                <w:bCs/>
                <w:sz w:val="24"/>
                <w:szCs w:val="24"/>
                <w:lang w:val="en-US" w:eastAsia="zh-CN"/>
              </w:rPr>
              <w:t>精煤、中煤。</w:t>
            </w:r>
          </w:p>
          <w:p w14:paraId="0ACDAB35">
            <w:pPr>
              <w:pStyle w:val="13"/>
              <w:keepNext w:val="0"/>
              <w:keepLines w:val="0"/>
              <w:pageBreakBefore w:val="0"/>
              <w:widowControl w:val="0"/>
              <w:kinsoku/>
              <w:wordWrap/>
              <w:overflowPunct/>
              <w:topLinePunct w:val="0"/>
              <w:autoSpaceDE w:val="0"/>
              <w:autoSpaceDN w:val="0"/>
              <w:bidi w:val="0"/>
              <w:adjustRightInd w:val="0"/>
              <w:snapToGrid w:val="0"/>
              <w:spacing w:line="440" w:lineRule="exact"/>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表2-</w:t>
            </w:r>
            <w:r>
              <w:rPr>
                <w:rFonts w:hint="default" w:ascii="Times New Roman" w:hAnsi="Times New Roman" w:cs="Times New Roman"/>
                <w:b/>
                <w:bCs/>
                <w:color w:val="auto"/>
                <w:sz w:val="21"/>
                <w:szCs w:val="21"/>
                <w:highlight w:val="none"/>
                <w:lang w:val="en-US" w:eastAsia="zh-CN"/>
              </w:rPr>
              <w:t>2</w:t>
            </w:r>
            <w:r>
              <w:rPr>
                <w:rFonts w:hint="default" w:ascii="Times New Roman" w:hAnsi="Times New Roman" w:eastAsia="宋体" w:cs="Times New Roman"/>
                <w:b/>
                <w:bCs/>
                <w:color w:val="auto"/>
                <w:sz w:val="21"/>
                <w:szCs w:val="21"/>
                <w:highlight w:val="none"/>
                <w:lang w:val="en-US" w:eastAsia="zh-CN"/>
              </w:rPr>
              <w:t xml:space="preserve">  产品方案一览表</w:t>
            </w:r>
          </w:p>
          <w:tbl>
            <w:tblPr>
              <w:tblStyle w:val="2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7"/>
              <w:gridCol w:w="1587"/>
              <w:gridCol w:w="1587"/>
              <w:gridCol w:w="1587"/>
              <w:gridCol w:w="1587"/>
            </w:tblGrid>
            <w:tr w14:paraId="351F7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00" w:type="pct"/>
                  <w:noWrap w:val="0"/>
                  <w:vAlign w:val="center"/>
                </w:tcPr>
                <w:p w14:paraId="108F341C">
                  <w:pPr>
                    <w:pStyle w:val="13"/>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时期</w:t>
                  </w:r>
                </w:p>
              </w:tc>
              <w:tc>
                <w:tcPr>
                  <w:tcW w:w="1000" w:type="pct"/>
                  <w:noWrap w:val="0"/>
                  <w:vAlign w:val="center"/>
                </w:tcPr>
                <w:p w14:paraId="452DDB2B">
                  <w:pPr>
                    <w:pStyle w:val="13"/>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洗选煤泥量（t/a）</w:t>
                  </w:r>
                </w:p>
              </w:tc>
              <w:tc>
                <w:tcPr>
                  <w:tcW w:w="1000" w:type="pct"/>
                  <w:noWrap w:val="0"/>
                  <w:vAlign w:val="center"/>
                </w:tcPr>
                <w:p w14:paraId="4C116141">
                  <w:pPr>
                    <w:pStyle w:val="13"/>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精煤（t/a）</w:t>
                  </w:r>
                </w:p>
              </w:tc>
              <w:tc>
                <w:tcPr>
                  <w:tcW w:w="1000" w:type="pct"/>
                  <w:noWrap w:val="0"/>
                  <w:vAlign w:val="center"/>
                </w:tcPr>
                <w:p w14:paraId="40AB7E8A">
                  <w:pPr>
                    <w:pStyle w:val="13"/>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中煤/</w:t>
                  </w:r>
                  <w:r>
                    <w:rPr>
                      <w:rFonts w:hint="default" w:ascii="Times New Roman" w:hAnsi="Times New Roman" w:eastAsia="宋体" w:cs="Times New Roman"/>
                      <w:b w:val="0"/>
                      <w:bCs w:val="0"/>
                      <w:kern w:val="0"/>
                      <w:sz w:val="21"/>
                      <w:szCs w:val="21"/>
                      <w:lang w:val="en-US" w:eastAsia="zh-CN" w:bidi="ar"/>
                    </w:rPr>
                    <w:t>低卡动力煤</w:t>
                  </w:r>
                  <w:r>
                    <w:rPr>
                      <w:rFonts w:hint="default" w:ascii="Times New Roman" w:hAnsi="Times New Roman" w:eastAsia="宋体" w:cs="Times New Roman"/>
                      <w:b w:val="0"/>
                      <w:bCs w:val="0"/>
                      <w:color w:val="auto"/>
                      <w:sz w:val="21"/>
                      <w:szCs w:val="21"/>
                      <w:highlight w:val="none"/>
                      <w:vertAlign w:val="baseline"/>
                      <w:lang w:val="en-US" w:eastAsia="zh-CN"/>
                    </w:rPr>
                    <w:t>（t/a）</w:t>
                  </w:r>
                </w:p>
              </w:tc>
              <w:tc>
                <w:tcPr>
                  <w:tcW w:w="1000" w:type="pct"/>
                  <w:noWrap w:val="0"/>
                  <w:vAlign w:val="center"/>
                </w:tcPr>
                <w:p w14:paraId="4C0D2F8B">
                  <w:pPr>
                    <w:pStyle w:val="13"/>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尾煤泥（t/a）</w:t>
                  </w:r>
                </w:p>
              </w:tc>
            </w:tr>
            <w:tr w14:paraId="4FB98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00" w:type="pct"/>
                  <w:noWrap w:val="0"/>
                  <w:vAlign w:val="center"/>
                </w:tcPr>
                <w:p w14:paraId="3B4EFB4E">
                  <w:pPr>
                    <w:pStyle w:val="13"/>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一期</w:t>
                  </w:r>
                </w:p>
              </w:tc>
              <w:tc>
                <w:tcPr>
                  <w:tcW w:w="1000" w:type="pct"/>
                  <w:noWrap w:val="0"/>
                  <w:vAlign w:val="center"/>
                </w:tcPr>
                <w:p w14:paraId="5CDC76F2">
                  <w:pPr>
                    <w:pStyle w:val="13"/>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6</w:t>
                  </w:r>
                  <w:r>
                    <w:rPr>
                      <w:rFonts w:hint="default" w:ascii="Times New Roman" w:hAnsi="Times New Roman" w:cs="Times New Roman"/>
                      <w:b w:val="0"/>
                      <w:bCs w:val="0"/>
                      <w:color w:val="auto"/>
                      <w:sz w:val="21"/>
                      <w:szCs w:val="21"/>
                      <w:highlight w:val="none"/>
                      <w:vertAlign w:val="baseline"/>
                      <w:lang w:val="en-US" w:eastAsia="zh-CN"/>
                    </w:rPr>
                    <w:t>0000</w:t>
                  </w:r>
                </w:p>
              </w:tc>
              <w:tc>
                <w:tcPr>
                  <w:tcW w:w="1000" w:type="pct"/>
                  <w:noWrap w:val="0"/>
                  <w:vAlign w:val="center"/>
                </w:tcPr>
                <w:p w14:paraId="07301EAE">
                  <w:pPr>
                    <w:pStyle w:val="13"/>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122</w:t>
                  </w:r>
                  <w:r>
                    <w:rPr>
                      <w:rFonts w:hint="default" w:ascii="Times New Roman" w:hAnsi="Times New Roman" w:cs="Times New Roman"/>
                      <w:b w:val="0"/>
                      <w:bCs w:val="0"/>
                      <w:color w:val="auto"/>
                      <w:sz w:val="21"/>
                      <w:szCs w:val="21"/>
                      <w:highlight w:val="none"/>
                      <w:vertAlign w:val="baseline"/>
                      <w:lang w:val="en-US" w:eastAsia="zh-CN"/>
                    </w:rPr>
                    <w:t>00</w:t>
                  </w:r>
                </w:p>
              </w:tc>
              <w:tc>
                <w:tcPr>
                  <w:tcW w:w="1000" w:type="pct"/>
                  <w:noWrap w:val="0"/>
                  <w:vAlign w:val="center"/>
                </w:tcPr>
                <w:p w14:paraId="775904BF">
                  <w:pPr>
                    <w:pStyle w:val="13"/>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color w:val="auto"/>
                      <w:sz w:val="21"/>
                      <w:szCs w:val="21"/>
                      <w:lang w:val="en-US" w:eastAsia="zh-CN"/>
                    </w:rPr>
                    <w:t>47594.78</w:t>
                  </w:r>
                </w:p>
              </w:tc>
              <w:tc>
                <w:tcPr>
                  <w:tcW w:w="1000" w:type="pct"/>
                  <w:noWrap w:val="0"/>
                  <w:vAlign w:val="center"/>
                </w:tcPr>
                <w:p w14:paraId="0E3C19CA">
                  <w:pPr>
                    <w:pStyle w:val="13"/>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w:t>
                  </w:r>
                </w:p>
              </w:tc>
            </w:tr>
            <w:tr w14:paraId="2ACB8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00" w:type="pct"/>
                  <w:noWrap w:val="0"/>
                  <w:vAlign w:val="center"/>
                </w:tcPr>
                <w:p w14:paraId="2BC000C8">
                  <w:pPr>
                    <w:pStyle w:val="13"/>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二期</w:t>
                  </w:r>
                </w:p>
              </w:tc>
              <w:tc>
                <w:tcPr>
                  <w:tcW w:w="1000" w:type="pct"/>
                  <w:noWrap w:val="0"/>
                  <w:vAlign w:val="center"/>
                </w:tcPr>
                <w:p w14:paraId="6926651B">
                  <w:pPr>
                    <w:pStyle w:val="13"/>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12</w:t>
                  </w:r>
                  <w:r>
                    <w:rPr>
                      <w:rFonts w:hint="default" w:ascii="Times New Roman" w:hAnsi="Times New Roman" w:cs="Times New Roman"/>
                      <w:b w:val="0"/>
                      <w:bCs w:val="0"/>
                      <w:color w:val="auto"/>
                      <w:sz w:val="21"/>
                      <w:szCs w:val="21"/>
                      <w:highlight w:val="none"/>
                      <w:vertAlign w:val="baseline"/>
                      <w:lang w:val="en-US" w:eastAsia="zh-CN"/>
                    </w:rPr>
                    <w:t>0000</w:t>
                  </w:r>
                </w:p>
              </w:tc>
              <w:tc>
                <w:tcPr>
                  <w:tcW w:w="1000" w:type="pct"/>
                  <w:noWrap w:val="0"/>
                  <w:vAlign w:val="center"/>
                </w:tcPr>
                <w:p w14:paraId="01132A4D">
                  <w:pPr>
                    <w:pStyle w:val="13"/>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210</w:t>
                  </w:r>
                  <w:r>
                    <w:rPr>
                      <w:rFonts w:hint="default" w:ascii="Times New Roman" w:hAnsi="Times New Roman" w:cs="Times New Roman"/>
                      <w:b w:val="0"/>
                      <w:bCs w:val="0"/>
                      <w:color w:val="auto"/>
                      <w:sz w:val="21"/>
                      <w:szCs w:val="21"/>
                      <w:highlight w:val="none"/>
                      <w:vertAlign w:val="baseline"/>
                      <w:lang w:val="en-US" w:eastAsia="zh-CN"/>
                    </w:rPr>
                    <w:t>00</w:t>
                  </w:r>
                </w:p>
              </w:tc>
              <w:tc>
                <w:tcPr>
                  <w:tcW w:w="1000" w:type="pct"/>
                  <w:noWrap w:val="0"/>
                  <w:vAlign w:val="center"/>
                </w:tcPr>
                <w:p w14:paraId="414A790D">
                  <w:pPr>
                    <w:pStyle w:val="13"/>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179</w:t>
                  </w:r>
                  <w:r>
                    <w:rPr>
                      <w:rFonts w:hint="default" w:ascii="Times New Roman" w:hAnsi="Times New Roman" w:cs="Times New Roman"/>
                      <w:b w:val="0"/>
                      <w:bCs w:val="0"/>
                      <w:color w:val="auto"/>
                      <w:sz w:val="21"/>
                      <w:szCs w:val="21"/>
                      <w:highlight w:val="none"/>
                      <w:vertAlign w:val="baseline"/>
                      <w:lang w:val="en-US" w:eastAsia="zh-CN"/>
                    </w:rPr>
                    <w:t>00</w:t>
                  </w:r>
                </w:p>
              </w:tc>
              <w:tc>
                <w:tcPr>
                  <w:tcW w:w="1000" w:type="pct"/>
                  <w:noWrap w:val="0"/>
                  <w:vAlign w:val="center"/>
                </w:tcPr>
                <w:p w14:paraId="7625344B">
                  <w:pPr>
                    <w:pStyle w:val="13"/>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color w:val="auto"/>
                      <w:sz w:val="21"/>
                      <w:szCs w:val="21"/>
                      <w:lang w:val="en-US" w:eastAsia="zh-CN"/>
                    </w:rPr>
                    <w:t>80831.56</w:t>
                  </w:r>
                </w:p>
              </w:tc>
            </w:tr>
            <w:tr w14:paraId="5E82C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00" w:type="pct"/>
                  <w:noWrap w:val="0"/>
                  <w:vAlign w:val="center"/>
                </w:tcPr>
                <w:p w14:paraId="53FBAAA6">
                  <w:pPr>
                    <w:pStyle w:val="13"/>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三期</w:t>
                  </w:r>
                </w:p>
              </w:tc>
              <w:tc>
                <w:tcPr>
                  <w:tcW w:w="1000" w:type="pct"/>
                  <w:noWrap w:val="0"/>
                  <w:vAlign w:val="center"/>
                </w:tcPr>
                <w:p w14:paraId="121489AD">
                  <w:pPr>
                    <w:pStyle w:val="13"/>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30</w:t>
                  </w:r>
                  <w:r>
                    <w:rPr>
                      <w:rFonts w:hint="default" w:ascii="Times New Roman" w:hAnsi="Times New Roman" w:cs="Times New Roman"/>
                      <w:b w:val="0"/>
                      <w:bCs w:val="0"/>
                      <w:color w:val="auto"/>
                      <w:sz w:val="21"/>
                      <w:szCs w:val="21"/>
                      <w:highlight w:val="none"/>
                      <w:vertAlign w:val="baseline"/>
                      <w:lang w:val="en-US" w:eastAsia="zh-CN"/>
                    </w:rPr>
                    <w:t>0000</w:t>
                  </w:r>
                </w:p>
              </w:tc>
              <w:tc>
                <w:tcPr>
                  <w:tcW w:w="1000" w:type="pct"/>
                  <w:noWrap w:val="0"/>
                  <w:vAlign w:val="center"/>
                </w:tcPr>
                <w:p w14:paraId="2355D1BD">
                  <w:pPr>
                    <w:pStyle w:val="13"/>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424</w:t>
                  </w:r>
                  <w:r>
                    <w:rPr>
                      <w:rFonts w:hint="default" w:ascii="Times New Roman" w:hAnsi="Times New Roman" w:cs="Times New Roman"/>
                      <w:b w:val="0"/>
                      <w:bCs w:val="0"/>
                      <w:color w:val="auto"/>
                      <w:sz w:val="21"/>
                      <w:szCs w:val="21"/>
                      <w:highlight w:val="none"/>
                      <w:vertAlign w:val="baseline"/>
                      <w:lang w:val="en-US" w:eastAsia="zh-CN"/>
                    </w:rPr>
                    <w:t>00</w:t>
                  </w:r>
                </w:p>
              </w:tc>
              <w:tc>
                <w:tcPr>
                  <w:tcW w:w="1000" w:type="pct"/>
                  <w:noWrap w:val="0"/>
                  <w:vAlign w:val="center"/>
                </w:tcPr>
                <w:p w14:paraId="1285831E">
                  <w:pPr>
                    <w:pStyle w:val="13"/>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366</w:t>
                  </w:r>
                  <w:r>
                    <w:rPr>
                      <w:rFonts w:hint="default" w:ascii="Times New Roman" w:hAnsi="Times New Roman" w:cs="Times New Roman"/>
                      <w:b w:val="0"/>
                      <w:bCs w:val="0"/>
                      <w:color w:val="auto"/>
                      <w:sz w:val="21"/>
                      <w:szCs w:val="21"/>
                      <w:highlight w:val="none"/>
                      <w:vertAlign w:val="baseline"/>
                      <w:lang w:val="en-US" w:eastAsia="zh-CN"/>
                    </w:rPr>
                    <w:t>00</w:t>
                  </w:r>
                </w:p>
              </w:tc>
              <w:tc>
                <w:tcPr>
                  <w:tcW w:w="1000" w:type="pct"/>
                  <w:noWrap w:val="0"/>
                  <w:vAlign w:val="center"/>
                </w:tcPr>
                <w:p w14:paraId="4C791220">
                  <w:pPr>
                    <w:pStyle w:val="13"/>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220429.17</w:t>
                  </w:r>
                </w:p>
              </w:tc>
            </w:tr>
          </w:tbl>
          <w:p w14:paraId="19740DFA">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22" w:firstLineChars="200"/>
              <w:jc w:val="center"/>
              <w:textAlignment w:val="auto"/>
              <w:rPr>
                <w:rFonts w:hint="default" w:ascii="Times New Roman" w:hAnsi="Times New Roman" w:cs="Times New Roman"/>
                <w:b/>
                <w:bCs w:val="0"/>
                <w:kern w:val="2"/>
                <w:sz w:val="21"/>
                <w:szCs w:val="21"/>
                <w:lang w:val="en-US" w:eastAsia="zh-CN" w:bidi="ar-SA"/>
              </w:rPr>
            </w:pPr>
            <w:r>
              <w:rPr>
                <w:rFonts w:hint="default" w:ascii="Times New Roman" w:hAnsi="Times New Roman" w:cs="Times New Roman"/>
                <w:b/>
                <w:bCs w:val="0"/>
                <w:kern w:val="2"/>
                <w:sz w:val="21"/>
                <w:szCs w:val="21"/>
                <w:lang w:val="en-US" w:eastAsia="zh-CN" w:bidi="ar-SA"/>
              </w:rPr>
              <w:t>表2-3  物料平衡表</w:t>
            </w:r>
          </w:p>
          <w:tbl>
            <w:tblPr>
              <w:tblStyle w:val="6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20"/>
              <w:gridCol w:w="2078"/>
              <w:gridCol w:w="1326"/>
              <w:gridCol w:w="2318"/>
              <w:gridCol w:w="1590"/>
            </w:tblGrid>
            <w:tr w14:paraId="0994F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91" w:type="pct"/>
                  <w:vMerge w:val="restart"/>
                  <w:noWrap w:val="0"/>
                  <w:vAlign w:val="center"/>
                </w:tcPr>
                <w:p w14:paraId="20AA288F">
                  <w:pPr>
                    <w:keepNext w:val="0"/>
                    <w:keepLines w:val="0"/>
                    <w:pageBreakBefore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序号</w:t>
                  </w:r>
                </w:p>
              </w:tc>
              <w:tc>
                <w:tcPr>
                  <w:tcW w:w="2146" w:type="pct"/>
                  <w:gridSpan w:val="2"/>
                  <w:noWrap w:val="0"/>
                  <w:vAlign w:val="center"/>
                </w:tcPr>
                <w:p w14:paraId="74CA86CA">
                  <w:pPr>
                    <w:keepNext w:val="0"/>
                    <w:keepLines w:val="0"/>
                    <w:pageBreakBefore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输入过程</w:t>
                  </w:r>
                </w:p>
              </w:tc>
              <w:tc>
                <w:tcPr>
                  <w:tcW w:w="2462" w:type="pct"/>
                  <w:gridSpan w:val="2"/>
                  <w:noWrap w:val="0"/>
                  <w:vAlign w:val="center"/>
                </w:tcPr>
                <w:p w14:paraId="25F32153">
                  <w:pPr>
                    <w:keepNext w:val="0"/>
                    <w:keepLines w:val="0"/>
                    <w:pageBreakBefore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输出过程</w:t>
                  </w:r>
                </w:p>
              </w:tc>
            </w:tr>
            <w:tr w14:paraId="7C3D4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91" w:type="pct"/>
                  <w:vMerge w:val="continue"/>
                  <w:noWrap w:val="0"/>
                  <w:vAlign w:val="center"/>
                </w:tcPr>
                <w:p w14:paraId="01B50C73">
                  <w:pPr>
                    <w:keepNext w:val="0"/>
                    <w:keepLines w:val="0"/>
                    <w:pageBreakBefore w:val="0"/>
                    <w:kinsoku/>
                    <w:wordWrap/>
                    <w:overflowPunct/>
                    <w:topLinePunct w:val="0"/>
                    <w:bidi w:val="0"/>
                    <w:jc w:val="center"/>
                    <w:rPr>
                      <w:rFonts w:hint="default" w:ascii="Times New Roman" w:hAnsi="Times New Roman" w:eastAsia="宋体" w:cs="Times New Roman"/>
                      <w:color w:val="auto"/>
                      <w:sz w:val="21"/>
                      <w:szCs w:val="21"/>
                      <w:lang w:val="en-US" w:eastAsia="zh-CN"/>
                    </w:rPr>
                  </w:pPr>
                </w:p>
              </w:tc>
              <w:tc>
                <w:tcPr>
                  <w:tcW w:w="1310" w:type="pct"/>
                  <w:noWrap w:val="0"/>
                  <w:vAlign w:val="center"/>
                </w:tcPr>
                <w:p w14:paraId="7D94C235">
                  <w:pPr>
                    <w:keepNext w:val="0"/>
                    <w:keepLines w:val="0"/>
                    <w:pageBreakBefore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物料名称</w:t>
                  </w:r>
                </w:p>
              </w:tc>
              <w:tc>
                <w:tcPr>
                  <w:tcW w:w="836" w:type="pct"/>
                  <w:noWrap w:val="0"/>
                  <w:vAlign w:val="center"/>
                </w:tcPr>
                <w:p w14:paraId="5DED1A02">
                  <w:pPr>
                    <w:keepNext w:val="0"/>
                    <w:keepLines w:val="0"/>
                    <w:pageBreakBefore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数量（t/a）</w:t>
                  </w:r>
                </w:p>
              </w:tc>
              <w:tc>
                <w:tcPr>
                  <w:tcW w:w="1461" w:type="pct"/>
                  <w:noWrap w:val="0"/>
                  <w:vAlign w:val="center"/>
                </w:tcPr>
                <w:p w14:paraId="6BF98AAF">
                  <w:pPr>
                    <w:keepNext w:val="0"/>
                    <w:keepLines w:val="0"/>
                    <w:pageBreakBefore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物料名称</w:t>
                  </w:r>
                </w:p>
              </w:tc>
              <w:tc>
                <w:tcPr>
                  <w:tcW w:w="1001" w:type="pct"/>
                  <w:noWrap w:val="0"/>
                  <w:vAlign w:val="center"/>
                </w:tcPr>
                <w:p w14:paraId="4A04DF6E">
                  <w:pPr>
                    <w:keepNext w:val="0"/>
                    <w:keepLines w:val="0"/>
                    <w:pageBreakBefore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数量（t/a）</w:t>
                  </w:r>
                </w:p>
              </w:tc>
            </w:tr>
            <w:tr w14:paraId="4002B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9" w:hRule="atLeast"/>
                <w:jc w:val="center"/>
              </w:trPr>
              <w:tc>
                <w:tcPr>
                  <w:tcW w:w="5000" w:type="pct"/>
                  <w:gridSpan w:val="5"/>
                  <w:noWrap w:val="0"/>
                  <w:vAlign w:val="center"/>
                </w:tcPr>
                <w:p w14:paraId="15156FBA">
                  <w:pPr>
                    <w:keepNext w:val="0"/>
                    <w:keepLines w:val="0"/>
                    <w:pageBreakBefore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一期</w:t>
                  </w:r>
                </w:p>
              </w:tc>
            </w:tr>
            <w:tr w14:paraId="7CF28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9" w:hRule="atLeast"/>
                <w:jc w:val="center"/>
              </w:trPr>
              <w:tc>
                <w:tcPr>
                  <w:tcW w:w="391" w:type="pct"/>
                  <w:noWrap w:val="0"/>
                  <w:vAlign w:val="center"/>
                </w:tcPr>
                <w:p w14:paraId="4EA007DC">
                  <w:pPr>
                    <w:keepNext w:val="0"/>
                    <w:keepLines w:val="0"/>
                    <w:pageBreakBefore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w:t>
                  </w:r>
                </w:p>
              </w:tc>
              <w:tc>
                <w:tcPr>
                  <w:tcW w:w="1310" w:type="pct"/>
                  <w:noWrap w:val="0"/>
                  <w:vAlign w:val="center"/>
                </w:tcPr>
                <w:p w14:paraId="370DB021">
                  <w:pPr>
                    <w:keepNext w:val="0"/>
                    <w:keepLines w:val="0"/>
                    <w:pageBreakBefore w:val="0"/>
                    <w:widowControl/>
                    <w:suppressLineNumbers w:val="0"/>
                    <w:kinsoku/>
                    <w:wordWrap/>
                    <w:overflowPunct/>
                    <w:topLinePunct w:val="0"/>
                    <w:bidi w:val="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煤泥</w:t>
                  </w:r>
                </w:p>
              </w:tc>
              <w:tc>
                <w:tcPr>
                  <w:tcW w:w="836" w:type="pct"/>
                  <w:noWrap w:val="0"/>
                  <w:vAlign w:val="center"/>
                </w:tcPr>
                <w:p w14:paraId="386BDEEE">
                  <w:pPr>
                    <w:keepNext w:val="0"/>
                    <w:keepLines w:val="0"/>
                    <w:pageBreakBefore w:val="0"/>
                    <w:widowControl/>
                    <w:suppressLineNumbers w:val="0"/>
                    <w:kinsoku/>
                    <w:wordWrap/>
                    <w:overflowPunct/>
                    <w:topLinePunct w:val="0"/>
                    <w:bidi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60000</w:t>
                  </w:r>
                </w:p>
              </w:tc>
              <w:tc>
                <w:tcPr>
                  <w:tcW w:w="1461" w:type="pct"/>
                  <w:noWrap w:val="0"/>
                  <w:vAlign w:val="center"/>
                </w:tcPr>
                <w:p w14:paraId="7A4379A5">
                  <w:pPr>
                    <w:keepNext w:val="0"/>
                    <w:keepLines w:val="0"/>
                    <w:pageBreakBefore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精煤</w:t>
                  </w:r>
                </w:p>
              </w:tc>
              <w:tc>
                <w:tcPr>
                  <w:tcW w:w="1001" w:type="pct"/>
                  <w:noWrap w:val="0"/>
                  <w:vAlign w:val="center"/>
                </w:tcPr>
                <w:p w14:paraId="2F0268DF">
                  <w:pPr>
                    <w:keepNext w:val="0"/>
                    <w:keepLines w:val="0"/>
                    <w:pageBreakBefore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12200</w:t>
                  </w:r>
                </w:p>
              </w:tc>
            </w:tr>
            <w:tr w14:paraId="0CF08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91" w:type="pct"/>
                  <w:noWrap w:val="0"/>
                  <w:vAlign w:val="center"/>
                </w:tcPr>
                <w:p w14:paraId="7E4220A8">
                  <w:pPr>
                    <w:keepNext w:val="0"/>
                    <w:keepLines w:val="0"/>
                    <w:pageBreakBefore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w:t>
                  </w:r>
                </w:p>
              </w:tc>
              <w:tc>
                <w:tcPr>
                  <w:tcW w:w="1310" w:type="pct"/>
                  <w:noWrap w:val="0"/>
                  <w:vAlign w:val="center"/>
                </w:tcPr>
                <w:p w14:paraId="058F71C8">
                  <w:pPr>
                    <w:keepNext w:val="0"/>
                    <w:keepLines w:val="0"/>
                    <w:pageBreakBefore w:val="0"/>
                    <w:widowControl/>
                    <w:suppressLineNumbers w:val="0"/>
                    <w:kinsoku/>
                    <w:wordWrap/>
                    <w:overflowPunct/>
                    <w:topLinePunct w:val="0"/>
                    <w:bidi w:val="0"/>
                    <w:jc w:val="center"/>
                    <w:textAlignment w:val="center"/>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sz w:val="21"/>
                      <w:szCs w:val="21"/>
                      <w:vertAlign w:val="baseline"/>
                      <w:lang w:val="en-US" w:eastAsia="zh-CN"/>
                    </w:rPr>
                    <w:t>/</w:t>
                  </w:r>
                </w:p>
              </w:tc>
              <w:tc>
                <w:tcPr>
                  <w:tcW w:w="836" w:type="pct"/>
                  <w:noWrap w:val="0"/>
                  <w:vAlign w:val="center"/>
                </w:tcPr>
                <w:p w14:paraId="00009B7C">
                  <w:pPr>
                    <w:keepNext w:val="0"/>
                    <w:keepLines w:val="0"/>
                    <w:pageBreakBefore w:val="0"/>
                    <w:widowControl/>
                    <w:suppressLineNumbers w:val="0"/>
                    <w:kinsoku/>
                    <w:wordWrap/>
                    <w:overflowPunct/>
                    <w:topLinePunct w:val="0"/>
                    <w:bidi w:val="0"/>
                    <w:jc w:val="center"/>
                    <w:textAlignment w:val="top"/>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sz w:val="21"/>
                      <w:szCs w:val="21"/>
                      <w:vertAlign w:val="baseline"/>
                      <w:lang w:val="en-US" w:eastAsia="zh-CN"/>
                    </w:rPr>
                    <w:t>/</w:t>
                  </w:r>
                </w:p>
              </w:tc>
              <w:tc>
                <w:tcPr>
                  <w:tcW w:w="1461" w:type="pct"/>
                  <w:noWrap w:val="0"/>
                  <w:vAlign w:val="center"/>
                </w:tcPr>
                <w:p w14:paraId="228B4EBE">
                  <w:pPr>
                    <w:keepNext w:val="0"/>
                    <w:keepLines w:val="0"/>
                    <w:pageBreakBefore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b w:val="0"/>
                      <w:bCs w:val="0"/>
                      <w:kern w:val="0"/>
                      <w:sz w:val="21"/>
                      <w:szCs w:val="21"/>
                      <w:lang w:val="en-US" w:eastAsia="zh-CN" w:bidi="ar"/>
                    </w:rPr>
                    <w:t>低卡动力煤</w:t>
                  </w:r>
                </w:p>
              </w:tc>
              <w:tc>
                <w:tcPr>
                  <w:tcW w:w="1001" w:type="pct"/>
                  <w:noWrap w:val="0"/>
                  <w:vAlign w:val="center"/>
                </w:tcPr>
                <w:p w14:paraId="525C0A3B">
                  <w:pPr>
                    <w:keepNext w:val="0"/>
                    <w:keepLines w:val="0"/>
                    <w:pageBreakBefore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47594.78</w:t>
                  </w:r>
                </w:p>
              </w:tc>
            </w:tr>
            <w:tr w14:paraId="076F7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91" w:type="pct"/>
                  <w:noWrap w:val="0"/>
                  <w:vAlign w:val="center"/>
                </w:tcPr>
                <w:p w14:paraId="512EEDA0">
                  <w:pPr>
                    <w:keepNext w:val="0"/>
                    <w:keepLines w:val="0"/>
                    <w:pageBreakBefore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w:t>
                  </w:r>
                </w:p>
              </w:tc>
              <w:tc>
                <w:tcPr>
                  <w:tcW w:w="1310" w:type="pct"/>
                  <w:noWrap w:val="0"/>
                  <w:vAlign w:val="center"/>
                </w:tcPr>
                <w:p w14:paraId="6422AB59">
                  <w:pPr>
                    <w:keepNext w:val="0"/>
                    <w:keepLines w:val="0"/>
                    <w:pageBreakBefore w:val="0"/>
                    <w:widowControl/>
                    <w:suppressLineNumbers w:val="0"/>
                    <w:kinsoku/>
                    <w:wordWrap/>
                    <w:overflowPunct/>
                    <w:topLinePunct w:val="0"/>
                    <w:bidi w:val="0"/>
                    <w:jc w:val="center"/>
                    <w:textAlignment w:val="center"/>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sz w:val="21"/>
                      <w:szCs w:val="21"/>
                      <w:vertAlign w:val="baseline"/>
                      <w:lang w:val="en-US" w:eastAsia="zh-CN"/>
                    </w:rPr>
                    <w:t>/</w:t>
                  </w:r>
                </w:p>
              </w:tc>
              <w:tc>
                <w:tcPr>
                  <w:tcW w:w="836" w:type="pct"/>
                  <w:noWrap w:val="0"/>
                  <w:vAlign w:val="center"/>
                </w:tcPr>
                <w:p w14:paraId="2413457F">
                  <w:pPr>
                    <w:keepNext w:val="0"/>
                    <w:keepLines w:val="0"/>
                    <w:pageBreakBefore w:val="0"/>
                    <w:widowControl/>
                    <w:suppressLineNumbers w:val="0"/>
                    <w:kinsoku/>
                    <w:wordWrap/>
                    <w:overflowPunct/>
                    <w:topLinePunct w:val="0"/>
                    <w:bidi w:val="0"/>
                    <w:jc w:val="center"/>
                    <w:textAlignment w:val="top"/>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sz w:val="21"/>
                      <w:szCs w:val="21"/>
                      <w:vertAlign w:val="baseline"/>
                      <w:lang w:val="en-US" w:eastAsia="zh-CN"/>
                    </w:rPr>
                    <w:t>/</w:t>
                  </w:r>
                </w:p>
              </w:tc>
              <w:tc>
                <w:tcPr>
                  <w:tcW w:w="1461" w:type="pct"/>
                  <w:noWrap w:val="0"/>
                  <w:vAlign w:val="center"/>
                </w:tcPr>
                <w:p w14:paraId="005679E6">
                  <w:pPr>
                    <w:keepNext w:val="0"/>
                    <w:keepLines w:val="0"/>
                    <w:pageBreakBefore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sz w:val="21"/>
                      <w:szCs w:val="21"/>
                      <w:lang w:val="en-US" w:eastAsia="zh-CN"/>
                    </w:rPr>
                    <w:t>水分损耗</w:t>
                  </w:r>
                </w:p>
              </w:tc>
              <w:tc>
                <w:tcPr>
                  <w:tcW w:w="1001" w:type="pct"/>
                  <w:noWrap w:val="0"/>
                  <w:vAlign w:val="center"/>
                </w:tcPr>
                <w:p w14:paraId="1C9377C8">
                  <w:pPr>
                    <w:keepNext w:val="0"/>
                    <w:keepLines w:val="0"/>
                    <w:pageBreakBefore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200</w:t>
                  </w:r>
                </w:p>
              </w:tc>
            </w:tr>
            <w:tr w14:paraId="0F3C1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91" w:type="pct"/>
                  <w:noWrap w:val="0"/>
                  <w:vAlign w:val="center"/>
                </w:tcPr>
                <w:p w14:paraId="5A74C2F6">
                  <w:pPr>
                    <w:keepNext w:val="0"/>
                    <w:keepLines w:val="0"/>
                    <w:pageBreakBefore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w:t>
                  </w:r>
                </w:p>
              </w:tc>
              <w:tc>
                <w:tcPr>
                  <w:tcW w:w="1310" w:type="pct"/>
                  <w:noWrap w:val="0"/>
                  <w:vAlign w:val="center"/>
                </w:tcPr>
                <w:p w14:paraId="33E915B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i w:val="0"/>
                      <w:iCs w:val="0"/>
                      <w:color w:val="auto"/>
                      <w:kern w:val="0"/>
                      <w:sz w:val="21"/>
                      <w:szCs w:val="21"/>
                      <w:u w:val="none"/>
                      <w:lang w:val="en-US" w:eastAsia="zh-CN" w:bidi="ar"/>
                    </w:rPr>
                  </w:pPr>
                  <w:r>
                    <w:rPr>
                      <w:rFonts w:hint="default" w:ascii="Times New Roman" w:hAnsi="Times New Roman" w:eastAsia="宋体" w:cs="Times New Roman"/>
                      <w:b w:val="0"/>
                      <w:bCs w:val="0"/>
                      <w:i w:val="0"/>
                      <w:iCs w:val="0"/>
                      <w:color w:val="auto"/>
                      <w:kern w:val="0"/>
                      <w:sz w:val="21"/>
                      <w:szCs w:val="21"/>
                      <w:u w:val="none"/>
                      <w:lang w:val="en-US" w:eastAsia="zh-CN" w:bidi="ar"/>
                    </w:rPr>
                    <w:t>/</w:t>
                  </w:r>
                </w:p>
              </w:tc>
              <w:tc>
                <w:tcPr>
                  <w:tcW w:w="836" w:type="pct"/>
                  <w:noWrap w:val="0"/>
                  <w:vAlign w:val="center"/>
                </w:tcPr>
                <w:p w14:paraId="22E6D4D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i w:val="0"/>
                      <w:iCs w:val="0"/>
                      <w:color w:val="auto"/>
                      <w:kern w:val="0"/>
                      <w:sz w:val="21"/>
                      <w:szCs w:val="21"/>
                      <w:u w:val="none"/>
                      <w:lang w:val="en-US" w:eastAsia="zh-CN" w:bidi="ar"/>
                    </w:rPr>
                  </w:pPr>
                  <w:r>
                    <w:rPr>
                      <w:rFonts w:hint="default" w:ascii="Times New Roman" w:hAnsi="Times New Roman" w:eastAsia="宋体" w:cs="Times New Roman"/>
                      <w:b w:val="0"/>
                      <w:bCs w:val="0"/>
                      <w:i w:val="0"/>
                      <w:iCs w:val="0"/>
                      <w:color w:val="auto"/>
                      <w:kern w:val="0"/>
                      <w:sz w:val="21"/>
                      <w:szCs w:val="21"/>
                      <w:u w:val="none"/>
                      <w:lang w:val="en-US" w:eastAsia="zh-CN" w:bidi="ar"/>
                    </w:rPr>
                    <w:t>/</w:t>
                  </w:r>
                </w:p>
              </w:tc>
              <w:tc>
                <w:tcPr>
                  <w:tcW w:w="1461" w:type="pct"/>
                  <w:noWrap w:val="0"/>
                  <w:vAlign w:val="center"/>
                </w:tcPr>
                <w:p w14:paraId="6B75886A">
                  <w:pPr>
                    <w:keepNext w:val="0"/>
                    <w:keepLines w:val="0"/>
                    <w:pageBreakBefore w:val="0"/>
                    <w:kinsoku/>
                    <w:wordWrap/>
                    <w:overflowPunct/>
                    <w:topLinePunct w:val="0"/>
                    <w:bidi w:val="0"/>
                    <w:jc w:val="center"/>
                    <w:rPr>
                      <w:rFonts w:hint="default" w:ascii="Times New Roman" w:hAnsi="Times New Roman" w:cs="Times New Roman"/>
                      <w:b w:val="0"/>
                      <w:bCs w:val="0"/>
                      <w:sz w:val="21"/>
                      <w:szCs w:val="21"/>
                      <w:vertAlign w:val="baseline"/>
                      <w:lang w:val="en-US" w:eastAsia="zh-CN"/>
                    </w:rPr>
                  </w:pPr>
                  <w:r>
                    <w:rPr>
                      <w:rFonts w:hint="default" w:ascii="Times New Roman" w:hAnsi="Times New Roman" w:cs="Times New Roman"/>
                      <w:sz w:val="21"/>
                      <w:szCs w:val="21"/>
                      <w:lang w:val="en-US" w:eastAsia="zh-CN"/>
                    </w:rPr>
                    <w:t>煤泥除杂筛分杂质</w:t>
                  </w:r>
                </w:p>
              </w:tc>
              <w:tc>
                <w:tcPr>
                  <w:tcW w:w="1001" w:type="pct"/>
                  <w:noWrap w:val="0"/>
                  <w:vAlign w:val="center"/>
                </w:tcPr>
                <w:p w14:paraId="156701EA">
                  <w:pPr>
                    <w:keepNext w:val="0"/>
                    <w:keepLines w:val="0"/>
                    <w:pageBreakBefore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1.65</w:t>
                  </w:r>
                </w:p>
              </w:tc>
            </w:tr>
            <w:tr w14:paraId="24D1B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91" w:type="pct"/>
                  <w:noWrap w:val="0"/>
                  <w:vAlign w:val="center"/>
                </w:tcPr>
                <w:p w14:paraId="677E0E7D">
                  <w:pPr>
                    <w:keepNext w:val="0"/>
                    <w:keepLines w:val="0"/>
                    <w:pageBreakBefore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5</w:t>
                  </w:r>
                </w:p>
              </w:tc>
              <w:tc>
                <w:tcPr>
                  <w:tcW w:w="1310" w:type="pct"/>
                  <w:noWrap w:val="0"/>
                  <w:vAlign w:val="center"/>
                </w:tcPr>
                <w:p w14:paraId="7350FE5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i w:val="0"/>
                      <w:iCs w:val="0"/>
                      <w:color w:val="auto"/>
                      <w:kern w:val="0"/>
                      <w:sz w:val="21"/>
                      <w:szCs w:val="21"/>
                      <w:u w:val="none"/>
                      <w:lang w:val="en-US" w:eastAsia="zh-CN" w:bidi="ar"/>
                    </w:rPr>
                  </w:pPr>
                  <w:r>
                    <w:rPr>
                      <w:rFonts w:hint="default" w:ascii="Times New Roman" w:hAnsi="Times New Roman" w:eastAsia="宋体" w:cs="Times New Roman"/>
                      <w:b w:val="0"/>
                      <w:bCs w:val="0"/>
                      <w:i w:val="0"/>
                      <w:iCs w:val="0"/>
                      <w:color w:val="auto"/>
                      <w:kern w:val="0"/>
                      <w:sz w:val="21"/>
                      <w:szCs w:val="21"/>
                      <w:u w:val="none"/>
                      <w:lang w:val="en-US" w:eastAsia="zh-CN" w:bidi="ar"/>
                    </w:rPr>
                    <w:t>/</w:t>
                  </w:r>
                </w:p>
              </w:tc>
              <w:tc>
                <w:tcPr>
                  <w:tcW w:w="836" w:type="pct"/>
                  <w:noWrap w:val="0"/>
                  <w:vAlign w:val="center"/>
                </w:tcPr>
                <w:p w14:paraId="05CD1C9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i w:val="0"/>
                      <w:iCs w:val="0"/>
                      <w:color w:val="auto"/>
                      <w:kern w:val="0"/>
                      <w:sz w:val="21"/>
                      <w:szCs w:val="21"/>
                      <w:u w:val="none"/>
                      <w:lang w:val="en-US" w:eastAsia="zh-CN" w:bidi="ar"/>
                    </w:rPr>
                  </w:pPr>
                  <w:r>
                    <w:rPr>
                      <w:rFonts w:hint="default" w:ascii="Times New Roman" w:hAnsi="Times New Roman" w:eastAsia="宋体" w:cs="Times New Roman"/>
                      <w:b w:val="0"/>
                      <w:bCs w:val="0"/>
                      <w:i w:val="0"/>
                      <w:iCs w:val="0"/>
                      <w:color w:val="auto"/>
                      <w:kern w:val="0"/>
                      <w:sz w:val="21"/>
                      <w:szCs w:val="21"/>
                      <w:u w:val="none"/>
                      <w:lang w:val="en-US" w:eastAsia="zh-CN" w:bidi="ar"/>
                    </w:rPr>
                    <w:t>/</w:t>
                  </w:r>
                </w:p>
              </w:tc>
              <w:tc>
                <w:tcPr>
                  <w:tcW w:w="1461" w:type="pct"/>
                  <w:noWrap w:val="0"/>
                  <w:vAlign w:val="center"/>
                </w:tcPr>
                <w:p w14:paraId="7E00CA1E">
                  <w:pPr>
                    <w:keepNext w:val="0"/>
                    <w:keepLines w:val="0"/>
                    <w:pageBreakBefore w:val="0"/>
                    <w:kinsoku/>
                    <w:wordWrap/>
                    <w:overflowPunct/>
                    <w:topLinePunct w:val="0"/>
                    <w:bidi w:val="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循环水池底泥</w:t>
                  </w:r>
                </w:p>
              </w:tc>
              <w:tc>
                <w:tcPr>
                  <w:tcW w:w="1001" w:type="pct"/>
                  <w:noWrap w:val="0"/>
                  <w:vAlign w:val="center"/>
                </w:tcPr>
                <w:p w14:paraId="1641FC5B">
                  <w:pPr>
                    <w:keepNext w:val="0"/>
                    <w:keepLines w:val="0"/>
                    <w:pageBreakBefore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w:t>
                  </w:r>
                </w:p>
              </w:tc>
            </w:tr>
            <w:tr w14:paraId="36B92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91" w:type="pct"/>
                  <w:noWrap w:val="0"/>
                  <w:vAlign w:val="center"/>
                </w:tcPr>
                <w:p w14:paraId="60DD1D60">
                  <w:pPr>
                    <w:keepNext w:val="0"/>
                    <w:keepLines w:val="0"/>
                    <w:pageBreakBefore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6</w:t>
                  </w:r>
                </w:p>
              </w:tc>
              <w:tc>
                <w:tcPr>
                  <w:tcW w:w="1310" w:type="pct"/>
                  <w:noWrap w:val="0"/>
                  <w:vAlign w:val="center"/>
                </w:tcPr>
                <w:p w14:paraId="5C2EC89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i w:val="0"/>
                      <w:iCs w:val="0"/>
                      <w:color w:val="auto"/>
                      <w:kern w:val="0"/>
                      <w:sz w:val="21"/>
                      <w:szCs w:val="21"/>
                      <w:u w:val="none"/>
                      <w:lang w:val="en-US" w:eastAsia="zh-CN" w:bidi="ar"/>
                    </w:rPr>
                  </w:pPr>
                  <w:r>
                    <w:rPr>
                      <w:rFonts w:hint="default" w:ascii="Times New Roman" w:hAnsi="Times New Roman" w:eastAsia="宋体" w:cs="Times New Roman"/>
                      <w:b w:val="0"/>
                      <w:bCs w:val="0"/>
                      <w:i w:val="0"/>
                      <w:iCs w:val="0"/>
                      <w:color w:val="auto"/>
                      <w:kern w:val="0"/>
                      <w:sz w:val="21"/>
                      <w:szCs w:val="21"/>
                      <w:u w:val="none"/>
                      <w:lang w:val="en-US" w:eastAsia="zh-CN" w:bidi="ar"/>
                    </w:rPr>
                    <w:t>/</w:t>
                  </w:r>
                </w:p>
              </w:tc>
              <w:tc>
                <w:tcPr>
                  <w:tcW w:w="836" w:type="pct"/>
                  <w:noWrap w:val="0"/>
                  <w:vAlign w:val="center"/>
                </w:tcPr>
                <w:p w14:paraId="2F67342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i w:val="0"/>
                      <w:iCs w:val="0"/>
                      <w:color w:val="auto"/>
                      <w:kern w:val="0"/>
                      <w:sz w:val="21"/>
                      <w:szCs w:val="21"/>
                      <w:u w:val="none"/>
                      <w:lang w:val="en-US" w:eastAsia="zh-CN" w:bidi="ar"/>
                    </w:rPr>
                  </w:pPr>
                  <w:r>
                    <w:rPr>
                      <w:rFonts w:hint="default" w:ascii="Times New Roman" w:hAnsi="Times New Roman" w:eastAsia="宋体" w:cs="Times New Roman"/>
                      <w:b w:val="0"/>
                      <w:bCs w:val="0"/>
                      <w:i w:val="0"/>
                      <w:iCs w:val="0"/>
                      <w:color w:val="auto"/>
                      <w:kern w:val="0"/>
                      <w:sz w:val="21"/>
                      <w:szCs w:val="21"/>
                      <w:u w:val="none"/>
                      <w:lang w:val="en-US" w:eastAsia="zh-CN" w:bidi="ar"/>
                    </w:rPr>
                    <w:t>/</w:t>
                  </w:r>
                </w:p>
              </w:tc>
              <w:tc>
                <w:tcPr>
                  <w:tcW w:w="1461" w:type="pct"/>
                  <w:noWrap w:val="0"/>
                  <w:vAlign w:val="center"/>
                </w:tcPr>
                <w:p w14:paraId="3E495374">
                  <w:pPr>
                    <w:keepNext w:val="0"/>
                    <w:keepLines w:val="0"/>
                    <w:pageBreakBefore w:val="0"/>
                    <w:kinsoku/>
                    <w:wordWrap/>
                    <w:overflowPunct/>
                    <w:topLinePunct w:val="0"/>
                    <w:bidi w:val="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无组织粉尘</w:t>
                  </w:r>
                </w:p>
              </w:tc>
              <w:tc>
                <w:tcPr>
                  <w:tcW w:w="1001" w:type="pct"/>
                  <w:noWrap w:val="0"/>
                  <w:vAlign w:val="center"/>
                </w:tcPr>
                <w:p w14:paraId="21CBF728">
                  <w:pPr>
                    <w:keepNext w:val="0"/>
                    <w:keepLines w:val="0"/>
                    <w:pageBreakBefore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w:t>
                  </w:r>
                  <w:r>
                    <w:rPr>
                      <w:rFonts w:hint="eastAsia" w:ascii="Times New Roman" w:hAnsi="Times New Roman" w:cs="Times New Roman"/>
                      <w:color w:val="auto"/>
                      <w:sz w:val="21"/>
                      <w:szCs w:val="21"/>
                      <w:lang w:val="en-US" w:eastAsia="zh-CN"/>
                    </w:rPr>
                    <w:t>57</w:t>
                  </w:r>
                </w:p>
              </w:tc>
            </w:tr>
            <w:tr w14:paraId="5FE05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91" w:type="pct"/>
                  <w:noWrap w:val="0"/>
                  <w:vAlign w:val="center"/>
                </w:tcPr>
                <w:p w14:paraId="148EFC3F">
                  <w:pPr>
                    <w:keepNext w:val="0"/>
                    <w:keepLines w:val="0"/>
                    <w:pageBreakBefore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7</w:t>
                  </w:r>
                </w:p>
              </w:tc>
              <w:tc>
                <w:tcPr>
                  <w:tcW w:w="1310" w:type="pct"/>
                  <w:noWrap w:val="0"/>
                  <w:vAlign w:val="center"/>
                </w:tcPr>
                <w:p w14:paraId="3A0DC198">
                  <w:pPr>
                    <w:keepNext w:val="0"/>
                    <w:keepLines w:val="0"/>
                    <w:pageBreakBefore w:val="0"/>
                    <w:widowControl/>
                    <w:suppressLineNumbers w:val="0"/>
                    <w:kinsoku/>
                    <w:wordWrap/>
                    <w:overflowPunct/>
                    <w:topLinePunct w:val="0"/>
                    <w:bidi w:val="0"/>
                    <w:jc w:val="center"/>
                    <w:textAlignment w:val="center"/>
                    <w:rPr>
                      <w:rFonts w:hint="default" w:ascii="Times New Roman" w:hAnsi="Times New Roman" w:eastAsia="宋体" w:cs="Times New Roman"/>
                      <w:b w:val="0"/>
                      <w:bCs w:val="0"/>
                      <w:i w:val="0"/>
                      <w:iCs w:val="0"/>
                      <w:color w:val="auto"/>
                      <w:kern w:val="0"/>
                      <w:sz w:val="21"/>
                      <w:szCs w:val="21"/>
                      <w:u w:val="none"/>
                      <w:lang w:val="en-US" w:eastAsia="zh-CN" w:bidi="ar"/>
                    </w:rPr>
                  </w:pPr>
                  <w:r>
                    <w:rPr>
                      <w:rFonts w:hint="default" w:ascii="Times New Roman" w:hAnsi="Times New Roman" w:eastAsia="宋体" w:cs="Times New Roman"/>
                      <w:b w:val="0"/>
                      <w:bCs w:val="0"/>
                      <w:i w:val="0"/>
                      <w:iCs w:val="0"/>
                      <w:color w:val="auto"/>
                      <w:kern w:val="0"/>
                      <w:sz w:val="21"/>
                      <w:szCs w:val="21"/>
                      <w:u w:val="none"/>
                      <w:lang w:val="en-US" w:eastAsia="zh-CN" w:bidi="ar"/>
                    </w:rPr>
                    <w:t>合计</w:t>
                  </w:r>
                </w:p>
              </w:tc>
              <w:tc>
                <w:tcPr>
                  <w:tcW w:w="836" w:type="pct"/>
                  <w:noWrap w:val="0"/>
                  <w:vAlign w:val="center"/>
                </w:tcPr>
                <w:p w14:paraId="5B79E860">
                  <w:pPr>
                    <w:keepNext w:val="0"/>
                    <w:keepLines w:val="0"/>
                    <w:pageBreakBefore w:val="0"/>
                    <w:widowControl/>
                    <w:suppressLineNumbers w:val="0"/>
                    <w:kinsoku/>
                    <w:wordWrap/>
                    <w:overflowPunct/>
                    <w:topLinePunct w:val="0"/>
                    <w:bidi w:val="0"/>
                    <w:jc w:val="center"/>
                    <w:textAlignment w:val="top"/>
                    <w:rPr>
                      <w:rFonts w:hint="default" w:ascii="Times New Roman" w:hAnsi="Times New Roman" w:eastAsia="宋体" w:cs="Times New Roman"/>
                      <w:b w:val="0"/>
                      <w:bCs w:val="0"/>
                      <w:i w:val="0"/>
                      <w:iCs w:val="0"/>
                      <w:color w:val="auto"/>
                      <w:kern w:val="0"/>
                      <w:sz w:val="21"/>
                      <w:szCs w:val="21"/>
                      <w:u w:val="none"/>
                      <w:lang w:val="en-US" w:eastAsia="zh-CN" w:bidi="ar"/>
                    </w:rPr>
                  </w:pPr>
                  <w:r>
                    <w:rPr>
                      <w:rFonts w:hint="default" w:ascii="Times New Roman" w:hAnsi="Times New Roman" w:eastAsia="宋体" w:cs="Times New Roman"/>
                      <w:color w:val="auto"/>
                      <w:sz w:val="21"/>
                      <w:szCs w:val="21"/>
                      <w:lang w:val="en-US" w:eastAsia="zh-CN"/>
                    </w:rPr>
                    <w:t>60000</w:t>
                  </w:r>
                </w:p>
              </w:tc>
              <w:tc>
                <w:tcPr>
                  <w:tcW w:w="1461" w:type="pct"/>
                  <w:noWrap w:val="0"/>
                  <w:vAlign w:val="center"/>
                </w:tcPr>
                <w:p w14:paraId="5A4E913C">
                  <w:pPr>
                    <w:keepNext w:val="0"/>
                    <w:keepLines w:val="0"/>
                    <w:pageBreakBefore w:val="0"/>
                    <w:widowControl/>
                    <w:suppressLineNumbers w:val="0"/>
                    <w:kinsoku/>
                    <w:wordWrap/>
                    <w:overflowPunct/>
                    <w:topLinePunct w:val="0"/>
                    <w:bidi w:val="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b w:val="0"/>
                      <w:bCs w:val="0"/>
                      <w:i w:val="0"/>
                      <w:iCs w:val="0"/>
                      <w:color w:val="auto"/>
                      <w:kern w:val="0"/>
                      <w:sz w:val="21"/>
                      <w:szCs w:val="21"/>
                      <w:u w:val="none"/>
                      <w:lang w:val="en-US" w:eastAsia="zh-CN" w:bidi="ar"/>
                    </w:rPr>
                    <w:t>合计</w:t>
                  </w:r>
                </w:p>
              </w:tc>
              <w:tc>
                <w:tcPr>
                  <w:tcW w:w="1001" w:type="pct"/>
                  <w:noWrap w:val="0"/>
                  <w:vAlign w:val="center"/>
                </w:tcPr>
                <w:p w14:paraId="563DB9BE">
                  <w:pPr>
                    <w:keepNext w:val="0"/>
                    <w:keepLines w:val="0"/>
                    <w:pageBreakBefore w:val="0"/>
                    <w:widowControl/>
                    <w:suppressLineNumbers w:val="0"/>
                    <w:kinsoku/>
                    <w:wordWrap/>
                    <w:overflowPunct/>
                    <w:topLinePunct w:val="0"/>
                    <w:bidi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60000</w:t>
                  </w:r>
                </w:p>
              </w:tc>
            </w:tr>
            <w:tr w14:paraId="0E2CE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000" w:type="pct"/>
                  <w:gridSpan w:val="5"/>
                  <w:noWrap w:val="0"/>
                  <w:vAlign w:val="center"/>
                </w:tcPr>
                <w:p w14:paraId="1FCDBF93">
                  <w:pPr>
                    <w:pStyle w:val="79"/>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二期</w:t>
                  </w:r>
                </w:p>
              </w:tc>
            </w:tr>
            <w:tr w14:paraId="3335D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91" w:type="pct"/>
                  <w:noWrap w:val="0"/>
                  <w:vAlign w:val="center"/>
                </w:tcPr>
                <w:p w14:paraId="0B060398">
                  <w:pPr>
                    <w:keepNext w:val="0"/>
                    <w:keepLines w:val="0"/>
                    <w:pageBreakBefore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w:t>
                  </w:r>
                </w:p>
              </w:tc>
              <w:tc>
                <w:tcPr>
                  <w:tcW w:w="1310" w:type="pct"/>
                  <w:noWrap w:val="0"/>
                  <w:vAlign w:val="center"/>
                </w:tcPr>
                <w:p w14:paraId="41F3EA48">
                  <w:pPr>
                    <w:keepNext w:val="0"/>
                    <w:keepLines w:val="0"/>
                    <w:pageBreakBefore w:val="0"/>
                    <w:widowControl/>
                    <w:suppressLineNumbers w:val="0"/>
                    <w:kinsoku/>
                    <w:wordWrap/>
                    <w:overflowPunct/>
                    <w:topLinePunct w:val="0"/>
                    <w:bidi w:val="0"/>
                    <w:jc w:val="center"/>
                    <w:textAlignment w:val="center"/>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color w:val="auto"/>
                      <w:kern w:val="2"/>
                      <w:sz w:val="21"/>
                      <w:szCs w:val="21"/>
                      <w:lang w:val="en-US" w:eastAsia="zh-CN" w:bidi="ar-SA"/>
                    </w:rPr>
                    <w:t>煤泥</w:t>
                  </w:r>
                </w:p>
              </w:tc>
              <w:tc>
                <w:tcPr>
                  <w:tcW w:w="836" w:type="pct"/>
                  <w:noWrap w:val="0"/>
                  <w:vAlign w:val="center"/>
                </w:tcPr>
                <w:p w14:paraId="49D7968C">
                  <w:pPr>
                    <w:keepNext w:val="0"/>
                    <w:keepLines w:val="0"/>
                    <w:pageBreakBefore w:val="0"/>
                    <w:widowControl/>
                    <w:suppressLineNumbers w:val="0"/>
                    <w:kinsoku/>
                    <w:wordWrap/>
                    <w:overflowPunct/>
                    <w:topLinePunct w:val="0"/>
                    <w:bidi w:val="0"/>
                    <w:jc w:val="center"/>
                    <w:textAlignment w:val="top"/>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color w:val="auto"/>
                      <w:sz w:val="21"/>
                      <w:szCs w:val="21"/>
                      <w:lang w:val="en-US" w:eastAsia="zh-CN"/>
                    </w:rPr>
                    <w:t>120000</w:t>
                  </w:r>
                </w:p>
              </w:tc>
              <w:tc>
                <w:tcPr>
                  <w:tcW w:w="1461" w:type="pct"/>
                  <w:noWrap w:val="0"/>
                  <w:vAlign w:val="center"/>
                </w:tcPr>
                <w:p w14:paraId="6BB726E0">
                  <w:pPr>
                    <w:pStyle w:val="79"/>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精煤</w:t>
                  </w:r>
                </w:p>
              </w:tc>
              <w:tc>
                <w:tcPr>
                  <w:tcW w:w="1001" w:type="pct"/>
                  <w:noWrap w:val="0"/>
                  <w:vAlign w:val="center"/>
                </w:tcPr>
                <w:p w14:paraId="5FE5D528">
                  <w:pPr>
                    <w:pStyle w:val="79"/>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21000</w:t>
                  </w:r>
                </w:p>
              </w:tc>
            </w:tr>
            <w:tr w14:paraId="0C0B3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91" w:type="pct"/>
                  <w:noWrap w:val="0"/>
                  <w:vAlign w:val="center"/>
                </w:tcPr>
                <w:p w14:paraId="2A86574F">
                  <w:pPr>
                    <w:keepNext w:val="0"/>
                    <w:keepLines w:val="0"/>
                    <w:pageBreakBefore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w:t>
                  </w:r>
                </w:p>
              </w:tc>
              <w:tc>
                <w:tcPr>
                  <w:tcW w:w="1310" w:type="pct"/>
                  <w:noWrap w:val="0"/>
                  <w:vAlign w:val="center"/>
                </w:tcPr>
                <w:p w14:paraId="37E8550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sz w:val="21"/>
                      <w:szCs w:val="21"/>
                      <w:vertAlign w:val="baseline"/>
                      <w:lang w:val="en-US" w:eastAsia="zh-CN"/>
                    </w:rPr>
                    <w:t>起泡剂</w:t>
                  </w:r>
                </w:p>
              </w:tc>
              <w:tc>
                <w:tcPr>
                  <w:tcW w:w="836" w:type="pct"/>
                  <w:noWrap w:val="0"/>
                  <w:vAlign w:val="center"/>
                </w:tcPr>
                <w:p w14:paraId="1E5C65A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sz w:val="21"/>
                      <w:szCs w:val="21"/>
                      <w:vertAlign w:val="baseline"/>
                      <w:lang w:val="en-US" w:eastAsia="zh-CN"/>
                    </w:rPr>
                    <w:t>24</w:t>
                  </w:r>
                </w:p>
              </w:tc>
              <w:tc>
                <w:tcPr>
                  <w:tcW w:w="1461" w:type="pct"/>
                  <w:noWrap w:val="0"/>
                  <w:vAlign w:val="center"/>
                </w:tcPr>
                <w:p w14:paraId="55620919">
                  <w:pPr>
                    <w:pStyle w:val="79"/>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中煤</w:t>
                  </w:r>
                </w:p>
              </w:tc>
              <w:tc>
                <w:tcPr>
                  <w:tcW w:w="1001" w:type="pct"/>
                  <w:noWrap w:val="0"/>
                  <w:vAlign w:val="center"/>
                </w:tcPr>
                <w:p w14:paraId="1FB65FA1">
                  <w:pPr>
                    <w:pStyle w:val="79"/>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17900</w:t>
                  </w:r>
                </w:p>
              </w:tc>
            </w:tr>
            <w:tr w14:paraId="59E41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91" w:type="pct"/>
                  <w:noWrap w:val="0"/>
                  <w:vAlign w:val="center"/>
                </w:tcPr>
                <w:p w14:paraId="68F5127E">
                  <w:pPr>
                    <w:keepNext w:val="0"/>
                    <w:keepLines w:val="0"/>
                    <w:pageBreakBefore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w:t>
                  </w:r>
                </w:p>
              </w:tc>
              <w:tc>
                <w:tcPr>
                  <w:tcW w:w="1310" w:type="pct"/>
                  <w:noWrap w:val="0"/>
                  <w:vAlign w:val="center"/>
                </w:tcPr>
                <w:p w14:paraId="1AC8815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sz w:val="21"/>
                      <w:szCs w:val="21"/>
                      <w:vertAlign w:val="baseline"/>
                      <w:lang w:val="en-US" w:eastAsia="zh-CN"/>
                    </w:rPr>
                    <w:t>捕收剂</w:t>
                  </w:r>
                </w:p>
              </w:tc>
              <w:tc>
                <w:tcPr>
                  <w:tcW w:w="836" w:type="pct"/>
                  <w:noWrap w:val="0"/>
                  <w:vAlign w:val="center"/>
                </w:tcPr>
                <w:p w14:paraId="5374B35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sz w:val="21"/>
                      <w:szCs w:val="21"/>
                      <w:vertAlign w:val="baseline"/>
                      <w:lang w:val="en-US" w:eastAsia="zh-CN"/>
                    </w:rPr>
                    <w:t>120</w:t>
                  </w:r>
                </w:p>
              </w:tc>
              <w:tc>
                <w:tcPr>
                  <w:tcW w:w="1461" w:type="pct"/>
                  <w:noWrap w:val="0"/>
                  <w:vAlign w:val="center"/>
                </w:tcPr>
                <w:p w14:paraId="16BF1296">
                  <w:pPr>
                    <w:pStyle w:val="79"/>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尾煤泥</w:t>
                  </w:r>
                </w:p>
              </w:tc>
              <w:tc>
                <w:tcPr>
                  <w:tcW w:w="1001" w:type="pct"/>
                  <w:noWrap w:val="0"/>
                  <w:vAlign w:val="center"/>
                </w:tcPr>
                <w:p w14:paraId="4512F74F">
                  <w:pPr>
                    <w:pStyle w:val="79"/>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80831.56</w:t>
                  </w:r>
                </w:p>
              </w:tc>
            </w:tr>
            <w:tr w14:paraId="0BFCE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91" w:type="pct"/>
                  <w:noWrap w:val="0"/>
                  <w:vAlign w:val="center"/>
                </w:tcPr>
                <w:p w14:paraId="319D89F4">
                  <w:pPr>
                    <w:keepNext w:val="0"/>
                    <w:keepLines w:val="0"/>
                    <w:pageBreakBefore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w:t>
                  </w:r>
                </w:p>
              </w:tc>
              <w:tc>
                <w:tcPr>
                  <w:tcW w:w="2081" w:type="dxa"/>
                  <w:noWrap w:val="0"/>
                  <w:vAlign w:val="center"/>
                </w:tcPr>
                <w:p w14:paraId="254F65FB">
                  <w:pPr>
                    <w:keepNext w:val="0"/>
                    <w:keepLines w:val="0"/>
                    <w:pageBreakBefore w:val="0"/>
                    <w:widowControl/>
                    <w:suppressLineNumbers w:val="0"/>
                    <w:kinsoku/>
                    <w:wordWrap/>
                    <w:overflowPunct/>
                    <w:topLinePunct w:val="0"/>
                    <w:bidi w:val="0"/>
                    <w:jc w:val="center"/>
                    <w:textAlignment w:val="center"/>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sz w:val="21"/>
                      <w:szCs w:val="21"/>
                      <w:vertAlign w:val="baseline"/>
                      <w:lang w:val="en-US" w:eastAsia="zh-CN"/>
                    </w:rPr>
                    <w:t>/</w:t>
                  </w:r>
                </w:p>
              </w:tc>
              <w:tc>
                <w:tcPr>
                  <w:tcW w:w="1328" w:type="dxa"/>
                  <w:noWrap w:val="0"/>
                  <w:vAlign w:val="center"/>
                </w:tcPr>
                <w:p w14:paraId="79A02A7A">
                  <w:pPr>
                    <w:keepNext w:val="0"/>
                    <w:keepLines w:val="0"/>
                    <w:pageBreakBefore w:val="0"/>
                    <w:widowControl/>
                    <w:suppressLineNumbers w:val="0"/>
                    <w:kinsoku/>
                    <w:wordWrap/>
                    <w:overflowPunct/>
                    <w:topLinePunct w:val="0"/>
                    <w:bidi w:val="0"/>
                    <w:jc w:val="center"/>
                    <w:textAlignment w:val="top"/>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sz w:val="21"/>
                      <w:szCs w:val="21"/>
                      <w:vertAlign w:val="baseline"/>
                      <w:lang w:val="en-US" w:eastAsia="zh-CN"/>
                    </w:rPr>
                    <w:t>/</w:t>
                  </w:r>
                </w:p>
              </w:tc>
              <w:tc>
                <w:tcPr>
                  <w:tcW w:w="1461" w:type="pct"/>
                  <w:noWrap w:val="0"/>
                  <w:vAlign w:val="center"/>
                </w:tcPr>
                <w:p w14:paraId="054884F6">
                  <w:pPr>
                    <w:keepNext w:val="0"/>
                    <w:keepLines w:val="0"/>
                    <w:pageBreakBefore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sz w:val="21"/>
                      <w:szCs w:val="21"/>
                      <w:lang w:val="en-US" w:eastAsia="zh-CN"/>
                    </w:rPr>
                    <w:t>水分损耗</w:t>
                  </w:r>
                </w:p>
              </w:tc>
              <w:tc>
                <w:tcPr>
                  <w:tcW w:w="1001" w:type="pct"/>
                  <w:noWrap w:val="0"/>
                  <w:vAlign w:val="center"/>
                </w:tcPr>
                <w:p w14:paraId="3E1A71A0">
                  <w:pPr>
                    <w:keepNext w:val="0"/>
                    <w:keepLines w:val="0"/>
                    <w:pageBreakBefore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400</w:t>
                  </w:r>
                </w:p>
              </w:tc>
            </w:tr>
            <w:tr w14:paraId="62749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91" w:type="pct"/>
                  <w:noWrap w:val="0"/>
                  <w:vAlign w:val="center"/>
                </w:tcPr>
                <w:p w14:paraId="018A70A3">
                  <w:pPr>
                    <w:keepNext w:val="0"/>
                    <w:keepLines w:val="0"/>
                    <w:pageBreakBefore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5</w:t>
                  </w:r>
                </w:p>
              </w:tc>
              <w:tc>
                <w:tcPr>
                  <w:tcW w:w="2081" w:type="dxa"/>
                  <w:noWrap w:val="0"/>
                  <w:vAlign w:val="center"/>
                </w:tcPr>
                <w:p w14:paraId="2BA4074F">
                  <w:pPr>
                    <w:keepNext w:val="0"/>
                    <w:keepLines w:val="0"/>
                    <w:pageBreakBefore w:val="0"/>
                    <w:widowControl/>
                    <w:suppressLineNumbers w:val="0"/>
                    <w:kinsoku/>
                    <w:wordWrap/>
                    <w:overflowPunct/>
                    <w:topLinePunct w:val="0"/>
                    <w:bidi w:val="0"/>
                    <w:jc w:val="center"/>
                    <w:textAlignment w:val="center"/>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sz w:val="21"/>
                      <w:szCs w:val="21"/>
                      <w:vertAlign w:val="baseline"/>
                      <w:lang w:val="en-US" w:eastAsia="zh-CN"/>
                    </w:rPr>
                    <w:t>/</w:t>
                  </w:r>
                </w:p>
              </w:tc>
              <w:tc>
                <w:tcPr>
                  <w:tcW w:w="1328" w:type="dxa"/>
                  <w:noWrap w:val="0"/>
                  <w:vAlign w:val="center"/>
                </w:tcPr>
                <w:p w14:paraId="42105A62">
                  <w:pPr>
                    <w:keepNext w:val="0"/>
                    <w:keepLines w:val="0"/>
                    <w:pageBreakBefore w:val="0"/>
                    <w:widowControl/>
                    <w:suppressLineNumbers w:val="0"/>
                    <w:kinsoku/>
                    <w:wordWrap/>
                    <w:overflowPunct/>
                    <w:topLinePunct w:val="0"/>
                    <w:bidi w:val="0"/>
                    <w:jc w:val="center"/>
                    <w:textAlignment w:val="top"/>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sz w:val="21"/>
                      <w:szCs w:val="21"/>
                      <w:vertAlign w:val="baseline"/>
                      <w:lang w:val="en-US" w:eastAsia="zh-CN"/>
                    </w:rPr>
                    <w:t>/</w:t>
                  </w:r>
                </w:p>
              </w:tc>
              <w:tc>
                <w:tcPr>
                  <w:tcW w:w="1461" w:type="pct"/>
                  <w:noWrap w:val="0"/>
                  <w:vAlign w:val="center"/>
                </w:tcPr>
                <w:p w14:paraId="4DFA4EC8">
                  <w:pPr>
                    <w:keepNext w:val="0"/>
                    <w:keepLines w:val="0"/>
                    <w:pageBreakBefore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sz w:val="21"/>
                      <w:szCs w:val="21"/>
                      <w:lang w:val="en-US" w:eastAsia="zh-CN"/>
                    </w:rPr>
                    <w:t>煤泥除杂筛分杂质</w:t>
                  </w:r>
                </w:p>
              </w:tc>
              <w:tc>
                <w:tcPr>
                  <w:tcW w:w="1001" w:type="pct"/>
                  <w:noWrap w:val="0"/>
                  <w:vAlign w:val="center"/>
                </w:tcPr>
                <w:p w14:paraId="7A9D7262">
                  <w:pPr>
                    <w:keepNext w:val="0"/>
                    <w:keepLines w:val="0"/>
                    <w:pageBreakBefore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2.74</w:t>
                  </w:r>
                </w:p>
              </w:tc>
            </w:tr>
            <w:tr w14:paraId="08542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91" w:type="pct"/>
                  <w:noWrap w:val="0"/>
                  <w:vAlign w:val="center"/>
                </w:tcPr>
                <w:p w14:paraId="7CC51BEE">
                  <w:pPr>
                    <w:keepNext w:val="0"/>
                    <w:keepLines w:val="0"/>
                    <w:pageBreakBefore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6</w:t>
                  </w:r>
                </w:p>
              </w:tc>
              <w:tc>
                <w:tcPr>
                  <w:tcW w:w="2081" w:type="dxa"/>
                  <w:noWrap w:val="0"/>
                  <w:vAlign w:val="center"/>
                </w:tcPr>
                <w:p w14:paraId="50E50E2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val="0"/>
                      <w:i w:val="0"/>
                      <w:iCs w:val="0"/>
                      <w:color w:val="auto"/>
                      <w:kern w:val="0"/>
                      <w:sz w:val="21"/>
                      <w:szCs w:val="21"/>
                      <w:u w:val="none"/>
                      <w:lang w:val="en-US" w:eastAsia="zh-CN" w:bidi="ar"/>
                    </w:rPr>
                    <w:t>/</w:t>
                  </w:r>
                </w:p>
              </w:tc>
              <w:tc>
                <w:tcPr>
                  <w:tcW w:w="1328" w:type="dxa"/>
                  <w:noWrap w:val="0"/>
                  <w:vAlign w:val="center"/>
                </w:tcPr>
                <w:p w14:paraId="7D7079C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val="0"/>
                      <w:i w:val="0"/>
                      <w:iCs w:val="0"/>
                      <w:color w:val="auto"/>
                      <w:kern w:val="0"/>
                      <w:sz w:val="21"/>
                      <w:szCs w:val="21"/>
                      <w:u w:val="none"/>
                      <w:lang w:val="en-US" w:eastAsia="zh-CN" w:bidi="ar"/>
                    </w:rPr>
                    <w:t>/</w:t>
                  </w:r>
                </w:p>
              </w:tc>
              <w:tc>
                <w:tcPr>
                  <w:tcW w:w="1461" w:type="pct"/>
                  <w:noWrap w:val="0"/>
                  <w:vAlign w:val="center"/>
                </w:tcPr>
                <w:p w14:paraId="641B1CDD">
                  <w:pPr>
                    <w:keepNext w:val="0"/>
                    <w:keepLines w:val="0"/>
                    <w:pageBreakBefore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sz w:val="21"/>
                      <w:szCs w:val="21"/>
                      <w:lang w:val="en-US" w:eastAsia="zh-CN"/>
                    </w:rPr>
                    <w:t>循环水池底泥</w:t>
                  </w:r>
                </w:p>
              </w:tc>
              <w:tc>
                <w:tcPr>
                  <w:tcW w:w="1001" w:type="pct"/>
                  <w:noWrap w:val="0"/>
                  <w:vAlign w:val="center"/>
                </w:tcPr>
                <w:p w14:paraId="6C083523">
                  <w:pPr>
                    <w:keepNext w:val="0"/>
                    <w:keepLines w:val="0"/>
                    <w:pageBreakBefore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w:t>
                  </w:r>
                </w:p>
              </w:tc>
            </w:tr>
            <w:tr w14:paraId="5FF39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91" w:type="pct"/>
                  <w:noWrap w:val="0"/>
                  <w:vAlign w:val="center"/>
                </w:tcPr>
                <w:p w14:paraId="6EF46DD6">
                  <w:pPr>
                    <w:keepNext w:val="0"/>
                    <w:keepLines w:val="0"/>
                    <w:pageBreakBefore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7</w:t>
                  </w:r>
                </w:p>
              </w:tc>
              <w:tc>
                <w:tcPr>
                  <w:tcW w:w="2081" w:type="dxa"/>
                  <w:noWrap w:val="0"/>
                  <w:vAlign w:val="center"/>
                </w:tcPr>
                <w:p w14:paraId="3E63F4A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val="0"/>
                      <w:i w:val="0"/>
                      <w:iCs w:val="0"/>
                      <w:color w:val="auto"/>
                      <w:kern w:val="0"/>
                      <w:sz w:val="21"/>
                      <w:szCs w:val="21"/>
                      <w:u w:val="none"/>
                      <w:lang w:val="en-US" w:eastAsia="zh-CN" w:bidi="ar"/>
                    </w:rPr>
                    <w:t>/</w:t>
                  </w:r>
                </w:p>
              </w:tc>
              <w:tc>
                <w:tcPr>
                  <w:tcW w:w="1328" w:type="dxa"/>
                  <w:noWrap w:val="0"/>
                  <w:vAlign w:val="center"/>
                </w:tcPr>
                <w:p w14:paraId="22D5D8B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val="0"/>
                      <w:i w:val="0"/>
                      <w:iCs w:val="0"/>
                      <w:color w:val="auto"/>
                      <w:kern w:val="0"/>
                      <w:sz w:val="21"/>
                      <w:szCs w:val="21"/>
                      <w:u w:val="none"/>
                      <w:lang w:val="en-US" w:eastAsia="zh-CN" w:bidi="ar"/>
                    </w:rPr>
                    <w:t>/</w:t>
                  </w:r>
                </w:p>
              </w:tc>
              <w:tc>
                <w:tcPr>
                  <w:tcW w:w="1461" w:type="pct"/>
                  <w:noWrap w:val="0"/>
                  <w:vAlign w:val="center"/>
                </w:tcPr>
                <w:p w14:paraId="37BDD265">
                  <w:pPr>
                    <w:keepNext w:val="0"/>
                    <w:keepLines w:val="0"/>
                    <w:pageBreakBefore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sz w:val="21"/>
                      <w:szCs w:val="21"/>
                      <w:lang w:val="en-US" w:eastAsia="zh-CN"/>
                    </w:rPr>
                    <w:t>无组织粉尘</w:t>
                  </w:r>
                </w:p>
              </w:tc>
              <w:tc>
                <w:tcPr>
                  <w:tcW w:w="1001" w:type="pct"/>
                  <w:noWrap w:val="0"/>
                  <w:vAlign w:val="center"/>
                </w:tcPr>
                <w:p w14:paraId="7F94D2A5">
                  <w:pPr>
                    <w:keepNext w:val="0"/>
                    <w:keepLines w:val="0"/>
                    <w:pageBreakBefore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3.72</w:t>
                  </w:r>
                </w:p>
              </w:tc>
            </w:tr>
            <w:tr w14:paraId="13B88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91" w:type="pct"/>
                  <w:noWrap w:val="0"/>
                  <w:vAlign w:val="center"/>
                </w:tcPr>
                <w:p w14:paraId="3BB1FC67">
                  <w:pPr>
                    <w:keepNext w:val="0"/>
                    <w:keepLines w:val="0"/>
                    <w:pageBreakBefore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8</w:t>
                  </w:r>
                </w:p>
              </w:tc>
              <w:tc>
                <w:tcPr>
                  <w:tcW w:w="2081" w:type="dxa"/>
                  <w:noWrap w:val="0"/>
                  <w:vAlign w:val="center"/>
                </w:tcPr>
                <w:p w14:paraId="0DE94AE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val="0"/>
                      <w:i w:val="0"/>
                      <w:iCs w:val="0"/>
                      <w:color w:val="auto"/>
                      <w:kern w:val="0"/>
                      <w:sz w:val="21"/>
                      <w:szCs w:val="21"/>
                      <w:u w:val="none"/>
                      <w:lang w:val="en-US" w:eastAsia="zh-CN" w:bidi="ar"/>
                    </w:rPr>
                    <w:t>/</w:t>
                  </w:r>
                </w:p>
              </w:tc>
              <w:tc>
                <w:tcPr>
                  <w:tcW w:w="1328" w:type="dxa"/>
                  <w:noWrap w:val="0"/>
                  <w:vAlign w:val="center"/>
                </w:tcPr>
                <w:p w14:paraId="56DE6C9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val="0"/>
                      <w:i w:val="0"/>
                      <w:iCs w:val="0"/>
                      <w:color w:val="auto"/>
                      <w:kern w:val="0"/>
                      <w:sz w:val="21"/>
                      <w:szCs w:val="21"/>
                      <w:u w:val="none"/>
                      <w:lang w:val="en-US" w:eastAsia="zh-CN" w:bidi="ar"/>
                    </w:rPr>
                    <w:t>/</w:t>
                  </w:r>
                </w:p>
              </w:tc>
              <w:tc>
                <w:tcPr>
                  <w:tcW w:w="1461" w:type="pct"/>
                  <w:noWrap w:val="0"/>
                  <w:vAlign w:val="center"/>
                </w:tcPr>
                <w:p w14:paraId="0C82FF35">
                  <w:pPr>
                    <w:pStyle w:val="79"/>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无组织非甲烷总烃</w:t>
                  </w:r>
                </w:p>
              </w:tc>
              <w:tc>
                <w:tcPr>
                  <w:tcW w:w="1001" w:type="pct"/>
                  <w:noWrap w:val="0"/>
                  <w:vAlign w:val="center"/>
                </w:tcPr>
                <w:p w14:paraId="1A7E35E3">
                  <w:pPr>
                    <w:pStyle w:val="79"/>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1.98</w:t>
                  </w:r>
                </w:p>
              </w:tc>
            </w:tr>
            <w:tr w14:paraId="006B4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91" w:type="pct"/>
                  <w:noWrap w:val="0"/>
                  <w:vAlign w:val="center"/>
                </w:tcPr>
                <w:p w14:paraId="0738A77C">
                  <w:pPr>
                    <w:keepNext w:val="0"/>
                    <w:keepLines w:val="0"/>
                    <w:pageBreakBefore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9</w:t>
                  </w:r>
                </w:p>
              </w:tc>
              <w:tc>
                <w:tcPr>
                  <w:tcW w:w="1310" w:type="pct"/>
                  <w:noWrap w:val="0"/>
                  <w:vAlign w:val="center"/>
                </w:tcPr>
                <w:p w14:paraId="6F77F9F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sz w:val="21"/>
                      <w:szCs w:val="21"/>
                      <w:vertAlign w:val="baseline"/>
                      <w:lang w:val="en-US" w:eastAsia="zh-CN"/>
                    </w:rPr>
                    <w:t>合计</w:t>
                  </w:r>
                </w:p>
              </w:tc>
              <w:tc>
                <w:tcPr>
                  <w:tcW w:w="836" w:type="pct"/>
                  <w:noWrap w:val="0"/>
                  <w:vAlign w:val="center"/>
                </w:tcPr>
                <w:p w14:paraId="6F7E4C8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sz w:val="21"/>
                      <w:szCs w:val="21"/>
                      <w:vertAlign w:val="baseline"/>
                      <w:lang w:val="en-US" w:eastAsia="zh-CN"/>
                    </w:rPr>
                    <w:t>120144</w:t>
                  </w:r>
                </w:p>
              </w:tc>
              <w:tc>
                <w:tcPr>
                  <w:tcW w:w="1461" w:type="pct"/>
                  <w:noWrap w:val="0"/>
                  <w:vAlign w:val="center"/>
                </w:tcPr>
                <w:p w14:paraId="5A89DB0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b w:val="0"/>
                      <w:bCs/>
                      <w:sz w:val="21"/>
                      <w:szCs w:val="21"/>
                      <w:vertAlign w:val="baseline"/>
                      <w:lang w:val="en-US" w:eastAsia="zh-CN"/>
                    </w:rPr>
                    <w:t>合计</w:t>
                  </w:r>
                </w:p>
              </w:tc>
              <w:tc>
                <w:tcPr>
                  <w:tcW w:w="1001" w:type="pct"/>
                  <w:noWrap w:val="0"/>
                  <w:vAlign w:val="center"/>
                </w:tcPr>
                <w:p w14:paraId="7526B87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b w:val="0"/>
                      <w:bCs/>
                      <w:sz w:val="21"/>
                      <w:szCs w:val="21"/>
                      <w:vertAlign w:val="baseline"/>
                      <w:lang w:val="en-US" w:eastAsia="zh-CN"/>
                    </w:rPr>
                    <w:t>120144</w:t>
                  </w:r>
                </w:p>
              </w:tc>
            </w:tr>
            <w:tr w14:paraId="7A99B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5000" w:type="pct"/>
                  <w:gridSpan w:val="5"/>
                  <w:noWrap w:val="0"/>
                  <w:vAlign w:val="center"/>
                </w:tcPr>
                <w:p w14:paraId="1AD36902">
                  <w:pPr>
                    <w:pStyle w:val="79"/>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三期</w:t>
                  </w:r>
                </w:p>
              </w:tc>
            </w:tr>
            <w:tr w14:paraId="046E6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91" w:type="pct"/>
                  <w:noWrap w:val="0"/>
                  <w:vAlign w:val="center"/>
                </w:tcPr>
                <w:p w14:paraId="4D812430">
                  <w:pPr>
                    <w:keepNext w:val="0"/>
                    <w:keepLines w:val="0"/>
                    <w:pageBreakBefore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w:t>
                  </w:r>
                </w:p>
              </w:tc>
              <w:tc>
                <w:tcPr>
                  <w:tcW w:w="1310" w:type="pct"/>
                  <w:noWrap w:val="0"/>
                  <w:vAlign w:val="center"/>
                </w:tcPr>
                <w:p w14:paraId="3A628D54">
                  <w:pPr>
                    <w:keepNext w:val="0"/>
                    <w:keepLines w:val="0"/>
                    <w:pageBreakBefore w:val="0"/>
                    <w:widowControl/>
                    <w:suppressLineNumbers w:val="0"/>
                    <w:kinsoku/>
                    <w:wordWrap/>
                    <w:overflowPunct/>
                    <w:topLinePunct w:val="0"/>
                    <w:bidi w:val="0"/>
                    <w:jc w:val="center"/>
                    <w:textAlignment w:val="center"/>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color w:val="auto"/>
                      <w:kern w:val="2"/>
                      <w:sz w:val="21"/>
                      <w:szCs w:val="21"/>
                      <w:lang w:val="en-US" w:eastAsia="zh-CN" w:bidi="ar-SA"/>
                    </w:rPr>
                    <w:t>煤泥</w:t>
                  </w:r>
                </w:p>
              </w:tc>
              <w:tc>
                <w:tcPr>
                  <w:tcW w:w="836" w:type="pct"/>
                  <w:noWrap w:val="0"/>
                  <w:vAlign w:val="center"/>
                </w:tcPr>
                <w:p w14:paraId="74B6DC7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cs="Times New Roman"/>
                      <w:b w:val="0"/>
                      <w:bCs/>
                      <w:sz w:val="21"/>
                      <w:szCs w:val="21"/>
                      <w:vertAlign w:val="baseline"/>
                      <w:lang w:val="en-US" w:eastAsia="zh-CN"/>
                    </w:rPr>
                    <w:t>30</w:t>
                  </w:r>
                  <w:r>
                    <w:rPr>
                      <w:rFonts w:hint="default" w:ascii="Times New Roman" w:hAnsi="Times New Roman" w:eastAsia="宋体" w:cs="Times New Roman"/>
                      <w:b w:val="0"/>
                      <w:bCs/>
                      <w:sz w:val="21"/>
                      <w:szCs w:val="21"/>
                      <w:vertAlign w:val="baseline"/>
                      <w:lang w:val="en-US" w:eastAsia="zh-CN"/>
                    </w:rPr>
                    <w:t>0000</w:t>
                  </w:r>
                </w:p>
              </w:tc>
              <w:tc>
                <w:tcPr>
                  <w:tcW w:w="1461" w:type="pct"/>
                  <w:noWrap w:val="0"/>
                  <w:vAlign w:val="center"/>
                </w:tcPr>
                <w:p w14:paraId="7B62091E">
                  <w:pPr>
                    <w:pStyle w:val="79"/>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精煤</w:t>
                  </w:r>
                </w:p>
              </w:tc>
              <w:tc>
                <w:tcPr>
                  <w:tcW w:w="1001" w:type="pct"/>
                  <w:noWrap w:val="0"/>
                  <w:vAlign w:val="center"/>
                </w:tcPr>
                <w:p w14:paraId="38D3C98F">
                  <w:pPr>
                    <w:pStyle w:val="79"/>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42400</w:t>
                  </w:r>
                </w:p>
              </w:tc>
            </w:tr>
            <w:tr w14:paraId="1B3C6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91" w:type="pct"/>
                  <w:noWrap w:val="0"/>
                  <w:vAlign w:val="center"/>
                </w:tcPr>
                <w:p w14:paraId="0A954A5C">
                  <w:pPr>
                    <w:keepNext w:val="0"/>
                    <w:keepLines w:val="0"/>
                    <w:pageBreakBefore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w:t>
                  </w:r>
                </w:p>
              </w:tc>
              <w:tc>
                <w:tcPr>
                  <w:tcW w:w="1310" w:type="pct"/>
                  <w:noWrap w:val="0"/>
                  <w:vAlign w:val="center"/>
                </w:tcPr>
                <w:p w14:paraId="22ACB65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sz w:val="21"/>
                      <w:szCs w:val="21"/>
                      <w:vertAlign w:val="baseline"/>
                      <w:lang w:val="en-US" w:eastAsia="zh-CN"/>
                    </w:rPr>
                    <w:t>起泡剂</w:t>
                  </w:r>
                </w:p>
              </w:tc>
              <w:tc>
                <w:tcPr>
                  <w:tcW w:w="836" w:type="pct"/>
                  <w:noWrap w:val="0"/>
                  <w:vAlign w:val="center"/>
                </w:tcPr>
                <w:p w14:paraId="2ACE973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sz w:val="21"/>
                      <w:szCs w:val="21"/>
                      <w:vertAlign w:val="baseline"/>
                      <w:lang w:val="en-US" w:eastAsia="zh-CN"/>
                    </w:rPr>
                    <w:t>60</w:t>
                  </w:r>
                </w:p>
              </w:tc>
              <w:tc>
                <w:tcPr>
                  <w:tcW w:w="1461" w:type="pct"/>
                  <w:noWrap w:val="0"/>
                  <w:vAlign w:val="center"/>
                </w:tcPr>
                <w:p w14:paraId="3A2C5FC9">
                  <w:pPr>
                    <w:pStyle w:val="79"/>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中煤</w:t>
                  </w:r>
                </w:p>
              </w:tc>
              <w:tc>
                <w:tcPr>
                  <w:tcW w:w="1001" w:type="pct"/>
                  <w:noWrap w:val="0"/>
                  <w:vAlign w:val="center"/>
                </w:tcPr>
                <w:p w14:paraId="20F79395">
                  <w:pPr>
                    <w:pStyle w:val="79"/>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36600</w:t>
                  </w:r>
                </w:p>
              </w:tc>
            </w:tr>
            <w:tr w14:paraId="24172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91" w:type="pct"/>
                  <w:noWrap w:val="0"/>
                  <w:vAlign w:val="center"/>
                </w:tcPr>
                <w:p w14:paraId="1BBC21AD">
                  <w:pPr>
                    <w:keepNext w:val="0"/>
                    <w:keepLines w:val="0"/>
                    <w:pageBreakBefore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w:t>
                  </w:r>
                </w:p>
              </w:tc>
              <w:tc>
                <w:tcPr>
                  <w:tcW w:w="1310" w:type="pct"/>
                  <w:noWrap w:val="0"/>
                  <w:vAlign w:val="center"/>
                </w:tcPr>
                <w:p w14:paraId="4B77D70D">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sz w:val="21"/>
                      <w:szCs w:val="21"/>
                      <w:vertAlign w:val="baseline"/>
                      <w:lang w:val="en-US" w:eastAsia="zh-CN"/>
                    </w:rPr>
                    <w:t>捕收剂</w:t>
                  </w:r>
                </w:p>
              </w:tc>
              <w:tc>
                <w:tcPr>
                  <w:tcW w:w="836" w:type="pct"/>
                  <w:noWrap w:val="0"/>
                  <w:vAlign w:val="center"/>
                </w:tcPr>
                <w:p w14:paraId="7459DA2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sz w:val="21"/>
                      <w:szCs w:val="21"/>
                      <w:vertAlign w:val="baseline"/>
                      <w:lang w:val="en-US" w:eastAsia="zh-CN"/>
                    </w:rPr>
                    <w:t>300</w:t>
                  </w:r>
                </w:p>
              </w:tc>
              <w:tc>
                <w:tcPr>
                  <w:tcW w:w="1461" w:type="pct"/>
                  <w:noWrap w:val="0"/>
                  <w:vAlign w:val="center"/>
                </w:tcPr>
                <w:p w14:paraId="0CE0CE99">
                  <w:pPr>
                    <w:pStyle w:val="79"/>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尾煤泥</w:t>
                  </w:r>
                </w:p>
              </w:tc>
              <w:tc>
                <w:tcPr>
                  <w:tcW w:w="1001" w:type="pct"/>
                  <w:noWrap w:val="0"/>
                  <w:vAlign w:val="center"/>
                </w:tcPr>
                <w:p w14:paraId="5C69DE03">
                  <w:pPr>
                    <w:pStyle w:val="79"/>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220429.17</w:t>
                  </w:r>
                </w:p>
              </w:tc>
            </w:tr>
            <w:tr w14:paraId="6A5FB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91" w:type="pct"/>
                  <w:noWrap w:val="0"/>
                  <w:vAlign w:val="center"/>
                </w:tcPr>
                <w:p w14:paraId="5C857F43">
                  <w:pPr>
                    <w:keepNext w:val="0"/>
                    <w:keepLines w:val="0"/>
                    <w:pageBreakBefore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w:t>
                  </w:r>
                </w:p>
              </w:tc>
              <w:tc>
                <w:tcPr>
                  <w:tcW w:w="2081" w:type="dxa"/>
                  <w:noWrap w:val="0"/>
                  <w:vAlign w:val="center"/>
                </w:tcPr>
                <w:p w14:paraId="0BE82CF8">
                  <w:pPr>
                    <w:keepNext w:val="0"/>
                    <w:keepLines w:val="0"/>
                    <w:pageBreakBefore w:val="0"/>
                    <w:widowControl/>
                    <w:suppressLineNumbers w:val="0"/>
                    <w:kinsoku/>
                    <w:wordWrap/>
                    <w:overflowPunct/>
                    <w:topLinePunct w:val="0"/>
                    <w:bidi w:val="0"/>
                    <w:jc w:val="center"/>
                    <w:textAlignment w:val="center"/>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sz w:val="21"/>
                      <w:szCs w:val="21"/>
                      <w:vertAlign w:val="baseline"/>
                      <w:lang w:val="en-US" w:eastAsia="zh-CN"/>
                    </w:rPr>
                    <w:t>/</w:t>
                  </w:r>
                </w:p>
              </w:tc>
              <w:tc>
                <w:tcPr>
                  <w:tcW w:w="1328" w:type="dxa"/>
                  <w:noWrap w:val="0"/>
                  <w:vAlign w:val="center"/>
                </w:tcPr>
                <w:p w14:paraId="4E811537">
                  <w:pPr>
                    <w:keepNext w:val="0"/>
                    <w:keepLines w:val="0"/>
                    <w:pageBreakBefore w:val="0"/>
                    <w:widowControl/>
                    <w:suppressLineNumbers w:val="0"/>
                    <w:kinsoku/>
                    <w:wordWrap/>
                    <w:overflowPunct/>
                    <w:topLinePunct w:val="0"/>
                    <w:bidi w:val="0"/>
                    <w:jc w:val="center"/>
                    <w:textAlignment w:val="top"/>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sz w:val="21"/>
                      <w:szCs w:val="21"/>
                      <w:vertAlign w:val="baseline"/>
                      <w:lang w:val="en-US" w:eastAsia="zh-CN"/>
                    </w:rPr>
                    <w:t>/</w:t>
                  </w:r>
                </w:p>
              </w:tc>
              <w:tc>
                <w:tcPr>
                  <w:tcW w:w="1461" w:type="pct"/>
                  <w:noWrap w:val="0"/>
                  <w:vAlign w:val="center"/>
                </w:tcPr>
                <w:p w14:paraId="18155549">
                  <w:pPr>
                    <w:keepNext w:val="0"/>
                    <w:keepLines w:val="0"/>
                    <w:pageBreakBefore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sz w:val="21"/>
                      <w:szCs w:val="21"/>
                      <w:lang w:val="en-US" w:eastAsia="zh-CN"/>
                    </w:rPr>
                    <w:t>水分损耗</w:t>
                  </w:r>
                </w:p>
              </w:tc>
              <w:tc>
                <w:tcPr>
                  <w:tcW w:w="1001" w:type="pct"/>
                  <w:noWrap w:val="0"/>
                  <w:vAlign w:val="center"/>
                </w:tcPr>
                <w:p w14:paraId="294F5A4F">
                  <w:pPr>
                    <w:pStyle w:val="79"/>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900</w:t>
                  </w:r>
                </w:p>
              </w:tc>
            </w:tr>
            <w:tr w14:paraId="59A7D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91" w:type="pct"/>
                  <w:noWrap w:val="0"/>
                  <w:vAlign w:val="center"/>
                </w:tcPr>
                <w:p w14:paraId="15A72102">
                  <w:pPr>
                    <w:keepNext w:val="0"/>
                    <w:keepLines w:val="0"/>
                    <w:pageBreakBefore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5</w:t>
                  </w:r>
                </w:p>
              </w:tc>
              <w:tc>
                <w:tcPr>
                  <w:tcW w:w="2081" w:type="dxa"/>
                  <w:noWrap w:val="0"/>
                  <w:vAlign w:val="center"/>
                </w:tcPr>
                <w:p w14:paraId="5BB08547">
                  <w:pPr>
                    <w:keepNext w:val="0"/>
                    <w:keepLines w:val="0"/>
                    <w:pageBreakBefore w:val="0"/>
                    <w:widowControl/>
                    <w:suppressLineNumbers w:val="0"/>
                    <w:kinsoku/>
                    <w:wordWrap/>
                    <w:overflowPunct/>
                    <w:topLinePunct w:val="0"/>
                    <w:bidi w:val="0"/>
                    <w:jc w:val="center"/>
                    <w:textAlignment w:val="center"/>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sz w:val="21"/>
                      <w:szCs w:val="21"/>
                      <w:vertAlign w:val="baseline"/>
                      <w:lang w:val="en-US" w:eastAsia="zh-CN"/>
                    </w:rPr>
                    <w:t>/</w:t>
                  </w:r>
                </w:p>
              </w:tc>
              <w:tc>
                <w:tcPr>
                  <w:tcW w:w="1328" w:type="dxa"/>
                  <w:noWrap w:val="0"/>
                  <w:vAlign w:val="center"/>
                </w:tcPr>
                <w:p w14:paraId="391DBDB4">
                  <w:pPr>
                    <w:keepNext w:val="0"/>
                    <w:keepLines w:val="0"/>
                    <w:pageBreakBefore w:val="0"/>
                    <w:widowControl/>
                    <w:suppressLineNumbers w:val="0"/>
                    <w:kinsoku/>
                    <w:wordWrap/>
                    <w:overflowPunct/>
                    <w:topLinePunct w:val="0"/>
                    <w:bidi w:val="0"/>
                    <w:jc w:val="center"/>
                    <w:textAlignment w:val="top"/>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sz w:val="21"/>
                      <w:szCs w:val="21"/>
                      <w:vertAlign w:val="baseline"/>
                      <w:lang w:val="en-US" w:eastAsia="zh-CN"/>
                    </w:rPr>
                    <w:t>/</w:t>
                  </w:r>
                </w:p>
              </w:tc>
              <w:tc>
                <w:tcPr>
                  <w:tcW w:w="1461" w:type="pct"/>
                  <w:noWrap w:val="0"/>
                  <w:vAlign w:val="center"/>
                </w:tcPr>
                <w:p w14:paraId="429A9F93">
                  <w:pPr>
                    <w:keepNext w:val="0"/>
                    <w:keepLines w:val="0"/>
                    <w:pageBreakBefore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sz w:val="21"/>
                      <w:szCs w:val="21"/>
                      <w:lang w:val="en-US" w:eastAsia="zh-CN"/>
                    </w:rPr>
                    <w:t>煤泥除杂筛分杂质</w:t>
                  </w:r>
                </w:p>
              </w:tc>
              <w:tc>
                <w:tcPr>
                  <w:tcW w:w="1001" w:type="pct"/>
                  <w:noWrap w:val="0"/>
                  <w:vAlign w:val="center"/>
                </w:tcPr>
                <w:p w14:paraId="6A8F7AB9">
                  <w:pPr>
                    <w:pStyle w:val="79"/>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14.33</w:t>
                  </w:r>
                </w:p>
              </w:tc>
            </w:tr>
            <w:tr w14:paraId="1A2ED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91" w:type="pct"/>
                  <w:noWrap w:val="0"/>
                  <w:vAlign w:val="center"/>
                </w:tcPr>
                <w:p w14:paraId="30AA6CCA">
                  <w:pPr>
                    <w:keepNext w:val="0"/>
                    <w:keepLines w:val="0"/>
                    <w:pageBreakBefore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6</w:t>
                  </w:r>
                </w:p>
              </w:tc>
              <w:tc>
                <w:tcPr>
                  <w:tcW w:w="2081" w:type="dxa"/>
                  <w:noWrap w:val="0"/>
                  <w:vAlign w:val="center"/>
                </w:tcPr>
                <w:p w14:paraId="304AA4D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val="0"/>
                      <w:i w:val="0"/>
                      <w:iCs w:val="0"/>
                      <w:color w:val="auto"/>
                      <w:kern w:val="0"/>
                      <w:sz w:val="21"/>
                      <w:szCs w:val="21"/>
                      <w:u w:val="none"/>
                      <w:lang w:val="en-US" w:eastAsia="zh-CN" w:bidi="ar"/>
                    </w:rPr>
                    <w:t>/</w:t>
                  </w:r>
                </w:p>
              </w:tc>
              <w:tc>
                <w:tcPr>
                  <w:tcW w:w="1328" w:type="dxa"/>
                  <w:noWrap w:val="0"/>
                  <w:vAlign w:val="center"/>
                </w:tcPr>
                <w:p w14:paraId="3689303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val="0"/>
                      <w:i w:val="0"/>
                      <w:iCs w:val="0"/>
                      <w:color w:val="auto"/>
                      <w:kern w:val="0"/>
                      <w:sz w:val="21"/>
                      <w:szCs w:val="21"/>
                      <w:u w:val="none"/>
                      <w:lang w:val="en-US" w:eastAsia="zh-CN" w:bidi="ar"/>
                    </w:rPr>
                    <w:t>/</w:t>
                  </w:r>
                </w:p>
              </w:tc>
              <w:tc>
                <w:tcPr>
                  <w:tcW w:w="1461" w:type="pct"/>
                  <w:noWrap w:val="0"/>
                  <w:vAlign w:val="center"/>
                </w:tcPr>
                <w:p w14:paraId="441C4E5C">
                  <w:pPr>
                    <w:keepNext w:val="0"/>
                    <w:keepLines w:val="0"/>
                    <w:pageBreakBefore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sz w:val="21"/>
                      <w:szCs w:val="21"/>
                      <w:lang w:val="en-US" w:eastAsia="zh-CN"/>
                    </w:rPr>
                    <w:t>循环水池底泥</w:t>
                  </w:r>
                </w:p>
              </w:tc>
              <w:tc>
                <w:tcPr>
                  <w:tcW w:w="1001" w:type="pct"/>
                  <w:noWrap w:val="0"/>
                  <w:vAlign w:val="center"/>
                </w:tcPr>
                <w:p w14:paraId="1EEF819A">
                  <w:pPr>
                    <w:pStyle w:val="79"/>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10</w:t>
                  </w:r>
                </w:p>
              </w:tc>
            </w:tr>
            <w:tr w14:paraId="2C0A8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91" w:type="pct"/>
                  <w:noWrap w:val="0"/>
                  <w:vAlign w:val="center"/>
                </w:tcPr>
                <w:p w14:paraId="73D3F43A">
                  <w:pPr>
                    <w:keepNext w:val="0"/>
                    <w:keepLines w:val="0"/>
                    <w:pageBreakBefore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7</w:t>
                  </w:r>
                </w:p>
              </w:tc>
              <w:tc>
                <w:tcPr>
                  <w:tcW w:w="2081" w:type="dxa"/>
                  <w:noWrap w:val="0"/>
                  <w:vAlign w:val="center"/>
                </w:tcPr>
                <w:p w14:paraId="2CB9861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val="0"/>
                      <w:i w:val="0"/>
                      <w:iCs w:val="0"/>
                      <w:color w:val="auto"/>
                      <w:kern w:val="0"/>
                      <w:sz w:val="21"/>
                      <w:szCs w:val="21"/>
                      <w:u w:val="none"/>
                      <w:lang w:val="en-US" w:eastAsia="zh-CN" w:bidi="ar"/>
                    </w:rPr>
                    <w:t>/</w:t>
                  </w:r>
                </w:p>
              </w:tc>
              <w:tc>
                <w:tcPr>
                  <w:tcW w:w="1328" w:type="dxa"/>
                  <w:noWrap w:val="0"/>
                  <w:vAlign w:val="center"/>
                </w:tcPr>
                <w:p w14:paraId="272DE54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val="0"/>
                      <w:i w:val="0"/>
                      <w:iCs w:val="0"/>
                      <w:color w:val="auto"/>
                      <w:kern w:val="0"/>
                      <w:sz w:val="21"/>
                      <w:szCs w:val="21"/>
                      <w:u w:val="none"/>
                      <w:lang w:val="en-US" w:eastAsia="zh-CN" w:bidi="ar"/>
                    </w:rPr>
                    <w:t>/</w:t>
                  </w:r>
                </w:p>
              </w:tc>
              <w:tc>
                <w:tcPr>
                  <w:tcW w:w="1461" w:type="pct"/>
                  <w:noWrap w:val="0"/>
                  <w:vAlign w:val="center"/>
                </w:tcPr>
                <w:p w14:paraId="4CE109F4">
                  <w:pPr>
                    <w:keepNext w:val="0"/>
                    <w:keepLines w:val="0"/>
                    <w:pageBreakBefore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sz w:val="21"/>
                      <w:szCs w:val="21"/>
                      <w:lang w:val="en-US" w:eastAsia="zh-CN"/>
                    </w:rPr>
                    <w:t>无组织粉尘</w:t>
                  </w:r>
                </w:p>
              </w:tc>
              <w:tc>
                <w:tcPr>
                  <w:tcW w:w="1001" w:type="pct"/>
                  <w:noWrap w:val="0"/>
                  <w:vAlign w:val="center"/>
                </w:tcPr>
                <w:p w14:paraId="5062BA7D">
                  <w:pPr>
                    <w:pStyle w:val="79"/>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4.70</w:t>
                  </w:r>
                </w:p>
              </w:tc>
            </w:tr>
            <w:tr w14:paraId="511BC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91" w:type="pct"/>
                  <w:noWrap w:val="0"/>
                  <w:vAlign w:val="center"/>
                </w:tcPr>
                <w:p w14:paraId="0796AD69">
                  <w:pPr>
                    <w:keepNext w:val="0"/>
                    <w:keepLines w:val="0"/>
                    <w:pageBreakBefore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8</w:t>
                  </w:r>
                </w:p>
              </w:tc>
              <w:tc>
                <w:tcPr>
                  <w:tcW w:w="2081" w:type="dxa"/>
                  <w:noWrap w:val="0"/>
                  <w:vAlign w:val="center"/>
                </w:tcPr>
                <w:p w14:paraId="7A366BD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val="0"/>
                      <w:i w:val="0"/>
                      <w:iCs w:val="0"/>
                      <w:color w:val="auto"/>
                      <w:kern w:val="0"/>
                      <w:sz w:val="21"/>
                      <w:szCs w:val="21"/>
                      <w:u w:val="none"/>
                      <w:lang w:val="en-US" w:eastAsia="zh-CN" w:bidi="ar"/>
                    </w:rPr>
                    <w:t>/</w:t>
                  </w:r>
                </w:p>
              </w:tc>
              <w:tc>
                <w:tcPr>
                  <w:tcW w:w="1328" w:type="dxa"/>
                  <w:noWrap w:val="0"/>
                  <w:vAlign w:val="center"/>
                </w:tcPr>
                <w:p w14:paraId="4A7DD03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val="0"/>
                      <w:i w:val="0"/>
                      <w:iCs w:val="0"/>
                      <w:color w:val="auto"/>
                      <w:kern w:val="0"/>
                      <w:sz w:val="21"/>
                      <w:szCs w:val="21"/>
                      <w:u w:val="none"/>
                      <w:lang w:val="en-US" w:eastAsia="zh-CN" w:bidi="ar"/>
                    </w:rPr>
                    <w:t>/</w:t>
                  </w:r>
                </w:p>
              </w:tc>
              <w:tc>
                <w:tcPr>
                  <w:tcW w:w="1461" w:type="pct"/>
                  <w:noWrap w:val="0"/>
                  <w:vAlign w:val="center"/>
                </w:tcPr>
                <w:p w14:paraId="5B6CFFE0">
                  <w:pPr>
                    <w:pStyle w:val="79"/>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无组织非甲烷总烃</w:t>
                  </w:r>
                </w:p>
              </w:tc>
              <w:tc>
                <w:tcPr>
                  <w:tcW w:w="1001" w:type="pct"/>
                  <w:noWrap w:val="0"/>
                  <w:vAlign w:val="center"/>
                </w:tcPr>
                <w:p w14:paraId="729F6F34">
                  <w:pPr>
                    <w:pStyle w:val="79"/>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1.8</w:t>
                  </w:r>
                </w:p>
              </w:tc>
            </w:tr>
            <w:tr w14:paraId="6DF23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91" w:type="pct"/>
                  <w:noWrap w:val="0"/>
                  <w:vAlign w:val="center"/>
                </w:tcPr>
                <w:p w14:paraId="58442526">
                  <w:pPr>
                    <w:keepNext w:val="0"/>
                    <w:keepLines w:val="0"/>
                    <w:pageBreakBefore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9</w:t>
                  </w:r>
                </w:p>
              </w:tc>
              <w:tc>
                <w:tcPr>
                  <w:tcW w:w="1310" w:type="pct"/>
                  <w:noWrap w:val="0"/>
                  <w:vAlign w:val="center"/>
                </w:tcPr>
                <w:p w14:paraId="0F69FB2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sz w:val="21"/>
                      <w:szCs w:val="21"/>
                      <w:vertAlign w:val="baseline"/>
                      <w:lang w:val="en-US" w:eastAsia="zh-CN"/>
                    </w:rPr>
                    <w:t>合计</w:t>
                  </w:r>
                </w:p>
              </w:tc>
              <w:tc>
                <w:tcPr>
                  <w:tcW w:w="836" w:type="pct"/>
                  <w:noWrap w:val="0"/>
                  <w:vAlign w:val="center"/>
                </w:tcPr>
                <w:p w14:paraId="2A9CF88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sz w:val="21"/>
                      <w:szCs w:val="21"/>
                      <w:vertAlign w:val="baseline"/>
                      <w:lang w:val="en-US" w:eastAsia="zh-CN"/>
                    </w:rPr>
                    <w:t>300360</w:t>
                  </w:r>
                </w:p>
              </w:tc>
              <w:tc>
                <w:tcPr>
                  <w:tcW w:w="2321" w:type="dxa"/>
                  <w:noWrap w:val="0"/>
                  <w:vAlign w:val="center"/>
                </w:tcPr>
                <w:p w14:paraId="2164B7A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b w:val="0"/>
                      <w:bCs/>
                      <w:sz w:val="21"/>
                      <w:szCs w:val="21"/>
                      <w:vertAlign w:val="baseline"/>
                      <w:lang w:val="en-US" w:eastAsia="zh-CN"/>
                    </w:rPr>
                    <w:t>合计</w:t>
                  </w:r>
                </w:p>
              </w:tc>
              <w:tc>
                <w:tcPr>
                  <w:tcW w:w="1592" w:type="dxa"/>
                  <w:noWrap w:val="0"/>
                  <w:vAlign w:val="center"/>
                </w:tcPr>
                <w:p w14:paraId="76AB8C9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b w:val="0"/>
                      <w:bCs/>
                      <w:sz w:val="21"/>
                      <w:szCs w:val="21"/>
                      <w:vertAlign w:val="baseline"/>
                      <w:lang w:val="en-US" w:eastAsia="zh-CN"/>
                    </w:rPr>
                    <w:t>300360</w:t>
                  </w:r>
                </w:p>
              </w:tc>
            </w:tr>
          </w:tbl>
          <w:p w14:paraId="2C276B58">
            <w:pPr>
              <w:pStyle w:val="13"/>
              <w:keepNext w:val="0"/>
              <w:keepLines w:val="0"/>
              <w:pageBreakBefore w:val="0"/>
              <w:widowControl w:val="0"/>
              <w:kinsoku/>
              <w:wordWrap/>
              <w:overflowPunct/>
              <w:topLinePunct w:val="0"/>
              <w:autoSpaceDE w:val="0"/>
              <w:autoSpaceDN w:val="0"/>
              <w:bidi w:val="0"/>
              <w:adjustRightInd w:val="0"/>
              <w:snapToGrid w:val="0"/>
              <w:spacing w:line="440" w:lineRule="exact"/>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表2-4  灰分平衡一览表</w:t>
            </w:r>
          </w:p>
          <w:tbl>
            <w:tblPr>
              <w:tblStyle w:val="25"/>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710"/>
              <w:gridCol w:w="722"/>
              <w:gridCol w:w="893"/>
              <w:gridCol w:w="764"/>
              <w:gridCol w:w="907"/>
              <w:gridCol w:w="941"/>
              <w:gridCol w:w="1063"/>
              <w:gridCol w:w="1929"/>
            </w:tblGrid>
            <w:tr w14:paraId="57AFC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blHeader/>
                <w:jc w:val="center"/>
              </w:trPr>
              <w:tc>
                <w:tcPr>
                  <w:tcW w:w="447" w:type="pct"/>
                  <w:noWrap w:val="0"/>
                  <w:tcMar>
                    <w:top w:w="120" w:type="dxa"/>
                    <w:left w:w="120" w:type="dxa"/>
                    <w:bottom w:w="120" w:type="dxa"/>
                    <w:right w:w="120" w:type="dxa"/>
                  </w:tcMar>
                  <w:vAlign w:val="center"/>
                </w:tcPr>
                <w:p w14:paraId="69A3E3B1">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rPr>
                  </w:pPr>
                  <w:r>
                    <w:rPr>
                      <w:rFonts w:hint="default" w:ascii="Times New Roman" w:hAnsi="Times New Roman" w:eastAsia="宋体" w:cs="Times New Roman"/>
                      <w:b w:val="0"/>
                      <w:bCs w:val="0"/>
                      <w:kern w:val="0"/>
                      <w:sz w:val="21"/>
                      <w:szCs w:val="21"/>
                      <w:lang w:val="en-US" w:eastAsia="zh-CN" w:bidi="ar"/>
                    </w:rPr>
                    <w:t>序号</w:t>
                  </w:r>
                </w:p>
              </w:tc>
              <w:tc>
                <w:tcPr>
                  <w:tcW w:w="455" w:type="pct"/>
                  <w:noWrap w:val="0"/>
                  <w:tcMar>
                    <w:top w:w="120" w:type="dxa"/>
                    <w:left w:w="120" w:type="dxa"/>
                    <w:bottom w:w="120" w:type="dxa"/>
                    <w:right w:w="120" w:type="dxa"/>
                  </w:tcMar>
                  <w:vAlign w:val="center"/>
                </w:tcPr>
                <w:p w14:paraId="649A8089">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rPr>
                  </w:pPr>
                  <w:r>
                    <w:rPr>
                      <w:rFonts w:hint="default" w:ascii="Times New Roman" w:hAnsi="Times New Roman" w:eastAsia="宋体" w:cs="Times New Roman"/>
                      <w:b w:val="0"/>
                      <w:bCs w:val="0"/>
                      <w:kern w:val="0"/>
                      <w:sz w:val="21"/>
                      <w:szCs w:val="21"/>
                      <w:lang w:val="en-US" w:eastAsia="zh-CN" w:bidi="ar"/>
                    </w:rPr>
                    <w:t>项目</w:t>
                  </w:r>
                </w:p>
              </w:tc>
              <w:tc>
                <w:tcPr>
                  <w:tcW w:w="563" w:type="pct"/>
                  <w:noWrap w:val="0"/>
                  <w:tcMar>
                    <w:top w:w="120" w:type="dxa"/>
                    <w:left w:w="120" w:type="dxa"/>
                    <w:bottom w:w="120" w:type="dxa"/>
                    <w:right w:w="120" w:type="dxa"/>
                  </w:tcMar>
                  <w:vAlign w:val="center"/>
                </w:tcPr>
                <w:p w14:paraId="170CFB26">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rPr>
                  </w:pPr>
                  <w:r>
                    <w:rPr>
                      <w:rFonts w:hint="default" w:ascii="Times New Roman" w:hAnsi="Times New Roman" w:eastAsia="宋体" w:cs="Times New Roman"/>
                      <w:b w:val="0"/>
                      <w:bCs w:val="0"/>
                      <w:kern w:val="0"/>
                      <w:sz w:val="21"/>
                      <w:szCs w:val="21"/>
                      <w:lang w:val="en-US" w:eastAsia="zh-CN" w:bidi="ar"/>
                    </w:rPr>
                    <w:t>年产量(t/a)</w:t>
                  </w:r>
                </w:p>
              </w:tc>
              <w:tc>
                <w:tcPr>
                  <w:tcW w:w="481" w:type="pct"/>
                  <w:noWrap w:val="0"/>
                  <w:tcMar>
                    <w:top w:w="120" w:type="dxa"/>
                    <w:left w:w="120" w:type="dxa"/>
                    <w:bottom w:w="120" w:type="dxa"/>
                    <w:right w:w="120" w:type="dxa"/>
                  </w:tcMar>
                  <w:vAlign w:val="center"/>
                </w:tcPr>
                <w:p w14:paraId="5807FBAB">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rPr>
                  </w:pPr>
                  <w:r>
                    <w:rPr>
                      <w:rFonts w:hint="default" w:ascii="Times New Roman" w:hAnsi="Times New Roman" w:eastAsia="宋体" w:cs="Times New Roman"/>
                      <w:b w:val="0"/>
                      <w:bCs w:val="0"/>
                      <w:kern w:val="0"/>
                      <w:sz w:val="21"/>
                      <w:szCs w:val="21"/>
                      <w:lang w:val="en-US" w:eastAsia="zh-CN" w:bidi="ar"/>
                    </w:rPr>
                    <w:t>形态</w:t>
                  </w:r>
                </w:p>
              </w:tc>
              <w:tc>
                <w:tcPr>
                  <w:tcW w:w="571" w:type="pct"/>
                  <w:noWrap w:val="0"/>
                  <w:tcMar>
                    <w:top w:w="120" w:type="dxa"/>
                    <w:left w:w="120" w:type="dxa"/>
                    <w:bottom w:w="120" w:type="dxa"/>
                    <w:right w:w="120" w:type="dxa"/>
                  </w:tcMar>
                  <w:vAlign w:val="center"/>
                </w:tcPr>
                <w:p w14:paraId="324258E9">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rPr>
                  </w:pPr>
                  <w:r>
                    <w:rPr>
                      <w:rFonts w:hint="default" w:ascii="Times New Roman" w:hAnsi="Times New Roman" w:eastAsia="宋体" w:cs="Times New Roman"/>
                      <w:b w:val="0"/>
                      <w:bCs w:val="0"/>
                      <w:kern w:val="0"/>
                      <w:sz w:val="21"/>
                      <w:szCs w:val="21"/>
                      <w:lang w:val="en-US" w:eastAsia="zh-CN" w:bidi="ar"/>
                    </w:rPr>
                    <w:t>含水率</w:t>
                  </w:r>
                </w:p>
              </w:tc>
              <w:tc>
                <w:tcPr>
                  <w:tcW w:w="593" w:type="pct"/>
                  <w:noWrap w:val="0"/>
                  <w:tcMar>
                    <w:top w:w="120" w:type="dxa"/>
                    <w:left w:w="120" w:type="dxa"/>
                    <w:bottom w:w="120" w:type="dxa"/>
                    <w:right w:w="120" w:type="dxa"/>
                  </w:tcMar>
                  <w:vAlign w:val="center"/>
                </w:tcPr>
                <w:p w14:paraId="63734752">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rPr>
                  </w:pPr>
                  <w:r>
                    <w:rPr>
                      <w:rFonts w:hint="default" w:ascii="Times New Roman" w:hAnsi="Times New Roman" w:eastAsia="宋体" w:cs="Times New Roman"/>
                      <w:b w:val="0"/>
                      <w:bCs w:val="0"/>
                      <w:kern w:val="0"/>
                      <w:sz w:val="21"/>
                      <w:szCs w:val="21"/>
                      <w:lang w:val="en-US" w:eastAsia="zh-CN" w:bidi="ar"/>
                    </w:rPr>
                    <w:t>灰分</w:t>
                  </w:r>
                </w:p>
              </w:tc>
              <w:tc>
                <w:tcPr>
                  <w:tcW w:w="670" w:type="pct"/>
                  <w:noWrap w:val="0"/>
                  <w:tcMar>
                    <w:top w:w="120" w:type="dxa"/>
                    <w:left w:w="120" w:type="dxa"/>
                    <w:bottom w:w="120" w:type="dxa"/>
                    <w:right w:w="120" w:type="dxa"/>
                  </w:tcMar>
                  <w:vAlign w:val="center"/>
                </w:tcPr>
                <w:p w14:paraId="5C3EB4FB">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rPr>
                  </w:pPr>
                  <w:r>
                    <w:rPr>
                      <w:rFonts w:hint="default" w:ascii="Times New Roman" w:hAnsi="Times New Roman" w:eastAsia="宋体" w:cs="Times New Roman"/>
                      <w:b w:val="0"/>
                      <w:bCs w:val="0"/>
                      <w:kern w:val="0"/>
                      <w:sz w:val="21"/>
                      <w:szCs w:val="21"/>
                      <w:lang w:val="en-US" w:eastAsia="zh-CN" w:bidi="ar"/>
                    </w:rPr>
                    <w:t>灰分量(t/a)</w:t>
                  </w:r>
                </w:p>
              </w:tc>
              <w:tc>
                <w:tcPr>
                  <w:tcW w:w="1216" w:type="pct"/>
                  <w:noWrap w:val="0"/>
                  <w:tcMar>
                    <w:top w:w="120" w:type="dxa"/>
                    <w:left w:w="120" w:type="dxa"/>
                    <w:bottom w:w="120" w:type="dxa"/>
                    <w:right w:w="120" w:type="dxa"/>
                  </w:tcMar>
                  <w:vAlign w:val="center"/>
                </w:tcPr>
                <w:p w14:paraId="14F6528A">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rPr>
                  </w:pPr>
                  <w:r>
                    <w:rPr>
                      <w:rFonts w:hint="default" w:ascii="Times New Roman" w:hAnsi="Times New Roman" w:eastAsia="宋体" w:cs="Times New Roman"/>
                      <w:b w:val="0"/>
                      <w:bCs w:val="0"/>
                      <w:kern w:val="0"/>
                      <w:sz w:val="21"/>
                      <w:szCs w:val="21"/>
                      <w:lang w:val="en-US" w:eastAsia="zh-CN" w:bidi="ar"/>
                    </w:rPr>
                    <w:t>去向/备注</w:t>
                  </w:r>
                </w:p>
              </w:tc>
            </w:tr>
            <w:tr w14:paraId="7DFEB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atLeast"/>
                <w:jc w:val="center"/>
              </w:trPr>
              <w:tc>
                <w:tcPr>
                  <w:tcW w:w="5000" w:type="pct"/>
                  <w:gridSpan w:val="8"/>
                  <w:noWrap w:val="0"/>
                  <w:tcMar>
                    <w:top w:w="120" w:type="dxa"/>
                    <w:left w:w="120" w:type="dxa"/>
                    <w:bottom w:w="120" w:type="dxa"/>
                    <w:right w:w="120" w:type="dxa"/>
                  </w:tcMar>
                  <w:vAlign w:val="center"/>
                </w:tcPr>
                <w:p w14:paraId="3FB0A180">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cs="Times New Roman"/>
                      <w:b w:val="0"/>
                      <w:bCs w:val="0"/>
                      <w:kern w:val="0"/>
                      <w:sz w:val="21"/>
                      <w:szCs w:val="21"/>
                      <w:lang w:val="en-US" w:eastAsia="zh-CN" w:bidi="ar"/>
                    </w:rPr>
                    <w:t>一期</w:t>
                  </w:r>
                </w:p>
              </w:tc>
            </w:tr>
            <w:tr w14:paraId="6D809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atLeast"/>
                <w:jc w:val="center"/>
              </w:trPr>
              <w:tc>
                <w:tcPr>
                  <w:tcW w:w="447" w:type="pct"/>
                  <w:noWrap w:val="0"/>
                  <w:tcMar>
                    <w:top w:w="120" w:type="dxa"/>
                    <w:left w:w="120" w:type="dxa"/>
                    <w:bottom w:w="120" w:type="dxa"/>
                    <w:right w:w="120" w:type="dxa"/>
                  </w:tcMar>
                  <w:vAlign w:val="center"/>
                </w:tcPr>
                <w:p w14:paraId="2A46A345">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kern w:val="0"/>
                      <w:sz w:val="21"/>
                      <w:szCs w:val="21"/>
                      <w:lang w:val="en-US" w:eastAsia="zh-CN" w:bidi="ar"/>
                    </w:rPr>
                  </w:pPr>
                  <w:r>
                    <w:rPr>
                      <w:rFonts w:hint="default" w:ascii="Times New Roman" w:hAnsi="Times New Roman" w:eastAsia="宋体" w:cs="Times New Roman"/>
                      <w:b w:val="0"/>
                      <w:bCs w:val="0"/>
                      <w:kern w:val="0"/>
                      <w:sz w:val="21"/>
                      <w:szCs w:val="21"/>
                      <w:lang w:val="en-US" w:eastAsia="zh-CN" w:bidi="ar"/>
                    </w:rPr>
                    <w:t>投入</w:t>
                  </w:r>
                </w:p>
              </w:tc>
              <w:tc>
                <w:tcPr>
                  <w:tcW w:w="455" w:type="pct"/>
                  <w:noWrap w:val="0"/>
                  <w:tcMar>
                    <w:top w:w="120" w:type="dxa"/>
                    <w:left w:w="120" w:type="dxa"/>
                    <w:bottom w:w="120" w:type="dxa"/>
                    <w:right w:w="120" w:type="dxa"/>
                  </w:tcMar>
                  <w:vAlign w:val="center"/>
                </w:tcPr>
                <w:p w14:paraId="789F87E2">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kern w:val="0"/>
                      <w:sz w:val="21"/>
                      <w:szCs w:val="21"/>
                      <w:lang w:val="en-US" w:eastAsia="zh-CN" w:bidi="ar"/>
                    </w:rPr>
                  </w:pPr>
                  <w:r>
                    <w:rPr>
                      <w:rFonts w:hint="default" w:ascii="Times New Roman" w:hAnsi="Times New Roman" w:eastAsia="宋体" w:cs="Times New Roman"/>
                      <w:b w:val="0"/>
                      <w:bCs w:val="0"/>
                      <w:kern w:val="0"/>
                      <w:sz w:val="21"/>
                      <w:szCs w:val="21"/>
                      <w:lang w:val="en-US" w:eastAsia="zh-CN" w:bidi="ar"/>
                    </w:rPr>
                    <w:t>原料煤泥</w:t>
                  </w:r>
                </w:p>
              </w:tc>
              <w:tc>
                <w:tcPr>
                  <w:tcW w:w="563" w:type="pct"/>
                  <w:noWrap w:val="0"/>
                  <w:tcMar>
                    <w:top w:w="120" w:type="dxa"/>
                    <w:left w:w="120" w:type="dxa"/>
                    <w:bottom w:w="120" w:type="dxa"/>
                    <w:right w:w="120" w:type="dxa"/>
                  </w:tcMar>
                  <w:vAlign w:val="center"/>
                </w:tcPr>
                <w:p w14:paraId="214C2E2C">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kern w:val="0"/>
                      <w:sz w:val="21"/>
                      <w:szCs w:val="21"/>
                      <w:lang w:val="en-US" w:eastAsia="zh-CN" w:bidi="ar"/>
                    </w:rPr>
                  </w:pPr>
                  <w:r>
                    <w:rPr>
                      <w:rFonts w:hint="default" w:ascii="Times New Roman" w:hAnsi="Times New Roman" w:eastAsia="宋体" w:cs="Times New Roman"/>
                      <w:b w:val="0"/>
                      <w:bCs w:val="0"/>
                      <w:kern w:val="0"/>
                      <w:sz w:val="21"/>
                      <w:szCs w:val="21"/>
                      <w:lang w:val="en-US" w:eastAsia="zh-CN" w:bidi="ar"/>
                    </w:rPr>
                    <w:t>6</w:t>
                  </w:r>
                  <w:r>
                    <w:rPr>
                      <w:rFonts w:hint="default" w:ascii="Times New Roman" w:hAnsi="Times New Roman" w:cs="Times New Roman"/>
                      <w:b w:val="0"/>
                      <w:bCs w:val="0"/>
                      <w:kern w:val="0"/>
                      <w:sz w:val="21"/>
                      <w:szCs w:val="21"/>
                      <w:lang w:val="en-US" w:eastAsia="zh-CN" w:bidi="ar"/>
                    </w:rPr>
                    <w:t>0000</w:t>
                  </w:r>
                </w:p>
              </w:tc>
              <w:tc>
                <w:tcPr>
                  <w:tcW w:w="481" w:type="pct"/>
                  <w:noWrap w:val="0"/>
                  <w:tcMar>
                    <w:top w:w="120" w:type="dxa"/>
                    <w:left w:w="120" w:type="dxa"/>
                    <w:bottom w:w="120" w:type="dxa"/>
                    <w:right w:w="120" w:type="dxa"/>
                  </w:tcMar>
                  <w:vAlign w:val="center"/>
                </w:tcPr>
                <w:p w14:paraId="4C281AC4">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kern w:val="0"/>
                      <w:sz w:val="21"/>
                      <w:szCs w:val="21"/>
                      <w:lang w:val="en-US" w:eastAsia="zh-CN" w:bidi="ar"/>
                    </w:rPr>
                  </w:pPr>
                  <w:r>
                    <w:rPr>
                      <w:rFonts w:hint="default" w:ascii="Times New Roman" w:hAnsi="Times New Roman" w:eastAsia="宋体" w:cs="Times New Roman"/>
                      <w:b w:val="0"/>
                      <w:bCs w:val="0"/>
                      <w:kern w:val="0"/>
                      <w:sz w:val="21"/>
                      <w:szCs w:val="21"/>
                      <w:lang w:val="en-US" w:eastAsia="zh-CN" w:bidi="ar"/>
                    </w:rPr>
                    <w:t>湿煤泥</w:t>
                  </w:r>
                </w:p>
              </w:tc>
              <w:tc>
                <w:tcPr>
                  <w:tcW w:w="571" w:type="pct"/>
                  <w:noWrap w:val="0"/>
                  <w:tcMar>
                    <w:top w:w="120" w:type="dxa"/>
                    <w:left w:w="120" w:type="dxa"/>
                    <w:bottom w:w="120" w:type="dxa"/>
                    <w:right w:w="120" w:type="dxa"/>
                  </w:tcMar>
                  <w:vAlign w:val="center"/>
                </w:tcPr>
                <w:p w14:paraId="3D8D889F">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kern w:val="0"/>
                      <w:sz w:val="21"/>
                      <w:szCs w:val="21"/>
                      <w:lang w:val="en-US" w:eastAsia="zh-CN" w:bidi="ar"/>
                    </w:rPr>
                  </w:pPr>
                  <w:r>
                    <w:rPr>
                      <w:rFonts w:hint="default" w:ascii="Times New Roman" w:hAnsi="Times New Roman" w:cs="Times New Roman"/>
                      <w:b w:val="0"/>
                      <w:bCs w:val="0"/>
                      <w:kern w:val="0"/>
                      <w:sz w:val="21"/>
                      <w:szCs w:val="21"/>
                      <w:lang w:val="en-US" w:eastAsia="zh-CN" w:bidi="ar"/>
                    </w:rPr>
                    <w:t>18.80</w:t>
                  </w:r>
                  <w:r>
                    <w:rPr>
                      <w:rFonts w:hint="default" w:ascii="Times New Roman" w:hAnsi="Times New Roman" w:eastAsia="宋体" w:cs="Times New Roman"/>
                      <w:b w:val="0"/>
                      <w:bCs w:val="0"/>
                      <w:kern w:val="0"/>
                      <w:sz w:val="21"/>
                      <w:szCs w:val="21"/>
                      <w:lang w:val="en-US" w:eastAsia="zh-CN" w:bidi="ar"/>
                    </w:rPr>
                    <w:t>%</w:t>
                  </w:r>
                </w:p>
              </w:tc>
              <w:tc>
                <w:tcPr>
                  <w:tcW w:w="593" w:type="pct"/>
                  <w:noWrap w:val="0"/>
                  <w:tcMar>
                    <w:top w:w="120" w:type="dxa"/>
                    <w:left w:w="120" w:type="dxa"/>
                    <w:bottom w:w="120" w:type="dxa"/>
                    <w:right w:w="120" w:type="dxa"/>
                  </w:tcMar>
                  <w:vAlign w:val="center"/>
                </w:tcPr>
                <w:p w14:paraId="7463C290">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kern w:val="0"/>
                      <w:sz w:val="21"/>
                      <w:szCs w:val="21"/>
                      <w:lang w:val="en-US" w:eastAsia="zh-CN" w:bidi="ar"/>
                    </w:rPr>
                  </w:pPr>
                  <w:r>
                    <w:rPr>
                      <w:rFonts w:hint="default" w:ascii="Times New Roman" w:hAnsi="Times New Roman" w:eastAsia="宋体" w:cs="Times New Roman"/>
                      <w:b w:val="0"/>
                      <w:bCs w:val="0"/>
                      <w:kern w:val="0"/>
                      <w:sz w:val="21"/>
                      <w:szCs w:val="21"/>
                      <w:lang w:val="en-US" w:eastAsia="zh-CN" w:bidi="ar"/>
                    </w:rPr>
                    <w:t>53.46%</w:t>
                  </w:r>
                </w:p>
              </w:tc>
              <w:tc>
                <w:tcPr>
                  <w:tcW w:w="670" w:type="pct"/>
                  <w:noWrap w:val="0"/>
                  <w:tcMar>
                    <w:top w:w="120" w:type="dxa"/>
                    <w:left w:w="120" w:type="dxa"/>
                    <w:bottom w:w="120" w:type="dxa"/>
                    <w:right w:w="120" w:type="dxa"/>
                  </w:tcMar>
                  <w:vAlign w:val="center"/>
                </w:tcPr>
                <w:p w14:paraId="1187EB00">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lang w:val="en-US" w:eastAsia="zh-CN"/>
                    </w:rPr>
                  </w:pPr>
                  <w:r>
                    <w:rPr>
                      <w:rFonts w:hint="default" w:ascii="Times New Roman" w:hAnsi="Times New Roman" w:cs="Times New Roman"/>
                      <w:b w:val="0"/>
                      <w:bCs w:val="0"/>
                      <w:sz w:val="21"/>
                      <w:szCs w:val="21"/>
                      <w:lang w:val="en-US" w:eastAsia="zh-CN"/>
                    </w:rPr>
                    <w:t>26046</w:t>
                  </w:r>
                </w:p>
              </w:tc>
              <w:tc>
                <w:tcPr>
                  <w:tcW w:w="1216" w:type="pct"/>
                  <w:noWrap w:val="0"/>
                  <w:tcMar>
                    <w:top w:w="120" w:type="dxa"/>
                    <w:left w:w="120" w:type="dxa"/>
                    <w:bottom w:w="120" w:type="dxa"/>
                    <w:right w:w="120" w:type="dxa"/>
                  </w:tcMar>
                  <w:vAlign w:val="center"/>
                </w:tcPr>
                <w:p w14:paraId="0E39E7F2">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kern w:val="0"/>
                      <w:sz w:val="21"/>
                      <w:szCs w:val="21"/>
                      <w:lang w:val="en-US" w:eastAsia="zh-CN" w:bidi="ar"/>
                    </w:rPr>
                  </w:pPr>
                  <w:r>
                    <w:rPr>
                      <w:rFonts w:hint="default" w:ascii="Times New Roman" w:hAnsi="Times New Roman" w:eastAsia="宋体" w:cs="Times New Roman"/>
                      <w:b w:val="0"/>
                      <w:bCs w:val="0"/>
                      <w:kern w:val="0"/>
                      <w:sz w:val="21"/>
                      <w:szCs w:val="21"/>
                      <w:lang w:val="en-US" w:eastAsia="zh-CN" w:bidi="ar"/>
                    </w:rPr>
                    <w:t>外购</w:t>
                  </w:r>
                </w:p>
              </w:tc>
            </w:tr>
            <w:tr w14:paraId="745FB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atLeast"/>
                <w:jc w:val="center"/>
              </w:trPr>
              <w:tc>
                <w:tcPr>
                  <w:tcW w:w="447" w:type="pct"/>
                  <w:noWrap w:val="0"/>
                  <w:tcMar>
                    <w:top w:w="120" w:type="dxa"/>
                    <w:left w:w="120" w:type="dxa"/>
                    <w:bottom w:w="120" w:type="dxa"/>
                    <w:right w:w="120" w:type="dxa"/>
                  </w:tcMar>
                  <w:vAlign w:val="center"/>
                </w:tcPr>
                <w:p w14:paraId="3CB45C54">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kern w:val="0"/>
                      <w:sz w:val="21"/>
                      <w:szCs w:val="21"/>
                      <w:lang w:val="en-US" w:eastAsia="zh-CN" w:bidi="ar"/>
                    </w:rPr>
                  </w:pPr>
                  <w:r>
                    <w:rPr>
                      <w:rFonts w:hint="default" w:ascii="Times New Roman" w:hAnsi="Times New Roman" w:eastAsia="宋体" w:cs="Times New Roman"/>
                      <w:b w:val="0"/>
                      <w:bCs w:val="0"/>
                      <w:kern w:val="0"/>
                      <w:sz w:val="21"/>
                      <w:szCs w:val="21"/>
                      <w:lang w:val="en-US" w:eastAsia="zh-CN" w:bidi="ar"/>
                    </w:rPr>
                    <w:t>1</w:t>
                  </w:r>
                </w:p>
              </w:tc>
              <w:tc>
                <w:tcPr>
                  <w:tcW w:w="455" w:type="pct"/>
                  <w:noWrap w:val="0"/>
                  <w:tcMar>
                    <w:top w:w="120" w:type="dxa"/>
                    <w:left w:w="120" w:type="dxa"/>
                    <w:bottom w:w="120" w:type="dxa"/>
                    <w:right w:w="120" w:type="dxa"/>
                  </w:tcMar>
                  <w:vAlign w:val="center"/>
                </w:tcPr>
                <w:p w14:paraId="74CC0B4D">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kern w:val="0"/>
                      <w:sz w:val="21"/>
                      <w:szCs w:val="21"/>
                      <w:lang w:val="en-US" w:eastAsia="zh-CN" w:bidi="ar"/>
                    </w:rPr>
                  </w:pPr>
                  <w:r>
                    <w:rPr>
                      <w:rFonts w:hint="default" w:ascii="Times New Roman" w:hAnsi="Times New Roman" w:eastAsia="宋体" w:cs="Times New Roman"/>
                      <w:b w:val="0"/>
                      <w:bCs w:val="0"/>
                      <w:kern w:val="0"/>
                      <w:sz w:val="21"/>
                      <w:szCs w:val="21"/>
                      <w:lang w:val="en-US" w:eastAsia="zh-CN" w:bidi="ar"/>
                    </w:rPr>
                    <w:t>精煤</w:t>
                  </w:r>
                </w:p>
              </w:tc>
              <w:tc>
                <w:tcPr>
                  <w:tcW w:w="563" w:type="pct"/>
                  <w:noWrap w:val="0"/>
                  <w:tcMar>
                    <w:top w:w="120" w:type="dxa"/>
                    <w:left w:w="120" w:type="dxa"/>
                    <w:bottom w:w="120" w:type="dxa"/>
                    <w:right w:w="120" w:type="dxa"/>
                  </w:tcMar>
                  <w:vAlign w:val="center"/>
                </w:tcPr>
                <w:p w14:paraId="550DBC48">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kern w:val="0"/>
                      <w:sz w:val="21"/>
                      <w:szCs w:val="21"/>
                      <w:lang w:val="en-US" w:eastAsia="zh-CN" w:bidi="ar"/>
                    </w:rPr>
                  </w:pPr>
                  <w:r>
                    <w:rPr>
                      <w:rFonts w:hint="default" w:ascii="Times New Roman" w:hAnsi="Times New Roman" w:eastAsia="宋体" w:cs="Times New Roman"/>
                      <w:b w:val="0"/>
                      <w:bCs w:val="0"/>
                      <w:kern w:val="0"/>
                      <w:sz w:val="21"/>
                      <w:szCs w:val="21"/>
                      <w:lang w:val="en-US" w:eastAsia="zh-CN" w:bidi="ar"/>
                    </w:rPr>
                    <w:t>122</w:t>
                  </w:r>
                  <w:r>
                    <w:rPr>
                      <w:rFonts w:hint="default" w:ascii="Times New Roman" w:hAnsi="Times New Roman" w:cs="Times New Roman"/>
                      <w:b w:val="0"/>
                      <w:bCs w:val="0"/>
                      <w:kern w:val="0"/>
                      <w:sz w:val="21"/>
                      <w:szCs w:val="21"/>
                      <w:lang w:val="en-US" w:eastAsia="zh-CN" w:bidi="ar"/>
                    </w:rPr>
                    <w:t>00</w:t>
                  </w:r>
                </w:p>
              </w:tc>
              <w:tc>
                <w:tcPr>
                  <w:tcW w:w="481" w:type="pct"/>
                  <w:noWrap w:val="0"/>
                  <w:tcMar>
                    <w:top w:w="120" w:type="dxa"/>
                    <w:left w:w="120" w:type="dxa"/>
                    <w:bottom w:w="120" w:type="dxa"/>
                    <w:right w:w="120" w:type="dxa"/>
                  </w:tcMar>
                  <w:vAlign w:val="center"/>
                </w:tcPr>
                <w:p w14:paraId="4A731DF9">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kern w:val="0"/>
                      <w:sz w:val="21"/>
                      <w:szCs w:val="21"/>
                      <w:lang w:val="en-US" w:eastAsia="zh-CN" w:bidi="ar"/>
                    </w:rPr>
                  </w:pPr>
                  <w:r>
                    <w:rPr>
                      <w:rFonts w:hint="default" w:ascii="Times New Roman" w:hAnsi="Times New Roman" w:eastAsia="宋体" w:cs="Times New Roman"/>
                      <w:b w:val="0"/>
                      <w:bCs w:val="0"/>
                      <w:kern w:val="0"/>
                      <w:sz w:val="21"/>
                      <w:szCs w:val="21"/>
                      <w:lang w:val="en-US" w:eastAsia="zh-CN" w:bidi="ar"/>
                    </w:rPr>
                    <w:t>固体颗粒</w:t>
                  </w:r>
                </w:p>
              </w:tc>
              <w:tc>
                <w:tcPr>
                  <w:tcW w:w="571" w:type="pct"/>
                  <w:noWrap w:val="0"/>
                  <w:tcMar>
                    <w:top w:w="120" w:type="dxa"/>
                    <w:left w:w="120" w:type="dxa"/>
                    <w:bottom w:w="120" w:type="dxa"/>
                    <w:right w:w="120" w:type="dxa"/>
                  </w:tcMar>
                  <w:vAlign w:val="center"/>
                </w:tcPr>
                <w:p w14:paraId="52768B0A">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kern w:val="0"/>
                      <w:sz w:val="21"/>
                      <w:szCs w:val="21"/>
                      <w:lang w:val="en-US" w:eastAsia="zh-CN" w:bidi="ar"/>
                    </w:rPr>
                  </w:pPr>
                  <w:r>
                    <w:rPr>
                      <w:rFonts w:hint="default" w:ascii="Times New Roman" w:hAnsi="Times New Roman" w:cs="Times New Roman"/>
                      <w:b w:val="0"/>
                      <w:bCs w:val="0"/>
                      <w:kern w:val="0"/>
                      <w:sz w:val="21"/>
                      <w:szCs w:val="21"/>
                      <w:lang w:val="en-US" w:eastAsia="zh-CN" w:bidi="ar"/>
                    </w:rPr>
                    <w:t>19.00</w:t>
                  </w:r>
                  <w:r>
                    <w:rPr>
                      <w:rFonts w:hint="default" w:ascii="Times New Roman" w:hAnsi="Times New Roman" w:eastAsia="宋体" w:cs="Times New Roman"/>
                      <w:b w:val="0"/>
                      <w:bCs w:val="0"/>
                      <w:kern w:val="0"/>
                      <w:sz w:val="21"/>
                      <w:szCs w:val="21"/>
                      <w:lang w:val="en-US" w:eastAsia="zh-CN" w:bidi="ar"/>
                    </w:rPr>
                    <w:t>%</w:t>
                  </w:r>
                </w:p>
              </w:tc>
              <w:tc>
                <w:tcPr>
                  <w:tcW w:w="593" w:type="pct"/>
                  <w:noWrap w:val="0"/>
                  <w:tcMar>
                    <w:top w:w="120" w:type="dxa"/>
                    <w:left w:w="120" w:type="dxa"/>
                    <w:bottom w:w="120" w:type="dxa"/>
                    <w:right w:w="120" w:type="dxa"/>
                  </w:tcMar>
                  <w:vAlign w:val="center"/>
                </w:tcPr>
                <w:p w14:paraId="344A44BA">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kern w:val="2"/>
                      <w:sz w:val="21"/>
                      <w:szCs w:val="21"/>
                      <w:lang w:val="en-US" w:eastAsia="zh-CN" w:bidi="ar-SA"/>
                    </w:rPr>
                  </w:pPr>
                  <w:r>
                    <w:rPr>
                      <w:rFonts w:hint="default" w:ascii="Times New Roman" w:hAnsi="Times New Roman" w:eastAsia="宋体" w:cs="Times New Roman"/>
                      <w:b w:val="0"/>
                      <w:bCs w:val="0"/>
                      <w:kern w:val="0"/>
                      <w:sz w:val="21"/>
                      <w:szCs w:val="21"/>
                      <w:lang w:val="en-US" w:eastAsia="zh-CN" w:bidi="ar"/>
                    </w:rPr>
                    <w:t>13.8%</w:t>
                  </w:r>
                </w:p>
              </w:tc>
              <w:tc>
                <w:tcPr>
                  <w:tcW w:w="670" w:type="pct"/>
                  <w:noWrap w:val="0"/>
                  <w:tcMar>
                    <w:top w:w="120" w:type="dxa"/>
                    <w:left w:w="120" w:type="dxa"/>
                    <w:bottom w:w="120" w:type="dxa"/>
                    <w:right w:w="120" w:type="dxa"/>
                  </w:tcMar>
                  <w:vAlign w:val="center"/>
                </w:tcPr>
                <w:p w14:paraId="3B983AC4">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lang w:val="en-US" w:eastAsia="zh-CN"/>
                    </w:rPr>
                  </w:pPr>
                  <w:r>
                    <w:rPr>
                      <w:rFonts w:hint="default" w:ascii="Times New Roman" w:hAnsi="Times New Roman" w:cs="Times New Roman"/>
                      <w:b w:val="0"/>
                      <w:bCs w:val="0"/>
                      <w:sz w:val="21"/>
                      <w:szCs w:val="21"/>
                      <w:lang w:val="en-US" w:eastAsia="zh-CN"/>
                    </w:rPr>
                    <w:t>1364</w:t>
                  </w:r>
                </w:p>
              </w:tc>
              <w:tc>
                <w:tcPr>
                  <w:tcW w:w="1216" w:type="pct"/>
                  <w:noWrap w:val="0"/>
                  <w:tcMar>
                    <w:top w:w="120" w:type="dxa"/>
                    <w:left w:w="120" w:type="dxa"/>
                    <w:bottom w:w="120" w:type="dxa"/>
                    <w:right w:w="120" w:type="dxa"/>
                  </w:tcMar>
                  <w:vAlign w:val="center"/>
                </w:tcPr>
                <w:p w14:paraId="4A408D3D">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val="0"/>
                      <w:kern w:val="0"/>
                      <w:sz w:val="21"/>
                      <w:szCs w:val="21"/>
                      <w:lang w:val="en-US" w:eastAsia="zh-CN" w:bidi="ar"/>
                    </w:rPr>
                    <w:t>外售，商品动力煤、工业锅炉燃料</w:t>
                  </w:r>
                </w:p>
              </w:tc>
            </w:tr>
            <w:tr w14:paraId="30182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atLeast"/>
                <w:jc w:val="center"/>
              </w:trPr>
              <w:tc>
                <w:tcPr>
                  <w:tcW w:w="447" w:type="pct"/>
                  <w:noWrap w:val="0"/>
                  <w:tcMar>
                    <w:top w:w="120" w:type="dxa"/>
                    <w:left w:w="120" w:type="dxa"/>
                    <w:bottom w:w="120" w:type="dxa"/>
                    <w:right w:w="120" w:type="dxa"/>
                  </w:tcMar>
                  <w:vAlign w:val="center"/>
                </w:tcPr>
                <w:p w14:paraId="5DBCD83C">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kern w:val="0"/>
                      <w:sz w:val="21"/>
                      <w:szCs w:val="21"/>
                      <w:lang w:val="en-US" w:eastAsia="zh-CN" w:bidi="ar"/>
                    </w:rPr>
                  </w:pPr>
                  <w:r>
                    <w:rPr>
                      <w:rFonts w:hint="default" w:ascii="Times New Roman" w:hAnsi="Times New Roman" w:eastAsia="宋体" w:cs="Times New Roman"/>
                      <w:b w:val="0"/>
                      <w:bCs w:val="0"/>
                      <w:kern w:val="0"/>
                      <w:sz w:val="21"/>
                      <w:szCs w:val="21"/>
                      <w:lang w:val="en-US" w:eastAsia="zh-CN" w:bidi="ar"/>
                    </w:rPr>
                    <w:t>2</w:t>
                  </w:r>
                </w:p>
              </w:tc>
              <w:tc>
                <w:tcPr>
                  <w:tcW w:w="455" w:type="pct"/>
                  <w:noWrap w:val="0"/>
                  <w:tcMar>
                    <w:top w:w="120" w:type="dxa"/>
                    <w:left w:w="120" w:type="dxa"/>
                    <w:bottom w:w="120" w:type="dxa"/>
                    <w:right w:w="120" w:type="dxa"/>
                  </w:tcMar>
                  <w:vAlign w:val="center"/>
                </w:tcPr>
                <w:p w14:paraId="63E1A3AD">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kern w:val="0"/>
                      <w:sz w:val="21"/>
                      <w:szCs w:val="21"/>
                      <w:lang w:val="en-US" w:eastAsia="zh-CN" w:bidi="ar"/>
                    </w:rPr>
                  </w:pPr>
                  <w:r>
                    <w:rPr>
                      <w:rFonts w:hint="default" w:ascii="Times New Roman" w:hAnsi="Times New Roman" w:eastAsia="宋体" w:cs="Times New Roman"/>
                      <w:b w:val="0"/>
                      <w:bCs w:val="0"/>
                      <w:kern w:val="0"/>
                      <w:sz w:val="21"/>
                      <w:szCs w:val="21"/>
                      <w:lang w:val="en-US" w:eastAsia="zh-CN" w:bidi="ar"/>
                    </w:rPr>
                    <w:t>低卡动力煤</w:t>
                  </w:r>
                </w:p>
              </w:tc>
              <w:tc>
                <w:tcPr>
                  <w:tcW w:w="563" w:type="pct"/>
                  <w:noWrap w:val="0"/>
                  <w:tcMar>
                    <w:top w:w="120" w:type="dxa"/>
                    <w:left w:w="120" w:type="dxa"/>
                    <w:bottom w:w="120" w:type="dxa"/>
                    <w:right w:w="120" w:type="dxa"/>
                  </w:tcMar>
                  <w:vAlign w:val="center"/>
                </w:tcPr>
                <w:p w14:paraId="4D90FFAB">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kern w:val="0"/>
                      <w:sz w:val="21"/>
                      <w:szCs w:val="21"/>
                      <w:lang w:val="en-US" w:eastAsia="zh-CN" w:bidi="ar"/>
                    </w:rPr>
                  </w:pPr>
                  <w:r>
                    <w:rPr>
                      <w:rFonts w:hint="default" w:ascii="Times New Roman" w:hAnsi="Times New Roman" w:eastAsia="宋体" w:cs="Times New Roman"/>
                      <w:color w:val="auto"/>
                      <w:sz w:val="21"/>
                      <w:szCs w:val="21"/>
                      <w:lang w:val="en-US" w:eastAsia="zh-CN"/>
                    </w:rPr>
                    <w:t>47594.78</w:t>
                  </w:r>
                </w:p>
              </w:tc>
              <w:tc>
                <w:tcPr>
                  <w:tcW w:w="481" w:type="pct"/>
                  <w:noWrap w:val="0"/>
                  <w:tcMar>
                    <w:top w:w="120" w:type="dxa"/>
                    <w:left w:w="120" w:type="dxa"/>
                    <w:bottom w:w="120" w:type="dxa"/>
                    <w:right w:w="120" w:type="dxa"/>
                  </w:tcMar>
                  <w:vAlign w:val="center"/>
                </w:tcPr>
                <w:p w14:paraId="282A8216">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kern w:val="0"/>
                      <w:sz w:val="21"/>
                      <w:szCs w:val="21"/>
                      <w:lang w:val="en-US" w:eastAsia="zh-CN" w:bidi="ar"/>
                    </w:rPr>
                  </w:pPr>
                  <w:r>
                    <w:rPr>
                      <w:rFonts w:hint="default" w:ascii="Times New Roman" w:hAnsi="Times New Roman" w:eastAsia="宋体" w:cs="Times New Roman"/>
                      <w:b w:val="0"/>
                      <w:bCs w:val="0"/>
                      <w:kern w:val="0"/>
                      <w:sz w:val="21"/>
                      <w:szCs w:val="21"/>
                      <w:lang w:val="en-US" w:eastAsia="zh-CN" w:bidi="ar"/>
                    </w:rPr>
                    <w:t>固体颗粒</w:t>
                  </w:r>
                </w:p>
              </w:tc>
              <w:tc>
                <w:tcPr>
                  <w:tcW w:w="571" w:type="pct"/>
                  <w:noWrap w:val="0"/>
                  <w:tcMar>
                    <w:top w:w="120" w:type="dxa"/>
                    <w:left w:w="120" w:type="dxa"/>
                    <w:bottom w:w="120" w:type="dxa"/>
                    <w:right w:w="120" w:type="dxa"/>
                  </w:tcMar>
                  <w:vAlign w:val="center"/>
                </w:tcPr>
                <w:p w14:paraId="759ADB95">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kern w:val="0"/>
                      <w:sz w:val="21"/>
                      <w:szCs w:val="21"/>
                      <w:lang w:val="en-US" w:eastAsia="zh-CN" w:bidi="ar"/>
                    </w:rPr>
                  </w:pPr>
                  <w:r>
                    <w:rPr>
                      <w:rFonts w:hint="default" w:ascii="Times New Roman" w:hAnsi="Times New Roman" w:cs="Times New Roman"/>
                      <w:b w:val="0"/>
                      <w:bCs w:val="0"/>
                      <w:kern w:val="0"/>
                      <w:sz w:val="21"/>
                      <w:szCs w:val="21"/>
                      <w:lang w:val="en-US" w:eastAsia="zh-CN" w:bidi="ar"/>
                    </w:rPr>
                    <w:t>26.39</w:t>
                  </w:r>
                  <w:r>
                    <w:rPr>
                      <w:rFonts w:hint="default" w:ascii="Times New Roman" w:hAnsi="Times New Roman" w:eastAsia="宋体" w:cs="Times New Roman"/>
                      <w:b w:val="0"/>
                      <w:bCs w:val="0"/>
                      <w:kern w:val="0"/>
                      <w:sz w:val="21"/>
                      <w:szCs w:val="21"/>
                      <w:lang w:val="en-US" w:eastAsia="zh-CN" w:bidi="ar"/>
                    </w:rPr>
                    <w:t>%</w:t>
                  </w:r>
                </w:p>
              </w:tc>
              <w:tc>
                <w:tcPr>
                  <w:tcW w:w="593" w:type="pct"/>
                  <w:noWrap w:val="0"/>
                  <w:tcMar>
                    <w:top w:w="120" w:type="dxa"/>
                    <w:left w:w="120" w:type="dxa"/>
                    <w:bottom w:w="120" w:type="dxa"/>
                    <w:right w:w="120" w:type="dxa"/>
                  </w:tcMar>
                  <w:vAlign w:val="center"/>
                </w:tcPr>
                <w:p w14:paraId="32AD2D94">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kern w:val="0"/>
                      <w:sz w:val="21"/>
                      <w:szCs w:val="21"/>
                      <w:lang w:val="en-US" w:eastAsia="zh-CN" w:bidi="ar"/>
                    </w:rPr>
                  </w:pPr>
                  <w:r>
                    <w:rPr>
                      <w:rFonts w:hint="default" w:ascii="Times New Roman" w:hAnsi="Times New Roman" w:cs="Times New Roman"/>
                      <w:b w:val="0"/>
                      <w:bCs w:val="0"/>
                      <w:kern w:val="0"/>
                      <w:sz w:val="21"/>
                      <w:szCs w:val="21"/>
                      <w:lang w:val="en-US" w:eastAsia="zh-CN" w:bidi="ar"/>
                    </w:rPr>
                    <w:t>70.45</w:t>
                  </w:r>
                  <w:r>
                    <w:rPr>
                      <w:rFonts w:hint="default" w:ascii="Times New Roman" w:hAnsi="Times New Roman" w:eastAsia="宋体" w:cs="Times New Roman"/>
                      <w:b w:val="0"/>
                      <w:bCs w:val="0"/>
                      <w:kern w:val="0"/>
                      <w:sz w:val="21"/>
                      <w:szCs w:val="21"/>
                      <w:lang w:val="en-US" w:eastAsia="zh-CN" w:bidi="ar"/>
                    </w:rPr>
                    <w:t>%</w:t>
                  </w:r>
                </w:p>
              </w:tc>
              <w:tc>
                <w:tcPr>
                  <w:tcW w:w="670" w:type="pct"/>
                  <w:noWrap w:val="0"/>
                  <w:tcMar>
                    <w:top w:w="120" w:type="dxa"/>
                    <w:left w:w="120" w:type="dxa"/>
                    <w:bottom w:w="120" w:type="dxa"/>
                    <w:right w:w="120" w:type="dxa"/>
                  </w:tcMar>
                  <w:vAlign w:val="center"/>
                </w:tcPr>
                <w:p w14:paraId="0AB2B04F">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lang w:val="en-US" w:eastAsia="zh-CN"/>
                    </w:rPr>
                  </w:pPr>
                  <w:r>
                    <w:rPr>
                      <w:rFonts w:hint="default" w:ascii="Times New Roman" w:hAnsi="Times New Roman" w:cs="Times New Roman"/>
                      <w:b w:val="0"/>
                      <w:bCs w:val="0"/>
                      <w:sz w:val="21"/>
                      <w:szCs w:val="21"/>
                      <w:lang w:val="en-US" w:eastAsia="zh-CN"/>
                    </w:rPr>
                    <w:t>24682</w:t>
                  </w:r>
                </w:p>
              </w:tc>
              <w:tc>
                <w:tcPr>
                  <w:tcW w:w="1216" w:type="pct"/>
                  <w:noWrap w:val="0"/>
                  <w:tcMar>
                    <w:top w:w="120" w:type="dxa"/>
                    <w:left w:w="120" w:type="dxa"/>
                    <w:bottom w:w="120" w:type="dxa"/>
                    <w:right w:w="120" w:type="dxa"/>
                  </w:tcMar>
                  <w:vAlign w:val="center"/>
                </w:tcPr>
                <w:p w14:paraId="3170D073">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val="0"/>
                      <w:kern w:val="0"/>
                      <w:sz w:val="21"/>
                      <w:szCs w:val="21"/>
                      <w:lang w:val="en-US" w:eastAsia="zh-CN" w:bidi="ar"/>
                    </w:rPr>
                    <w:t>外售，配煤原料、动力煤</w:t>
                  </w:r>
                </w:p>
              </w:tc>
            </w:tr>
            <w:tr w14:paraId="5B5CA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atLeast"/>
                <w:jc w:val="center"/>
              </w:trPr>
              <w:tc>
                <w:tcPr>
                  <w:tcW w:w="447" w:type="pct"/>
                  <w:noWrap w:val="0"/>
                  <w:tcMar>
                    <w:top w:w="120" w:type="dxa"/>
                    <w:left w:w="120" w:type="dxa"/>
                    <w:bottom w:w="120" w:type="dxa"/>
                    <w:right w:w="120" w:type="dxa"/>
                  </w:tcMar>
                  <w:vAlign w:val="center"/>
                </w:tcPr>
                <w:p w14:paraId="55094408">
                  <w:pPr>
                    <w:pStyle w:val="19"/>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kern w:val="0"/>
                      <w:sz w:val="21"/>
                      <w:szCs w:val="21"/>
                      <w:lang w:val="en-US" w:eastAsia="zh-CN" w:bidi="ar"/>
                    </w:rPr>
                  </w:pPr>
                  <w:r>
                    <w:rPr>
                      <w:rFonts w:hint="default" w:ascii="Times New Roman" w:hAnsi="Times New Roman" w:eastAsia="宋体" w:cs="Times New Roman"/>
                      <w:b w:val="0"/>
                      <w:bCs w:val="0"/>
                      <w:kern w:val="0"/>
                      <w:sz w:val="21"/>
                      <w:szCs w:val="21"/>
                      <w:lang w:val="en-US" w:eastAsia="zh-CN" w:bidi="ar"/>
                    </w:rPr>
                    <w:t>产出</w:t>
                  </w:r>
                </w:p>
              </w:tc>
              <w:tc>
                <w:tcPr>
                  <w:tcW w:w="455" w:type="pct"/>
                  <w:noWrap w:val="0"/>
                  <w:tcMar>
                    <w:top w:w="120" w:type="dxa"/>
                    <w:left w:w="120" w:type="dxa"/>
                    <w:bottom w:w="120" w:type="dxa"/>
                    <w:right w:w="120" w:type="dxa"/>
                  </w:tcMar>
                  <w:vAlign w:val="center"/>
                </w:tcPr>
                <w:p w14:paraId="533F8574">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kern w:val="0"/>
                      <w:sz w:val="21"/>
                      <w:szCs w:val="21"/>
                      <w:lang w:val="en-US" w:eastAsia="zh-CN" w:bidi="ar"/>
                    </w:rPr>
                  </w:pPr>
                  <w:r>
                    <w:rPr>
                      <w:rFonts w:hint="default" w:ascii="Times New Roman" w:hAnsi="Times New Roman" w:eastAsia="宋体" w:cs="Times New Roman"/>
                      <w:b w:val="0"/>
                      <w:bCs w:val="0"/>
                      <w:kern w:val="0"/>
                      <w:sz w:val="21"/>
                      <w:szCs w:val="21"/>
                      <w:lang w:val="en-US" w:eastAsia="zh-CN" w:bidi="ar"/>
                    </w:rPr>
                    <w:t>—</w:t>
                  </w:r>
                </w:p>
              </w:tc>
              <w:tc>
                <w:tcPr>
                  <w:tcW w:w="563" w:type="pct"/>
                  <w:noWrap w:val="0"/>
                  <w:tcMar>
                    <w:top w:w="120" w:type="dxa"/>
                    <w:left w:w="120" w:type="dxa"/>
                    <w:bottom w:w="120" w:type="dxa"/>
                    <w:right w:w="120" w:type="dxa"/>
                  </w:tcMar>
                  <w:vAlign w:val="center"/>
                </w:tcPr>
                <w:p w14:paraId="5E54E42E">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kern w:val="0"/>
                      <w:sz w:val="21"/>
                      <w:szCs w:val="21"/>
                      <w:lang w:val="en-US" w:eastAsia="zh-CN" w:bidi="ar"/>
                    </w:rPr>
                  </w:pPr>
                  <w:r>
                    <w:rPr>
                      <w:rFonts w:hint="default" w:ascii="Times New Roman" w:hAnsi="Times New Roman" w:eastAsia="宋体" w:cs="Times New Roman"/>
                      <w:b w:val="0"/>
                      <w:bCs w:val="0"/>
                      <w:kern w:val="0"/>
                      <w:sz w:val="21"/>
                      <w:szCs w:val="21"/>
                      <w:lang w:val="en-US" w:eastAsia="zh-CN" w:bidi="ar"/>
                    </w:rPr>
                    <w:t>—</w:t>
                  </w:r>
                </w:p>
              </w:tc>
              <w:tc>
                <w:tcPr>
                  <w:tcW w:w="481" w:type="pct"/>
                  <w:noWrap w:val="0"/>
                  <w:tcMar>
                    <w:top w:w="120" w:type="dxa"/>
                    <w:left w:w="120" w:type="dxa"/>
                    <w:bottom w:w="120" w:type="dxa"/>
                    <w:right w:w="120" w:type="dxa"/>
                  </w:tcMar>
                  <w:vAlign w:val="center"/>
                </w:tcPr>
                <w:p w14:paraId="3801DD56">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kern w:val="0"/>
                      <w:sz w:val="21"/>
                      <w:szCs w:val="21"/>
                      <w:lang w:val="en-US" w:eastAsia="zh-CN" w:bidi="ar"/>
                    </w:rPr>
                  </w:pPr>
                  <w:r>
                    <w:rPr>
                      <w:rFonts w:hint="default" w:ascii="Times New Roman" w:hAnsi="Times New Roman" w:eastAsia="宋体" w:cs="Times New Roman"/>
                      <w:b w:val="0"/>
                      <w:bCs w:val="0"/>
                      <w:kern w:val="0"/>
                      <w:sz w:val="21"/>
                      <w:szCs w:val="21"/>
                      <w:lang w:val="en-US" w:eastAsia="zh-CN" w:bidi="ar"/>
                    </w:rPr>
                    <w:t>—</w:t>
                  </w:r>
                </w:p>
              </w:tc>
              <w:tc>
                <w:tcPr>
                  <w:tcW w:w="571" w:type="pct"/>
                  <w:noWrap w:val="0"/>
                  <w:tcMar>
                    <w:top w:w="120" w:type="dxa"/>
                    <w:left w:w="120" w:type="dxa"/>
                    <w:bottom w:w="120" w:type="dxa"/>
                    <w:right w:w="120" w:type="dxa"/>
                  </w:tcMar>
                  <w:vAlign w:val="center"/>
                </w:tcPr>
                <w:p w14:paraId="526B1FF9">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kern w:val="0"/>
                      <w:sz w:val="21"/>
                      <w:szCs w:val="21"/>
                      <w:lang w:val="en-US" w:eastAsia="zh-CN" w:bidi="ar"/>
                    </w:rPr>
                  </w:pPr>
                  <w:r>
                    <w:rPr>
                      <w:rFonts w:hint="default" w:ascii="Times New Roman" w:hAnsi="Times New Roman" w:eastAsia="宋体" w:cs="Times New Roman"/>
                      <w:b w:val="0"/>
                      <w:bCs w:val="0"/>
                      <w:kern w:val="0"/>
                      <w:sz w:val="21"/>
                      <w:szCs w:val="21"/>
                      <w:lang w:val="en-US" w:eastAsia="zh-CN" w:bidi="ar"/>
                    </w:rPr>
                    <w:t>—</w:t>
                  </w:r>
                </w:p>
              </w:tc>
              <w:tc>
                <w:tcPr>
                  <w:tcW w:w="593" w:type="pct"/>
                  <w:noWrap w:val="0"/>
                  <w:tcMar>
                    <w:top w:w="120" w:type="dxa"/>
                    <w:left w:w="120" w:type="dxa"/>
                    <w:bottom w:w="120" w:type="dxa"/>
                    <w:right w:w="120" w:type="dxa"/>
                  </w:tcMar>
                  <w:vAlign w:val="center"/>
                </w:tcPr>
                <w:p w14:paraId="0808C11A">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kern w:val="0"/>
                      <w:sz w:val="21"/>
                      <w:szCs w:val="21"/>
                      <w:lang w:val="en-US" w:eastAsia="zh-CN" w:bidi="ar"/>
                    </w:rPr>
                  </w:pPr>
                  <w:r>
                    <w:rPr>
                      <w:rFonts w:hint="default" w:ascii="Times New Roman" w:hAnsi="Times New Roman" w:eastAsia="宋体" w:cs="Times New Roman"/>
                      <w:b w:val="0"/>
                      <w:bCs w:val="0"/>
                      <w:kern w:val="0"/>
                      <w:sz w:val="21"/>
                      <w:szCs w:val="21"/>
                      <w:lang w:val="en-US" w:eastAsia="zh-CN" w:bidi="ar"/>
                    </w:rPr>
                    <w:t>—</w:t>
                  </w:r>
                </w:p>
              </w:tc>
              <w:tc>
                <w:tcPr>
                  <w:tcW w:w="670" w:type="pct"/>
                  <w:noWrap w:val="0"/>
                  <w:tcMar>
                    <w:top w:w="120" w:type="dxa"/>
                    <w:left w:w="120" w:type="dxa"/>
                    <w:bottom w:w="120" w:type="dxa"/>
                    <w:right w:w="120" w:type="dxa"/>
                  </w:tcMar>
                  <w:vAlign w:val="center"/>
                </w:tcPr>
                <w:p w14:paraId="60A3628E">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lang w:val="en-US" w:eastAsia="zh-CN"/>
                    </w:rPr>
                  </w:pPr>
                  <w:r>
                    <w:rPr>
                      <w:rFonts w:hint="default" w:ascii="Times New Roman" w:hAnsi="Times New Roman" w:cs="Times New Roman"/>
                      <w:b w:val="0"/>
                      <w:bCs w:val="0"/>
                      <w:sz w:val="21"/>
                      <w:szCs w:val="21"/>
                      <w:lang w:val="en-US" w:eastAsia="zh-CN"/>
                    </w:rPr>
                    <w:t>26046</w:t>
                  </w:r>
                </w:p>
              </w:tc>
              <w:tc>
                <w:tcPr>
                  <w:tcW w:w="1216" w:type="pct"/>
                  <w:noWrap w:val="0"/>
                  <w:tcMar>
                    <w:top w:w="120" w:type="dxa"/>
                    <w:left w:w="120" w:type="dxa"/>
                    <w:bottom w:w="120" w:type="dxa"/>
                    <w:right w:w="120" w:type="dxa"/>
                  </w:tcMar>
                  <w:vAlign w:val="center"/>
                </w:tcPr>
                <w:p w14:paraId="36EEB4A1">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val="0"/>
                      <w:kern w:val="0"/>
                      <w:sz w:val="21"/>
                      <w:szCs w:val="21"/>
                      <w:lang w:val="en-US" w:eastAsia="zh-CN" w:bidi="ar"/>
                    </w:rPr>
                    <w:t>—</w:t>
                  </w:r>
                </w:p>
              </w:tc>
            </w:tr>
            <w:tr w14:paraId="6AF58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atLeast"/>
                <w:jc w:val="center"/>
              </w:trPr>
              <w:tc>
                <w:tcPr>
                  <w:tcW w:w="5000" w:type="pct"/>
                  <w:gridSpan w:val="8"/>
                  <w:noWrap w:val="0"/>
                  <w:tcMar>
                    <w:top w:w="120" w:type="dxa"/>
                    <w:left w:w="120" w:type="dxa"/>
                    <w:bottom w:w="120" w:type="dxa"/>
                    <w:right w:w="120" w:type="dxa"/>
                  </w:tcMar>
                  <w:vAlign w:val="center"/>
                </w:tcPr>
                <w:p w14:paraId="65B48766">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cs="Times New Roman"/>
                      <w:b w:val="0"/>
                      <w:bCs w:val="0"/>
                      <w:kern w:val="0"/>
                      <w:sz w:val="21"/>
                      <w:szCs w:val="21"/>
                      <w:lang w:val="en-US" w:eastAsia="zh-CN" w:bidi="ar"/>
                    </w:rPr>
                    <w:t>二期</w:t>
                  </w:r>
                </w:p>
              </w:tc>
            </w:tr>
            <w:tr w14:paraId="197E2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atLeast"/>
                <w:jc w:val="center"/>
              </w:trPr>
              <w:tc>
                <w:tcPr>
                  <w:tcW w:w="447" w:type="pct"/>
                  <w:noWrap w:val="0"/>
                  <w:tcMar>
                    <w:top w:w="120" w:type="dxa"/>
                    <w:left w:w="120" w:type="dxa"/>
                    <w:bottom w:w="120" w:type="dxa"/>
                    <w:right w:w="120" w:type="dxa"/>
                  </w:tcMar>
                  <w:vAlign w:val="center"/>
                </w:tcPr>
                <w:p w14:paraId="37564098">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kern w:val="0"/>
                      <w:sz w:val="21"/>
                      <w:szCs w:val="21"/>
                      <w:lang w:val="en-US" w:eastAsia="zh-CN" w:bidi="ar"/>
                    </w:rPr>
                  </w:pPr>
                  <w:r>
                    <w:rPr>
                      <w:rFonts w:hint="default" w:ascii="Times New Roman" w:hAnsi="Times New Roman" w:eastAsia="宋体" w:cs="Times New Roman"/>
                      <w:b w:val="0"/>
                      <w:bCs w:val="0"/>
                      <w:kern w:val="0"/>
                      <w:sz w:val="21"/>
                      <w:szCs w:val="21"/>
                      <w:lang w:val="en-US" w:eastAsia="zh-CN" w:bidi="ar"/>
                    </w:rPr>
                    <w:t>投入</w:t>
                  </w:r>
                </w:p>
              </w:tc>
              <w:tc>
                <w:tcPr>
                  <w:tcW w:w="455" w:type="pct"/>
                  <w:noWrap w:val="0"/>
                  <w:tcMar>
                    <w:top w:w="120" w:type="dxa"/>
                    <w:left w:w="120" w:type="dxa"/>
                    <w:bottom w:w="120" w:type="dxa"/>
                    <w:right w:w="120" w:type="dxa"/>
                  </w:tcMar>
                  <w:vAlign w:val="center"/>
                </w:tcPr>
                <w:p w14:paraId="6ABD6CCF">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kern w:val="0"/>
                      <w:sz w:val="21"/>
                      <w:szCs w:val="21"/>
                      <w:lang w:val="en-US" w:eastAsia="zh-CN" w:bidi="ar"/>
                    </w:rPr>
                  </w:pPr>
                  <w:r>
                    <w:rPr>
                      <w:rFonts w:hint="default" w:ascii="Times New Roman" w:hAnsi="Times New Roman" w:eastAsia="宋体" w:cs="Times New Roman"/>
                      <w:b w:val="0"/>
                      <w:bCs w:val="0"/>
                      <w:kern w:val="0"/>
                      <w:sz w:val="21"/>
                      <w:szCs w:val="21"/>
                      <w:lang w:val="en-US" w:eastAsia="zh-CN" w:bidi="ar"/>
                    </w:rPr>
                    <w:t>原料煤泥</w:t>
                  </w:r>
                </w:p>
              </w:tc>
              <w:tc>
                <w:tcPr>
                  <w:tcW w:w="563" w:type="pct"/>
                  <w:noWrap w:val="0"/>
                  <w:tcMar>
                    <w:top w:w="120" w:type="dxa"/>
                    <w:left w:w="120" w:type="dxa"/>
                    <w:bottom w:w="120" w:type="dxa"/>
                    <w:right w:w="120" w:type="dxa"/>
                  </w:tcMar>
                  <w:vAlign w:val="center"/>
                </w:tcPr>
                <w:p w14:paraId="6C2AA821">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kern w:val="0"/>
                      <w:sz w:val="21"/>
                      <w:szCs w:val="21"/>
                      <w:lang w:val="en-US" w:eastAsia="zh-CN" w:bidi="ar"/>
                    </w:rPr>
                  </w:pPr>
                  <w:r>
                    <w:rPr>
                      <w:rFonts w:hint="default" w:ascii="Times New Roman" w:hAnsi="Times New Roman" w:eastAsia="宋体" w:cs="Times New Roman"/>
                      <w:b w:val="0"/>
                      <w:bCs w:val="0"/>
                      <w:kern w:val="0"/>
                      <w:sz w:val="21"/>
                      <w:szCs w:val="21"/>
                      <w:lang w:val="en-US" w:eastAsia="zh-CN" w:bidi="ar"/>
                    </w:rPr>
                    <w:t>12</w:t>
                  </w:r>
                  <w:r>
                    <w:rPr>
                      <w:rFonts w:hint="default" w:ascii="Times New Roman" w:hAnsi="Times New Roman" w:cs="Times New Roman"/>
                      <w:b w:val="0"/>
                      <w:bCs w:val="0"/>
                      <w:kern w:val="0"/>
                      <w:sz w:val="21"/>
                      <w:szCs w:val="21"/>
                      <w:lang w:val="en-US" w:eastAsia="zh-CN" w:bidi="ar"/>
                    </w:rPr>
                    <w:t>0000</w:t>
                  </w:r>
                </w:p>
              </w:tc>
              <w:tc>
                <w:tcPr>
                  <w:tcW w:w="481" w:type="pct"/>
                  <w:noWrap w:val="0"/>
                  <w:tcMar>
                    <w:top w:w="120" w:type="dxa"/>
                    <w:left w:w="120" w:type="dxa"/>
                    <w:bottom w:w="120" w:type="dxa"/>
                    <w:right w:w="120" w:type="dxa"/>
                  </w:tcMar>
                  <w:vAlign w:val="center"/>
                </w:tcPr>
                <w:p w14:paraId="457D5C7F">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kern w:val="0"/>
                      <w:sz w:val="21"/>
                      <w:szCs w:val="21"/>
                      <w:lang w:val="en-US" w:eastAsia="zh-CN" w:bidi="ar"/>
                    </w:rPr>
                  </w:pPr>
                  <w:r>
                    <w:rPr>
                      <w:rFonts w:hint="default" w:ascii="Times New Roman" w:hAnsi="Times New Roman" w:eastAsia="宋体" w:cs="Times New Roman"/>
                      <w:b w:val="0"/>
                      <w:bCs w:val="0"/>
                      <w:kern w:val="0"/>
                      <w:sz w:val="21"/>
                      <w:szCs w:val="21"/>
                      <w:lang w:val="en-US" w:eastAsia="zh-CN" w:bidi="ar"/>
                    </w:rPr>
                    <w:t>湿煤泥</w:t>
                  </w:r>
                </w:p>
              </w:tc>
              <w:tc>
                <w:tcPr>
                  <w:tcW w:w="571" w:type="pct"/>
                  <w:noWrap w:val="0"/>
                  <w:tcMar>
                    <w:top w:w="120" w:type="dxa"/>
                    <w:left w:w="120" w:type="dxa"/>
                    <w:bottom w:w="120" w:type="dxa"/>
                    <w:right w:w="120" w:type="dxa"/>
                  </w:tcMar>
                  <w:vAlign w:val="center"/>
                </w:tcPr>
                <w:p w14:paraId="491F10BD">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kern w:val="0"/>
                      <w:sz w:val="21"/>
                      <w:szCs w:val="21"/>
                      <w:lang w:val="en-US" w:eastAsia="zh-CN" w:bidi="ar"/>
                    </w:rPr>
                  </w:pPr>
                  <w:r>
                    <w:rPr>
                      <w:rFonts w:hint="default" w:ascii="Times New Roman" w:hAnsi="Times New Roman" w:cs="Times New Roman"/>
                      <w:b w:val="0"/>
                      <w:bCs w:val="0"/>
                      <w:kern w:val="0"/>
                      <w:sz w:val="21"/>
                      <w:szCs w:val="21"/>
                      <w:lang w:val="en-US" w:eastAsia="zh-CN" w:bidi="ar"/>
                    </w:rPr>
                    <w:t>18.80</w:t>
                  </w:r>
                  <w:r>
                    <w:rPr>
                      <w:rFonts w:hint="default" w:ascii="Times New Roman" w:hAnsi="Times New Roman" w:eastAsia="宋体" w:cs="Times New Roman"/>
                      <w:b w:val="0"/>
                      <w:bCs w:val="0"/>
                      <w:kern w:val="0"/>
                      <w:sz w:val="21"/>
                      <w:szCs w:val="21"/>
                      <w:lang w:val="en-US" w:eastAsia="zh-CN" w:bidi="ar"/>
                    </w:rPr>
                    <w:t>%</w:t>
                  </w:r>
                </w:p>
              </w:tc>
              <w:tc>
                <w:tcPr>
                  <w:tcW w:w="593" w:type="pct"/>
                  <w:noWrap w:val="0"/>
                  <w:tcMar>
                    <w:top w:w="120" w:type="dxa"/>
                    <w:left w:w="120" w:type="dxa"/>
                    <w:bottom w:w="120" w:type="dxa"/>
                    <w:right w:w="120" w:type="dxa"/>
                  </w:tcMar>
                  <w:vAlign w:val="center"/>
                </w:tcPr>
                <w:p w14:paraId="4187640D">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kern w:val="0"/>
                      <w:sz w:val="21"/>
                      <w:szCs w:val="21"/>
                      <w:lang w:val="en-US" w:eastAsia="zh-CN" w:bidi="ar"/>
                    </w:rPr>
                  </w:pPr>
                  <w:r>
                    <w:rPr>
                      <w:rFonts w:hint="default" w:ascii="Times New Roman" w:hAnsi="Times New Roman" w:eastAsia="宋体" w:cs="Times New Roman"/>
                      <w:b w:val="0"/>
                      <w:bCs w:val="0"/>
                      <w:kern w:val="0"/>
                      <w:sz w:val="21"/>
                      <w:szCs w:val="21"/>
                      <w:lang w:val="en-US" w:eastAsia="zh-CN" w:bidi="ar"/>
                    </w:rPr>
                    <w:t>53.46%</w:t>
                  </w:r>
                </w:p>
              </w:tc>
              <w:tc>
                <w:tcPr>
                  <w:tcW w:w="670" w:type="pct"/>
                  <w:noWrap w:val="0"/>
                  <w:tcMar>
                    <w:top w:w="120" w:type="dxa"/>
                    <w:left w:w="120" w:type="dxa"/>
                    <w:bottom w:w="120" w:type="dxa"/>
                    <w:right w:w="120" w:type="dxa"/>
                  </w:tcMar>
                  <w:vAlign w:val="center"/>
                </w:tcPr>
                <w:p w14:paraId="70B6BF64">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lang w:val="en-US" w:eastAsia="zh-CN"/>
                    </w:rPr>
                  </w:pPr>
                  <w:r>
                    <w:rPr>
                      <w:rFonts w:hint="default" w:ascii="Times New Roman" w:hAnsi="Times New Roman" w:cs="Times New Roman"/>
                      <w:b w:val="0"/>
                      <w:bCs w:val="0"/>
                      <w:sz w:val="21"/>
                      <w:szCs w:val="21"/>
                      <w:lang w:val="en-US" w:eastAsia="zh-CN"/>
                    </w:rPr>
                    <w:t>52091</w:t>
                  </w:r>
                </w:p>
              </w:tc>
              <w:tc>
                <w:tcPr>
                  <w:tcW w:w="1216" w:type="pct"/>
                  <w:noWrap w:val="0"/>
                  <w:tcMar>
                    <w:top w:w="120" w:type="dxa"/>
                    <w:left w:w="120" w:type="dxa"/>
                    <w:bottom w:w="120" w:type="dxa"/>
                    <w:right w:w="120" w:type="dxa"/>
                  </w:tcMar>
                  <w:vAlign w:val="center"/>
                </w:tcPr>
                <w:p w14:paraId="13312828">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sz w:val="21"/>
                      <w:szCs w:val="21"/>
                      <w:vertAlign w:val="baseline"/>
                      <w:lang w:val="en-US" w:eastAsia="zh-CN"/>
                    </w:rPr>
                    <w:t>主要来源于华安矿业及周边洗煤厂产生的煤泥</w:t>
                  </w:r>
                </w:p>
              </w:tc>
            </w:tr>
            <w:tr w14:paraId="280CE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atLeast"/>
                <w:jc w:val="center"/>
              </w:trPr>
              <w:tc>
                <w:tcPr>
                  <w:tcW w:w="447" w:type="pct"/>
                  <w:noWrap w:val="0"/>
                  <w:tcMar>
                    <w:top w:w="120" w:type="dxa"/>
                    <w:left w:w="120" w:type="dxa"/>
                    <w:bottom w:w="120" w:type="dxa"/>
                    <w:right w:w="120" w:type="dxa"/>
                  </w:tcMar>
                  <w:vAlign w:val="center"/>
                </w:tcPr>
                <w:p w14:paraId="1D591B46">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kern w:val="0"/>
                      <w:sz w:val="21"/>
                      <w:szCs w:val="21"/>
                      <w:lang w:val="en-US" w:eastAsia="zh-CN" w:bidi="ar"/>
                    </w:rPr>
                  </w:pPr>
                  <w:r>
                    <w:rPr>
                      <w:rFonts w:hint="default" w:ascii="Times New Roman" w:hAnsi="Times New Roman" w:eastAsia="宋体" w:cs="Times New Roman"/>
                      <w:b w:val="0"/>
                      <w:bCs w:val="0"/>
                      <w:kern w:val="0"/>
                      <w:sz w:val="21"/>
                      <w:szCs w:val="21"/>
                      <w:lang w:val="en-US" w:eastAsia="zh-CN" w:bidi="ar"/>
                    </w:rPr>
                    <w:t>1</w:t>
                  </w:r>
                </w:p>
              </w:tc>
              <w:tc>
                <w:tcPr>
                  <w:tcW w:w="455" w:type="pct"/>
                  <w:noWrap w:val="0"/>
                  <w:tcMar>
                    <w:top w:w="120" w:type="dxa"/>
                    <w:left w:w="120" w:type="dxa"/>
                    <w:bottom w:w="120" w:type="dxa"/>
                    <w:right w:w="120" w:type="dxa"/>
                  </w:tcMar>
                  <w:vAlign w:val="center"/>
                </w:tcPr>
                <w:p w14:paraId="770B8B85">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kern w:val="0"/>
                      <w:sz w:val="21"/>
                      <w:szCs w:val="21"/>
                      <w:lang w:val="en-US" w:eastAsia="zh-CN" w:bidi="ar"/>
                    </w:rPr>
                  </w:pPr>
                  <w:r>
                    <w:rPr>
                      <w:rFonts w:hint="default" w:ascii="Times New Roman" w:hAnsi="Times New Roman" w:eastAsia="宋体" w:cs="Times New Roman"/>
                      <w:b w:val="0"/>
                      <w:bCs w:val="0"/>
                      <w:kern w:val="0"/>
                      <w:sz w:val="21"/>
                      <w:szCs w:val="21"/>
                      <w:lang w:val="en-US" w:eastAsia="zh-CN" w:bidi="ar"/>
                    </w:rPr>
                    <w:t>精煤</w:t>
                  </w:r>
                </w:p>
              </w:tc>
              <w:tc>
                <w:tcPr>
                  <w:tcW w:w="563" w:type="pct"/>
                  <w:noWrap w:val="0"/>
                  <w:tcMar>
                    <w:top w:w="120" w:type="dxa"/>
                    <w:left w:w="120" w:type="dxa"/>
                    <w:bottom w:w="120" w:type="dxa"/>
                    <w:right w:w="120" w:type="dxa"/>
                  </w:tcMar>
                  <w:vAlign w:val="center"/>
                </w:tcPr>
                <w:p w14:paraId="23A40633">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kern w:val="0"/>
                      <w:sz w:val="21"/>
                      <w:szCs w:val="21"/>
                      <w:lang w:val="en-US" w:eastAsia="zh-CN" w:bidi="ar"/>
                    </w:rPr>
                  </w:pPr>
                  <w:r>
                    <w:rPr>
                      <w:rFonts w:hint="default" w:ascii="Times New Roman" w:hAnsi="Times New Roman" w:eastAsia="宋体" w:cs="Times New Roman"/>
                      <w:b w:val="0"/>
                      <w:bCs w:val="0"/>
                      <w:kern w:val="0"/>
                      <w:sz w:val="21"/>
                      <w:szCs w:val="21"/>
                      <w:lang w:val="en-US" w:eastAsia="zh-CN" w:bidi="ar"/>
                    </w:rPr>
                    <w:t>210</w:t>
                  </w:r>
                  <w:r>
                    <w:rPr>
                      <w:rFonts w:hint="default" w:ascii="Times New Roman" w:hAnsi="Times New Roman" w:cs="Times New Roman"/>
                      <w:b w:val="0"/>
                      <w:bCs w:val="0"/>
                      <w:kern w:val="0"/>
                      <w:sz w:val="21"/>
                      <w:szCs w:val="21"/>
                      <w:lang w:val="en-US" w:eastAsia="zh-CN" w:bidi="ar"/>
                    </w:rPr>
                    <w:t>00</w:t>
                  </w:r>
                </w:p>
              </w:tc>
              <w:tc>
                <w:tcPr>
                  <w:tcW w:w="481" w:type="pct"/>
                  <w:noWrap w:val="0"/>
                  <w:tcMar>
                    <w:top w:w="120" w:type="dxa"/>
                    <w:left w:w="120" w:type="dxa"/>
                    <w:bottom w:w="120" w:type="dxa"/>
                    <w:right w:w="120" w:type="dxa"/>
                  </w:tcMar>
                  <w:vAlign w:val="center"/>
                </w:tcPr>
                <w:p w14:paraId="235FAB05">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kern w:val="0"/>
                      <w:sz w:val="21"/>
                      <w:szCs w:val="21"/>
                      <w:lang w:val="en-US" w:eastAsia="zh-CN" w:bidi="ar"/>
                    </w:rPr>
                  </w:pPr>
                  <w:r>
                    <w:rPr>
                      <w:rFonts w:hint="default" w:ascii="Times New Roman" w:hAnsi="Times New Roman" w:eastAsia="宋体" w:cs="Times New Roman"/>
                      <w:b w:val="0"/>
                      <w:bCs w:val="0"/>
                      <w:kern w:val="0"/>
                      <w:sz w:val="21"/>
                      <w:szCs w:val="21"/>
                      <w:lang w:val="en-US" w:eastAsia="zh-CN" w:bidi="ar"/>
                    </w:rPr>
                    <w:t>固体颗粒</w:t>
                  </w:r>
                </w:p>
              </w:tc>
              <w:tc>
                <w:tcPr>
                  <w:tcW w:w="571" w:type="pct"/>
                  <w:noWrap w:val="0"/>
                  <w:tcMar>
                    <w:top w:w="120" w:type="dxa"/>
                    <w:left w:w="120" w:type="dxa"/>
                    <w:bottom w:w="120" w:type="dxa"/>
                    <w:right w:w="120" w:type="dxa"/>
                  </w:tcMar>
                  <w:vAlign w:val="center"/>
                </w:tcPr>
                <w:p w14:paraId="3866974C">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kern w:val="0"/>
                      <w:sz w:val="21"/>
                      <w:szCs w:val="21"/>
                      <w:lang w:val="en-US" w:eastAsia="zh-CN" w:bidi="ar"/>
                    </w:rPr>
                  </w:pPr>
                  <w:r>
                    <w:rPr>
                      <w:rFonts w:hint="default" w:ascii="Times New Roman" w:hAnsi="Times New Roman" w:cs="Times New Roman"/>
                      <w:b w:val="0"/>
                      <w:bCs w:val="0"/>
                      <w:kern w:val="0"/>
                      <w:sz w:val="21"/>
                      <w:szCs w:val="21"/>
                      <w:lang w:val="en-US" w:eastAsia="zh-CN" w:bidi="ar"/>
                    </w:rPr>
                    <w:t>19.00</w:t>
                  </w:r>
                  <w:r>
                    <w:rPr>
                      <w:rFonts w:hint="default" w:ascii="Times New Roman" w:hAnsi="Times New Roman" w:eastAsia="宋体" w:cs="Times New Roman"/>
                      <w:b w:val="0"/>
                      <w:bCs w:val="0"/>
                      <w:kern w:val="0"/>
                      <w:sz w:val="21"/>
                      <w:szCs w:val="21"/>
                      <w:lang w:val="en-US" w:eastAsia="zh-CN" w:bidi="ar"/>
                    </w:rPr>
                    <w:t>%</w:t>
                  </w:r>
                </w:p>
              </w:tc>
              <w:tc>
                <w:tcPr>
                  <w:tcW w:w="593" w:type="pct"/>
                  <w:noWrap w:val="0"/>
                  <w:tcMar>
                    <w:top w:w="120" w:type="dxa"/>
                    <w:left w:w="120" w:type="dxa"/>
                    <w:bottom w:w="120" w:type="dxa"/>
                    <w:right w:w="120" w:type="dxa"/>
                  </w:tcMar>
                  <w:vAlign w:val="center"/>
                </w:tcPr>
                <w:p w14:paraId="169614A1">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kern w:val="0"/>
                      <w:sz w:val="21"/>
                      <w:szCs w:val="21"/>
                      <w:lang w:val="en-US" w:eastAsia="zh-CN" w:bidi="ar"/>
                    </w:rPr>
                  </w:pPr>
                  <w:r>
                    <w:rPr>
                      <w:rFonts w:hint="default" w:ascii="Times New Roman" w:hAnsi="Times New Roman" w:eastAsia="宋体" w:cs="Times New Roman"/>
                      <w:b w:val="0"/>
                      <w:bCs w:val="0"/>
                      <w:kern w:val="0"/>
                      <w:sz w:val="21"/>
                      <w:szCs w:val="21"/>
                      <w:lang w:val="en-US" w:eastAsia="zh-CN" w:bidi="ar"/>
                    </w:rPr>
                    <w:t>13.8%</w:t>
                  </w:r>
                </w:p>
              </w:tc>
              <w:tc>
                <w:tcPr>
                  <w:tcW w:w="670" w:type="pct"/>
                  <w:noWrap w:val="0"/>
                  <w:tcMar>
                    <w:top w:w="120" w:type="dxa"/>
                    <w:left w:w="120" w:type="dxa"/>
                    <w:bottom w:w="120" w:type="dxa"/>
                    <w:right w:w="120" w:type="dxa"/>
                  </w:tcMar>
                  <w:vAlign w:val="center"/>
                </w:tcPr>
                <w:p w14:paraId="69F504C1">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lang w:val="en-US" w:eastAsia="zh-CN"/>
                    </w:rPr>
                  </w:pPr>
                  <w:r>
                    <w:rPr>
                      <w:rFonts w:hint="default" w:ascii="Times New Roman" w:hAnsi="Times New Roman" w:cs="Times New Roman"/>
                      <w:b w:val="0"/>
                      <w:bCs w:val="0"/>
                      <w:sz w:val="21"/>
                      <w:szCs w:val="21"/>
                      <w:lang w:val="en-US" w:eastAsia="zh-CN"/>
                    </w:rPr>
                    <w:t>2347</w:t>
                  </w:r>
                </w:p>
              </w:tc>
              <w:tc>
                <w:tcPr>
                  <w:tcW w:w="1216" w:type="pct"/>
                  <w:noWrap w:val="0"/>
                  <w:tcMar>
                    <w:top w:w="120" w:type="dxa"/>
                    <w:left w:w="120" w:type="dxa"/>
                    <w:bottom w:w="120" w:type="dxa"/>
                    <w:right w:w="120" w:type="dxa"/>
                  </w:tcMar>
                  <w:vAlign w:val="center"/>
                </w:tcPr>
                <w:p w14:paraId="1DF7E9AE">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val="0"/>
                      <w:kern w:val="0"/>
                      <w:sz w:val="21"/>
                      <w:szCs w:val="21"/>
                      <w:lang w:val="en-US" w:eastAsia="zh-CN" w:bidi="ar"/>
                    </w:rPr>
                    <w:t>外售，商品动力煤、工业锅炉燃料</w:t>
                  </w:r>
                </w:p>
              </w:tc>
            </w:tr>
            <w:tr w14:paraId="6BBC5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atLeast"/>
                <w:jc w:val="center"/>
              </w:trPr>
              <w:tc>
                <w:tcPr>
                  <w:tcW w:w="447" w:type="pct"/>
                  <w:noWrap w:val="0"/>
                  <w:tcMar>
                    <w:top w:w="120" w:type="dxa"/>
                    <w:left w:w="120" w:type="dxa"/>
                    <w:bottom w:w="120" w:type="dxa"/>
                    <w:right w:w="120" w:type="dxa"/>
                  </w:tcMar>
                  <w:vAlign w:val="center"/>
                </w:tcPr>
                <w:p w14:paraId="5BC2242C">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kern w:val="0"/>
                      <w:sz w:val="21"/>
                      <w:szCs w:val="21"/>
                      <w:lang w:val="en-US" w:eastAsia="zh-CN" w:bidi="ar"/>
                    </w:rPr>
                  </w:pPr>
                  <w:r>
                    <w:rPr>
                      <w:rFonts w:hint="default" w:ascii="Times New Roman" w:hAnsi="Times New Roman" w:eastAsia="宋体" w:cs="Times New Roman"/>
                      <w:b w:val="0"/>
                      <w:bCs w:val="0"/>
                      <w:kern w:val="0"/>
                      <w:sz w:val="21"/>
                      <w:szCs w:val="21"/>
                      <w:lang w:val="en-US" w:eastAsia="zh-CN" w:bidi="ar"/>
                    </w:rPr>
                    <w:t>2</w:t>
                  </w:r>
                </w:p>
              </w:tc>
              <w:tc>
                <w:tcPr>
                  <w:tcW w:w="455" w:type="pct"/>
                  <w:noWrap w:val="0"/>
                  <w:tcMar>
                    <w:top w:w="120" w:type="dxa"/>
                    <w:left w:w="120" w:type="dxa"/>
                    <w:bottom w:w="120" w:type="dxa"/>
                    <w:right w:w="120" w:type="dxa"/>
                  </w:tcMar>
                  <w:vAlign w:val="center"/>
                </w:tcPr>
                <w:p w14:paraId="6138E79D">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kern w:val="0"/>
                      <w:sz w:val="21"/>
                      <w:szCs w:val="21"/>
                      <w:lang w:val="en-US" w:eastAsia="zh-CN" w:bidi="ar"/>
                    </w:rPr>
                  </w:pPr>
                  <w:r>
                    <w:rPr>
                      <w:rFonts w:hint="default" w:ascii="Times New Roman" w:hAnsi="Times New Roman" w:eastAsia="宋体" w:cs="Times New Roman"/>
                      <w:b w:val="0"/>
                      <w:bCs w:val="0"/>
                      <w:kern w:val="0"/>
                      <w:sz w:val="21"/>
                      <w:szCs w:val="21"/>
                      <w:lang w:val="en-US" w:eastAsia="zh-CN" w:bidi="ar"/>
                    </w:rPr>
                    <w:t>中煤</w:t>
                  </w:r>
                </w:p>
              </w:tc>
              <w:tc>
                <w:tcPr>
                  <w:tcW w:w="563" w:type="pct"/>
                  <w:noWrap w:val="0"/>
                  <w:tcMar>
                    <w:top w:w="120" w:type="dxa"/>
                    <w:left w:w="120" w:type="dxa"/>
                    <w:bottom w:w="120" w:type="dxa"/>
                    <w:right w:w="120" w:type="dxa"/>
                  </w:tcMar>
                  <w:vAlign w:val="center"/>
                </w:tcPr>
                <w:p w14:paraId="3CFC725D">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kern w:val="0"/>
                      <w:sz w:val="21"/>
                      <w:szCs w:val="21"/>
                      <w:lang w:val="en-US" w:eastAsia="zh-CN" w:bidi="ar"/>
                    </w:rPr>
                  </w:pPr>
                  <w:r>
                    <w:rPr>
                      <w:rFonts w:hint="default" w:ascii="Times New Roman" w:hAnsi="Times New Roman" w:eastAsia="宋体" w:cs="Times New Roman"/>
                      <w:b w:val="0"/>
                      <w:bCs w:val="0"/>
                      <w:kern w:val="0"/>
                      <w:sz w:val="21"/>
                      <w:szCs w:val="21"/>
                      <w:lang w:val="en-US" w:eastAsia="zh-CN" w:bidi="ar"/>
                    </w:rPr>
                    <w:t>179</w:t>
                  </w:r>
                  <w:r>
                    <w:rPr>
                      <w:rFonts w:hint="default" w:ascii="Times New Roman" w:hAnsi="Times New Roman" w:cs="Times New Roman"/>
                      <w:b w:val="0"/>
                      <w:bCs w:val="0"/>
                      <w:kern w:val="0"/>
                      <w:sz w:val="21"/>
                      <w:szCs w:val="21"/>
                      <w:lang w:val="en-US" w:eastAsia="zh-CN" w:bidi="ar"/>
                    </w:rPr>
                    <w:t>00</w:t>
                  </w:r>
                </w:p>
              </w:tc>
              <w:tc>
                <w:tcPr>
                  <w:tcW w:w="481" w:type="pct"/>
                  <w:noWrap w:val="0"/>
                  <w:tcMar>
                    <w:top w:w="120" w:type="dxa"/>
                    <w:left w:w="120" w:type="dxa"/>
                    <w:bottom w:w="120" w:type="dxa"/>
                    <w:right w:w="120" w:type="dxa"/>
                  </w:tcMar>
                  <w:vAlign w:val="center"/>
                </w:tcPr>
                <w:p w14:paraId="0BD08412">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kern w:val="0"/>
                      <w:sz w:val="21"/>
                      <w:szCs w:val="21"/>
                      <w:lang w:val="en-US" w:eastAsia="zh-CN" w:bidi="ar"/>
                    </w:rPr>
                  </w:pPr>
                  <w:r>
                    <w:rPr>
                      <w:rFonts w:hint="default" w:ascii="Times New Roman" w:hAnsi="Times New Roman" w:eastAsia="宋体" w:cs="Times New Roman"/>
                      <w:b w:val="0"/>
                      <w:bCs w:val="0"/>
                      <w:kern w:val="0"/>
                      <w:sz w:val="21"/>
                      <w:szCs w:val="21"/>
                      <w:lang w:val="en-US" w:eastAsia="zh-CN" w:bidi="ar"/>
                    </w:rPr>
                    <w:t>固体颗粒</w:t>
                  </w:r>
                </w:p>
              </w:tc>
              <w:tc>
                <w:tcPr>
                  <w:tcW w:w="571" w:type="pct"/>
                  <w:noWrap w:val="0"/>
                  <w:tcMar>
                    <w:top w:w="120" w:type="dxa"/>
                    <w:left w:w="120" w:type="dxa"/>
                    <w:bottom w:w="120" w:type="dxa"/>
                    <w:right w:w="120" w:type="dxa"/>
                  </w:tcMar>
                  <w:vAlign w:val="center"/>
                </w:tcPr>
                <w:p w14:paraId="4D786B27">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kern w:val="0"/>
                      <w:sz w:val="21"/>
                      <w:szCs w:val="21"/>
                      <w:lang w:val="en-US" w:eastAsia="zh-CN" w:bidi="ar"/>
                    </w:rPr>
                  </w:pPr>
                  <w:r>
                    <w:rPr>
                      <w:rFonts w:hint="default" w:ascii="Times New Roman" w:hAnsi="Times New Roman" w:cs="Times New Roman"/>
                      <w:b w:val="0"/>
                      <w:bCs w:val="0"/>
                      <w:kern w:val="0"/>
                      <w:sz w:val="21"/>
                      <w:szCs w:val="21"/>
                      <w:lang w:val="en-US" w:eastAsia="zh-CN" w:bidi="ar"/>
                    </w:rPr>
                    <w:t>19.00</w:t>
                  </w:r>
                  <w:r>
                    <w:rPr>
                      <w:rFonts w:hint="default" w:ascii="Times New Roman" w:hAnsi="Times New Roman" w:eastAsia="宋体" w:cs="Times New Roman"/>
                      <w:b w:val="0"/>
                      <w:bCs w:val="0"/>
                      <w:kern w:val="0"/>
                      <w:sz w:val="21"/>
                      <w:szCs w:val="21"/>
                      <w:lang w:val="en-US" w:eastAsia="zh-CN" w:bidi="ar"/>
                    </w:rPr>
                    <w:t>%</w:t>
                  </w:r>
                </w:p>
              </w:tc>
              <w:tc>
                <w:tcPr>
                  <w:tcW w:w="593" w:type="pct"/>
                  <w:noWrap w:val="0"/>
                  <w:tcMar>
                    <w:top w:w="120" w:type="dxa"/>
                    <w:left w:w="120" w:type="dxa"/>
                    <w:bottom w:w="120" w:type="dxa"/>
                    <w:right w:w="120" w:type="dxa"/>
                  </w:tcMar>
                  <w:vAlign w:val="center"/>
                </w:tcPr>
                <w:p w14:paraId="56655070">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kern w:val="0"/>
                      <w:sz w:val="21"/>
                      <w:szCs w:val="21"/>
                      <w:lang w:val="en-US" w:eastAsia="zh-CN" w:bidi="ar"/>
                    </w:rPr>
                  </w:pPr>
                  <w:r>
                    <w:rPr>
                      <w:rFonts w:hint="default" w:ascii="Times New Roman" w:hAnsi="Times New Roman" w:eastAsia="宋体" w:cs="Times New Roman"/>
                      <w:b w:val="0"/>
                      <w:bCs w:val="0"/>
                      <w:kern w:val="0"/>
                      <w:sz w:val="21"/>
                      <w:szCs w:val="21"/>
                      <w:lang w:val="en-US" w:eastAsia="zh-CN" w:bidi="ar"/>
                    </w:rPr>
                    <w:t>13.01%</w:t>
                  </w:r>
                </w:p>
              </w:tc>
              <w:tc>
                <w:tcPr>
                  <w:tcW w:w="670" w:type="pct"/>
                  <w:noWrap w:val="0"/>
                  <w:tcMar>
                    <w:top w:w="120" w:type="dxa"/>
                    <w:left w:w="120" w:type="dxa"/>
                    <w:bottom w:w="120" w:type="dxa"/>
                    <w:right w:w="120" w:type="dxa"/>
                  </w:tcMar>
                  <w:vAlign w:val="center"/>
                </w:tcPr>
                <w:p w14:paraId="5944D89B">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lang w:val="en-US" w:eastAsia="zh-CN"/>
                    </w:rPr>
                  </w:pPr>
                  <w:r>
                    <w:rPr>
                      <w:rFonts w:hint="default" w:ascii="Times New Roman" w:hAnsi="Times New Roman" w:cs="Times New Roman"/>
                      <w:b w:val="0"/>
                      <w:bCs w:val="0"/>
                      <w:sz w:val="21"/>
                      <w:szCs w:val="21"/>
                      <w:lang w:val="en-US" w:eastAsia="zh-CN"/>
                    </w:rPr>
                    <w:t>1886</w:t>
                  </w:r>
                </w:p>
              </w:tc>
              <w:tc>
                <w:tcPr>
                  <w:tcW w:w="1216" w:type="pct"/>
                  <w:noWrap w:val="0"/>
                  <w:tcMar>
                    <w:top w:w="120" w:type="dxa"/>
                    <w:left w:w="120" w:type="dxa"/>
                    <w:bottom w:w="120" w:type="dxa"/>
                    <w:right w:w="120" w:type="dxa"/>
                  </w:tcMar>
                  <w:vAlign w:val="center"/>
                </w:tcPr>
                <w:p w14:paraId="657EE350">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val="0"/>
                      <w:kern w:val="0"/>
                      <w:sz w:val="21"/>
                      <w:szCs w:val="21"/>
                      <w:lang w:val="en-US" w:eastAsia="zh-CN" w:bidi="ar"/>
                    </w:rPr>
                    <w:t>外售，配煤原料、动力煤</w:t>
                  </w:r>
                </w:p>
              </w:tc>
            </w:tr>
            <w:tr w14:paraId="65099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atLeast"/>
                <w:jc w:val="center"/>
              </w:trPr>
              <w:tc>
                <w:tcPr>
                  <w:tcW w:w="447" w:type="pct"/>
                  <w:noWrap w:val="0"/>
                  <w:tcMar>
                    <w:top w:w="120" w:type="dxa"/>
                    <w:left w:w="120" w:type="dxa"/>
                    <w:bottom w:w="120" w:type="dxa"/>
                    <w:right w:w="120" w:type="dxa"/>
                  </w:tcMar>
                  <w:vAlign w:val="center"/>
                </w:tcPr>
                <w:p w14:paraId="176D8BED">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kern w:val="0"/>
                      <w:sz w:val="21"/>
                      <w:szCs w:val="21"/>
                      <w:lang w:val="en-US" w:eastAsia="zh-CN" w:bidi="ar"/>
                    </w:rPr>
                  </w:pPr>
                  <w:r>
                    <w:rPr>
                      <w:rFonts w:hint="default" w:ascii="Times New Roman" w:hAnsi="Times New Roman" w:eastAsia="宋体" w:cs="Times New Roman"/>
                      <w:b w:val="0"/>
                      <w:bCs w:val="0"/>
                      <w:kern w:val="0"/>
                      <w:sz w:val="21"/>
                      <w:szCs w:val="21"/>
                      <w:lang w:val="en-US" w:eastAsia="zh-CN" w:bidi="ar"/>
                    </w:rPr>
                    <w:t>3</w:t>
                  </w:r>
                </w:p>
              </w:tc>
              <w:tc>
                <w:tcPr>
                  <w:tcW w:w="455" w:type="pct"/>
                  <w:noWrap w:val="0"/>
                  <w:tcMar>
                    <w:top w:w="120" w:type="dxa"/>
                    <w:left w:w="120" w:type="dxa"/>
                    <w:bottom w:w="120" w:type="dxa"/>
                    <w:right w:w="120" w:type="dxa"/>
                  </w:tcMar>
                  <w:vAlign w:val="center"/>
                </w:tcPr>
                <w:p w14:paraId="32C1F7F3">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kern w:val="0"/>
                      <w:sz w:val="21"/>
                      <w:szCs w:val="21"/>
                      <w:lang w:val="en-US" w:eastAsia="zh-CN" w:bidi="ar"/>
                    </w:rPr>
                  </w:pPr>
                  <w:r>
                    <w:rPr>
                      <w:rFonts w:hint="default" w:ascii="Times New Roman" w:hAnsi="Times New Roman" w:eastAsia="宋体" w:cs="Times New Roman"/>
                      <w:b w:val="0"/>
                      <w:bCs w:val="0"/>
                      <w:kern w:val="0"/>
                      <w:sz w:val="21"/>
                      <w:szCs w:val="21"/>
                      <w:lang w:val="en-US" w:eastAsia="zh-CN" w:bidi="ar"/>
                    </w:rPr>
                    <w:t>尾煤泥</w:t>
                  </w:r>
                </w:p>
              </w:tc>
              <w:tc>
                <w:tcPr>
                  <w:tcW w:w="563" w:type="pct"/>
                  <w:noWrap w:val="0"/>
                  <w:tcMar>
                    <w:top w:w="120" w:type="dxa"/>
                    <w:left w:w="120" w:type="dxa"/>
                    <w:bottom w:w="120" w:type="dxa"/>
                    <w:right w:w="120" w:type="dxa"/>
                  </w:tcMar>
                  <w:vAlign w:val="center"/>
                </w:tcPr>
                <w:p w14:paraId="47A691F0">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kern w:val="0"/>
                      <w:sz w:val="21"/>
                      <w:szCs w:val="21"/>
                      <w:lang w:val="en-US" w:eastAsia="zh-CN" w:bidi="ar"/>
                    </w:rPr>
                  </w:pPr>
                  <w:r>
                    <w:rPr>
                      <w:rFonts w:hint="default" w:ascii="Times New Roman" w:hAnsi="Times New Roman" w:eastAsia="宋体" w:cs="Times New Roman"/>
                      <w:color w:val="auto"/>
                      <w:sz w:val="21"/>
                      <w:szCs w:val="21"/>
                      <w:lang w:val="en-US" w:eastAsia="zh-CN"/>
                    </w:rPr>
                    <w:t>80831.56</w:t>
                  </w:r>
                </w:p>
              </w:tc>
              <w:tc>
                <w:tcPr>
                  <w:tcW w:w="481" w:type="pct"/>
                  <w:noWrap w:val="0"/>
                  <w:tcMar>
                    <w:top w:w="120" w:type="dxa"/>
                    <w:left w:w="120" w:type="dxa"/>
                    <w:bottom w:w="120" w:type="dxa"/>
                    <w:right w:w="120" w:type="dxa"/>
                  </w:tcMar>
                  <w:vAlign w:val="center"/>
                </w:tcPr>
                <w:p w14:paraId="6334292F">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kern w:val="0"/>
                      <w:sz w:val="21"/>
                      <w:szCs w:val="21"/>
                      <w:lang w:val="en-US" w:eastAsia="zh-CN" w:bidi="ar"/>
                    </w:rPr>
                  </w:pPr>
                  <w:r>
                    <w:rPr>
                      <w:rFonts w:hint="default" w:ascii="Times New Roman" w:hAnsi="Times New Roman" w:eastAsia="宋体" w:cs="Times New Roman"/>
                      <w:b w:val="0"/>
                      <w:bCs w:val="0"/>
                      <w:kern w:val="0"/>
                      <w:sz w:val="21"/>
                      <w:szCs w:val="21"/>
                      <w:lang w:val="en-US" w:eastAsia="zh-CN" w:bidi="ar"/>
                    </w:rPr>
                    <w:t>湿煤泥</w:t>
                  </w:r>
                </w:p>
              </w:tc>
              <w:tc>
                <w:tcPr>
                  <w:tcW w:w="571" w:type="pct"/>
                  <w:noWrap w:val="0"/>
                  <w:tcMar>
                    <w:top w:w="120" w:type="dxa"/>
                    <w:left w:w="120" w:type="dxa"/>
                    <w:bottom w:w="120" w:type="dxa"/>
                    <w:right w:w="120" w:type="dxa"/>
                  </w:tcMar>
                  <w:vAlign w:val="center"/>
                </w:tcPr>
                <w:p w14:paraId="2F843963">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kern w:val="0"/>
                      <w:sz w:val="21"/>
                      <w:szCs w:val="21"/>
                      <w:lang w:val="en-US" w:eastAsia="zh-CN" w:bidi="ar"/>
                    </w:rPr>
                  </w:pPr>
                  <w:r>
                    <w:rPr>
                      <w:rFonts w:hint="default" w:ascii="Times New Roman" w:hAnsi="Times New Roman" w:cs="Times New Roman"/>
                      <w:b w:val="0"/>
                      <w:bCs w:val="0"/>
                      <w:kern w:val="0"/>
                      <w:sz w:val="21"/>
                      <w:szCs w:val="21"/>
                      <w:lang w:val="en-US" w:eastAsia="zh-CN" w:bidi="ar"/>
                    </w:rPr>
                    <w:t>28.923</w:t>
                  </w:r>
                  <w:r>
                    <w:rPr>
                      <w:rFonts w:hint="default" w:ascii="Times New Roman" w:hAnsi="Times New Roman" w:eastAsia="宋体" w:cs="Times New Roman"/>
                      <w:b w:val="0"/>
                      <w:bCs w:val="0"/>
                      <w:kern w:val="0"/>
                      <w:sz w:val="21"/>
                      <w:szCs w:val="21"/>
                      <w:lang w:val="en-US" w:eastAsia="zh-CN" w:bidi="ar"/>
                    </w:rPr>
                    <w:t>%</w:t>
                  </w:r>
                </w:p>
              </w:tc>
              <w:tc>
                <w:tcPr>
                  <w:tcW w:w="593" w:type="pct"/>
                  <w:noWrap w:val="0"/>
                  <w:tcMar>
                    <w:top w:w="120" w:type="dxa"/>
                    <w:left w:w="120" w:type="dxa"/>
                    <w:bottom w:w="120" w:type="dxa"/>
                    <w:right w:w="120" w:type="dxa"/>
                  </w:tcMar>
                  <w:vAlign w:val="center"/>
                </w:tcPr>
                <w:p w14:paraId="4893A40A">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kern w:val="0"/>
                      <w:sz w:val="21"/>
                      <w:szCs w:val="21"/>
                      <w:lang w:val="en-US" w:eastAsia="zh-CN" w:bidi="ar"/>
                    </w:rPr>
                  </w:pPr>
                  <w:r>
                    <w:rPr>
                      <w:rFonts w:hint="default" w:ascii="Times New Roman" w:hAnsi="Times New Roman" w:cs="Times New Roman"/>
                      <w:b w:val="0"/>
                      <w:bCs w:val="0"/>
                      <w:kern w:val="0"/>
                      <w:sz w:val="21"/>
                      <w:szCs w:val="21"/>
                      <w:lang w:val="en-US" w:eastAsia="zh-CN" w:bidi="ar"/>
                    </w:rPr>
                    <w:t>83.30</w:t>
                  </w:r>
                  <w:r>
                    <w:rPr>
                      <w:rFonts w:hint="default" w:ascii="Times New Roman" w:hAnsi="Times New Roman" w:eastAsia="宋体" w:cs="Times New Roman"/>
                      <w:b w:val="0"/>
                      <w:bCs w:val="0"/>
                      <w:kern w:val="0"/>
                      <w:sz w:val="21"/>
                      <w:szCs w:val="21"/>
                      <w:lang w:val="en-US" w:eastAsia="zh-CN" w:bidi="ar"/>
                    </w:rPr>
                    <w:t>%</w:t>
                  </w:r>
                </w:p>
              </w:tc>
              <w:tc>
                <w:tcPr>
                  <w:tcW w:w="670" w:type="pct"/>
                  <w:noWrap w:val="0"/>
                  <w:tcMar>
                    <w:top w:w="120" w:type="dxa"/>
                    <w:left w:w="120" w:type="dxa"/>
                    <w:bottom w:w="120" w:type="dxa"/>
                    <w:right w:w="120" w:type="dxa"/>
                  </w:tcMar>
                  <w:vAlign w:val="center"/>
                </w:tcPr>
                <w:p w14:paraId="16FF594A">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lang w:val="en-US" w:eastAsia="zh-CN"/>
                    </w:rPr>
                  </w:pPr>
                  <w:r>
                    <w:rPr>
                      <w:rFonts w:hint="default" w:ascii="Times New Roman" w:hAnsi="Times New Roman" w:cs="Times New Roman"/>
                      <w:b w:val="0"/>
                      <w:bCs w:val="0"/>
                      <w:sz w:val="21"/>
                      <w:szCs w:val="21"/>
                      <w:lang w:val="en-US" w:eastAsia="zh-CN"/>
                    </w:rPr>
                    <w:t>47858</w:t>
                  </w:r>
                </w:p>
              </w:tc>
              <w:tc>
                <w:tcPr>
                  <w:tcW w:w="1216" w:type="pct"/>
                  <w:noWrap w:val="0"/>
                  <w:tcMar>
                    <w:top w:w="120" w:type="dxa"/>
                    <w:left w:w="120" w:type="dxa"/>
                    <w:bottom w:w="120" w:type="dxa"/>
                    <w:right w:w="120" w:type="dxa"/>
                  </w:tcMar>
                  <w:vAlign w:val="center"/>
                </w:tcPr>
                <w:p w14:paraId="2A2D40E6">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val="0"/>
                      <w:kern w:val="0"/>
                      <w:sz w:val="21"/>
                      <w:szCs w:val="21"/>
                      <w:lang w:val="en-US" w:eastAsia="zh-CN" w:bidi="ar"/>
                    </w:rPr>
                    <w:t>外售综合利用，砖厂掺烧、低端燃料</w:t>
                  </w:r>
                </w:p>
              </w:tc>
            </w:tr>
            <w:tr w14:paraId="6D3B3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atLeast"/>
                <w:jc w:val="center"/>
              </w:trPr>
              <w:tc>
                <w:tcPr>
                  <w:tcW w:w="447" w:type="pct"/>
                  <w:noWrap w:val="0"/>
                  <w:tcMar>
                    <w:top w:w="120" w:type="dxa"/>
                    <w:left w:w="120" w:type="dxa"/>
                    <w:bottom w:w="120" w:type="dxa"/>
                    <w:right w:w="120" w:type="dxa"/>
                  </w:tcMar>
                  <w:vAlign w:val="center"/>
                </w:tcPr>
                <w:p w14:paraId="7B6B2BED">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kern w:val="0"/>
                      <w:sz w:val="21"/>
                      <w:szCs w:val="21"/>
                      <w:lang w:val="en-US" w:eastAsia="zh-CN" w:bidi="ar"/>
                    </w:rPr>
                  </w:pPr>
                  <w:r>
                    <w:rPr>
                      <w:rStyle w:val="28"/>
                      <w:rFonts w:hint="default" w:ascii="Times New Roman" w:hAnsi="Times New Roman" w:eastAsia="宋体" w:cs="Times New Roman"/>
                      <w:b w:val="0"/>
                      <w:bCs w:val="0"/>
                      <w:kern w:val="0"/>
                      <w:sz w:val="21"/>
                      <w:szCs w:val="21"/>
                      <w:lang w:val="en-US" w:eastAsia="zh-CN" w:bidi="ar"/>
                    </w:rPr>
                    <w:t>产出</w:t>
                  </w:r>
                </w:p>
              </w:tc>
              <w:tc>
                <w:tcPr>
                  <w:tcW w:w="455" w:type="pct"/>
                  <w:noWrap w:val="0"/>
                  <w:tcMar>
                    <w:top w:w="120" w:type="dxa"/>
                    <w:left w:w="120" w:type="dxa"/>
                    <w:bottom w:w="120" w:type="dxa"/>
                    <w:right w:w="120" w:type="dxa"/>
                  </w:tcMar>
                  <w:vAlign w:val="center"/>
                </w:tcPr>
                <w:p w14:paraId="2A41B18F">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kern w:val="0"/>
                      <w:sz w:val="21"/>
                      <w:szCs w:val="21"/>
                      <w:lang w:val="en-US" w:eastAsia="zh-CN" w:bidi="ar"/>
                    </w:rPr>
                  </w:pPr>
                  <w:r>
                    <w:rPr>
                      <w:rFonts w:hint="default" w:ascii="Times New Roman" w:hAnsi="Times New Roman" w:eastAsia="宋体" w:cs="Times New Roman"/>
                      <w:b w:val="0"/>
                      <w:bCs w:val="0"/>
                      <w:kern w:val="0"/>
                      <w:sz w:val="21"/>
                      <w:szCs w:val="21"/>
                      <w:lang w:val="en-US" w:eastAsia="zh-CN" w:bidi="ar"/>
                    </w:rPr>
                    <w:t>—</w:t>
                  </w:r>
                </w:p>
              </w:tc>
              <w:tc>
                <w:tcPr>
                  <w:tcW w:w="563" w:type="pct"/>
                  <w:noWrap w:val="0"/>
                  <w:tcMar>
                    <w:top w:w="120" w:type="dxa"/>
                    <w:left w:w="120" w:type="dxa"/>
                    <w:bottom w:w="120" w:type="dxa"/>
                    <w:right w:w="120" w:type="dxa"/>
                  </w:tcMar>
                  <w:vAlign w:val="center"/>
                </w:tcPr>
                <w:p w14:paraId="65E2AE14">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kern w:val="0"/>
                      <w:sz w:val="21"/>
                      <w:szCs w:val="21"/>
                      <w:lang w:val="en-US" w:eastAsia="zh-CN" w:bidi="ar"/>
                    </w:rPr>
                  </w:pPr>
                  <w:r>
                    <w:rPr>
                      <w:rFonts w:hint="default" w:ascii="Times New Roman" w:hAnsi="Times New Roman" w:eastAsia="宋体" w:cs="Times New Roman"/>
                      <w:b w:val="0"/>
                      <w:bCs w:val="0"/>
                      <w:kern w:val="0"/>
                      <w:sz w:val="21"/>
                      <w:szCs w:val="21"/>
                      <w:lang w:val="en-US" w:eastAsia="zh-CN" w:bidi="ar"/>
                    </w:rPr>
                    <w:t>12</w:t>
                  </w:r>
                </w:p>
              </w:tc>
              <w:tc>
                <w:tcPr>
                  <w:tcW w:w="481" w:type="pct"/>
                  <w:noWrap w:val="0"/>
                  <w:tcMar>
                    <w:top w:w="120" w:type="dxa"/>
                    <w:left w:w="120" w:type="dxa"/>
                    <w:bottom w:w="120" w:type="dxa"/>
                    <w:right w:w="120" w:type="dxa"/>
                  </w:tcMar>
                  <w:vAlign w:val="center"/>
                </w:tcPr>
                <w:p w14:paraId="7B992556">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kern w:val="0"/>
                      <w:sz w:val="21"/>
                      <w:szCs w:val="21"/>
                      <w:lang w:val="en-US" w:eastAsia="zh-CN" w:bidi="ar"/>
                    </w:rPr>
                  </w:pPr>
                  <w:r>
                    <w:rPr>
                      <w:rFonts w:hint="default" w:ascii="Times New Roman" w:hAnsi="Times New Roman" w:eastAsia="宋体" w:cs="Times New Roman"/>
                      <w:b w:val="0"/>
                      <w:bCs w:val="0"/>
                      <w:kern w:val="0"/>
                      <w:sz w:val="21"/>
                      <w:szCs w:val="21"/>
                      <w:lang w:val="en-US" w:eastAsia="zh-CN" w:bidi="ar"/>
                    </w:rPr>
                    <w:t>—</w:t>
                  </w:r>
                </w:p>
              </w:tc>
              <w:tc>
                <w:tcPr>
                  <w:tcW w:w="571" w:type="pct"/>
                  <w:noWrap w:val="0"/>
                  <w:tcMar>
                    <w:top w:w="120" w:type="dxa"/>
                    <w:left w:w="120" w:type="dxa"/>
                    <w:bottom w:w="120" w:type="dxa"/>
                    <w:right w:w="120" w:type="dxa"/>
                  </w:tcMar>
                  <w:vAlign w:val="center"/>
                </w:tcPr>
                <w:p w14:paraId="2E7EDA46">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kern w:val="0"/>
                      <w:sz w:val="21"/>
                      <w:szCs w:val="21"/>
                      <w:lang w:val="en-US" w:eastAsia="zh-CN" w:bidi="ar"/>
                    </w:rPr>
                  </w:pPr>
                  <w:r>
                    <w:rPr>
                      <w:rFonts w:hint="default" w:ascii="Times New Roman" w:hAnsi="Times New Roman" w:eastAsia="宋体" w:cs="Times New Roman"/>
                      <w:b w:val="0"/>
                      <w:bCs w:val="0"/>
                      <w:kern w:val="0"/>
                      <w:sz w:val="21"/>
                      <w:szCs w:val="21"/>
                      <w:lang w:val="en-US" w:eastAsia="zh-CN" w:bidi="ar"/>
                    </w:rPr>
                    <w:t>—</w:t>
                  </w:r>
                </w:p>
              </w:tc>
              <w:tc>
                <w:tcPr>
                  <w:tcW w:w="593" w:type="pct"/>
                  <w:noWrap w:val="0"/>
                  <w:tcMar>
                    <w:top w:w="120" w:type="dxa"/>
                    <w:left w:w="120" w:type="dxa"/>
                    <w:bottom w:w="120" w:type="dxa"/>
                    <w:right w:w="120" w:type="dxa"/>
                  </w:tcMar>
                  <w:vAlign w:val="center"/>
                </w:tcPr>
                <w:p w14:paraId="20227704">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kern w:val="0"/>
                      <w:sz w:val="21"/>
                      <w:szCs w:val="21"/>
                      <w:lang w:val="en-US" w:eastAsia="zh-CN" w:bidi="ar"/>
                    </w:rPr>
                  </w:pPr>
                  <w:r>
                    <w:rPr>
                      <w:rFonts w:hint="default" w:ascii="Times New Roman" w:hAnsi="Times New Roman" w:eastAsia="宋体" w:cs="Times New Roman"/>
                      <w:b w:val="0"/>
                      <w:bCs w:val="0"/>
                      <w:kern w:val="0"/>
                      <w:sz w:val="21"/>
                      <w:szCs w:val="21"/>
                      <w:lang w:val="en-US" w:eastAsia="zh-CN" w:bidi="ar"/>
                    </w:rPr>
                    <w:t>—</w:t>
                  </w:r>
                </w:p>
              </w:tc>
              <w:tc>
                <w:tcPr>
                  <w:tcW w:w="670" w:type="pct"/>
                  <w:noWrap w:val="0"/>
                  <w:tcMar>
                    <w:top w:w="120" w:type="dxa"/>
                    <w:left w:w="120" w:type="dxa"/>
                    <w:bottom w:w="120" w:type="dxa"/>
                    <w:right w:w="120" w:type="dxa"/>
                  </w:tcMar>
                  <w:vAlign w:val="center"/>
                </w:tcPr>
                <w:p w14:paraId="795530DD">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lang w:val="en-US" w:eastAsia="zh-CN"/>
                    </w:rPr>
                  </w:pPr>
                  <w:r>
                    <w:rPr>
                      <w:rFonts w:hint="default" w:ascii="Times New Roman" w:hAnsi="Times New Roman" w:cs="Times New Roman"/>
                      <w:b w:val="0"/>
                      <w:bCs w:val="0"/>
                      <w:sz w:val="21"/>
                      <w:szCs w:val="21"/>
                      <w:lang w:val="en-US" w:eastAsia="zh-CN"/>
                    </w:rPr>
                    <w:t>52091</w:t>
                  </w:r>
                </w:p>
              </w:tc>
              <w:tc>
                <w:tcPr>
                  <w:tcW w:w="1216" w:type="pct"/>
                  <w:noWrap w:val="0"/>
                  <w:tcMar>
                    <w:top w:w="120" w:type="dxa"/>
                    <w:left w:w="120" w:type="dxa"/>
                    <w:bottom w:w="120" w:type="dxa"/>
                    <w:right w:w="120" w:type="dxa"/>
                  </w:tcMar>
                  <w:vAlign w:val="center"/>
                </w:tcPr>
                <w:p w14:paraId="6C12B39D">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val="0"/>
                      <w:kern w:val="0"/>
                      <w:sz w:val="21"/>
                      <w:szCs w:val="21"/>
                      <w:lang w:val="en-US" w:eastAsia="zh-CN" w:bidi="ar"/>
                    </w:rPr>
                    <w:t>—</w:t>
                  </w:r>
                </w:p>
              </w:tc>
            </w:tr>
            <w:tr w14:paraId="740F5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atLeast"/>
                <w:jc w:val="center"/>
              </w:trPr>
              <w:tc>
                <w:tcPr>
                  <w:tcW w:w="5000" w:type="pct"/>
                  <w:gridSpan w:val="8"/>
                  <w:noWrap w:val="0"/>
                  <w:tcMar>
                    <w:top w:w="120" w:type="dxa"/>
                    <w:left w:w="120" w:type="dxa"/>
                    <w:bottom w:w="120" w:type="dxa"/>
                    <w:right w:w="120" w:type="dxa"/>
                  </w:tcMar>
                  <w:vAlign w:val="center"/>
                </w:tcPr>
                <w:p w14:paraId="0EAE1C91">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kern w:val="0"/>
                      <w:sz w:val="21"/>
                      <w:szCs w:val="21"/>
                      <w:lang w:val="en-US" w:eastAsia="zh-CN" w:bidi="ar"/>
                    </w:rPr>
                  </w:pPr>
                  <w:r>
                    <w:rPr>
                      <w:rFonts w:hint="default" w:ascii="Times New Roman" w:hAnsi="Times New Roman" w:cs="Times New Roman"/>
                      <w:b w:val="0"/>
                      <w:bCs w:val="0"/>
                      <w:kern w:val="0"/>
                      <w:sz w:val="21"/>
                      <w:szCs w:val="21"/>
                      <w:lang w:val="en-US" w:eastAsia="zh-CN" w:bidi="ar"/>
                    </w:rPr>
                    <w:t>三期</w:t>
                  </w:r>
                </w:p>
              </w:tc>
            </w:tr>
            <w:tr w14:paraId="1AEB5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447" w:type="pct"/>
                  <w:noWrap w:val="0"/>
                  <w:tcMar>
                    <w:top w:w="120" w:type="dxa"/>
                    <w:left w:w="120" w:type="dxa"/>
                    <w:bottom w:w="120" w:type="dxa"/>
                    <w:right w:w="120" w:type="dxa"/>
                  </w:tcMar>
                  <w:vAlign w:val="center"/>
                </w:tcPr>
                <w:p w14:paraId="08C79475">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kern w:val="0"/>
                      <w:sz w:val="21"/>
                      <w:szCs w:val="21"/>
                      <w:lang w:val="en-US" w:eastAsia="zh-CN" w:bidi="ar"/>
                    </w:rPr>
                  </w:pPr>
                  <w:r>
                    <w:rPr>
                      <w:rFonts w:hint="default" w:ascii="Times New Roman" w:hAnsi="Times New Roman" w:eastAsia="宋体" w:cs="Times New Roman"/>
                      <w:b w:val="0"/>
                      <w:bCs w:val="0"/>
                      <w:kern w:val="0"/>
                      <w:sz w:val="21"/>
                      <w:szCs w:val="21"/>
                      <w:lang w:val="en-US" w:eastAsia="zh-CN" w:bidi="ar"/>
                    </w:rPr>
                    <w:t>投入</w:t>
                  </w:r>
                </w:p>
              </w:tc>
              <w:tc>
                <w:tcPr>
                  <w:tcW w:w="455" w:type="pct"/>
                  <w:noWrap w:val="0"/>
                  <w:tcMar>
                    <w:top w:w="120" w:type="dxa"/>
                    <w:left w:w="120" w:type="dxa"/>
                    <w:bottom w:w="120" w:type="dxa"/>
                    <w:right w:w="120" w:type="dxa"/>
                  </w:tcMar>
                  <w:vAlign w:val="center"/>
                </w:tcPr>
                <w:p w14:paraId="780B17A5">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kern w:val="0"/>
                      <w:sz w:val="21"/>
                      <w:szCs w:val="21"/>
                      <w:lang w:val="en-US" w:eastAsia="zh-CN" w:bidi="ar"/>
                    </w:rPr>
                  </w:pPr>
                  <w:r>
                    <w:rPr>
                      <w:rFonts w:hint="default" w:ascii="Times New Roman" w:hAnsi="Times New Roman" w:eastAsia="宋体" w:cs="Times New Roman"/>
                      <w:b w:val="0"/>
                      <w:bCs w:val="0"/>
                      <w:kern w:val="0"/>
                      <w:sz w:val="21"/>
                      <w:szCs w:val="21"/>
                      <w:lang w:val="en-US" w:eastAsia="zh-CN" w:bidi="ar"/>
                    </w:rPr>
                    <w:t>原料煤泥</w:t>
                  </w:r>
                </w:p>
              </w:tc>
              <w:tc>
                <w:tcPr>
                  <w:tcW w:w="563" w:type="pct"/>
                  <w:noWrap w:val="0"/>
                  <w:tcMar>
                    <w:top w:w="120" w:type="dxa"/>
                    <w:left w:w="120" w:type="dxa"/>
                    <w:bottom w:w="120" w:type="dxa"/>
                    <w:right w:w="120" w:type="dxa"/>
                  </w:tcMar>
                  <w:vAlign w:val="center"/>
                </w:tcPr>
                <w:p w14:paraId="17BC1FB5">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kern w:val="0"/>
                      <w:sz w:val="21"/>
                      <w:szCs w:val="21"/>
                      <w:lang w:val="en-US" w:eastAsia="zh-CN" w:bidi="ar"/>
                    </w:rPr>
                  </w:pPr>
                  <w:r>
                    <w:rPr>
                      <w:rFonts w:hint="default" w:ascii="Times New Roman" w:hAnsi="Times New Roman" w:eastAsia="宋体" w:cs="Times New Roman"/>
                      <w:b w:val="0"/>
                      <w:bCs w:val="0"/>
                      <w:kern w:val="0"/>
                      <w:sz w:val="21"/>
                      <w:szCs w:val="21"/>
                      <w:lang w:val="en-US" w:eastAsia="zh-CN" w:bidi="ar"/>
                    </w:rPr>
                    <w:t>30</w:t>
                  </w:r>
                  <w:r>
                    <w:rPr>
                      <w:rFonts w:hint="default" w:ascii="Times New Roman" w:hAnsi="Times New Roman" w:cs="Times New Roman"/>
                      <w:b w:val="0"/>
                      <w:bCs w:val="0"/>
                      <w:kern w:val="0"/>
                      <w:sz w:val="21"/>
                      <w:szCs w:val="21"/>
                      <w:lang w:val="en-US" w:eastAsia="zh-CN" w:bidi="ar"/>
                    </w:rPr>
                    <w:t>0000</w:t>
                  </w:r>
                </w:p>
              </w:tc>
              <w:tc>
                <w:tcPr>
                  <w:tcW w:w="481" w:type="pct"/>
                  <w:noWrap w:val="0"/>
                  <w:tcMar>
                    <w:top w:w="120" w:type="dxa"/>
                    <w:left w:w="120" w:type="dxa"/>
                    <w:bottom w:w="120" w:type="dxa"/>
                    <w:right w:w="120" w:type="dxa"/>
                  </w:tcMar>
                  <w:vAlign w:val="center"/>
                </w:tcPr>
                <w:p w14:paraId="3ACFE133">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kern w:val="0"/>
                      <w:sz w:val="21"/>
                      <w:szCs w:val="21"/>
                      <w:lang w:val="en-US" w:eastAsia="zh-CN" w:bidi="ar"/>
                    </w:rPr>
                  </w:pPr>
                  <w:r>
                    <w:rPr>
                      <w:rFonts w:hint="default" w:ascii="Times New Roman" w:hAnsi="Times New Roman" w:eastAsia="宋体" w:cs="Times New Roman"/>
                      <w:b w:val="0"/>
                      <w:bCs w:val="0"/>
                      <w:kern w:val="0"/>
                      <w:sz w:val="21"/>
                      <w:szCs w:val="21"/>
                      <w:lang w:val="en-US" w:eastAsia="zh-CN" w:bidi="ar"/>
                    </w:rPr>
                    <w:t>湿煤泥</w:t>
                  </w:r>
                </w:p>
              </w:tc>
              <w:tc>
                <w:tcPr>
                  <w:tcW w:w="571" w:type="pct"/>
                  <w:noWrap w:val="0"/>
                  <w:tcMar>
                    <w:top w:w="120" w:type="dxa"/>
                    <w:left w:w="120" w:type="dxa"/>
                    <w:bottom w:w="120" w:type="dxa"/>
                    <w:right w:w="120" w:type="dxa"/>
                  </w:tcMar>
                  <w:vAlign w:val="center"/>
                </w:tcPr>
                <w:p w14:paraId="4B802F3F">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kern w:val="0"/>
                      <w:sz w:val="21"/>
                      <w:szCs w:val="21"/>
                      <w:lang w:val="en-US" w:eastAsia="zh-CN" w:bidi="ar"/>
                    </w:rPr>
                  </w:pPr>
                  <w:r>
                    <w:rPr>
                      <w:rFonts w:hint="default" w:ascii="Times New Roman" w:hAnsi="Times New Roman" w:cs="Times New Roman"/>
                      <w:b w:val="0"/>
                      <w:bCs w:val="0"/>
                      <w:kern w:val="0"/>
                      <w:sz w:val="21"/>
                      <w:szCs w:val="21"/>
                      <w:lang w:val="en-US" w:eastAsia="zh-CN" w:bidi="ar"/>
                    </w:rPr>
                    <w:t>18.80</w:t>
                  </w:r>
                  <w:r>
                    <w:rPr>
                      <w:rFonts w:hint="default" w:ascii="Times New Roman" w:hAnsi="Times New Roman" w:eastAsia="宋体" w:cs="Times New Roman"/>
                      <w:b w:val="0"/>
                      <w:bCs w:val="0"/>
                      <w:kern w:val="0"/>
                      <w:sz w:val="21"/>
                      <w:szCs w:val="21"/>
                      <w:lang w:val="en-US" w:eastAsia="zh-CN" w:bidi="ar"/>
                    </w:rPr>
                    <w:t>%</w:t>
                  </w:r>
                </w:p>
              </w:tc>
              <w:tc>
                <w:tcPr>
                  <w:tcW w:w="593" w:type="pct"/>
                  <w:noWrap w:val="0"/>
                  <w:tcMar>
                    <w:top w:w="120" w:type="dxa"/>
                    <w:left w:w="120" w:type="dxa"/>
                    <w:bottom w:w="120" w:type="dxa"/>
                    <w:right w:w="120" w:type="dxa"/>
                  </w:tcMar>
                  <w:vAlign w:val="center"/>
                </w:tcPr>
                <w:p w14:paraId="7ACC6FEE">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kern w:val="0"/>
                      <w:sz w:val="21"/>
                      <w:szCs w:val="21"/>
                      <w:lang w:val="en-US" w:eastAsia="zh-CN" w:bidi="ar"/>
                    </w:rPr>
                  </w:pPr>
                  <w:r>
                    <w:rPr>
                      <w:rFonts w:hint="default" w:ascii="Times New Roman" w:hAnsi="Times New Roman" w:eastAsia="宋体" w:cs="Times New Roman"/>
                      <w:b w:val="0"/>
                      <w:bCs w:val="0"/>
                      <w:kern w:val="0"/>
                      <w:sz w:val="21"/>
                      <w:szCs w:val="21"/>
                      <w:lang w:val="en-US" w:eastAsia="zh-CN" w:bidi="ar"/>
                    </w:rPr>
                    <w:t>53.46%</w:t>
                  </w:r>
                </w:p>
              </w:tc>
              <w:tc>
                <w:tcPr>
                  <w:tcW w:w="670" w:type="pct"/>
                  <w:noWrap w:val="0"/>
                  <w:tcMar>
                    <w:top w:w="120" w:type="dxa"/>
                    <w:left w:w="120" w:type="dxa"/>
                    <w:bottom w:w="120" w:type="dxa"/>
                    <w:right w:w="120" w:type="dxa"/>
                  </w:tcMar>
                  <w:vAlign w:val="center"/>
                </w:tcPr>
                <w:p w14:paraId="7DEB4026">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kern w:val="0"/>
                      <w:sz w:val="21"/>
                      <w:szCs w:val="21"/>
                      <w:lang w:val="en-US" w:eastAsia="zh-CN" w:bidi="ar"/>
                    </w:rPr>
                  </w:pPr>
                  <w:r>
                    <w:rPr>
                      <w:rFonts w:hint="default" w:ascii="Times New Roman" w:hAnsi="Times New Roman" w:cs="Times New Roman"/>
                      <w:b w:val="0"/>
                      <w:bCs w:val="0"/>
                      <w:sz w:val="21"/>
                      <w:szCs w:val="21"/>
                      <w:lang w:val="en-US" w:eastAsia="zh-CN"/>
                    </w:rPr>
                    <w:t>130229</w:t>
                  </w:r>
                </w:p>
              </w:tc>
              <w:tc>
                <w:tcPr>
                  <w:tcW w:w="1216" w:type="pct"/>
                  <w:noWrap w:val="0"/>
                  <w:tcMar>
                    <w:top w:w="120" w:type="dxa"/>
                    <w:left w:w="120" w:type="dxa"/>
                    <w:bottom w:w="120" w:type="dxa"/>
                    <w:right w:w="120" w:type="dxa"/>
                  </w:tcMar>
                  <w:vAlign w:val="center"/>
                </w:tcPr>
                <w:p w14:paraId="78CF3D25">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kern w:val="0"/>
                      <w:sz w:val="21"/>
                      <w:szCs w:val="21"/>
                      <w:lang w:val="en-US" w:eastAsia="zh-CN" w:bidi="ar"/>
                    </w:rPr>
                  </w:pPr>
                  <w:r>
                    <w:rPr>
                      <w:rFonts w:hint="default" w:ascii="Times New Roman" w:hAnsi="Times New Roman" w:eastAsia="宋体" w:cs="Times New Roman"/>
                      <w:b w:val="0"/>
                      <w:bCs/>
                      <w:sz w:val="21"/>
                      <w:szCs w:val="21"/>
                      <w:vertAlign w:val="baseline"/>
                      <w:lang w:val="en-US" w:eastAsia="zh-CN"/>
                    </w:rPr>
                    <w:t>主要来源于华安矿业及周边洗煤厂产生的煤泥</w:t>
                  </w:r>
                </w:p>
              </w:tc>
            </w:tr>
            <w:tr w14:paraId="24B15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atLeast"/>
                <w:jc w:val="center"/>
              </w:trPr>
              <w:tc>
                <w:tcPr>
                  <w:tcW w:w="447" w:type="pct"/>
                  <w:noWrap w:val="0"/>
                  <w:tcMar>
                    <w:top w:w="120" w:type="dxa"/>
                    <w:left w:w="120" w:type="dxa"/>
                    <w:bottom w:w="120" w:type="dxa"/>
                    <w:right w:w="120" w:type="dxa"/>
                  </w:tcMar>
                  <w:vAlign w:val="center"/>
                </w:tcPr>
                <w:p w14:paraId="40146D80">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rPr>
                  </w:pPr>
                  <w:r>
                    <w:rPr>
                      <w:rFonts w:hint="default" w:ascii="Times New Roman" w:hAnsi="Times New Roman" w:eastAsia="宋体" w:cs="Times New Roman"/>
                      <w:b w:val="0"/>
                      <w:bCs w:val="0"/>
                      <w:kern w:val="0"/>
                      <w:sz w:val="21"/>
                      <w:szCs w:val="21"/>
                      <w:lang w:val="en-US" w:eastAsia="zh-CN" w:bidi="ar"/>
                    </w:rPr>
                    <w:t>1</w:t>
                  </w:r>
                </w:p>
              </w:tc>
              <w:tc>
                <w:tcPr>
                  <w:tcW w:w="455" w:type="pct"/>
                  <w:noWrap w:val="0"/>
                  <w:tcMar>
                    <w:top w:w="120" w:type="dxa"/>
                    <w:left w:w="120" w:type="dxa"/>
                    <w:bottom w:w="120" w:type="dxa"/>
                    <w:right w:w="120" w:type="dxa"/>
                  </w:tcMar>
                  <w:vAlign w:val="center"/>
                </w:tcPr>
                <w:p w14:paraId="3E90DCB1">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rPr>
                  </w:pPr>
                  <w:r>
                    <w:rPr>
                      <w:rFonts w:hint="default" w:ascii="Times New Roman" w:hAnsi="Times New Roman" w:eastAsia="宋体" w:cs="Times New Roman"/>
                      <w:b w:val="0"/>
                      <w:bCs w:val="0"/>
                      <w:kern w:val="0"/>
                      <w:sz w:val="21"/>
                      <w:szCs w:val="21"/>
                      <w:lang w:val="en-US" w:eastAsia="zh-CN" w:bidi="ar"/>
                    </w:rPr>
                    <w:t>精煤</w:t>
                  </w:r>
                </w:p>
              </w:tc>
              <w:tc>
                <w:tcPr>
                  <w:tcW w:w="563" w:type="pct"/>
                  <w:noWrap w:val="0"/>
                  <w:tcMar>
                    <w:top w:w="120" w:type="dxa"/>
                    <w:left w:w="120" w:type="dxa"/>
                    <w:bottom w:w="120" w:type="dxa"/>
                    <w:right w:w="120" w:type="dxa"/>
                  </w:tcMar>
                  <w:vAlign w:val="center"/>
                </w:tcPr>
                <w:p w14:paraId="04DD1833">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lang w:val="en-US"/>
                    </w:rPr>
                  </w:pPr>
                  <w:r>
                    <w:rPr>
                      <w:rFonts w:hint="default" w:ascii="Times New Roman" w:hAnsi="Times New Roman" w:eastAsia="宋体" w:cs="Times New Roman"/>
                      <w:b w:val="0"/>
                      <w:bCs w:val="0"/>
                      <w:kern w:val="0"/>
                      <w:sz w:val="21"/>
                      <w:szCs w:val="21"/>
                      <w:lang w:val="en-US" w:eastAsia="zh-CN" w:bidi="ar"/>
                    </w:rPr>
                    <w:t>424</w:t>
                  </w:r>
                  <w:r>
                    <w:rPr>
                      <w:rFonts w:hint="default" w:ascii="Times New Roman" w:hAnsi="Times New Roman" w:cs="Times New Roman"/>
                      <w:b w:val="0"/>
                      <w:bCs w:val="0"/>
                      <w:kern w:val="0"/>
                      <w:sz w:val="21"/>
                      <w:szCs w:val="21"/>
                      <w:lang w:val="en-US" w:eastAsia="zh-CN" w:bidi="ar"/>
                    </w:rPr>
                    <w:t>00</w:t>
                  </w:r>
                </w:p>
              </w:tc>
              <w:tc>
                <w:tcPr>
                  <w:tcW w:w="481" w:type="pct"/>
                  <w:noWrap w:val="0"/>
                  <w:tcMar>
                    <w:top w:w="120" w:type="dxa"/>
                    <w:left w:w="120" w:type="dxa"/>
                    <w:bottom w:w="120" w:type="dxa"/>
                    <w:right w:w="120" w:type="dxa"/>
                  </w:tcMar>
                  <w:vAlign w:val="center"/>
                </w:tcPr>
                <w:p w14:paraId="437324CF">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rPr>
                  </w:pPr>
                  <w:r>
                    <w:rPr>
                      <w:rFonts w:hint="default" w:ascii="Times New Roman" w:hAnsi="Times New Roman" w:eastAsia="宋体" w:cs="Times New Roman"/>
                      <w:b w:val="0"/>
                      <w:bCs w:val="0"/>
                      <w:kern w:val="0"/>
                      <w:sz w:val="21"/>
                      <w:szCs w:val="21"/>
                      <w:lang w:val="en-US" w:eastAsia="zh-CN" w:bidi="ar"/>
                    </w:rPr>
                    <w:t>固体颗粒</w:t>
                  </w:r>
                </w:p>
              </w:tc>
              <w:tc>
                <w:tcPr>
                  <w:tcW w:w="571" w:type="pct"/>
                  <w:noWrap w:val="0"/>
                  <w:tcMar>
                    <w:top w:w="120" w:type="dxa"/>
                    <w:left w:w="120" w:type="dxa"/>
                    <w:bottom w:w="120" w:type="dxa"/>
                    <w:right w:w="120" w:type="dxa"/>
                  </w:tcMar>
                  <w:vAlign w:val="center"/>
                </w:tcPr>
                <w:p w14:paraId="08D66B45">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rPr>
                  </w:pPr>
                  <w:r>
                    <w:rPr>
                      <w:rFonts w:hint="default" w:ascii="Times New Roman" w:hAnsi="Times New Roman" w:cs="Times New Roman"/>
                      <w:b w:val="0"/>
                      <w:bCs w:val="0"/>
                      <w:kern w:val="0"/>
                      <w:sz w:val="21"/>
                      <w:szCs w:val="21"/>
                      <w:lang w:val="en-US" w:eastAsia="zh-CN" w:bidi="ar"/>
                    </w:rPr>
                    <w:t>19.00</w:t>
                  </w:r>
                  <w:r>
                    <w:rPr>
                      <w:rFonts w:hint="default" w:ascii="Times New Roman" w:hAnsi="Times New Roman" w:eastAsia="宋体" w:cs="Times New Roman"/>
                      <w:b w:val="0"/>
                      <w:bCs w:val="0"/>
                      <w:kern w:val="0"/>
                      <w:sz w:val="21"/>
                      <w:szCs w:val="21"/>
                      <w:lang w:val="en-US" w:eastAsia="zh-CN" w:bidi="ar"/>
                    </w:rPr>
                    <w:t>%</w:t>
                  </w:r>
                </w:p>
              </w:tc>
              <w:tc>
                <w:tcPr>
                  <w:tcW w:w="593" w:type="pct"/>
                  <w:noWrap w:val="0"/>
                  <w:tcMar>
                    <w:top w:w="120" w:type="dxa"/>
                    <w:left w:w="120" w:type="dxa"/>
                    <w:bottom w:w="120" w:type="dxa"/>
                    <w:right w:w="120" w:type="dxa"/>
                  </w:tcMar>
                  <w:vAlign w:val="center"/>
                </w:tcPr>
                <w:p w14:paraId="531784B6">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rPr>
                  </w:pPr>
                  <w:r>
                    <w:rPr>
                      <w:rFonts w:hint="default" w:ascii="Times New Roman" w:hAnsi="Times New Roman" w:eastAsia="宋体" w:cs="Times New Roman"/>
                      <w:b w:val="0"/>
                      <w:bCs w:val="0"/>
                      <w:kern w:val="0"/>
                      <w:sz w:val="21"/>
                      <w:szCs w:val="21"/>
                      <w:lang w:val="en-US" w:eastAsia="zh-CN" w:bidi="ar"/>
                    </w:rPr>
                    <w:t>13.8%</w:t>
                  </w:r>
                </w:p>
              </w:tc>
              <w:tc>
                <w:tcPr>
                  <w:tcW w:w="670" w:type="pct"/>
                  <w:noWrap w:val="0"/>
                  <w:tcMar>
                    <w:top w:w="120" w:type="dxa"/>
                    <w:left w:w="120" w:type="dxa"/>
                    <w:bottom w:w="120" w:type="dxa"/>
                    <w:right w:w="120" w:type="dxa"/>
                  </w:tcMar>
                  <w:vAlign w:val="center"/>
                </w:tcPr>
                <w:p w14:paraId="6F0E2DC3">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lang w:val="en-US"/>
                    </w:rPr>
                  </w:pPr>
                  <w:r>
                    <w:rPr>
                      <w:rFonts w:hint="default" w:ascii="Times New Roman" w:hAnsi="Times New Roman" w:eastAsia="宋体" w:cs="Times New Roman"/>
                      <w:b w:val="0"/>
                      <w:bCs w:val="0"/>
                      <w:kern w:val="0"/>
                      <w:sz w:val="21"/>
                      <w:szCs w:val="21"/>
                      <w:lang w:val="en-US" w:eastAsia="zh-CN" w:bidi="ar"/>
                    </w:rPr>
                    <w:t>4739</w:t>
                  </w:r>
                </w:p>
              </w:tc>
              <w:tc>
                <w:tcPr>
                  <w:tcW w:w="1216" w:type="pct"/>
                  <w:noWrap w:val="0"/>
                  <w:tcMar>
                    <w:top w:w="120" w:type="dxa"/>
                    <w:left w:w="120" w:type="dxa"/>
                    <w:bottom w:w="120" w:type="dxa"/>
                    <w:right w:w="120" w:type="dxa"/>
                  </w:tcMar>
                  <w:vAlign w:val="center"/>
                </w:tcPr>
                <w:p w14:paraId="21724E1B">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rPr>
                  </w:pPr>
                  <w:r>
                    <w:rPr>
                      <w:rFonts w:hint="default" w:ascii="Times New Roman" w:hAnsi="Times New Roman" w:eastAsia="宋体" w:cs="Times New Roman"/>
                      <w:b w:val="0"/>
                      <w:bCs w:val="0"/>
                      <w:kern w:val="0"/>
                      <w:sz w:val="21"/>
                      <w:szCs w:val="21"/>
                      <w:lang w:val="en-US" w:eastAsia="zh-CN" w:bidi="ar"/>
                    </w:rPr>
                    <w:t>外售，商品动力煤、工业锅炉燃料</w:t>
                  </w:r>
                </w:p>
              </w:tc>
            </w:tr>
            <w:tr w14:paraId="604C8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atLeast"/>
                <w:jc w:val="center"/>
              </w:trPr>
              <w:tc>
                <w:tcPr>
                  <w:tcW w:w="447" w:type="pct"/>
                  <w:noWrap w:val="0"/>
                  <w:tcMar>
                    <w:top w:w="120" w:type="dxa"/>
                    <w:left w:w="120" w:type="dxa"/>
                    <w:bottom w:w="120" w:type="dxa"/>
                    <w:right w:w="120" w:type="dxa"/>
                  </w:tcMar>
                  <w:vAlign w:val="center"/>
                </w:tcPr>
                <w:p w14:paraId="18BD3179">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rPr>
                  </w:pPr>
                  <w:r>
                    <w:rPr>
                      <w:rFonts w:hint="default" w:ascii="Times New Roman" w:hAnsi="Times New Roman" w:eastAsia="宋体" w:cs="Times New Roman"/>
                      <w:b w:val="0"/>
                      <w:bCs w:val="0"/>
                      <w:kern w:val="0"/>
                      <w:sz w:val="21"/>
                      <w:szCs w:val="21"/>
                      <w:lang w:val="en-US" w:eastAsia="zh-CN" w:bidi="ar"/>
                    </w:rPr>
                    <w:t>2</w:t>
                  </w:r>
                </w:p>
              </w:tc>
              <w:tc>
                <w:tcPr>
                  <w:tcW w:w="455" w:type="pct"/>
                  <w:noWrap w:val="0"/>
                  <w:tcMar>
                    <w:top w:w="120" w:type="dxa"/>
                    <w:left w:w="120" w:type="dxa"/>
                    <w:bottom w:w="120" w:type="dxa"/>
                    <w:right w:w="120" w:type="dxa"/>
                  </w:tcMar>
                  <w:vAlign w:val="center"/>
                </w:tcPr>
                <w:p w14:paraId="012292F4">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rPr>
                  </w:pPr>
                  <w:r>
                    <w:rPr>
                      <w:rFonts w:hint="default" w:ascii="Times New Roman" w:hAnsi="Times New Roman" w:eastAsia="宋体" w:cs="Times New Roman"/>
                      <w:b w:val="0"/>
                      <w:bCs w:val="0"/>
                      <w:kern w:val="0"/>
                      <w:sz w:val="21"/>
                      <w:szCs w:val="21"/>
                      <w:lang w:val="en-US" w:eastAsia="zh-CN" w:bidi="ar"/>
                    </w:rPr>
                    <w:t>中煤</w:t>
                  </w:r>
                </w:p>
              </w:tc>
              <w:tc>
                <w:tcPr>
                  <w:tcW w:w="563" w:type="pct"/>
                  <w:noWrap w:val="0"/>
                  <w:tcMar>
                    <w:top w:w="120" w:type="dxa"/>
                    <w:left w:w="120" w:type="dxa"/>
                    <w:bottom w:w="120" w:type="dxa"/>
                    <w:right w:w="120" w:type="dxa"/>
                  </w:tcMar>
                  <w:vAlign w:val="center"/>
                </w:tcPr>
                <w:p w14:paraId="1CD3FAAD">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lang w:val="en-US"/>
                    </w:rPr>
                  </w:pPr>
                  <w:r>
                    <w:rPr>
                      <w:rFonts w:hint="default" w:ascii="Times New Roman" w:hAnsi="Times New Roman" w:eastAsia="宋体" w:cs="Times New Roman"/>
                      <w:b w:val="0"/>
                      <w:bCs w:val="0"/>
                      <w:kern w:val="0"/>
                      <w:sz w:val="21"/>
                      <w:szCs w:val="21"/>
                      <w:lang w:val="en-US" w:eastAsia="zh-CN" w:bidi="ar"/>
                    </w:rPr>
                    <w:t>366</w:t>
                  </w:r>
                  <w:r>
                    <w:rPr>
                      <w:rFonts w:hint="default" w:ascii="Times New Roman" w:hAnsi="Times New Roman" w:cs="Times New Roman"/>
                      <w:b w:val="0"/>
                      <w:bCs w:val="0"/>
                      <w:kern w:val="0"/>
                      <w:sz w:val="21"/>
                      <w:szCs w:val="21"/>
                      <w:lang w:val="en-US" w:eastAsia="zh-CN" w:bidi="ar"/>
                    </w:rPr>
                    <w:t>00</w:t>
                  </w:r>
                </w:p>
              </w:tc>
              <w:tc>
                <w:tcPr>
                  <w:tcW w:w="481" w:type="pct"/>
                  <w:noWrap w:val="0"/>
                  <w:tcMar>
                    <w:top w:w="120" w:type="dxa"/>
                    <w:left w:w="120" w:type="dxa"/>
                    <w:bottom w:w="120" w:type="dxa"/>
                    <w:right w:w="120" w:type="dxa"/>
                  </w:tcMar>
                  <w:vAlign w:val="center"/>
                </w:tcPr>
                <w:p w14:paraId="653DDDD9">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rPr>
                  </w:pPr>
                  <w:r>
                    <w:rPr>
                      <w:rFonts w:hint="default" w:ascii="Times New Roman" w:hAnsi="Times New Roman" w:eastAsia="宋体" w:cs="Times New Roman"/>
                      <w:b w:val="0"/>
                      <w:bCs w:val="0"/>
                      <w:kern w:val="0"/>
                      <w:sz w:val="21"/>
                      <w:szCs w:val="21"/>
                      <w:lang w:val="en-US" w:eastAsia="zh-CN" w:bidi="ar"/>
                    </w:rPr>
                    <w:t>固体颗粒</w:t>
                  </w:r>
                </w:p>
              </w:tc>
              <w:tc>
                <w:tcPr>
                  <w:tcW w:w="571" w:type="pct"/>
                  <w:noWrap w:val="0"/>
                  <w:tcMar>
                    <w:top w:w="120" w:type="dxa"/>
                    <w:left w:w="120" w:type="dxa"/>
                    <w:bottom w:w="120" w:type="dxa"/>
                    <w:right w:w="120" w:type="dxa"/>
                  </w:tcMar>
                  <w:vAlign w:val="center"/>
                </w:tcPr>
                <w:p w14:paraId="704A91A0">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rPr>
                  </w:pPr>
                  <w:r>
                    <w:rPr>
                      <w:rFonts w:hint="default" w:ascii="Times New Roman" w:hAnsi="Times New Roman" w:cs="Times New Roman"/>
                      <w:b w:val="0"/>
                      <w:bCs w:val="0"/>
                      <w:kern w:val="0"/>
                      <w:sz w:val="21"/>
                      <w:szCs w:val="21"/>
                      <w:lang w:val="en-US" w:eastAsia="zh-CN" w:bidi="ar"/>
                    </w:rPr>
                    <w:t>19.00</w:t>
                  </w:r>
                  <w:r>
                    <w:rPr>
                      <w:rFonts w:hint="default" w:ascii="Times New Roman" w:hAnsi="Times New Roman" w:eastAsia="宋体" w:cs="Times New Roman"/>
                      <w:b w:val="0"/>
                      <w:bCs w:val="0"/>
                      <w:kern w:val="0"/>
                      <w:sz w:val="21"/>
                      <w:szCs w:val="21"/>
                      <w:lang w:val="en-US" w:eastAsia="zh-CN" w:bidi="ar"/>
                    </w:rPr>
                    <w:t>%</w:t>
                  </w:r>
                </w:p>
              </w:tc>
              <w:tc>
                <w:tcPr>
                  <w:tcW w:w="593" w:type="pct"/>
                  <w:noWrap w:val="0"/>
                  <w:tcMar>
                    <w:top w:w="120" w:type="dxa"/>
                    <w:left w:w="120" w:type="dxa"/>
                    <w:bottom w:w="120" w:type="dxa"/>
                    <w:right w:w="120" w:type="dxa"/>
                  </w:tcMar>
                  <w:vAlign w:val="center"/>
                </w:tcPr>
                <w:p w14:paraId="5D4B0897">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rPr>
                  </w:pPr>
                  <w:r>
                    <w:rPr>
                      <w:rFonts w:hint="default" w:ascii="Times New Roman" w:hAnsi="Times New Roman" w:eastAsia="宋体" w:cs="Times New Roman"/>
                      <w:b w:val="0"/>
                      <w:bCs w:val="0"/>
                      <w:kern w:val="0"/>
                      <w:sz w:val="21"/>
                      <w:szCs w:val="21"/>
                      <w:lang w:val="en-US" w:eastAsia="zh-CN" w:bidi="ar"/>
                    </w:rPr>
                    <w:t>13.01%</w:t>
                  </w:r>
                </w:p>
              </w:tc>
              <w:tc>
                <w:tcPr>
                  <w:tcW w:w="670" w:type="pct"/>
                  <w:noWrap w:val="0"/>
                  <w:tcMar>
                    <w:top w:w="120" w:type="dxa"/>
                    <w:left w:w="120" w:type="dxa"/>
                    <w:bottom w:w="120" w:type="dxa"/>
                    <w:right w:w="120" w:type="dxa"/>
                  </w:tcMar>
                  <w:vAlign w:val="center"/>
                </w:tcPr>
                <w:p w14:paraId="49E3BFF1">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lang w:val="en-US"/>
                    </w:rPr>
                  </w:pPr>
                  <w:r>
                    <w:rPr>
                      <w:rFonts w:hint="default" w:ascii="Times New Roman" w:hAnsi="Times New Roman" w:eastAsia="宋体" w:cs="Times New Roman"/>
                      <w:b w:val="0"/>
                      <w:bCs w:val="0"/>
                      <w:kern w:val="0"/>
                      <w:sz w:val="21"/>
                      <w:szCs w:val="21"/>
                      <w:lang w:val="en-US" w:eastAsia="zh-CN" w:bidi="ar"/>
                    </w:rPr>
                    <w:t>3857</w:t>
                  </w:r>
                </w:p>
              </w:tc>
              <w:tc>
                <w:tcPr>
                  <w:tcW w:w="1216" w:type="pct"/>
                  <w:noWrap w:val="0"/>
                  <w:tcMar>
                    <w:top w:w="120" w:type="dxa"/>
                    <w:left w:w="120" w:type="dxa"/>
                    <w:bottom w:w="120" w:type="dxa"/>
                    <w:right w:w="120" w:type="dxa"/>
                  </w:tcMar>
                  <w:vAlign w:val="center"/>
                </w:tcPr>
                <w:p w14:paraId="0A1FFB42">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rPr>
                  </w:pPr>
                  <w:r>
                    <w:rPr>
                      <w:rFonts w:hint="default" w:ascii="Times New Roman" w:hAnsi="Times New Roman" w:eastAsia="宋体" w:cs="Times New Roman"/>
                      <w:b w:val="0"/>
                      <w:bCs w:val="0"/>
                      <w:kern w:val="0"/>
                      <w:sz w:val="21"/>
                      <w:szCs w:val="21"/>
                      <w:lang w:val="en-US" w:eastAsia="zh-CN" w:bidi="ar"/>
                    </w:rPr>
                    <w:t>外售，配煤原料、动力煤</w:t>
                  </w:r>
                </w:p>
              </w:tc>
            </w:tr>
            <w:tr w14:paraId="14B3B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atLeast"/>
                <w:jc w:val="center"/>
              </w:trPr>
              <w:tc>
                <w:tcPr>
                  <w:tcW w:w="447" w:type="pct"/>
                  <w:noWrap w:val="0"/>
                  <w:tcMar>
                    <w:top w:w="120" w:type="dxa"/>
                    <w:left w:w="120" w:type="dxa"/>
                    <w:bottom w:w="120" w:type="dxa"/>
                    <w:right w:w="120" w:type="dxa"/>
                  </w:tcMar>
                  <w:vAlign w:val="center"/>
                </w:tcPr>
                <w:p w14:paraId="5CD00211">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rPr>
                  </w:pPr>
                  <w:r>
                    <w:rPr>
                      <w:rFonts w:hint="default" w:ascii="Times New Roman" w:hAnsi="Times New Roman" w:eastAsia="宋体" w:cs="Times New Roman"/>
                      <w:b w:val="0"/>
                      <w:bCs w:val="0"/>
                      <w:kern w:val="0"/>
                      <w:sz w:val="21"/>
                      <w:szCs w:val="21"/>
                      <w:lang w:val="en-US" w:eastAsia="zh-CN" w:bidi="ar"/>
                    </w:rPr>
                    <w:t>3</w:t>
                  </w:r>
                </w:p>
              </w:tc>
              <w:tc>
                <w:tcPr>
                  <w:tcW w:w="455" w:type="pct"/>
                  <w:noWrap w:val="0"/>
                  <w:tcMar>
                    <w:top w:w="120" w:type="dxa"/>
                    <w:left w:w="120" w:type="dxa"/>
                    <w:bottom w:w="120" w:type="dxa"/>
                    <w:right w:w="120" w:type="dxa"/>
                  </w:tcMar>
                  <w:vAlign w:val="center"/>
                </w:tcPr>
                <w:p w14:paraId="451FE89B">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rPr>
                  </w:pPr>
                  <w:r>
                    <w:rPr>
                      <w:rFonts w:hint="default" w:ascii="Times New Roman" w:hAnsi="Times New Roman" w:eastAsia="宋体" w:cs="Times New Roman"/>
                      <w:b w:val="0"/>
                      <w:bCs w:val="0"/>
                      <w:kern w:val="0"/>
                      <w:sz w:val="21"/>
                      <w:szCs w:val="21"/>
                      <w:lang w:val="en-US" w:eastAsia="zh-CN" w:bidi="ar"/>
                    </w:rPr>
                    <w:t>尾煤泥</w:t>
                  </w:r>
                </w:p>
              </w:tc>
              <w:tc>
                <w:tcPr>
                  <w:tcW w:w="563" w:type="pct"/>
                  <w:noWrap w:val="0"/>
                  <w:tcMar>
                    <w:top w:w="120" w:type="dxa"/>
                    <w:left w:w="120" w:type="dxa"/>
                    <w:bottom w:w="120" w:type="dxa"/>
                    <w:right w:w="120" w:type="dxa"/>
                  </w:tcMar>
                  <w:vAlign w:val="center"/>
                </w:tcPr>
                <w:p w14:paraId="078016A3">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lang w:val="en-US"/>
                    </w:rPr>
                  </w:pPr>
                  <w:r>
                    <w:rPr>
                      <w:rFonts w:hint="default" w:ascii="Times New Roman" w:hAnsi="Times New Roman" w:eastAsia="宋体" w:cs="Times New Roman"/>
                      <w:b w:val="0"/>
                      <w:bCs w:val="0"/>
                      <w:color w:val="auto"/>
                      <w:sz w:val="21"/>
                      <w:szCs w:val="21"/>
                      <w:highlight w:val="none"/>
                      <w:vertAlign w:val="baseline"/>
                      <w:lang w:val="en-US" w:eastAsia="zh-CN"/>
                    </w:rPr>
                    <w:t>220429.17</w:t>
                  </w:r>
                </w:p>
              </w:tc>
              <w:tc>
                <w:tcPr>
                  <w:tcW w:w="481" w:type="pct"/>
                  <w:noWrap w:val="0"/>
                  <w:tcMar>
                    <w:top w:w="120" w:type="dxa"/>
                    <w:left w:w="120" w:type="dxa"/>
                    <w:bottom w:w="120" w:type="dxa"/>
                    <w:right w:w="120" w:type="dxa"/>
                  </w:tcMar>
                  <w:vAlign w:val="center"/>
                </w:tcPr>
                <w:p w14:paraId="683533E5">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rPr>
                  </w:pPr>
                  <w:r>
                    <w:rPr>
                      <w:rFonts w:hint="default" w:ascii="Times New Roman" w:hAnsi="Times New Roman" w:eastAsia="宋体" w:cs="Times New Roman"/>
                      <w:b w:val="0"/>
                      <w:bCs w:val="0"/>
                      <w:kern w:val="0"/>
                      <w:sz w:val="21"/>
                      <w:szCs w:val="21"/>
                      <w:lang w:val="en-US" w:eastAsia="zh-CN" w:bidi="ar"/>
                    </w:rPr>
                    <w:t>湿煤泥</w:t>
                  </w:r>
                </w:p>
              </w:tc>
              <w:tc>
                <w:tcPr>
                  <w:tcW w:w="571" w:type="pct"/>
                  <w:noWrap w:val="0"/>
                  <w:tcMar>
                    <w:top w:w="120" w:type="dxa"/>
                    <w:left w:w="120" w:type="dxa"/>
                    <w:bottom w:w="120" w:type="dxa"/>
                    <w:right w:w="120" w:type="dxa"/>
                  </w:tcMar>
                  <w:vAlign w:val="center"/>
                </w:tcPr>
                <w:p w14:paraId="0D9E34ED">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rPr>
                  </w:pPr>
                  <w:r>
                    <w:rPr>
                      <w:rFonts w:hint="default" w:ascii="Times New Roman" w:hAnsi="Times New Roman" w:cs="Times New Roman"/>
                      <w:b w:val="0"/>
                      <w:bCs w:val="0"/>
                      <w:kern w:val="0"/>
                      <w:sz w:val="21"/>
                      <w:szCs w:val="21"/>
                      <w:lang w:val="en-US" w:eastAsia="zh-CN" w:bidi="ar"/>
                    </w:rPr>
                    <w:t>26.943</w:t>
                  </w:r>
                  <w:r>
                    <w:rPr>
                      <w:rFonts w:hint="default" w:ascii="Times New Roman" w:hAnsi="Times New Roman" w:eastAsia="宋体" w:cs="Times New Roman"/>
                      <w:b w:val="0"/>
                      <w:bCs w:val="0"/>
                      <w:kern w:val="0"/>
                      <w:sz w:val="21"/>
                      <w:szCs w:val="21"/>
                      <w:lang w:val="en-US" w:eastAsia="zh-CN" w:bidi="ar"/>
                    </w:rPr>
                    <w:t>%</w:t>
                  </w:r>
                </w:p>
              </w:tc>
              <w:tc>
                <w:tcPr>
                  <w:tcW w:w="593" w:type="pct"/>
                  <w:noWrap w:val="0"/>
                  <w:tcMar>
                    <w:top w:w="120" w:type="dxa"/>
                    <w:left w:w="120" w:type="dxa"/>
                    <w:bottom w:w="120" w:type="dxa"/>
                    <w:right w:w="120" w:type="dxa"/>
                  </w:tcMar>
                  <w:vAlign w:val="center"/>
                </w:tcPr>
                <w:p w14:paraId="64556D56">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rPr>
                  </w:pPr>
                  <w:r>
                    <w:rPr>
                      <w:rFonts w:hint="default" w:ascii="Times New Roman" w:hAnsi="Times New Roman" w:cs="Times New Roman"/>
                      <w:b w:val="0"/>
                      <w:bCs w:val="0"/>
                      <w:kern w:val="0"/>
                      <w:sz w:val="21"/>
                      <w:szCs w:val="21"/>
                      <w:lang w:val="en-US" w:eastAsia="zh-CN" w:bidi="ar"/>
                    </w:rPr>
                    <w:t>75.53</w:t>
                  </w:r>
                  <w:r>
                    <w:rPr>
                      <w:rFonts w:hint="default" w:ascii="Times New Roman" w:hAnsi="Times New Roman" w:eastAsia="宋体" w:cs="Times New Roman"/>
                      <w:b w:val="0"/>
                      <w:bCs w:val="0"/>
                      <w:kern w:val="0"/>
                      <w:sz w:val="21"/>
                      <w:szCs w:val="21"/>
                      <w:lang w:val="en-US" w:eastAsia="zh-CN" w:bidi="ar"/>
                    </w:rPr>
                    <w:t>%</w:t>
                  </w:r>
                </w:p>
              </w:tc>
              <w:tc>
                <w:tcPr>
                  <w:tcW w:w="670" w:type="pct"/>
                  <w:noWrap w:val="0"/>
                  <w:tcMar>
                    <w:top w:w="120" w:type="dxa"/>
                    <w:left w:w="120" w:type="dxa"/>
                    <w:bottom w:w="120" w:type="dxa"/>
                    <w:right w:w="120" w:type="dxa"/>
                  </w:tcMar>
                  <w:vAlign w:val="center"/>
                </w:tcPr>
                <w:p w14:paraId="67DF5C7A">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sz w:val="21"/>
                      <w:szCs w:val="21"/>
                      <w:lang w:val="en-US" w:eastAsia="zh-CN"/>
                    </w:rPr>
                  </w:pPr>
                  <w:r>
                    <w:rPr>
                      <w:rFonts w:hint="default" w:ascii="Times New Roman" w:hAnsi="Times New Roman" w:cs="Times New Roman"/>
                      <w:b w:val="0"/>
                      <w:bCs w:val="0"/>
                      <w:sz w:val="21"/>
                      <w:szCs w:val="21"/>
                      <w:lang w:val="en-US" w:eastAsia="zh-CN"/>
                    </w:rPr>
                    <w:t>121633</w:t>
                  </w:r>
                </w:p>
              </w:tc>
              <w:tc>
                <w:tcPr>
                  <w:tcW w:w="1216" w:type="pct"/>
                  <w:noWrap w:val="0"/>
                  <w:tcMar>
                    <w:top w:w="120" w:type="dxa"/>
                    <w:left w:w="120" w:type="dxa"/>
                    <w:bottom w:w="120" w:type="dxa"/>
                    <w:right w:w="120" w:type="dxa"/>
                  </w:tcMar>
                  <w:vAlign w:val="center"/>
                </w:tcPr>
                <w:p w14:paraId="3336B5B0">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rPr>
                  </w:pPr>
                  <w:r>
                    <w:rPr>
                      <w:rFonts w:hint="default" w:ascii="Times New Roman" w:hAnsi="Times New Roman" w:eastAsia="宋体" w:cs="Times New Roman"/>
                      <w:b w:val="0"/>
                      <w:bCs w:val="0"/>
                      <w:kern w:val="0"/>
                      <w:sz w:val="21"/>
                      <w:szCs w:val="21"/>
                      <w:lang w:val="en-US" w:eastAsia="zh-CN" w:bidi="ar"/>
                    </w:rPr>
                    <w:t>外售综合利用，砖厂掺烧、低端燃料</w:t>
                  </w:r>
                </w:p>
              </w:tc>
            </w:tr>
            <w:tr w14:paraId="6D4CB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atLeast"/>
                <w:jc w:val="center"/>
              </w:trPr>
              <w:tc>
                <w:tcPr>
                  <w:tcW w:w="447" w:type="pct"/>
                  <w:noWrap w:val="0"/>
                  <w:tcMar>
                    <w:top w:w="120" w:type="dxa"/>
                    <w:left w:w="120" w:type="dxa"/>
                    <w:bottom w:w="120" w:type="dxa"/>
                    <w:right w:w="120" w:type="dxa"/>
                  </w:tcMar>
                  <w:vAlign w:val="center"/>
                </w:tcPr>
                <w:p w14:paraId="5BDB651F">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rPr>
                  </w:pPr>
                  <w:r>
                    <w:rPr>
                      <w:rStyle w:val="28"/>
                      <w:rFonts w:hint="default" w:ascii="Times New Roman" w:hAnsi="Times New Roman" w:eastAsia="宋体" w:cs="Times New Roman"/>
                      <w:b w:val="0"/>
                      <w:bCs w:val="0"/>
                      <w:kern w:val="0"/>
                      <w:sz w:val="21"/>
                      <w:szCs w:val="21"/>
                      <w:lang w:val="en-US" w:eastAsia="zh-CN" w:bidi="ar"/>
                    </w:rPr>
                    <w:t>产出</w:t>
                  </w:r>
                </w:p>
              </w:tc>
              <w:tc>
                <w:tcPr>
                  <w:tcW w:w="455" w:type="pct"/>
                  <w:noWrap w:val="0"/>
                  <w:tcMar>
                    <w:top w:w="120" w:type="dxa"/>
                    <w:left w:w="120" w:type="dxa"/>
                    <w:bottom w:w="120" w:type="dxa"/>
                    <w:right w:w="120" w:type="dxa"/>
                  </w:tcMar>
                  <w:vAlign w:val="center"/>
                </w:tcPr>
                <w:p w14:paraId="78321A0C">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rPr>
                  </w:pPr>
                  <w:r>
                    <w:rPr>
                      <w:rFonts w:hint="default" w:ascii="Times New Roman" w:hAnsi="Times New Roman" w:eastAsia="宋体" w:cs="Times New Roman"/>
                      <w:b w:val="0"/>
                      <w:bCs w:val="0"/>
                      <w:kern w:val="0"/>
                      <w:sz w:val="21"/>
                      <w:szCs w:val="21"/>
                      <w:lang w:val="en-US" w:eastAsia="zh-CN" w:bidi="ar"/>
                    </w:rPr>
                    <w:t>—</w:t>
                  </w:r>
                </w:p>
              </w:tc>
              <w:tc>
                <w:tcPr>
                  <w:tcW w:w="563" w:type="pct"/>
                  <w:noWrap w:val="0"/>
                  <w:tcMar>
                    <w:top w:w="120" w:type="dxa"/>
                    <w:left w:w="120" w:type="dxa"/>
                    <w:bottom w:w="120" w:type="dxa"/>
                    <w:right w:w="120" w:type="dxa"/>
                  </w:tcMar>
                  <w:vAlign w:val="center"/>
                </w:tcPr>
                <w:p w14:paraId="642F01DE">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lang w:val="en-US"/>
                    </w:rPr>
                  </w:pPr>
                  <w:r>
                    <w:rPr>
                      <w:rFonts w:hint="default" w:ascii="Times New Roman" w:hAnsi="Times New Roman" w:eastAsia="宋体" w:cs="Times New Roman"/>
                      <w:b w:val="0"/>
                      <w:bCs w:val="0"/>
                      <w:kern w:val="0"/>
                      <w:sz w:val="21"/>
                      <w:szCs w:val="21"/>
                      <w:lang w:val="en-US" w:eastAsia="zh-CN" w:bidi="ar"/>
                    </w:rPr>
                    <w:t>—</w:t>
                  </w:r>
                </w:p>
              </w:tc>
              <w:tc>
                <w:tcPr>
                  <w:tcW w:w="481" w:type="pct"/>
                  <w:noWrap w:val="0"/>
                  <w:tcMar>
                    <w:top w:w="120" w:type="dxa"/>
                    <w:left w:w="120" w:type="dxa"/>
                    <w:bottom w:w="120" w:type="dxa"/>
                    <w:right w:w="120" w:type="dxa"/>
                  </w:tcMar>
                  <w:vAlign w:val="center"/>
                </w:tcPr>
                <w:p w14:paraId="3FC91CCC">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rPr>
                  </w:pPr>
                  <w:r>
                    <w:rPr>
                      <w:rFonts w:hint="default" w:ascii="Times New Roman" w:hAnsi="Times New Roman" w:eastAsia="宋体" w:cs="Times New Roman"/>
                      <w:b w:val="0"/>
                      <w:bCs w:val="0"/>
                      <w:kern w:val="0"/>
                      <w:sz w:val="21"/>
                      <w:szCs w:val="21"/>
                      <w:lang w:val="en-US" w:eastAsia="zh-CN" w:bidi="ar"/>
                    </w:rPr>
                    <w:t>—</w:t>
                  </w:r>
                </w:p>
              </w:tc>
              <w:tc>
                <w:tcPr>
                  <w:tcW w:w="571" w:type="pct"/>
                  <w:noWrap w:val="0"/>
                  <w:tcMar>
                    <w:top w:w="120" w:type="dxa"/>
                    <w:left w:w="120" w:type="dxa"/>
                    <w:bottom w:w="120" w:type="dxa"/>
                    <w:right w:w="120" w:type="dxa"/>
                  </w:tcMar>
                  <w:vAlign w:val="center"/>
                </w:tcPr>
                <w:p w14:paraId="7FAFECDD">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rPr>
                  </w:pPr>
                  <w:r>
                    <w:rPr>
                      <w:rFonts w:hint="default" w:ascii="Times New Roman" w:hAnsi="Times New Roman" w:eastAsia="宋体" w:cs="Times New Roman"/>
                      <w:b w:val="0"/>
                      <w:bCs w:val="0"/>
                      <w:kern w:val="0"/>
                      <w:sz w:val="21"/>
                      <w:szCs w:val="21"/>
                      <w:lang w:val="en-US" w:eastAsia="zh-CN" w:bidi="ar"/>
                    </w:rPr>
                    <w:t>—</w:t>
                  </w:r>
                </w:p>
              </w:tc>
              <w:tc>
                <w:tcPr>
                  <w:tcW w:w="593" w:type="pct"/>
                  <w:noWrap w:val="0"/>
                  <w:tcMar>
                    <w:top w:w="120" w:type="dxa"/>
                    <w:left w:w="120" w:type="dxa"/>
                    <w:bottom w:w="120" w:type="dxa"/>
                    <w:right w:w="120" w:type="dxa"/>
                  </w:tcMar>
                  <w:vAlign w:val="center"/>
                </w:tcPr>
                <w:p w14:paraId="34849553">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rPr>
                  </w:pPr>
                  <w:r>
                    <w:rPr>
                      <w:rFonts w:hint="default" w:ascii="Times New Roman" w:hAnsi="Times New Roman" w:eastAsia="宋体" w:cs="Times New Roman"/>
                      <w:b w:val="0"/>
                      <w:bCs w:val="0"/>
                      <w:kern w:val="0"/>
                      <w:sz w:val="21"/>
                      <w:szCs w:val="21"/>
                      <w:lang w:val="en-US" w:eastAsia="zh-CN" w:bidi="ar"/>
                    </w:rPr>
                    <w:t>—</w:t>
                  </w:r>
                </w:p>
              </w:tc>
              <w:tc>
                <w:tcPr>
                  <w:tcW w:w="670" w:type="pct"/>
                  <w:noWrap w:val="0"/>
                  <w:tcMar>
                    <w:top w:w="120" w:type="dxa"/>
                    <w:left w:w="120" w:type="dxa"/>
                    <w:bottom w:w="120" w:type="dxa"/>
                    <w:right w:w="120" w:type="dxa"/>
                  </w:tcMar>
                  <w:vAlign w:val="center"/>
                </w:tcPr>
                <w:p w14:paraId="792DD814">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lang w:val="en-US"/>
                    </w:rPr>
                  </w:pPr>
                  <w:r>
                    <w:rPr>
                      <w:rFonts w:hint="default" w:ascii="Times New Roman" w:hAnsi="Times New Roman" w:cs="Times New Roman"/>
                      <w:b w:val="0"/>
                      <w:bCs w:val="0"/>
                      <w:sz w:val="21"/>
                      <w:szCs w:val="21"/>
                      <w:lang w:val="en-US" w:eastAsia="zh-CN"/>
                    </w:rPr>
                    <w:t>130229</w:t>
                  </w:r>
                </w:p>
              </w:tc>
              <w:tc>
                <w:tcPr>
                  <w:tcW w:w="1216" w:type="pct"/>
                  <w:noWrap w:val="0"/>
                  <w:tcMar>
                    <w:top w:w="120" w:type="dxa"/>
                    <w:left w:w="120" w:type="dxa"/>
                    <w:bottom w:w="120" w:type="dxa"/>
                    <w:right w:w="120" w:type="dxa"/>
                  </w:tcMar>
                  <w:vAlign w:val="center"/>
                </w:tcPr>
                <w:p w14:paraId="399044F5">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rPr>
                  </w:pPr>
                  <w:r>
                    <w:rPr>
                      <w:rFonts w:hint="default" w:ascii="Times New Roman" w:hAnsi="Times New Roman" w:eastAsia="宋体" w:cs="Times New Roman"/>
                      <w:b w:val="0"/>
                      <w:bCs w:val="0"/>
                      <w:kern w:val="0"/>
                      <w:sz w:val="21"/>
                      <w:szCs w:val="21"/>
                      <w:lang w:val="en-US" w:eastAsia="zh-CN" w:bidi="ar"/>
                    </w:rPr>
                    <w:t>—</w:t>
                  </w:r>
                </w:p>
              </w:tc>
            </w:tr>
          </w:tbl>
          <w:p w14:paraId="56E7D69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cs="Times New Roman"/>
                <w:b/>
                <w:bCs/>
                <w:kern w:val="2"/>
                <w:sz w:val="21"/>
                <w:szCs w:val="21"/>
                <w:lang w:val="en-US" w:eastAsia="zh-CN" w:bidi="ar-SA"/>
              </w:rPr>
            </w:pPr>
            <w:r>
              <w:rPr>
                <w:rFonts w:hint="default" w:ascii="Times New Roman" w:hAnsi="Times New Roman" w:eastAsia="宋体" w:cs="Times New Roman"/>
                <w:b/>
                <w:bCs/>
                <w:color w:val="auto"/>
                <w:sz w:val="21"/>
                <w:szCs w:val="21"/>
                <w:lang w:val="en-US" w:eastAsia="zh-CN"/>
              </w:rPr>
              <w:t>备注：</w:t>
            </w:r>
            <w:r>
              <w:rPr>
                <w:rFonts w:hint="eastAsia" w:ascii="Times New Roman" w:hAnsi="Times New Roman" w:eastAsia="宋体" w:cs="Times New Roman"/>
                <w:b/>
                <w:bCs/>
                <w:color w:val="auto"/>
                <w:sz w:val="21"/>
                <w:szCs w:val="21"/>
                <w:lang w:val="en-US" w:eastAsia="zh-CN"/>
              </w:rPr>
              <w:t>本次灰分平衡只核算主要产出项目，</w:t>
            </w:r>
            <w:r>
              <w:rPr>
                <w:rFonts w:hint="default" w:ascii="Times New Roman" w:hAnsi="Times New Roman" w:eastAsia="宋体" w:cs="Times New Roman"/>
                <w:b/>
                <w:bCs/>
                <w:color w:val="auto"/>
                <w:sz w:val="21"/>
                <w:szCs w:val="21"/>
                <w:lang w:val="en-US" w:eastAsia="zh-CN"/>
              </w:rPr>
              <w:t>循环水池底泥为系统内部循环物料</w:t>
            </w:r>
            <w:r>
              <w:rPr>
                <w:rFonts w:hint="eastAsia" w:ascii="Times New Roman" w:hAnsi="Times New Roman" w:eastAsia="宋体" w:cs="Times New Roman"/>
                <w:b/>
                <w:bCs/>
                <w:color w:val="auto"/>
                <w:sz w:val="21"/>
                <w:szCs w:val="21"/>
                <w:lang w:val="en-US" w:eastAsia="zh-CN"/>
              </w:rPr>
              <w:t>，</w:t>
            </w:r>
            <w:r>
              <w:rPr>
                <w:rFonts w:hint="default" w:ascii="Times New Roman" w:hAnsi="Times New Roman" w:eastAsia="宋体" w:cs="Times New Roman"/>
                <w:b/>
                <w:bCs/>
                <w:color w:val="auto"/>
                <w:sz w:val="21"/>
                <w:szCs w:val="21"/>
                <w:lang w:val="en-US" w:eastAsia="zh-CN"/>
              </w:rPr>
              <w:t>无组织粉尘在废气部分核算源强，</w:t>
            </w:r>
            <w:r>
              <w:rPr>
                <w:rFonts w:hint="eastAsia" w:cs="Times New Roman"/>
                <w:b/>
                <w:bCs/>
                <w:color w:val="auto"/>
                <w:sz w:val="21"/>
                <w:szCs w:val="21"/>
                <w:lang w:val="en-US" w:eastAsia="zh-CN"/>
              </w:rPr>
              <w:t>二</w:t>
            </w:r>
            <w:r>
              <w:rPr>
                <w:rFonts w:hint="default" w:ascii="Times New Roman" w:hAnsi="Times New Roman" w:eastAsia="宋体" w:cs="Times New Roman"/>
                <w:b/>
                <w:bCs/>
                <w:color w:val="auto"/>
                <w:sz w:val="21"/>
                <w:szCs w:val="21"/>
                <w:lang w:val="en-US" w:eastAsia="zh-CN"/>
              </w:rPr>
              <w:t>者均不纳入本</w:t>
            </w:r>
            <w:r>
              <w:rPr>
                <w:rFonts w:hint="eastAsia" w:cs="Times New Roman"/>
                <w:b/>
                <w:bCs/>
                <w:color w:val="auto"/>
                <w:sz w:val="21"/>
                <w:szCs w:val="21"/>
                <w:lang w:val="en-US" w:eastAsia="zh-CN"/>
              </w:rPr>
              <w:t>次</w:t>
            </w:r>
            <w:r>
              <w:rPr>
                <w:rFonts w:hint="default" w:ascii="Times New Roman" w:hAnsi="Times New Roman" w:eastAsia="宋体" w:cs="Times New Roman"/>
                <w:b/>
                <w:bCs/>
                <w:color w:val="auto"/>
                <w:sz w:val="21"/>
                <w:szCs w:val="21"/>
                <w:lang w:val="en-US" w:eastAsia="zh-CN"/>
              </w:rPr>
              <w:t>灰分平衡表投入产出衡算。</w:t>
            </w:r>
          </w:p>
          <w:p w14:paraId="712463E4">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cs="Times New Roman"/>
                <w:bCs/>
                <w:sz w:val="24"/>
                <w:szCs w:val="24"/>
                <w:lang w:val="en-US" w:eastAsia="zh-CN"/>
              </w:rPr>
            </w:pPr>
            <w:r>
              <w:rPr>
                <w:rFonts w:hint="default" w:ascii="Times New Roman" w:hAnsi="Times New Roman" w:cs="Times New Roman"/>
                <w:bCs/>
                <w:kern w:val="2"/>
                <w:sz w:val="24"/>
                <w:szCs w:val="24"/>
                <w:lang w:val="en-US" w:eastAsia="zh-CN" w:bidi="ar-SA"/>
              </w:rPr>
              <w:t>4、</w:t>
            </w:r>
            <w:r>
              <w:rPr>
                <w:rFonts w:hint="default" w:ascii="Times New Roman" w:hAnsi="Times New Roman" w:cs="Times New Roman"/>
                <w:bCs/>
                <w:sz w:val="24"/>
                <w:szCs w:val="24"/>
                <w:lang w:val="en-US" w:eastAsia="zh-CN"/>
              </w:rPr>
              <w:t>主要设备</w:t>
            </w:r>
          </w:p>
          <w:p w14:paraId="20022CFC">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cs="Times New Roman"/>
                <w:bCs/>
                <w:sz w:val="24"/>
                <w:szCs w:val="24"/>
                <w:lang w:val="en-US" w:eastAsia="zh-CN"/>
              </w:rPr>
            </w:pPr>
            <w:r>
              <w:rPr>
                <w:rFonts w:hint="default" w:ascii="Times New Roman" w:hAnsi="Times New Roman" w:cs="Times New Roman"/>
                <w:bCs/>
                <w:sz w:val="24"/>
                <w:szCs w:val="24"/>
                <w:lang w:val="en-US" w:eastAsia="zh-CN"/>
              </w:rPr>
              <w:t>本项目主要设备清单见表2-</w:t>
            </w:r>
            <w:r>
              <w:rPr>
                <w:rFonts w:hint="eastAsia" w:cs="Times New Roman"/>
                <w:bCs/>
                <w:sz w:val="24"/>
                <w:szCs w:val="24"/>
                <w:lang w:val="en-US" w:eastAsia="zh-CN"/>
              </w:rPr>
              <w:t>5</w:t>
            </w:r>
            <w:r>
              <w:rPr>
                <w:rFonts w:hint="default" w:ascii="Times New Roman" w:hAnsi="Times New Roman" w:cs="Times New Roman"/>
                <w:bCs/>
                <w:sz w:val="24"/>
                <w:szCs w:val="24"/>
                <w:lang w:val="en-US" w:eastAsia="zh-CN"/>
              </w:rPr>
              <w:t>。</w:t>
            </w:r>
          </w:p>
          <w:p w14:paraId="1E4866D4">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jc w:val="center"/>
              <w:textAlignment w:val="auto"/>
              <w:rPr>
                <w:rFonts w:hint="default" w:ascii="Times New Roman" w:hAnsi="Times New Roman" w:cs="Times New Roman"/>
                <w:b/>
                <w:bCs w:val="0"/>
                <w:sz w:val="21"/>
                <w:szCs w:val="21"/>
                <w:lang w:val="en-US" w:eastAsia="zh-CN"/>
              </w:rPr>
            </w:pPr>
            <w:r>
              <w:rPr>
                <w:rFonts w:hint="default" w:ascii="Times New Roman" w:hAnsi="Times New Roman" w:cs="Times New Roman"/>
                <w:b/>
                <w:bCs w:val="0"/>
                <w:sz w:val="21"/>
                <w:szCs w:val="21"/>
                <w:lang w:val="en-US" w:eastAsia="zh-CN"/>
              </w:rPr>
              <w:t>表2-</w:t>
            </w:r>
            <w:r>
              <w:rPr>
                <w:rFonts w:hint="eastAsia" w:cs="Times New Roman"/>
                <w:b/>
                <w:bCs w:val="0"/>
                <w:sz w:val="21"/>
                <w:szCs w:val="21"/>
                <w:lang w:val="en-US" w:eastAsia="zh-CN"/>
              </w:rPr>
              <w:t>5</w:t>
            </w:r>
            <w:r>
              <w:rPr>
                <w:rFonts w:hint="default" w:ascii="Times New Roman" w:hAnsi="Times New Roman" w:cs="Times New Roman"/>
                <w:b/>
                <w:bCs w:val="0"/>
                <w:sz w:val="21"/>
                <w:szCs w:val="21"/>
                <w:lang w:val="en-US" w:eastAsia="zh-CN"/>
              </w:rPr>
              <w:t xml:space="preserve"> 主要设备清单</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1649"/>
              <w:gridCol w:w="1776"/>
              <w:gridCol w:w="735"/>
              <w:gridCol w:w="713"/>
              <w:gridCol w:w="2379"/>
            </w:tblGrid>
            <w:tr w14:paraId="37C49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6"/>
                  <w:noWrap w:val="0"/>
                  <w:vAlign w:val="center"/>
                </w:tcPr>
                <w:p w14:paraId="5ABA28D1">
                  <w:pPr>
                    <w:keepNext w:val="0"/>
                    <w:keepLines w:val="0"/>
                    <w:pageBreakBefore w:val="0"/>
                    <w:widowControl/>
                    <w:suppressLineNumbers w:val="0"/>
                    <w:kinsoku/>
                    <w:wordWrap/>
                    <w:overflowPunct/>
                    <w:topLinePunct w:val="0"/>
                    <w:autoSpaceDE/>
                    <w:autoSpaceDN/>
                    <w:bidi w:val="0"/>
                    <w:adjustRightInd/>
                    <w:snapToGrid/>
                    <w:ind w:firstLineChars="0"/>
                    <w:jc w:val="center"/>
                    <w:textAlignment w:val="top"/>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（一）煤泥稀释处理系统</w:t>
                  </w:r>
                </w:p>
              </w:tc>
            </w:tr>
            <w:tr w14:paraId="3F009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pct"/>
                  <w:vMerge w:val="restart"/>
                  <w:noWrap w:val="0"/>
                  <w:vAlign w:val="center"/>
                </w:tcPr>
                <w:p w14:paraId="005757C1">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序号</w:t>
                  </w:r>
                </w:p>
              </w:tc>
              <w:tc>
                <w:tcPr>
                  <w:tcW w:w="1039" w:type="pct"/>
                  <w:vMerge w:val="restart"/>
                  <w:noWrap w:val="0"/>
                  <w:vAlign w:val="center"/>
                </w:tcPr>
                <w:p w14:paraId="47113E7B">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名称</w:t>
                  </w:r>
                </w:p>
              </w:tc>
              <w:tc>
                <w:tcPr>
                  <w:tcW w:w="1119" w:type="pct"/>
                  <w:vMerge w:val="restart"/>
                  <w:noWrap w:val="0"/>
                  <w:vAlign w:val="center"/>
                </w:tcPr>
                <w:p w14:paraId="5EEBDA76">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型号</w:t>
                  </w:r>
                </w:p>
              </w:tc>
              <w:tc>
                <w:tcPr>
                  <w:tcW w:w="463" w:type="pct"/>
                  <w:vMerge w:val="restart"/>
                  <w:noWrap w:val="0"/>
                  <w:vAlign w:val="center"/>
                </w:tcPr>
                <w:p w14:paraId="50A08F8B">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单位</w:t>
                  </w:r>
                </w:p>
              </w:tc>
              <w:tc>
                <w:tcPr>
                  <w:tcW w:w="449" w:type="pct"/>
                  <w:vMerge w:val="restart"/>
                  <w:noWrap w:val="0"/>
                  <w:vAlign w:val="center"/>
                </w:tcPr>
                <w:p w14:paraId="6FE4625A">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数量</w:t>
                  </w:r>
                </w:p>
              </w:tc>
              <w:tc>
                <w:tcPr>
                  <w:tcW w:w="1497" w:type="pct"/>
                  <w:vMerge w:val="restart"/>
                  <w:noWrap w:val="0"/>
                  <w:vAlign w:val="center"/>
                </w:tcPr>
                <w:p w14:paraId="7F64E66D">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备注</w:t>
                  </w:r>
                </w:p>
              </w:tc>
            </w:tr>
            <w:tr w14:paraId="73CAE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31" w:type="pct"/>
                  <w:vMerge w:val="continue"/>
                  <w:noWrap w:val="0"/>
                  <w:vAlign w:val="center"/>
                </w:tcPr>
                <w:p w14:paraId="01D14B6F">
                  <w:pPr>
                    <w:keepNext w:val="0"/>
                    <w:keepLines w:val="0"/>
                    <w:pageBreakBefore w:val="0"/>
                    <w:widowControl/>
                    <w:kinsoku/>
                    <w:wordWrap/>
                    <w:overflowPunct/>
                    <w:topLinePunct w:val="0"/>
                    <w:autoSpaceDE/>
                    <w:autoSpaceDN/>
                    <w:bidi w:val="0"/>
                    <w:adjustRightInd/>
                    <w:snapToGrid/>
                    <w:ind w:firstLineChars="0"/>
                    <w:jc w:val="center"/>
                    <w:rPr>
                      <w:rFonts w:hint="default" w:ascii="Times New Roman" w:hAnsi="Times New Roman" w:eastAsia="宋体" w:cs="Times New Roman"/>
                      <w:b w:val="0"/>
                      <w:bCs w:val="0"/>
                      <w:i w:val="0"/>
                      <w:iCs w:val="0"/>
                      <w:color w:val="000000"/>
                      <w:sz w:val="21"/>
                      <w:szCs w:val="21"/>
                      <w:u w:val="none"/>
                    </w:rPr>
                  </w:pPr>
                </w:p>
              </w:tc>
              <w:tc>
                <w:tcPr>
                  <w:tcW w:w="1039" w:type="pct"/>
                  <w:vMerge w:val="continue"/>
                  <w:noWrap w:val="0"/>
                  <w:vAlign w:val="center"/>
                </w:tcPr>
                <w:p w14:paraId="05826760">
                  <w:pPr>
                    <w:keepNext w:val="0"/>
                    <w:keepLines w:val="0"/>
                    <w:pageBreakBefore w:val="0"/>
                    <w:widowControl/>
                    <w:kinsoku/>
                    <w:wordWrap/>
                    <w:overflowPunct/>
                    <w:topLinePunct w:val="0"/>
                    <w:autoSpaceDE/>
                    <w:autoSpaceDN/>
                    <w:bidi w:val="0"/>
                    <w:adjustRightInd/>
                    <w:snapToGrid/>
                    <w:ind w:firstLineChars="0"/>
                    <w:jc w:val="center"/>
                    <w:rPr>
                      <w:rFonts w:hint="default" w:ascii="Times New Roman" w:hAnsi="Times New Roman" w:eastAsia="宋体" w:cs="Times New Roman"/>
                      <w:b w:val="0"/>
                      <w:bCs w:val="0"/>
                      <w:i w:val="0"/>
                      <w:iCs w:val="0"/>
                      <w:color w:val="000000"/>
                      <w:sz w:val="21"/>
                      <w:szCs w:val="21"/>
                      <w:u w:val="none"/>
                    </w:rPr>
                  </w:pPr>
                </w:p>
              </w:tc>
              <w:tc>
                <w:tcPr>
                  <w:tcW w:w="1119" w:type="pct"/>
                  <w:vMerge w:val="continue"/>
                  <w:noWrap w:val="0"/>
                  <w:vAlign w:val="center"/>
                </w:tcPr>
                <w:p w14:paraId="26378DC9">
                  <w:pPr>
                    <w:keepNext w:val="0"/>
                    <w:keepLines w:val="0"/>
                    <w:pageBreakBefore w:val="0"/>
                    <w:widowControl/>
                    <w:kinsoku/>
                    <w:wordWrap/>
                    <w:overflowPunct/>
                    <w:topLinePunct w:val="0"/>
                    <w:autoSpaceDE/>
                    <w:autoSpaceDN/>
                    <w:bidi w:val="0"/>
                    <w:adjustRightInd/>
                    <w:snapToGrid/>
                    <w:ind w:firstLineChars="0"/>
                    <w:jc w:val="center"/>
                    <w:rPr>
                      <w:rFonts w:hint="default" w:ascii="Times New Roman" w:hAnsi="Times New Roman" w:eastAsia="宋体" w:cs="Times New Roman"/>
                      <w:b w:val="0"/>
                      <w:bCs w:val="0"/>
                      <w:i w:val="0"/>
                      <w:iCs w:val="0"/>
                      <w:color w:val="000000"/>
                      <w:sz w:val="21"/>
                      <w:szCs w:val="21"/>
                      <w:u w:val="none"/>
                    </w:rPr>
                  </w:pPr>
                </w:p>
              </w:tc>
              <w:tc>
                <w:tcPr>
                  <w:tcW w:w="463" w:type="pct"/>
                  <w:vMerge w:val="continue"/>
                  <w:noWrap w:val="0"/>
                  <w:vAlign w:val="center"/>
                </w:tcPr>
                <w:p w14:paraId="280FA327">
                  <w:pPr>
                    <w:keepNext w:val="0"/>
                    <w:keepLines w:val="0"/>
                    <w:pageBreakBefore w:val="0"/>
                    <w:widowControl/>
                    <w:kinsoku/>
                    <w:wordWrap/>
                    <w:overflowPunct/>
                    <w:topLinePunct w:val="0"/>
                    <w:autoSpaceDE/>
                    <w:autoSpaceDN/>
                    <w:bidi w:val="0"/>
                    <w:adjustRightInd/>
                    <w:snapToGrid/>
                    <w:ind w:firstLineChars="0"/>
                    <w:jc w:val="center"/>
                    <w:rPr>
                      <w:rFonts w:hint="default" w:ascii="Times New Roman" w:hAnsi="Times New Roman" w:eastAsia="宋体" w:cs="Times New Roman"/>
                      <w:b w:val="0"/>
                      <w:bCs w:val="0"/>
                      <w:i w:val="0"/>
                      <w:iCs w:val="0"/>
                      <w:color w:val="000000"/>
                      <w:sz w:val="21"/>
                      <w:szCs w:val="21"/>
                      <w:u w:val="none"/>
                    </w:rPr>
                  </w:pPr>
                </w:p>
              </w:tc>
              <w:tc>
                <w:tcPr>
                  <w:tcW w:w="449" w:type="pct"/>
                  <w:vMerge w:val="continue"/>
                  <w:noWrap w:val="0"/>
                  <w:vAlign w:val="center"/>
                </w:tcPr>
                <w:p w14:paraId="691B2C9C">
                  <w:pPr>
                    <w:keepNext w:val="0"/>
                    <w:keepLines w:val="0"/>
                    <w:pageBreakBefore w:val="0"/>
                    <w:widowControl/>
                    <w:kinsoku/>
                    <w:wordWrap/>
                    <w:overflowPunct/>
                    <w:topLinePunct w:val="0"/>
                    <w:autoSpaceDE/>
                    <w:autoSpaceDN/>
                    <w:bidi w:val="0"/>
                    <w:adjustRightInd/>
                    <w:snapToGrid/>
                    <w:ind w:firstLineChars="0"/>
                    <w:jc w:val="center"/>
                    <w:rPr>
                      <w:rFonts w:hint="default" w:ascii="Times New Roman" w:hAnsi="Times New Roman" w:eastAsia="宋体" w:cs="Times New Roman"/>
                      <w:b w:val="0"/>
                      <w:bCs w:val="0"/>
                      <w:i w:val="0"/>
                      <w:iCs w:val="0"/>
                      <w:color w:val="000000"/>
                      <w:sz w:val="21"/>
                      <w:szCs w:val="21"/>
                      <w:u w:val="none"/>
                    </w:rPr>
                  </w:pPr>
                </w:p>
              </w:tc>
              <w:tc>
                <w:tcPr>
                  <w:tcW w:w="1497" w:type="pct"/>
                  <w:vMerge w:val="continue"/>
                  <w:noWrap w:val="0"/>
                  <w:vAlign w:val="center"/>
                </w:tcPr>
                <w:p w14:paraId="188B21AA">
                  <w:pPr>
                    <w:keepNext w:val="0"/>
                    <w:keepLines w:val="0"/>
                    <w:pageBreakBefore w:val="0"/>
                    <w:widowControl/>
                    <w:kinsoku/>
                    <w:wordWrap/>
                    <w:overflowPunct/>
                    <w:topLinePunct w:val="0"/>
                    <w:autoSpaceDE/>
                    <w:autoSpaceDN/>
                    <w:bidi w:val="0"/>
                    <w:adjustRightInd/>
                    <w:snapToGrid/>
                    <w:ind w:firstLineChars="0"/>
                    <w:jc w:val="center"/>
                    <w:rPr>
                      <w:rFonts w:hint="default" w:ascii="Times New Roman" w:hAnsi="Times New Roman" w:eastAsia="宋体" w:cs="Times New Roman"/>
                      <w:b w:val="0"/>
                      <w:bCs w:val="0"/>
                      <w:i w:val="0"/>
                      <w:iCs w:val="0"/>
                      <w:color w:val="000000"/>
                      <w:sz w:val="21"/>
                      <w:szCs w:val="21"/>
                      <w:u w:val="none"/>
                    </w:rPr>
                  </w:pPr>
                </w:p>
              </w:tc>
            </w:tr>
            <w:tr w14:paraId="720E9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pct"/>
                  <w:noWrap w:val="0"/>
                  <w:vAlign w:val="center"/>
                </w:tcPr>
                <w:p w14:paraId="7494D8A8">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c>
                <w:tcPr>
                  <w:tcW w:w="1039" w:type="pct"/>
                  <w:noWrap w:val="0"/>
                  <w:vAlign w:val="center"/>
                </w:tcPr>
                <w:p w14:paraId="2DF25A06">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自动打浆水枪</w:t>
                  </w:r>
                </w:p>
              </w:tc>
              <w:tc>
                <w:tcPr>
                  <w:tcW w:w="1119" w:type="pct"/>
                  <w:noWrap w:val="0"/>
                  <w:vAlign w:val="center"/>
                </w:tcPr>
                <w:p w14:paraId="624E0627">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ZDJ-2930N=1.5kw</w:t>
                  </w:r>
                </w:p>
              </w:tc>
              <w:tc>
                <w:tcPr>
                  <w:tcW w:w="463" w:type="pct"/>
                  <w:noWrap w:val="0"/>
                  <w:vAlign w:val="center"/>
                </w:tcPr>
                <w:p w14:paraId="6E90FB77">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台</w:t>
                  </w:r>
                </w:p>
              </w:tc>
              <w:tc>
                <w:tcPr>
                  <w:tcW w:w="449" w:type="pct"/>
                  <w:noWrap w:val="0"/>
                  <w:vAlign w:val="center"/>
                </w:tcPr>
                <w:p w14:paraId="2D14946B">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3</w:t>
                  </w:r>
                </w:p>
              </w:tc>
              <w:tc>
                <w:tcPr>
                  <w:tcW w:w="1497" w:type="pct"/>
                  <w:noWrap w:val="0"/>
                  <w:vAlign w:val="center"/>
                </w:tcPr>
                <w:p w14:paraId="0F29AAE1">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处理量：10-25t/h，3枪口。</w:t>
                  </w:r>
                </w:p>
              </w:tc>
            </w:tr>
            <w:tr w14:paraId="576A4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pct"/>
                  <w:noWrap w:val="0"/>
                  <w:vAlign w:val="center"/>
                </w:tcPr>
                <w:p w14:paraId="047E010F">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2</w:t>
                  </w:r>
                </w:p>
              </w:tc>
              <w:tc>
                <w:tcPr>
                  <w:tcW w:w="1039" w:type="pct"/>
                  <w:noWrap w:val="0"/>
                  <w:vAlign w:val="center"/>
                </w:tcPr>
                <w:p w14:paraId="28CEC74C">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手动水炮</w:t>
                  </w:r>
                </w:p>
              </w:tc>
              <w:tc>
                <w:tcPr>
                  <w:tcW w:w="1119" w:type="pct"/>
                  <w:noWrap w:val="0"/>
                  <w:vAlign w:val="center"/>
                </w:tcPr>
                <w:p w14:paraId="3CC90BCF">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PS8/50W-D-SX</w:t>
                  </w:r>
                </w:p>
              </w:tc>
              <w:tc>
                <w:tcPr>
                  <w:tcW w:w="463" w:type="pct"/>
                  <w:noWrap w:val="0"/>
                  <w:vAlign w:val="center"/>
                </w:tcPr>
                <w:p w14:paraId="030CB09E">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台</w:t>
                  </w:r>
                </w:p>
              </w:tc>
              <w:tc>
                <w:tcPr>
                  <w:tcW w:w="449" w:type="pct"/>
                  <w:noWrap w:val="0"/>
                  <w:vAlign w:val="center"/>
                </w:tcPr>
                <w:p w14:paraId="586F0826">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c>
                <w:tcPr>
                  <w:tcW w:w="1497" w:type="pct"/>
                  <w:noWrap w:val="0"/>
                  <w:vAlign w:val="center"/>
                </w:tcPr>
                <w:p w14:paraId="4C5E60B6">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0.8MPa，30-50L/S，2.5NH可调节</w:t>
                  </w:r>
                </w:p>
              </w:tc>
            </w:tr>
            <w:tr w14:paraId="41DF2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pct"/>
                  <w:noWrap w:val="0"/>
                  <w:vAlign w:val="center"/>
                </w:tcPr>
                <w:p w14:paraId="29762990">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3</w:t>
                  </w:r>
                </w:p>
              </w:tc>
              <w:tc>
                <w:tcPr>
                  <w:tcW w:w="1039" w:type="pct"/>
                  <w:noWrap w:val="0"/>
                  <w:vAlign w:val="center"/>
                </w:tcPr>
                <w:p w14:paraId="5B8FD009">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离心清水泵</w:t>
                  </w:r>
                </w:p>
              </w:tc>
              <w:tc>
                <w:tcPr>
                  <w:tcW w:w="1119" w:type="pct"/>
                  <w:noWrap w:val="0"/>
                  <w:vAlign w:val="center"/>
                </w:tcPr>
                <w:p w14:paraId="51BE782D">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ISW200-400IA</w:t>
                  </w:r>
                </w:p>
              </w:tc>
              <w:tc>
                <w:tcPr>
                  <w:tcW w:w="463" w:type="pct"/>
                  <w:noWrap w:val="0"/>
                  <w:vAlign w:val="center"/>
                </w:tcPr>
                <w:p w14:paraId="6F4EE887">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台</w:t>
                  </w:r>
                </w:p>
              </w:tc>
              <w:tc>
                <w:tcPr>
                  <w:tcW w:w="449" w:type="pct"/>
                  <w:noWrap w:val="0"/>
                  <w:vAlign w:val="center"/>
                </w:tcPr>
                <w:p w14:paraId="0B3A2112">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c>
                <w:tcPr>
                  <w:tcW w:w="1497" w:type="pct"/>
                  <w:noWrap w:val="0"/>
                  <w:vAlign w:val="center"/>
                </w:tcPr>
                <w:p w14:paraId="67BA998F">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Q=300m</w:t>
                  </w:r>
                  <w:r>
                    <w:rPr>
                      <w:rFonts w:hint="default" w:ascii="Times New Roman" w:hAnsi="Times New Roman" w:eastAsia="宋体" w:cs="Times New Roman"/>
                      <w:b w:val="0"/>
                      <w:bCs w:val="0"/>
                      <w:i w:val="0"/>
                      <w:iCs w:val="0"/>
                      <w:color w:val="000000"/>
                      <w:kern w:val="0"/>
                      <w:sz w:val="21"/>
                      <w:szCs w:val="21"/>
                      <w:u w:val="none"/>
                      <w:vertAlign w:val="superscript"/>
                      <w:lang w:val="en-US" w:eastAsia="zh-CN" w:bidi="ar"/>
                    </w:rPr>
                    <w:t>3</w:t>
                  </w:r>
                  <w:r>
                    <w:rPr>
                      <w:rFonts w:hint="default" w:ascii="Times New Roman" w:hAnsi="Times New Roman" w:eastAsia="宋体" w:cs="Times New Roman"/>
                      <w:b w:val="0"/>
                      <w:bCs w:val="0"/>
                      <w:i w:val="0"/>
                      <w:iCs w:val="0"/>
                      <w:color w:val="000000"/>
                      <w:kern w:val="0"/>
                      <w:sz w:val="21"/>
                      <w:szCs w:val="21"/>
                      <w:u w:val="none"/>
                      <w:vertAlign w:val="baseline"/>
                      <w:lang w:val="en-US" w:eastAsia="zh-CN" w:bidi="ar"/>
                    </w:rPr>
                    <w:t>，</w:t>
                  </w:r>
                  <w:r>
                    <w:rPr>
                      <w:rFonts w:hint="default" w:ascii="Times New Roman" w:hAnsi="Times New Roman" w:eastAsia="宋体" w:cs="Times New Roman"/>
                      <w:b w:val="0"/>
                      <w:bCs w:val="0"/>
                      <w:i w:val="0"/>
                      <w:iCs w:val="0"/>
                      <w:color w:val="000000"/>
                      <w:kern w:val="0"/>
                      <w:sz w:val="21"/>
                      <w:szCs w:val="21"/>
                      <w:u w:val="none"/>
                      <w:lang w:val="en-US" w:eastAsia="zh-CN" w:bidi="ar"/>
                    </w:rPr>
                    <w:t>H=54mN=75KW</w:t>
                  </w:r>
                </w:p>
              </w:tc>
            </w:tr>
            <w:tr w14:paraId="7A893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pct"/>
                  <w:noWrap w:val="0"/>
                  <w:vAlign w:val="center"/>
                </w:tcPr>
                <w:p w14:paraId="538AF128">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4</w:t>
                  </w:r>
                </w:p>
              </w:tc>
              <w:tc>
                <w:tcPr>
                  <w:tcW w:w="1039" w:type="pct"/>
                  <w:noWrap w:val="0"/>
                  <w:vAlign w:val="center"/>
                </w:tcPr>
                <w:p w14:paraId="78E09D0F">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除杂脱水筛</w:t>
                  </w:r>
                </w:p>
              </w:tc>
              <w:tc>
                <w:tcPr>
                  <w:tcW w:w="1119" w:type="pct"/>
                  <w:noWrap w:val="0"/>
                  <w:vAlign w:val="center"/>
                </w:tcPr>
                <w:p w14:paraId="4624F8EC">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ZKB2045，N=7.5KW*2</w:t>
                  </w:r>
                </w:p>
              </w:tc>
              <w:tc>
                <w:tcPr>
                  <w:tcW w:w="463" w:type="pct"/>
                  <w:noWrap w:val="0"/>
                  <w:vAlign w:val="center"/>
                </w:tcPr>
                <w:p w14:paraId="46650710">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台</w:t>
                  </w:r>
                </w:p>
              </w:tc>
              <w:tc>
                <w:tcPr>
                  <w:tcW w:w="449" w:type="pct"/>
                  <w:noWrap w:val="0"/>
                  <w:vAlign w:val="center"/>
                </w:tcPr>
                <w:p w14:paraId="385A018C">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c>
                <w:tcPr>
                  <w:tcW w:w="1497" w:type="pct"/>
                  <w:noWrap w:val="0"/>
                  <w:vAlign w:val="center"/>
                </w:tcPr>
                <w:p w14:paraId="5F1CD7F7">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不锈钢筛板：1mm筛缝</w:t>
                  </w:r>
                </w:p>
              </w:tc>
            </w:tr>
            <w:tr w14:paraId="42D44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6"/>
                  <w:noWrap w:val="0"/>
                  <w:vAlign w:val="center"/>
                </w:tcPr>
                <w:p w14:paraId="4E13C088">
                  <w:pPr>
                    <w:keepNext w:val="0"/>
                    <w:keepLines w:val="0"/>
                    <w:pageBreakBefore w:val="0"/>
                    <w:widowControl/>
                    <w:suppressLineNumbers w:val="0"/>
                    <w:kinsoku/>
                    <w:wordWrap/>
                    <w:overflowPunct/>
                    <w:topLinePunct w:val="0"/>
                    <w:autoSpaceDE/>
                    <w:autoSpaceDN/>
                    <w:bidi w:val="0"/>
                    <w:adjustRightInd/>
                    <w:snapToGrid/>
                    <w:ind w:firstLineChars="0"/>
                    <w:jc w:val="center"/>
                    <w:textAlignment w:val="top"/>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（二）粗煤泥处理系统</w:t>
                  </w:r>
                </w:p>
              </w:tc>
            </w:tr>
            <w:tr w14:paraId="2FCE1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pct"/>
                  <w:noWrap w:val="0"/>
                  <w:vAlign w:val="center"/>
                </w:tcPr>
                <w:p w14:paraId="4E0D3F31">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c>
                <w:tcPr>
                  <w:tcW w:w="1039" w:type="pct"/>
                  <w:noWrap w:val="0"/>
                  <w:vAlign w:val="center"/>
                </w:tcPr>
                <w:p w14:paraId="09B4F119">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旋流器组</w:t>
                  </w:r>
                </w:p>
              </w:tc>
              <w:tc>
                <w:tcPr>
                  <w:tcW w:w="1119" w:type="pct"/>
                  <w:noWrap w:val="0"/>
                  <w:vAlign w:val="center"/>
                </w:tcPr>
                <w:p w14:paraId="604F7626">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350型</w:t>
                  </w:r>
                </w:p>
              </w:tc>
              <w:tc>
                <w:tcPr>
                  <w:tcW w:w="463" w:type="pct"/>
                  <w:noWrap w:val="0"/>
                  <w:vAlign w:val="center"/>
                </w:tcPr>
                <w:p w14:paraId="1993DD9F">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5</w:t>
                  </w:r>
                </w:p>
              </w:tc>
              <w:tc>
                <w:tcPr>
                  <w:tcW w:w="449" w:type="pct"/>
                  <w:noWrap w:val="0"/>
                  <w:vAlign w:val="center"/>
                </w:tcPr>
                <w:p w14:paraId="55A678C3">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台</w:t>
                  </w:r>
                </w:p>
              </w:tc>
              <w:tc>
                <w:tcPr>
                  <w:tcW w:w="1497" w:type="pct"/>
                  <w:noWrap w:val="0"/>
                  <w:vAlign w:val="center"/>
                </w:tcPr>
                <w:p w14:paraId="6110E42C">
                  <w:pPr>
                    <w:keepNext w:val="0"/>
                    <w:keepLines w:val="0"/>
                    <w:pageBreakBefore w:val="0"/>
                    <w:widowControl/>
                    <w:kinsoku/>
                    <w:wordWrap/>
                    <w:overflowPunct/>
                    <w:topLinePunct w:val="0"/>
                    <w:autoSpaceDE/>
                    <w:autoSpaceDN/>
                    <w:bidi w:val="0"/>
                    <w:adjustRightInd/>
                    <w:snapToGrid/>
                    <w:ind w:firstLineChars="0"/>
                    <w:jc w:val="center"/>
                    <w:rPr>
                      <w:rFonts w:hint="default" w:ascii="Times New Roman" w:hAnsi="Times New Roman" w:eastAsia="宋体" w:cs="Times New Roman"/>
                      <w:b w:val="0"/>
                      <w:bCs w:val="0"/>
                      <w:i w:val="0"/>
                      <w:iCs w:val="0"/>
                      <w:color w:val="000000"/>
                      <w:sz w:val="21"/>
                      <w:szCs w:val="21"/>
                      <w:u w:val="none"/>
                      <w:lang w:val="en-US" w:eastAsia="zh-CN"/>
                    </w:rPr>
                  </w:pPr>
                  <w:r>
                    <w:rPr>
                      <w:rFonts w:hint="default" w:ascii="Times New Roman" w:hAnsi="Times New Roman" w:eastAsia="宋体" w:cs="Times New Roman"/>
                      <w:b w:val="0"/>
                      <w:bCs w:val="0"/>
                      <w:i w:val="0"/>
                      <w:iCs w:val="0"/>
                      <w:color w:val="000000"/>
                      <w:sz w:val="21"/>
                      <w:szCs w:val="21"/>
                      <w:u w:val="none"/>
                      <w:lang w:val="en-US" w:eastAsia="zh-CN"/>
                    </w:rPr>
                    <w:t>/</w:t>
                  </w:r>
                </w:p>
              </w:tc>
            </w:tr>
            <w:tr w14:paraId="271DE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pct"/>
                  <w:noWrap w:val="0"/>
                  <w:vAlign w:val="center"/>
                </w:tcPr>
                <w:p w14:paraId="6D2E7120">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2</w:t>
                  </w:r>
                </w:p>
              </w:tc>
              <w:tc>
                <w:tcPr>
                  <w:tcW w:w="1039" w:type="pct"/>
                  <w:noWrap w:val="0"/>
                  <w:vAlign w:val="center"/>
                </w:tcPr>
                <w:p w14:paraId="2D1D6324">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旋流器入料渣浆泵</w:t>
                  </w:r>
                </w:p>
              </w:tc>
              <w:tc>
                <w:tcPr>
                  <w:tcW w:w="1119" w:type="pct"/>
                  <w:noWrap w:val="0"/>
                  <w:vAlign w:val="center"/>
                </w:tcPr>
                <w:p w14:paraId="6B01F849">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ZJW200-315</w:t>
                  </w:r>
                </w:p>
              </w:tc>
              <w:tc>
                <w:tcPr>
                  <w:tcW w:w="463" w:type="pct"/>
                  <w:noWrap w:val="0"/>
                  <w:vAlign w:val="center"/>
                </w:tcPr>
                <w:p w14:paraId="1BE47762">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c>
                <w:tcPr>
                  <w:tcW w:w="449" w:type="pct"/>
                  <w:noWrap w:val="0"/>
                  <w:vAlign w:val="center"/>
                </w:tcPr>
                <w:p w14:paraId="05060B86">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台</w:t>
                  </w:r>
                </w:p>
              </w:tc>
              <w:tc>
                <w:tcPr>
                  <w:tcW w:w="1497" w:type="pct"/>
                  <w:noWrap w:val="0"/>
                  <w:vAlign w:val="center"/>
                </w:tcPr>
                <w:p w14:paraId="080BBDC6">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Q=360m</w:t>
                  </w:r>
                  <w:r>
                    <w:rPr>
                      <w:rStyle w:val="56"/>
                      <w:rFonts w:hint="default" w:ascii="Times New Roman" w:hAnsi="Times New Roman" w:cs="Times New Roman"/>
                      <w:b w:val="0"/>
                      <w:bCs w:val="0"/>
                      <w:sz w:val="21"/>
                      <w:szCs w:val="21"/>
                      <w:lang w:val="en-US" w:eastAsia="zh-CN" w:bidi="ar"/>
                    </w:rPr>
                    <w:t>3</w:t>
                  </w:r>
                  <w:r>
                    <w:rPr>
                      <w:rFonts w:hint="default" w:ascii="Times New Roman" w:hAnsi="Times New Roman" w:eastAsia="宋体" w:cs="Times New Roman"/>
                      <w:b w:val="0"/>
                      <w:bCs w:val="0"/>
                      <w:i w:val="0"/>
                      <w:iCs w:val="0"/>
                      <w:color w:val="000000"/>
                      <w:kern w:val="0"/>
                      <w:sz w:val="21"/>
                      <w:szCs w:val="21"/>
                      <w:u w:val="none"/>
                      <w:lang w:val="en-US" w:eastAsia="zh-CN" w:bidi="ar"/>
                    </w:rPr>
                    <w:t>/h，H=35m</w:t>
                  </w:r>
                </w:p>
              </w:tc>
            </w:tr>
            <w:tr w14:paraId="66AF5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pct"/>
                  <w:noWrap w:val="0"/>
                  <w:vAlign w:val="center"/>
                </w:tcPr>
                <w:p w14:paraId="0A9FEECD">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3</w:t>
                  </w:r>
                </w:p>
              </w:tc>
              <w:tc>
                <w:tcPr>
                  <w:tcW w:w="1039" w:type="pct"/>
                  <w:noWrap w:val="0"/>
                  <w:vAlign w:val="center"/>
                </w:tcPr>
                <w:p w14:paraId="57E9F831">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一螺螺旋分离机</w:t>
                  </w:r>
                </w:p>
              </w:tc>
              <w:tc>
                <w:tcPr>
                  <w:tcW w:w="1119" w:type="pct"/>
                  <w:noWrap w:val="0"/>
                  <w:vAlign w:val="center"/>
                </w:tcPr>
                <w:p w14:paraId="3017CA32">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LL1500</w:t>
                  </w:r>
                </w:p>
              </w:tc>
              <w:tc>
                <w:tcPr>
                  <w:tcW w:w="463" w:type="pct"/>
                  <w:noWrap w:val="0"/>
                  <w:vAlign w:val="center"/>
                </w:tcPr>
                <w:p w14:paraId="1CE793FF">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12</w:t>
                  </w:r>
                </w:p>
              </w:tc>
              <w:tc>
                <w:tcPr>
                  <w:tcW w:w="449" w:type="pct"/>
                  <w:noWrap w:val="0"/>
                  <w:vAlign w:val="center"/>
                </w:tcPr>
                <w:p w14:paraId="79DAF9F2">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柱</w:t>
                  </w:r>
                </w:p>
              </w:tc>
              <w:tc>
                <w:tcPr>
                  <w:tcW w:w="1497" w:type="pct"/>
                  <w:noWrap w:val="0"/>
                  <w:vAlign w:val="center"/>
                </w:tcPr>
                <w:p w14:paraId="2CC21B49">
                  <w:pPr>
                    <w:keepNext w:val="0"/>
                    <w:keepLines w:val="0"/>
                    <w:pageBreakBefore w:val="0"/>
                    <w:widowControl/>
                    <w:kinsoku/>
                    <w:wordWrap/>
                    <w:overflowPunct/>
                    <w:topLinePunct w:val="0"/>
                    <w:autoSpaceDE/>
                    <w:autoSpaceDN/>
                    <w:bidi w:val="0"/>
                    <w:adjustRightInd/>
                    <w:snapToGrid/>
                    <w:ind w:firstLineChars="0"/>
                    <w:jc w:val="center"/>
                    <w:rPr>
                      <w:rFonts w:hint="default" w:ascii="Times New Roman" w:hAnsi="Times New Roman" w:eastAsia="宋体" w:cs="Times New Roman"/>
                      <w:b w:val="0"/>
                      <w:bCs w:val="0"/>
                      <w:i w:val="0"/>
                      <w:iCs w:val="0"/>
                      <w:color w:val="000000"/>
                      <w:sz w:val="21"/>
                      <w:szCs w:val="21"/>
                      <w:u w:val="none"/>
                      <w:lang w:val="en-US" w:eastAsia="zh-CN"/>
                    </w:rPr>
                  </w:pPr>
                  <w:r>
                    <w:rPr>
                      <w:rFonts w:hint="default" w:ascii="Times New Roman" w:hAnsi="Times New Roman" w:eastAsia="宋体" w:cs="Times New Roman"/>
                      <w:b w:val="0"/>
                      <w:bCs w:val="0"/>
                      <w:i w:val="0"/>
                      <w:iCs w:val="0"/>
                      <w:color w:val="000000"/>
                      <w:sz w:val="21"/>
                      <w:szCs w:val="21"/>
                      <w:u w:val="none"/>
                      <w:lang w:val="en-US" w:eastAsia="zh-CN"/>
                    </w:rPr>
                    <w:t>/</w:t>
                  </w:r>
                </w:p>
              </w:tc>
            </w:tr>
            <w:tr w14:paraId="18E42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pct"/>
                  <w:noWrap w:val="0"/>
                  <w:vAlign w:val="center"/>
                </w:tcPr>
                <w:p w14:paraId="4B254941">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4</w:t>
                  </w:r>
                </w:p>
              </w:tc>
              <w:tc>
                <w:tcPr>
                  <w:tcW w:w="1039" w:type="pct"/>
                  <w:noWrap w:val="0"/>
                  <w:vAlign w:val="center"/>
                </w:tcPr>
                <w:p w14:paraId="4DDD4AEA">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二螺上料渣浆泵</w:t>
                  </w:r>
                </w:p>
              </w:tc>
              <w:tc>
                <w:tcPr>
                  <w:tcW w:w="1119" w:type="pct"/>
                  <w:noWrap w:val="0"/>
                  <w:vAlign w:val="center"/>
                </w:tcPr>
                <w:p w14:paraId="0BE374CA">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ZJW200-315</w:t>
                  </w:r>
                </w:p>
              </w:tc>
              <w:tc>
                <w:tcPr>
                  <w:tcW w:w="463" w:type="pct"/>
                  <w:noWrap w:val="0"/>
                  <w:vAlign w:val="center"/>
                </w:tcPr>
                <w:p w14:paraId="70F76D32">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c>
                <w:tcPr>
                  <w:tcW w:w="449" w:type="pct"/>
                  <w:noWrap w:val="0"/>
                  <w:vAlign w:val="center"/>
                </w:tcPr>
                <w:p w14:paraId="71EFFFF4">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台</w:t>
                  </w:r>
                </w:p>
              </w:tc>
              <w:tc>
                <w:tcPr>
                  <w:tcW w:w="1497" w:type="pct"/>
                  <w:noWrap w:val="0"/>
                  <w:vAlign w:val="center"/>
                </w:tcPr>
                <w:p w14:paraId="51A42FB0">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Q=180m</w:t>
                  </w:r>
                  <w:r>
                    <w:rPr>
                      <w:rStyle w:val="56"/>
                      <w:rFonts w:hint="default" w:ascii="Times New Roman" w:hAnsi="Times New Roman" w:cs="Times New Roman"/>
                      <w:b w:val="0"/>
                      <w:bCs w:val="0"/>
                      <w:sz w:val="21"/>
                      <w:szCs w:val="21"/>
                      <w:lang w:val="en-US" w:eastAsia="zh-CN" w:bidi="ar"/>
                    </w:rPr>
                    <w:t>3</w:t>
                  </w:r>
                  <w:r>
                    <w:rPr>
                      <w:rFonts w:hint="default" w:ascii="Times New Roman" w:hAnsi="Times New Roman" w:eastAsia="宋体" w:cs="Times New Roman"/>
                      <w:b w:val="0"/>
                      <w:bCs w:val="0"/>
                      <w:i w:val="0"/>
                      <w:iCs w:val="0"/>
                      <w:color w:val="000000"/>
                      <w:kern w:val="0"/>
                      <w:sz w:val="21"/>
                      <w:szCs w:val="21"/>
                      <w:u w:val="none"/>
                      <w:lang w:val="en-US" w:eastAsia="zh-CN" w:bidi="ar"/>
                    </w:rPr>
                    <w:t>/h，H=18m</w:t>
                  </w:r>
                </w:p>
              </w:tc>
            </w:tr>
            <w:tr w14:paraId="3E9BE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pct"/>
                  <w:noWrap w:val="0"/>
                  <w:vAlign w:val="center"/>
                </w:tcPr>
                <w:p w14:paraId="2A71ADB2">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5</w:t>
                  </w:r>
                </w:p>
              </w:tc>
              <w:tc>
                <w:tcPr>
                  <w:tcW w:w="1039" w:type="pct"/>
                  <w:noWrap w:val="0"/>
                  <w:vAlign w:val="center"/>
                </w:tcPr>
                <w:p w14:paraId="2D2BFB80">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二螺螺旋分离机</w:t>
                  </w:r>
                </w:p>
              </w:tc>
              <w:tc>
                <w:tcPr>
                  <w:tcW w:w="1119" w:type="pct"/>
                  <w:noWrap w:val="0"/>
                  <w:vAlign w:val="center"/>
                </w:tcPr>
                <w:p w14:paraId="79E8BF5F">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LL1500</w:t>
                  </w:r>
                </w:p>
              </w:tc>
              <w:tc>
                <w:tcPr>
                  <w:tcW w:w="463" w:type="pct"/>
                  <w:noWrap w:val="0"/>
                  <w:vAlign w:val="center"/>
                </w:tcPr>
                <w:p w14:paraId="2AB7A888">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6</w:t>
                  </w:r>
                </w:p>
              </w:tc>
              <w:tc>
                <w:tcPr>
                  <w:tcW w:w="449" w:type="pct"/>
                  <w:noWrap w:val="0"/>
                  <w:vAlign w:val="center"/>
                </w:tcPr>
                <w:p w14:paraId="1EDEBC8B">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柱</w:t>
                  </w:r>
                </w:p>
              </w:tc>
              <w:tc>
                <w:tcPr>
                  <w:tcW w:w="1497" w:type="pct"/>
                  <w:noWrap w:val="0"/>
                  <w:vAlign w:val="center"/>
                </w:tcPr>
                <w:p w14:paraId="13C7437D">
                  <w:pPr>
                    <w:keepNext w:val="0"/>
                    <w:keepLines w:val="0"/>
                    <w:pageBreakBefore w:val="0"/>
                    <w:widowControl/>
                    <w:kinsoku/>
                    <w:wordWrap/>
                    <w:overflowPunct/>
                    <w:topLinePunct w:val="0"/>
                    <w:autoSpaceDE/>
                    <w:autoSpaceDN/>
                    <w:bidi w:val="0"/>
                    <w:adjustRightInd/>
                    <w:snapToGrid/>
                    <w:ind w:firstLineChars="0"/>
                    <w:jc w:val="center"/>
                    <w:rPr>
                      <w:rFonts w:hint="default" w:ascii="Times New Roman" w:hAnsi="Times New Roman" w:eastAsia="宋体" w:cs="Times New Roman"/>
                      <w:b w:val="0"/>
                      <w:bCs w:val="0"/>
                      <w:i w:val="0"/>
                      <w:iCs w:val="0"/>
                      <w:color w:val="000000"/>
                      <w:sz w:val="21"/>
                      <w:szCs w:val="21"/>
                      <w:u w:val="none"/>
                      <w:lang w:val="en-US" w:eastAsia="zh-CN"/>
                    </w:rPr>
                  </w:pPr>
                  <w:r>
                    <w:rPr>
                      <w:rFonts w:hint="default" w:ascii="Times New Roman" w:hAnsi="Times New Roman" w:eastAsia="宋体" w:cs="Times New Roman"/>
                      <w:b w:val="0"/>
                      <w:bCs w:val="0"/>
                      <w:i w:val="0"/>
                      <w:iCs w:val="0"/>
                      <w:color w:val="000000"/>
                      <w:sz w:val="21"/>
                      <w:szCs w:val="21"/>
                      <w:u w:val="none"/>
                      <w:lang w:val="en-US" w:eastAsia="zh-CN"/>
                    </w:rPr>
                    <w:t>/</w:t>
                  </w:r>
                </w:p>
              </w:tc>
            </w:tr>
            <w:tr w14:paraId="373F5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pct"/>
                  <w:noWrap w:val="0"/>
                  <w:vAlign w:val="center"/>
                </w:tcPr>
                <w:p w14:paraId="0E440F54">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6</w:t>
                  </w:r>
                </w:p>
              </w:tc>
              <w:tc>
                <w:tcPr>
                  <w:tcW w:w="1039" w:type="pct"/>
                  <w:noWrap w:val="0"/>
                  <w:vAlign w:val="center"/>
                </w:tcPr>
                <w:p w14:paraId="0BD3BCC9">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粗颗粒精煤脱水筛</w:t>
                  </w:r>
                </w:p>
              </w:tc>
              <w:tc>
                <w:tcPr>
                  <w:tcW w:w="1119" w:type="pct"/>
                  <w:noWrap w:val="0"/>
                  <w:vAlign w:val="center"/>
                </w:tcPr>
                <w:p w14:paraId="287343A7">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GP2045爬坡筛N=7.5KW*2</w:t>
                  </w:r>
                </w:p>
              </w:tc>
              <w:tc>
                <w:tcPr>
                  <w:tcW w:w="463" w:type="pct"/>
                  <w:noWrap w:val="0"/>
                  <w:vAlign w:val="center"/>
                </w:tcPr>
                <w:p w14:paraId="2696E81C">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2</w:t>
                  </w:r>
                </w:p>
              </w:tc>
              <w:tc>
                <w:tcPr>
                  <w:tcW w:w="449" w:type="pct"/>
                  <w:noWrap w:val="0"/>
                  <w:vAlign w:val="center"/>
                </w:tcPr>
                <w:p w14:paraId="73DB2EC7">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台</w:t>
                  </w:r>
                </w:p>
              </w:tc>
              <w:tc>
                <w:tcPr>
                  <w:tcW w:w="1497" w:type="pct"/>
                  <w:noWrap w:val="0"/>
                  <w:vAlign w:val="center"/>
                </w:tcPr>
                <w:p w14:paraId="50A072E2">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板厚8mm，双振幅：3-7mm。</w:t>
                  </w:r>
                </w:p>
              </w:tc>
            </w:tr>
            <w:tr w14:paraId="784D5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pct"/>
                  <w:noWrap w:val="0"/>
                  <w:vAlign w:val="center"/>
                </w:tcPr>
                <w:p w14:paraId="2AF13712">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7</w:t>
                  </w:r>
                </w:p>
              </w:tc>
              <w:tc>
                <w:tcPr>
                  <w:tcW w:w="1039" w:type="pct"/>
                  <w:noWrap w:val="0"/>
                  <w:vAlign w:val="center"/>
                </w:tcPr>
                <w:p w14:paraId="313340FD">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螺中脱水筛</w:t>
                  </w:r>
                </w:p>
              </w:tc>
              <w:tc>
                <w:tcPr>
                  <w:tcW w:w="1119" w:type="pct"/>
                  <w:noWrap w:val="0"/>
                  <w:vAlign w:val="center"/>
                </w:tcPr>
                <w:p w14:paraId="608EDBE1">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GP2045爬坡筛N=7.5KW*2</w:t>
                  </w:r>
                </w:p>
              </w:tc>
              <w:tc>
                <w:tcPr>
                  <w:tcW w:w="463" w:type="pct"/>
                  <w:noWrap w:val="0"/>
                  <w:vAlign w:val="center"/>
                </w:tcPr>
                <w:p w14:paraId="0EC396EE">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c>
                <w:tcPr>
                  <w:tcW w:w="449" w:type="pct"/>
                  <w:noWrap w:val="0"/>
                  <w:vAlign w:val="center"/>
                </w:tcPr>
                <w:p w14:paraId="32B21301">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台</w:t>
                  </w:r>
                </w:p>
              </w:tc>
              <w:tc>
                <w:tcPr>
                  <w:tcW w:w="1497" w:type="pct"/>
                  <w:noWrap w:val="0"/>
                  <w:vAlign w:val="center"/>
                </w:tcPr>
                <w:p w14:paraId="6629ACB8">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板厚8mm，双振幅：3-7mm。</w:t>
                  </w:r>
                </w:p>
              </w:tc>
            </w:tr>
            <w:tr w14:paraId="0B2BF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pct"/>
                  <w:noWrap w:val="0"/>
                  <w:vAlign w:val="center"/>
                </w:tcPr>
                <w:p w14:paraId="60E3FDF8">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8</w:t>
                  </w:r>
                </w:p>
              </w:tc>
              <w:tc>
                <w:tcPr>
                  <w:tcW w:w="1039" w:type="pct"/>
                  <w:noWrap w:val="0"/>
                  <w:vAlign w:val="center"/>
                </w:tcPr>
                <w:p w14:paraId="79A1F61B">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螺矸脱水筛</w:t>
                  </w:r>
                </w:p>
              </w:tc>
              <w:tc>
                <w:tcPr>
                  <w:tcW w:w="1119" w:type="pct"/>
                  <w:noWrap w:val="0"/>
                  <w:vAlign w:val="center"/>
                </w:tcPr>
                <w:p w14:paraId="3BED15CD">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GP2045爬坡筛N=7.5KW*2</w:t>
                  </w:r>
                </w:p>
              </w:tc>
              <w:tc>
                <w:tcPr>
                  <w:tcW w:w="463" w:type="pct"/>
                  <w:noWrap w:val="0"/>
                  <w:vAlign w:val="center"/>
                </w:tcPr>
                <w:p w14:paraId="2108A738">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c>
                <w:tcPr>
                  <w:tcW w:w="449" w:type="pct"/>
                  <w:noWrap w:val="0"/>
                  <w:vAlign w:val="center"/>
                </w:tcPr>
                <w:p w14:paraId="5D83D739">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台</w:t>
                  </w:r>
                </w:p>
              </w:tc>
              <w:tc>
                <w:tcPr>
                  <w:tcW w:w="1497" w:type="pct"/>
                  <w:noWrap w:val="0"/>
                  <w:vAlign w:val="center"/>
                </w:tcPr>
                <w:p w14:paraId="4B4593CE">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板厚8mm，双振幅：3-7mm。</w:t>
                  </w:r>
                </w:p>
              </w:tc>
            </w:tr>
            <w:tr w14:paraId="102B4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6"/>
                  <w:noWrap w:val="0"/>
                  <w:vAlign w:val="center"/>
                </w:tcPr>
                <w:p w14:paraId="5359504D">
                  <w:pPr>
                    <w:keepNext w:val="0"/>
                    <w:keepLines w:val="0"/>
                    <w:pageBreakBefore w:val="0"/>
                    <w:widowControl/>
                    <w:suppressLineNumbers w:val="0"/>
                    <w:kinsoku/>
                    <w:wordWrap/>
                    <w:overflowPunct/>
                    <w:topLinePunct w:val="0"/>
                    <w:autoSpaceDE/>
                    <w:autoSpaceDN/>
                    <w:bidi w:val="0"/>
                    <w:adjustRightInd/>
                    <w:snapToGrid/>
                    <w:ind w:firstLineChars="0"/>
                    <w:jc w:val="center"/>
                    <w:textAlignment w:val="top"/>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（三）浮选压滤系统</w:t>
                  </w:r>
                </w:p>
              </w:tc>
            </w:tr>
            <w:tr w14:paraId="1956A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pct"/>
                  <w:noWrap w:val="0"/>
                  <w:vAlign w:val="center"/>
                </w:tcPr>
                <w:p w14:paraId="53414E1D">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c>
                <w:tcPr>
                  <w:tcW w:w="1039" w:type="pct"/>
                  <w:noWrap w:val="0"/>
                  <w:vAlign w:val="center"/>
                </w:tcPr>
                <w:p w14:paraId="2B3BD3C1">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矿浆预处理器</w:t>
                  </w:r>
                </w:p>
              </w:tc>
              <w:tc>
                <w:tcPr>
                  <w:tcW w:w="1119" w:type="pct"/>
                  <w:noWrap w:val="0"/>
                  <w:vAlign w:val="center"/>
                </w:tcPr>
                <w:p w14:paraId="498B2995">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XY-2.5m</w:t>
                  </w:r>
                </w:p>
              </w:tc>
              <w:tc>
                <w:tcPr>
                  <w:tcW w:w="463" w:type="pct"/>
                  <w:noWrap w:val="0"/>
                  <w:vAlign w:val="center"/>
                </w:tcPr>
                <w:p w14:paraId="7A8275C2">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c>
                <w:tcPr>
                  <w:tcW w:w="449" w:type="pct"/>
                  <w:noWrap w:val="0"/>
                  <w:vAlign w:val="center"/>
                </w:tcPr>
                <w:p w14:paraId="7C1147FD">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台</w:t>
                  </w:r>
                </w:p>
              </w:tc>
              <w:tc>
                <w:tcPr>
                  <w:tcW w:w="1497" w:type="pct"/>
                  <w:noWrap w:val="0"/>
                  <w:vAlign w:val="center"/>
                </w:tcPr>
                <w:p w14:paraId="6398FD27">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矿浆Q=700m</w:t>
                  </w:r>
                  <w:r>
                    <w:rPr>
                      <w:rStyle w:val="56"/>
                      <w:rFonts w:hint="default" w:ascii="Times New Roman" w:hAnsi="Times New Roman" w:cs="Times New Roman"/>
                      <w:b w:val="0"/>
                      <w:bCs w:val="0"/>
                      <w:sz w:val="21"/>
                      <w:szCs w:val="21"/>
                      <w:lang w:val="en-US" w:eastAsia="zh-CN" w:bidi="ar"/>
                    </w:rPr>
                    <w:t>3</w:t>
                  </w:r>
                  <w:r>
                    <w:rPr>
                      <w:rFonts w:hint="default" w:ascii="Times New Roman" w:hAnsi="Times New Roman" w:eastAsia="宋体" w:cs="Times New Roman"/>
                      <w:b w:val="0"/>
                      <w:bCs w:val="0"/>
                      <w:i w:val="0"/>
                      <w:iCs w:val="0"/>
                      <w:color w:val="000000"/>
                      <w:kern w:val="0"/>
                      <w:sz w:val="21"/>
                      <w:szCs w:val="21"/>
                      <w:u w:val="none"/>
                      <w:lang w:val="en-US" w:eastAsia="zh-CN" w:bidi="ar"/>
                    </w:rPr>
                    <w:t>/h,耐磨铸钢转子</w:t>
                  </w:r>
                </w:p>
              </w:tc>
            </w:tr>
            <w:tr w14:paraId="18382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pct"/>
                  <w:noWrap w:val="0"/>
                  <w:vAlign w:val="center"/>
                </w:tcPr>
                <w:p w14:paraId="348DFE23">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2</w:t>
                  </w:r>
                </w:p>
              </w:tc>
              <w:tc>
                <w:tcPr>
                  <w:tcW w:w="1039" w:type="pct"/>
                  <w:noWrap w:val="0"/>
                  <w:vAlign w:val="center"/>
                </w:tcPr>
                <w:p w14:paraId="15A15236">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预处理器渣浆泵</w:t>
                  </w:r>
                </w:p>
              </w:tc>
              <w:tc>
                <w:tcPr>
                  <w:tcW w:w="1119" w:type="pct"/>
                  <w:noWrap w:val="0"/>
                  <w:vAlign w:val="center"/>
                </w:tcPr>
                <w:p w14:paraId="4EB10C33">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ZJW300-315</w:t>
                  </w:r>
                </w:p>
              </w:tc>
              <w:tc>
                <w:tcPr>
                  <w:tcW w:w="463" w:type="pct"/>
                  <w:noWrap w:val="0"/>
                  <w:vAlign w:val="center"/>
                </w:tcPr>
                <w:p w14:paraId="510DCB80">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c>
                <w:tcPr>
                  <w:tcW w:w="449" w:type="pct"/>
                  <w:noWrap w:val="0"/>
                  <w:vAlign w:val="center"/>
                </w:tcPr>
                <w:p w14:paraId="493C7FF4">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台</w:t>
                  </w:r>
                </w:p>
              </w:tc>
              <w:tc>
                <w:tcPr>
                  <w:tcW w:w="1497" w:type="pct"/>
                  <w:noWrap w:val="0"/>
                  <w:vAlign w:val="center"/>
                </w:tcPr>
                <w:p w14:paraId="7E28F7D9">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Q=360</w:t>
                  </w:r>
                  <w:r>
                    <w:rPr>
                      <w:rStyle w:val="56"/>
                      <w:rFonts w:hint="default" w:ascii="Times New Roman" w:hAnsi="Times New Roman" w:cs="Times New Roman"/>
                      <w:b w:val="0"/>
                      <w:bCs w:val="0"/>
                      <w:sz w:val="21"/>
                      <w:szCs w:val="21"/>
                      <w:lang w:val="en-US" w:eastAsia="zh-CN" w:bidi="ar"/>
                    </w:rPr>
                    <w:t>3</w:t>
                  </w:r>
                  <w:r>
                    <w:rPr>
                      <w:rFonts w:hint="default" w:ascii="Times New Roman" w:hAnsi="Times New Roman" w:eastAsia="宋体" w:cs="Times New Roman"/>
                      <w:b w:val="0"/>
                      <w:bCs w:val="0"/>
                      <w:i w:val="0"/>
                      <w:iCs w:val="0"/>
                      <w:color w:val="000000"/>
                      <w:kern w:val="0"/>
                      <w:sz w:val="21"/>
                      <w:szCs w:val="21"/>
                      <w:u w:val="none"/>
                      <w:lang w:val="en-US" w:eastAsia="zh-CN" w:bidi="ar"/>
                    </w:rPr>
                    <w:t>/H，H=20m</w:t>
                  </w:r>
                </w:p>
              </w:tc>
            </w:tr>
            <w:tr w14:paraId="4961C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pct"/>
                  <w:vMerge w:val="restart"/>
                  <w:noWrap w:val="0"/>
                  <w:vAlign w:val="center"/>
                </w:tcPr>
                <w:p w14:paraId="6195F7DC">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3</w:t>
                  </w:r>
                </w:p>
              </w:tc>
              <w:tc>
                <w:tcPr>
                  <w:tcW w:w="1039" w:type="pct"/>
                  <w:noWrap w:val="0"/>
                  <w:vAlign w:val="center"/>
                </w:tcPr>
                <w:p w14:paraId="5228A8B9">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一次机械搅拌式浮选机</w:t>
                  </w:r>
                </w:p>
              </w:tc>
              <w:tc>
                <w:tcPr>
                  <w:tcW w:w="1119" w:type="pct"/>
                  <w:noWrap w:val="0"/>
                  <w:vAlign w:val="center"/>
                </w:tcPr>
                <w:p w14:paraId="578E7B04">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XJM-S20-4</w:t>
                  </w:r>
                </w:p>
              </w:tc>
              <w:tc>
                <w:tcPr>
                  <w:tcW w:w="463" w:type="pct"/>
                  <w:noWrap w:val="0"/>
                  <w:vAlign w:val="center"/>
                </w:tcPr>
                <w:p w14:paraId="137D4BA1">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c>
                <w:tcPr>
                  <w:tcW w:w="449" w:type="pct"/>
                  <w:noWrap w:val="0"/>
                  <w:vAlign w:val="center"/>
                </w:tcPr>
                <w:p w14:paraId="0E01C94F">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台</w:t>
                  </w:r>
                </w:p>
              </w:tc>
              <w:tc>
                <w:tcPr>
                  <w:tcW w:w="1497" w:type="pct"/>
                  <w:noWrap w:val="0"/>
                  <w:vAlign w:val="center"/>
                </w:tcPr>
                <w:p w14:paraId="424B38C5">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10mm钢板，耐磨铸钢转子</w:t>
                  </w:r>
                </w:p>
              </w:tc>
            </w:tr>
            <w:tr w14:paraId="34B1F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pct"/>
                  <w:vMerge w:val="continue"/>
                  <w:noWrap w:val="0"/>
                  <w:vAlign w:val="center"/>
                </w:tcPr>
                <w:p w14:paraId="048ED0CC">
                  <w:pPr>
                    <w:keepNext w:val="0"/>
                    <w:keepLines w:val="0"/>
                    <w:pageBreakBefore w:val="0"/>
                    <w:widowControl/>
                    <w:kinsoku/>
                    <w:wordWrap/>
                    <w:overflowPunct/>
                    <w:topLinePunct w:val="0"/>
                    <w:autoSpaceDE/>
                    <w:autoSpaceDN/>
                    <w:bidi w:val="0"/>
                    <w:adjustRightInd/>
                    <w:snapToGrid/>
                    <w:ind w:firstLineChars="0"/>
                    <w:jc w:val="center"/>
                    <w:rPr>
                      <w:rFonts w:hint="default" w:ascii="Times New Roman" w:hAnsi="Times New Roman" w:eastAsia="宋体" w:cs="Times New Roman"/>
                      <w:b w:val="0"/>
                      <w:bCs w:val="0"/>
                      <w:i w:val="0"/>
                      <w:iCs w:val="0"/>
                      <w:color w:val="000000"/>
                      <w:sz w:val="21"/>
                      <w:szCs w:val="21"/>
                      <w:u w:val="none"/>
                    </w:rPr>
                  </w:pPr>
                </w:p>
              </w:tc>
              <w:tc>
                <w:tcPr>
                  <w:tcW w:w="1039" w:type="pct"/>
                  <w:noWrap w:val="0"/>
                  <w:vAlign w:val="center"/>
                </w:tcPr>
                <w:p w14:paraId="4B4E171A">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搅拌驱动电动机</w:t>
                  </w:r>
                </w:p>
              </w:tc>
              <w:tc>
                <w:tcPr>
                  <w:tcW w:w="1119" w:type="pct"/>
                  <w:noWrap w:val="0"/>
                  <w:vAlign w:val="center"/>
                </w:tcPr>
                <w:p w14:paraId="79400898">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Y280M-6N=45kw</w:t>
                  </w:r>
                </w:p>
              </w:tc>
              <w:tc>
                <w:tcPr>
                  <w:tcW w:w="463" w:type="pct"/>
                  <w:noWrap w:val="0"/>
                  <w:vAlign w:val="center"/>
                </w:tcPr>
                <w:p w14:paraId="6EF81D28">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4</w:t>
                  </w:r>
                </w:p>
              </w:tc>
              <w:tc>
                <w:tcPr>
                  <w:tcW w:w="449" w:type="pct"/>
                  <w:noWrap w:val="0"/>
                  <w:vAlign w:val="center"/>
                </w:tcPr>
                <w:p w14:paraId="4E1101EA">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台</w:t>
                  </w:r>
                </w:p>
              </w:tc>
              <w:tc>
                <w:tcPr>
                  <w:tcW w:w="1497" w:type="pct"/>
                  <w:noWrap w:val="0"/>
                  <w:vAlign w:val="center"/>
                </w:tcPr>
                <w:p w14:paraId="4C1F3F5F">
                  <w:pPr>
                    <w:keepNext w:val="0"/>
                    <w:keepLines w:val="0"/>
                    <w:pageBreakBefore w:val="0"/>
                    <w:widowControl/>
                    <w:kinsoku/>
                    <w:wordWrap/>
                    <w:overflowPunct/>
                    <w:topLinePunct w:val="0"/>
                    <w:autoSpaceDE/>
                    <w:autoSpaceDN/>
                    <w:bidi w:val="0"/>
                    <w:adjustRightInd/>
                    <w:snapToGrid/>
                    <w:ind w:firstLineChars="0"/>
                    <w:jc w:val="center"/>
                    <w:rPr>
                      <w:rFonts w:hint="default" w:ascii="Times New Roman" w:hAnsi="Times New Roman" w:eastAsia="宋体" w:cs="Times New Roman"/>
                      <w:b w:val="0"/>
                      <w:bCs w:val="0"/>
                      <w:i w:val="0"/>
                      <w:iCs w:val="0"/>
                      <w:color w:val="000000"/>
                      <w:sz w:val="21"/>
                      <w:szCs w:val="21"/>
                      <w:u w:val="none"/>
                      <w:lang w:val="en-US" w:eastAsia="zh-CN"/>
                    </w:rPr>
                  </w:pPr>
                  <w:r>
                    <w:rPr>
                      <w:rFonts w:hint="default" w:ascii="Times New Roman" w:hAnsi="Times New Roman" w:eastAsia="宋体" w:cs="Times New Roman"/>
                      <w:b w:val="0"/>
                      <w:bCs w:val="0"/>
                      <w:i w:val="0"/>
                      <w:iCs w:val="0"/>
                      <w:color w:val="000000"/>
                      <w:sz w:val="21"/>
                      <w:szCs w:val="21"/>
                      <w:u w:val="none"/>
                      <w:lang w:val="en-US" w:eastAsia="zh-CN"/>
                    </w:rPr>
                    <w:t>/</w:t>
                  </w:r>
                </w:p>
              </w:tc>
            </w:tr>
            <w:tr w14:paraId="585E9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431" w:type="pct"/>
                  <w:vMerge w:val="continue"/>
                  <w:noWrap w:val="0"/>
                  <w:vAlign w:val="center"/>
                </w:tcPr>
                <w:p w14:paraId="630AF692">
                  <w:pPr>
                    <w:keepNext w:val="0"/>
                    <w:keepLines w:val="0"/>
                    <w:pageBreakBefore w:val="0"/>
                    <w:widowControl/>
                    <w:kinsoku/>
                    <w:wordWrap/>
                    <w:overflowPunct/>
                    <w:topLinePunct w:val="0"/>
                    <w:autoSpaceDE/>
                    <w:autoSpaceDN/>
                    <w:bidi w:val="0"/>
                    <w:adjustRightInd/>
                    <w:snapToGrid/>
                    <w:ind w:firstLineChars="0"/>
                    <w:jc w:val="center"/>
                    <w:rPr>
                      <w:rFonts w:hint="default" w:ascii="Times New Roman" w:hAnsi="Times New Roman" w:eastAsia="宋体" w:cs="Times New Roman"/>
                      <w:b w:val="0"/>
                      <w:bCs w:val="0"/>
                      <w:i w:val="0"/>
                      <w:iCs w:val="0"/>
                      <w:color w:val="000000"/>
                      <w:sz w:val="21"/>
                      <w:szCs w:val="21"/>
                      <w:u w:val="none"/>
                    </w:rPr>
                  </w:pPr>
                </w:p>
              </w:tc>
              <w:tc>
                <w:tcPr>
                  <w:tcW w:w="1039" w:type="pct"/>
                  <w:noWrap w:val="0"/>
                  <w:vAlign w:val="center"/>
                </w:tcPr>
                <w:p w14:paraId="0F3FBA04">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刮泡机构电机</w:t>
                  </w:r>
                </w:p>
              </w:tc>
              <w:tc>
                <w:tcPr>
                  <w:tcW w:w="1119" w:type="pct"/>
                  <w:noWrap w:val="0"/>
                  <w:vAlign w:val="center"/>
                </w:tcPr>
                <w:p w14:paraId="2068E755">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N=2.2kw</w:t>
                  </w:r>
                </w:p>
              </w:tc>
              <w:tc>
                <w:tcPr>
                  <w:tcW w:w="463" w:type="pct"/>
                  <w:noWrap w:val="0"/>
                  <w:vAlign w:val="center"/>
                </w:tcPr>
                <w:p w14:paraId="52A7A852">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2</w:t>
                  </w:r>
                </w:p>
              </w:tc>
              <w:tc>
                <w:tcPr>
                  <w:tcW w:w="449" w:type="pct"/>
                  <w:noWrap w:val="0"/>
                  <w:vAlign w:val="center"/>
                </w:tcPr>
                <w:p w14:paraId="6AB524F5">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台</w:t>
                  </w:r>
                </w:p>
              </w:tc>
              <w:tc>
                <w:tcPr>
                  <w:tcW w:w="1497" w:type="pct"/>
                  <w:noWrap w:val="0"/>
                  <w:vAlign w:val="center"/>
                </w:tcPr>
                <w:p w14:paraId="4F65E935">
                  <w:pPr>
                    <w:keepNext w:val="0"/>
                    <w:keepLines w:val="0"/>
                    <w:pageBreakBefore w:val="0"/>
                    <w:widowControl/>
                    <w:kinsoku/>
                    <w:wordWrap/>
                    <w:overflowPunct/>
                    <w:topLinePunct w:val="0"/>
                    <w:autoSpaceDE/>
                    <w:autoSpaceDN/>
                    <w:bidi w:val="0"/>
                    <w:adjustRightInd/>
                    <w:snapToGrid/>
                    <w:ind w:firstLineChars="0"/>
                    <w:jc w:val="center"/>
                    <w:rPr>
                      <w:rFonts w:hint="default" w:ascii="Times New Roman" w:hAnsi="Times New Roman" w:eastAsia="宋体" w:cs="Times New Roman"/>
                      <w:b w:val="0"/>
                      <w:bCs w:val="0"/>
                      <w:i w:val="0"/>
                      <w:iCs w:val="0"/>
                      <w:color w:val="000000"/>
                      <w:sz w:val="21"/>
                      <w:szCs w:val="21"/>
                      <w:u w:val="none"/>
                      <w:lang w:val="en-US" w:eastAsia="zh-CN"/>
                    </w:rPr>
                  </w:pPr>
                  <w:r>
                    <w:rPr>
                      <w:rFonts w:hint="default" w:ascii="Times New Roman" w:hAnsi="Times New Roman" w:eastAsia="宋体" w:cs="Times New Roman"/>
                      <w:b w:val="0"/>
                      <w:bCs w:val="0"/>
                      <w:i w:val="0"/>
                      <w:iCs w:val="0"/>
                      <w:color w:val="000000"/>
                      <w:sz w:val="21"/>
                      <w:szCs w:val="21"/>
                      <w:u w:val="none"/>
                      <w:lang w:val="en-US" w:eastAsia="zh-CN"/>
                    </w:rPr>
                    <w:t>/</w:t>
                  </w:r>
                </w:p>
              </w:tc>
            </w:tr>
            <w:tr w14:paraId="72726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pct"/>
                  <w:vMerge w:val="restart"/>
                  <w:noWrap w:val="0"/>
                  <w:vAlign w:val="center"/>
                </w:tcPr>
                <w:p w14:paraId="48E2D085">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4</w:t>
                  </w:r>
                </w:p>
              </w:tc>
              <w:tc>
                <w:tcPr>
                  <w:tcW w:w="1039" w:type="pct"/>
                  <w:noWrap w:val="0"/>
                  <w:vAlign w:val="center"/>
                </w:tcPr>
                <w:p w14:paraId="7C7F5B3C">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二次机械搅拌式浮选机</w:t>
                  </w:r>
                </w:p>
              </w:tc>
              <w:tc>
                <w:tcPr>
                  <w:tcW w:w="1119" w:type="pct"/>
                  <w:noWrap w:val="0"/>
                  <w:vAlign w:val="center"/>
                </w:tcPr>
                <w:p w14:paraId="6A07BF1A">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XJM-S16-4</w:t>
                  </w:r>
                </w:p>
              </w:tc>
              <w:tc>
                <w:tcPr>
                  <w:tcW w:w="463" w:type="pct"/>
                  <w:noWrap w:val="0"/>
                  <w:vAlign w:val="center"/>
                </w:tcPr>
                <w:p w14:paraId="08CAA34B">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c>
                <w:tcPr>
                  <w:tcW w:w="449" w:type="pct"/>
                  <w:noWrap w:val="0"/>
                  <w:vAlign w:val="center"/>
                </w:tcPr>
                <w:p w14:paraId="7FD3284F">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台</w:t>
                  </w:r>
                </w:p>
              </w:tc>
              <w:tc>
                <w:tcPr>
                  <w:tcW w:w="1497" w:type="pct"/>
                  <w:noWrap w:val="0"/>
                  <w:vAlign w:val="center"/>
                </w:tcPr>
                <w:p w14:paraId="5FF932A1">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10mm钢板，耐磨铸钢转子</w:t>
                  </w:r>
                </w:p>
              </w:tc>
            </w:tr>
            <w:tr w14:paraId="36A73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pct"/>
                  <w:vMerge w:val="continue"/>
                  <w:noWrap w:val="0"/>
                  <w:vAlign w:val="center"/>
                </w:tcPr>
                <w:p w14:paraId="0EB550B1">
                  <w:pPr>
                    <w:keepNext w:val="0"/>
                    <w:keepLines w:val="0"/>
                    <w:pageBreakBefore w:val="0"/>
                    <w:widowControl/>
                    <w:kinsoku/>
                    <w:wordWrap/>
                    <w:overflowPunct/>
                    <w:topLinePunct w:val="0"/>
                    <w:autoSpaceDE/>
                    <w:autoSpaceDN/>
                    <w:bidi w:val="0"/>
                    <w:adjustRightInd/>
                    <w:snapToGrid/>
                    <w:ind w:firstLineChars="0"/>
                    <w:jc w:val="center"/>
                    <w:rPr>
                      <w:rFonts w:hint="default" w:ascii="Times New Roman" w:hAnsi="Times New Roman" w:eastAsia="宋体" w:cs="Times New Roman"/>
                      <w:b w:val="0"/>
                      <w:bCs w:val="0"/>
                      <w:i w:val="0"/>
                      <w:iCs w:val="0"/>
                      <w:color w:val="000000"/>
                      <w:sz w:val="21"/>
                      <w:szCs w:val="21"/>
                      <w:u w:val="none"/>
                    </w:rPr>
                  </w:pPr>
                </w:p>
              </w:tc>
              <w:tc>
                <w:tcPr>
                  <w:tcW w:w="1039" w:type="pct"/>
                  <w:noWrap w:val="0"/>
                  <w:vAlign w:val="center"/>
                </w:tcPr>
                <w:p w14:paraId="5E5C2DDC">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搅拌驱动电动机</w:t>
                  </w:r>
                </w:p>
              </w:tc>
              <w:tc>
                <w:tcPr>
                  <w:tcW w:w="1119" w:type="pct"/>
                  <w:noWrap w:val="0"/>
                  <w:vAlign w:val="center"/>
                </w:tcPr>
                <w:p w14:paraId="7C7D7332">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Y280M-6N=37kw</w:t>
                  </w:r>
                </w:p>
              </w:tc>
              <w:tc>
                <w:tcPr>
                  <w:tcW w:w="463" w:type="pct"/>
                  <w:noWrap w:val="0"/>
                  <w:vAlign w:val="center"/>
                </w:tcPr>
                <w:p w14:paraId="3ECF52D1">
                  <w:pPr>
                    <w:keepNext w:val="0"/>
                    <w:keepLines w:val="0"/>
                    <w:pageBreakBefore w:val="0"/>
                    <w:widowControl/>
                    <w:suppressLineNumbers w:val="0"/>
                    <w:kinsoku/>
                    <w:wordWrap/>
                    <w:overflowPunct/>
                    <w:topLinePunct w:val="0"/>
                    <w:autoSpaceDE/>
                    <w:autoSpaceDN/>
                    <w:bidi w:val="0"/>
                    <w:adjustRightInd/>
                    <w:snapToGrid/>
                    <w:ind w:firstLineChars="0"/>
                    <w:jc w:val="center"/>
                    <w:textAlignment w:val="top"/>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4</w:t>
                  </w:r>
                </w:p>
              </w:tc>
              <w:tc>
                <w:tcPr>
                  <w:tcW w:w="449" w:type="pct"/>
                  <w:noWrap w:val="0"/>
                  <w:vAlign w:val="center"/>
                </w:tcPr>
                <w:p w14:paraId="643CCA4E">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台</w:t>
                  </w:r>
                </w:p>
              </w:tc>
              <w:tc>
                <w:tcPr>
                  <w:tcW w:w="1497" w:type="pct"/>
                  <w:noWrap w:val="0"/>
                  <w:vAlign w:val="center"/>
                </w:tcPr>
                <w:p w14:paraId="6DF8116A">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处理一浮精矿</w:t>
                  </w:r>
                </w:p>
              </w:tc>
            </w:tr>
            <w:tr w14:paraId="3B10E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pct"/>
                  <w:vMerge w:val="continue"/>
                  <w:noWrap w:val="0"/>
                  <w:vAlign w:val="center"/>
                </w:tcPr>
                <w:p w14:paraId="139B88AC">
                  <w:pPr>
                    <w:keepNext w:val="0"/>
                    <w:keepLines w:val="0"/>
                    <w:pageBreakBefore w:val="0"/>
                    <w:widowControl/>
                    <w:kinsoku/>
                    <w:wordWrap/>
                    <w:overflowPunct/>
                    <w:topLinePunct w:val="0"/>
                    <w:autoSpaceDE/>
                    <w:autoSpaceDN/>
                    <w:bidi w:val="0"/>
                    <w:adjustRightInd/>
                    <w:snapToGrid/>
                    <w:ind w:firstLineChars="0"/>
                    <w:jc w:val="center"/>
                    <w:rPr>
                      <w:rFonts w:hint="default" w:ascii="Times New Roman" w:hAnsi="Times New Roman" w:eastAsia="宋体" w:cs="Times New Roman"/>
                      <w:b w:val="0"/>
                      <w:bCs w:val="0"/>
                      <w:i w:val="0"/>
                      <w:iCs w:val="0"/>
                      <w:color w:val="000000"/>
                      <w:sz w:val="21"/>
                      <w:szCs w:val="21"/>
                      <w:u w:val="none"/>
                    </w:rPr>
                  </w:pPr>
                </w:p>
              </w:tc>
              <w:tc>
                <w:tcPr>
                  <w:tcW w:w="1039" w:type="pct"/>
                  <w:noWrap w:val="0"/>
                  <w:vAlign w:val="center"/>
                </w:tcPr>
                <w:p w14:paraId="1EC300B4">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刮泡机构电机</w:t>
                  </w:r>
                </w:p>
              </w:tc>
              <w:tc>
                <w:tcPr>
                  <w:tcW w:w="1119" w:type="pct"/>
                  <w:noWrap w:val="0"/>
                  <w:vAlign w:val="center"/>
                </w:tcPr>
                <w:p w14:paraId="590CB0D4">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N=2.2kw</w:t>
                  </w:r>
                </w:p>
              </w:tc>
              <w:tc>
                <w:tcPr>
                  <w:tcW w:w="463" w:type="pct"/>
                  <w:noWrap w:val="0"/>
                  <w:vAlign w:val="center"/>
                </w:tcPr>
                <w:p w14:paraId="18F8C115">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2</w:t>
                  </w:r>
                </w:p>
              </w:tc>
              <w:tc>
                <w:tcPr>
                  <w:tcW w:w="449" w:type="pct"/>
                  <w:noWrap w:val="0"/>
                  <w:vAlign w:val="center"/>
                </w:tcPr>
                <w:p w14:paraId="6F729311">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台</w:t>
                  </w:r>
                </w:p>
              </w:tc>
              <w:tc>
                <w:tcPr>
                  <w:tcW w:w="1497" w:type="pct"/>
                  <w:noWrap w:val="0"/>
                  <w:vAlign w:val="center"/>
                </w:tcPr>
                <w:p w14:paraId="6FF93FE9">
                  <w:pPr>
                    <w:keepNext w:val="0"/>
                    <w:keepLines w:val="0"/>
                    <w:pageBreakBefore w:val="0"/>
                    <w:widowControl/>
                    <w:kinsoku/>
                    <w:wordWrap/>
                    <w:overflowPunct/>
                    <w:topLinePunct w:val="0"/>
                    <w:autoSpaceDE/>
                    <w:autoSpaceDN/>
                    <w:bidi w:val="0"/>
                    <w:adjustRightInd/>
                    <w:snapToGrid/>
                    <w:ind w:firstLineChars="0"/>
                    <w:jc w:val="center"/>
                    <w:rPr>
                      <w:rFonts w:hint="default" w:ascii="Times New Roman" w:hAnsi="Times New Roman" w:eastAsia="宋体" w:cs="Times New Roman"/>
                      <w:b w:val="0"/>
                      <w:bCs w:val="0"/>
                      <w:i w:val="0"/>
                      <w:iCs w:val="0"/>
                      <w:color w:val="000000"/>
                      <w:sz w:val="21"/>
                      <w:szCs w:val="21"/>
                      <w:u w:val="none"/>
                      <w:lang w:val="en-US" w:eastAsia="zh-CN"/>
                    </w:rPr>
                  </w:pPr>
                  <w:r>
                    <w:rPr>
                      <w:rFonts w:hint="default" w:ascii="Times New Roman" w:hAnsi="Times New Roman" w:eastAsia="宋体" w:cs="Times New Roman"/>
                      <w:b w:val="0"/>
                      <w:bCs w:val="0"/>
                      <w:i w:val="0"/>
                      <w:iCs w:val="0"/>
                      <w:color w:val="000000"/>
                      <w:sz w:val="21"/>
                      <w:szCs w:val="21"/>
                      <w:u w:val="none"/>
                      <w:lang w:val="en-US" w:eastAsia="zh-CN"/>
                    </w:rPr>
                    <w:t>/</w:t>
                  </w:r>
                </w:p>
              </w:tc>
            </w:tr>
            <w:tr w14:paraId="3E57F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pct"/>
                  <w:noWrap w:val="0"/>
                  <w:vAlign w:val="center"/>
                </w:tcPr>
                <w:p w14:paraId="141BCE5F">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5</w:t>
                  </w:r>
                </w:p>
              </w:tc>
              <w:tc>
                <w:tcPr>
                  <w:tcW w:w="1039" w:type="pct"/>
                  <w:noWrap w:val="0"/>
                  <w:vAlign w:val="center"/>
                </w:tcPr>
                <w:p w14:paraId="35A52FA7">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消泡清水泵</w:t>
                  </w:r>
                </w:p>
              </w:tc>
              <w:tc>
                <w:tcPr>
                  <w:tcW w:w="1119" w:type="pct"/>
                  <w:noWrap w:val="0"/>
                  <w:vAlign w:val="center"/>
                </w:tcPr>
                <w:p w14:paraId="4F29AC1B">
                  <w:pPr>
                    <w:keepNext w:val="0"/>
                    <w:keepLines w:val="0"/>
                    <w:pageBreakBefore w:val="0"/>
                    <w:widowControl/>
                    <w:kinsoku/>
                    <w:wordWrap/>
                    <w:overflowPunct/>
                    <w:topLinePunct w:val="0"/>
                    <w:autoSpaceDE/>
                    <w:autoSpaceDN/>
                    <w:bidi w:val="0"/>
                    <w:adjustRightInd/>
                    <w:snapToGrid/>
                    <w:ind w:firstLineChars="0"/>
                    <w:jc w:val="center"/>
                    <w:rPr>
                      <w:rFonts w:hint="default" w:ascii="Times New Roman" w:hAnsi="Times New Roman" w:eastAsia="宋体" w:cs="Times New Roman"/>
                      <w:b w:val="0"/>
                      <w:bCs w:val="0"/>
                      <w:i w:val="0"/>
                      <w:iCs w:val="0"/>
                      <w:color w:val="000000"/>
                      <w:sz w:val="21"/>
                      <w:szCs w:val="21"/>
                      <w:u w:val="none"/>
                      <w:lang w:val="en-US" w:eastAsia="zh-CN"/>
                    </w:rPr>
                  </w:pPr>
                  <w:r>
                    <w:rPr>
                      <w:rFonts w:hint="default" w:ascii="Times New Roman" w:hAnsi="Times New Roman" w:eastAsia="宋体" w:cs="Times New Roman"/>
                      <w:b w:val="0"/>
                      <w:bCs w:val="0"/>
                      <w:i w:val="0"/>
                      <w:iCs w:val="0"/>
                      <w:color w:val="000000"/>
                      <w:sz w:val="21"/>
                      <w:szCs w:val="21"/>
                      <w:u w:val="none"/>
                      <w:lang w:val="en-US" w:eastAsia="zh-CN"/>
                    </w:rPr>
                    <w:t>/</w:t>
                  </w:r>
                </w:p>
              </w:tc>
              <w:tc>
                <w:tcPr>
                  <w:tcW w:w="463" w:type="pct"/>
                  <w:noWrap w:val="0"/>
                  <w:vAlign w:val="center"/>
                </w:tcPr>
                <w:p w14:paraId="2DB2858A">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c>
                <w:tcPr>
                  <w:tcW w:w="449" w:type="pct"/>
                  <w:noWrap w:val="0"/>
                  <w:vAlign w:val="center"/>
                </w:tcPr>
                <w:p w14:paraId="5A443F09">
                  <w:pPr>
                    <w:keepNext w:val="0"/>
                    <w:keepLines w:val="0"/>
                    <w:pageBreakBefore w:val="0"/>
                    <w:widowControl/>
                    <w:kinsoku/>
                    <w:wordWrap/>
                    <w:overflowPunct/>
                    <w:topLinePunct w:val="0"/>
                    <w:autoSpaceDE/>
                    <w:autoSpaceDN/>
                    <w:bidi w:val="0"/>
                    <w:adjustRightInd/>
                    <w:snapToGrid/>
                    <w:ind w:firstLineChars="0"/>
                    <w:jc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台</w:t>
                  </w:r>
                </w:p>
              </w:tc>
              <w:tc>
                <w:tcPr>
                  <w:tcW w:w="1497" w:type="pct"/>
                  <w:noWrap w:val="0"/>
                  <w:vAlign w:val="center"/>
                </w:tcPr>
                <w:p w14:paraId="3CC89870">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Q=100m</w:t>
                  </w:r>
                  <w:r>
                    <w:rPr>
                      <w:rFonts w:hint="default" w:ascii="Times New Roman" w:hAnsi="Times New Roman" w:eastAsia="宋体" w:cs="Times New Roman"/>
                      <w:b w:val="0"/>
                      <w:bCs w:val="0"/>
                      <w:i w:val="0"/>
                      <w:iCs w:val="0"/>
                      <w:color w:val="000000"/>
                      <w:kern w:val="0"/>
                      <w:sz w:val="21"/>
                      <w:szCs w:val="21"/>
                      <w:u w:val="none"/>
                      <w:vertAlign w:val="superscript"/>
                      <w:lang w:val="en-US" w:eastAsia="zh-CN" w:bidi="ar"/>
                    </w:rPr>
                    <w:t>3</w:t>
                  </w:r>
                  <w:r>
                    <w:rPr>
                      <w:rFonts w:hint="default" w:ascii="Times New Roman" w:hAnsi="Times New Roman" w:eastAsia="宋体" w:cs="Times New Roman"/>
                      <w:b w:val="0"/>
                      <w:bCs w:val="0"/>
                      <w:i w:val="0"/>
                      <w:iCs w:val="0"/>
                      <w:color w:val="000000"/>
                      <w:kern w:val="0"/>
                      <w:sz w:val="21"/>
                      <w:szCs w:val="21"/>
                      <w:u w:val="none"/>
                      <w:lang w:val="en-US" w:eastAsia="zh-CN" w:bidi="ar"/>
                    </w:rPr>
                    <w:t>/H，H=20m</w:t>
                  </w:r>
                </w:p>
              </w:tc>
            </w:tr>
            <w:tr w14:paraId="28C2A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pct"/>
                  <w:vMerge w:val="restart"/>
                  <w:noWrap w:val="0"/>
                  <w:vAlign w:val="center"/>
                </w:tcPr>
                <w:p w14:paraId="7E7D96A2">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eastAsia" w:ascii="Times New Roman" w:hAnsi="Times New Roman" w:eastAsia="宋体" w:cs="Times New Roman"/>
                      <w:b w:val="0"/>
                      <w:bCs w:val="0"/>
                      <w:i w:val="0"/>
                      <w:iCs w:val="0"/>
                      <w:color w:val="000000"/>
                      <w:kern w:val="0"/>
                      <w:sz w:val="21"/>
                      <w:szCs w:val="21"/>
                      <w:u w:val="none"/>
                      <w:lang w:val="en-US" w:eastAsia="zh-CN" w:bidi="ar"/>
                    </w:rPr>
                    <w:t>6</w:t>
                  </w:r>
                </w:p>
              </w:tc>
              <w:tc>
                <w:tcPr>
                  <w:tcW w:w="1039" w:type="pct"/>
                  <w:noWrap w:val="0"/>
                  <w:vAlign w:val="center"/>
                </w:tcPr>
                <w:p w14:paraId="243C8D35">
                  <w:pPr>
                    <w:keepNext w:val="0"/>
                    <w:keepLines w:val="0"/>
                    <w:pageBreakBefore w:val="0"/>
                    <w:widowControl/>
                    <w:suppressLineNumbers w:val="0"/>
                    <w:kinsoku/>
                    <w:wordWrap/>
                    <w:overflowPunct/>
                    <w:topLinePunct w:val="0"/>
                    <w:autoSpaceDE/>
                    <w:autoSpaceDN/>
                    <w:bidi w:val="0"/>
                    <w:adjustRightInd/>
                    <w:snapToGrid/>
                    <w:ind w:firstLineChars="0"/>
                    <w:jc w:val="center"/>
                    <w:textAlignment w:val="top"/>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浮选精煤空气穿流隔膜</w:t>
                  </w:r>
                </w:p>
              </w:tc>
              <w:tc>
                <w:tcPr>
                  <w:tcW w:w="1119" w:type="pct"/>
                  <w:vMerge w:val="restart"/>
                  <w:noWrap w:val="0"/>
                  <w:vAlign w:val="center"/>
                </w:tcPr>
                <w:p w14:paraId="4FDC62EC">
                  <w:pPr>
                    <w:keepNext w:val="0"/>
                    <w:keepLines w:val="0"/>
                    <w:pageBreakBefore w:val="0"/>
                    <w:widowControl/>
                    <w:suppressLineNumbers w:val="0"/>
                    <w:kinsoku/>
                    <w:wordWrap/>
                    <w:overflowPunct/>
                    <w:topLinePunct w:val="0"/>
                    <w:autoSpaceDE/>
                    <w:autoSpaceDN/>
                    <w:bidi w:val="0"/>
                    <w:adjustRightInd/>
                    <w:snapToGrid/>
                    <w:ind w:firstLineChars="0"/>
                    <w:jc w:val="center"/>
                    <w:textAlignment w:val="top"/>
                    <w:rPr>
                      <w:rFonts w:hint="default" w:ascii="Times New Roman" w:hAnsi="Times New Roman" w:eastAsia="宋体" w:cs="Times New Roman"/>
                      <w:b w:val="0"/>
                      <w:bCs w:val="0"/>
                      <w:i w:val="0"/>
                      <w:iCs w:val="0"/>
                      <w:color w:val="000000"/>
                      <w:sz w:val="21"/>
                      <w:szCs w:val="21"/>
                      <w:u w:val="none"/>
                      <w:lang w:val="en-US"/>
                    </w:rPr>
                  </w:pPr>
                  <w:r>
                    <w:rPr>
                      <w:rFonts w:hint="default" w:ascii="Times New Roman" w:hAnsi="Times New Roman" w:eastAsia="宋体" w:cs="Times New Roman"/>
                      <w:b w:val="0"/>
                      <w:bCs w:val="0"/>
                      <w:i w:val="0"/>
                      <w:iCs w:val="0"/>
                      <w:color w:val="000000"/>
                      <w:kern w:val="0"/>
                      <w:sz w:val="21"/>
                      <w:szCs w:val="21"/>
                      <w:u w:val="none"/>
                      <w:lang w:val="en-US" w:eastAsia="zh-CN" w:bidi="ar"/>
                    </w:rPr>
                    <w:t>XMZ1500-U型F=400m</w:t>
                  </w:r>
                  <w:r>
                    <w:rPr>
                      <w:rFonts w:hint="default" w:ascii="Times New Roman" w:hAnsi="Times New Roman" w:eastAsia="宋体" w:cs="Times New Roman"/>
                      <w:b w:val="0"/>
                      <w:bCs w:val="0"/>
                      <w:i w:val="0"/>
                      <w:iCs w:val="0"/>
                      <w:color w:val="000000"/>
                      <w:kern w:val="0"/>
                      <w:sz w:val="21"/>
                      <w:szCs w:val="21"/>
                      <w:u w:val="none"/>
                      <w:vertAlign w:val="superscript"/>
                      <w:lang w:val="en-US" w:eastAsia="zh-CN" w:bidi="ar"/>
                    </w:rPr>
                    <w:t>2</w:t>
                  </w:r>
                </w:p>
              </w:tc>
              <w:tc>
                <w:tcPr>
                  <w:tcW w:w="463" w:type="pct"/>
                  <w:vMerge w:val="restart"/>
                  <w:noWrap w:val="0"/>
                  <w:vAlign w:val="center"/>
                </w:tcPr>
                <w:p w14:paraId="6BE5C511">
                  <w:pPr>
                    <w:keepNext w:val="0"/>
                    <w:keepLines w:val="0"/>
                    <w:pageBreakBefore w:val="0"/>
                    <w:widowControl/>
                    <w:suppressLineNumbers w:val="0"/>
                    <w:kinsoku/>
                    <w:wordWrap/>
                    <w:overflowPunct/>
                    <w:topLinePunct w:val="0"/>
                    <w:autoSpaceDE/>
                    <w:autoSpaceDN/>
                    <w:bidi w:val="0"/>
                    <w:adjustRightInd/>
                    <w:snapToGrid/>
                    <w:ind w:firstLineChars="0"/>
                    <w:jc w:val="center"/>
                    <w:textAlignment w:val="top"/>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2</w:t>
                  </w:r>
                </w:p>
              </w:tc>
              <w:tc>
                <w:tcPr>
                  <w:tcW w:w="449" w:type="pct"/>
                  <w:vMerge w:val="restart"/>
                  <w:noWrap w:val="0"/>
                  <w:vAlign w:val="center"/>
                </w:tcPr>
                <w:p w14:paraId="541B2CEE">
                  <w:pPr>
                    <w:keepNext w:val="0"/>
                    <w:keepLines w:val="0"/>
                    <w:pageBreakBefore w:val="0"/>
                    <w:widowControl/>
                    <w:kinsoku/>
                    <w:wordWrap/>
                    <w:overflowPunct/>
                    <w:topLinePunct w:val="0"/>
                    <w:autoSpaceDE/>
                    <w:autoSpaceDN/>
                    <w:bidi w:val="0"/>
                    <w:adjustRightInd/>
                    <w:snapToGrid/>
                    <w:ind w:firstLineChars="0"/>
                    <w:jc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台</w:t>
                  </w:r>
                </w:p>
              </w:tc>
              <w:tc>
                <w:tcPr>
                  <w:tcW w:w="1497" w:type="pct"/>
                  <w:vMerge w:val="restart"/>
                  <w:noWrap w:val="0"/>
                  <w:vAlign w:val="center"/>
                </w:tcPr>
                <w:p w14:paraId="4668F060">
                  <w:pPr>
                    <w:keepNext w:val="0"/>
                    <w:keepLines w:val="0"/>
                    <w:pageBreakBefore w:val="0"/>
                    <w:widowControl/>
                    <w:suppressLineNumbers w:val="0"/>
                    <w:kinsoku/>
                    <w:wordWrap/>
                    <w:overflowPunct/>
                    <w:topLinePunct w:val="0"/>
                    <w:autoSpaceDE/>
                    <w:autoSpaceDN/>
                    <w:bidi w:val="0"/>
                    <w:adjustRightInd/>
                    <w:snapToGrid/>
                    <w:ind w:firstLineChars="0"/>
                    <w:jc w:val="center"/>
                    <w:textAlignment w:val="top"/>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单丝滤布入料压力≦0.8MPa</w:t>
                  </w:r>
                </w:p>
              </w:tc>
            </w:tr>
            <w:tr w14:paraId="226AD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pct"/>
                  <w:vMerge w:val="continue"/>
                  <w:noWrap w:val="0"/>
                  <w:vAlign w:val="center"/>
                </w:tcPr>
                <w:p w14:paraId="56B13CD8">
                  <w:pPr>
                    <w:keepNext w:val="0"/>
                    <w:keepLines w:val="0"/>
                    <w:pageBreakBefore w:val="0"/>
                    <w:widowControl/>
                    <w:kinsoku/>
                    <w:wordWrap/>
                    <w:overflowPunct/>
                    <w:topLinePunct w:val="0"/>
                    <w:autoSpaceDE/>
                    <w:autoSpaceDN/>
                    <w:bidi w:val="0"/>
                    <w:adjustRightInd/>
                    <w:snapToGrid/>
                    <w:ind w:firstLineChars="0"/>
                    <w:jc w:val="center"/>
                    <w:rPr>
                      <w:rFonts w:hint="default" w:ascii="Times New Roman" w:hAnsi="Times New Roman" w:eastAsia="宋体" w:cs="Times New Roman"/>
                      <w:b w:val="0"/>
                      <w:bCs w:val="0"/>
                      <w:i w:val="0"/>
                      <w:iCs w:val="0"/>
                      <w:color w:val="000000"/>
                      <w:sz w:val="21"/>
                      <w:szCs w:val="21"/>
                      <w:u w:val="none"/>
                    </w:rPr>
                  </w:pPr>
                </w:p>
              </w:tc>
              <w:tc>
                <w:tcPr>
                  <w:tcW w:w="1039" w:type="pct"/>
                  <w:noWrap w:val="0"/>
                  <w:vAlign w:val="center"/>
                </w:tcPr>
                <w:p w14:paraId="18857894">
                  <w:pPr>
                    <w:keepNext w:val="0"/>
                    <w:keepLines w:val="0"/>
                    <w:pageBreakBefore w:val="0"/>
                    <w:widowControl/>
                    <w:suppressLineNumbers w:val="0"/>
                    <w:kinsoku/>
                    <w:wordWrap/>
                    <w:overflowPunct/>
                    <w:topLinePunct w:val="0"/>
                    <w:autoSpaceDE/>
                    <w:autoSpaceDN/>
                    <w:bidi w:val="0"/>
                    <w:adjustRightInd/>
                    <w:snapToGrid/>
                    <w:ind w:firstLineChars="0"/>
                    <w:jc w:val="center"/>
                    <w:textAlignment w:val="top"/>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箱式程控压滤机</w:t>
                  </w:r>
                </w:p>
              </w:tc>
              <w:tc>
                <w:tcPr>
                  <w:tcW w:w="1119" w:type="pct"/>
                  <w:vMerge w:val="continue"/>
                  <w:noWrap w:val="0"/>
                  <w:vAlign w:val="center"/>
                </w:tcPr>
                <w:p w14:paraId="3D90DD9B">
                  <w:pPr>
                    <w:keepNext w:val="0"/>
                    <w:keepLines w:val="0"/>
                    <w:pageBreakBefore w:val="0"/>
                    <w:widowControl/>
                    <w:kinsoku/>
                    <w:wordWrap/>
                    <w:overflowPunct/>
                    <w:topLinePunct w:val="0"/>
                    <w:autoSpaceDE/>
                    <w:autoSpaceDN/>
                    <w:bidi w:val="0"/>
                    <w:adjustRightInd/>
                    <w:snapToGrid/>
                    <w:ind w:firstLineChars="0"/>
                    <w:jc w:val="center"/>
                    <w:rPr>
                      <w:rFonts w:hint="default" w:ascii="Times New Roman" w:hAnsi="Times New Roman" w:eastAsia="宋体" w:cs="Times New Roman"/>
                      <w:b w:val="0"/>
                      <w:bCs w:val="0"/>
                      <w:i w:val="0"/>
                      <w:iCs w:val="0"/>
                      <w:color w:val="000000"/>
                      <w:sz w:val="21"/>
                      <w:szCs w:val="21"/>
                      <w:u w:val="none"/>
                    </w:rPr>
                  </w:pPr>
                </w:p>
              </w:tc>
              <w:tc>
                <w:tcPr>
                  <w:tcW w:w="463" w:type="pct"/>
                  <w:vMerge w:val="continue"/>
                  <w:noWrap w:val="0"/>
                  <w:vAlign w:val="center"/>
                </w:tcPr>
                <w:p w14:paraId="748A4FCF">
                  <w:pPr>
                    <w:keepNext w:val="0"/>
                    <w:keepLines w:val="0"/>
                    <w:pageBreakBefore w:val="0"/>
                    <w:widowControl/>
                    <w:kinsoku/>
                    <w:wordWrap/>
                    <w:overflowPunct/>
                    <w:topLinePunct w:val="0"/>
                    <w:autoSpaceDE/>
                    <w:autoSpaceDN/>
                    <w:bidi w:val="0"/>
                    <w:adjustRightInd/>
                    <w:snapToGrid/>
                    <w:ind w:firstLineChars="0"/>
                    <w:jc w:val="center"/>
                    <w:rPr>
                      <w:rFonts w:hint="default" w:ascii="Times New Roman" w:hAnsi="Times New Roman" w:eastAsia="宋体" w:cs="Times New Roman"/>
                      <w:b w:val="0"/>
                      <w:bCs w:val="0"/>
                      <w:i w:val="0"/>
                      <w:iCs w:val="0"/>
                      <w:color w:val="000000"/>
                      <w:sz w:val="21"/>
                      <w:szCs w:val="21"/>
                      <w:u w:val="none"/>
                    </w:rPr>
                  </w:pPr>
                </w:p>
              </w:tc>
              <w:tc>
                <w:tcPr>
                  <w:tcW w:w="449" w:type="pct"/>
                  <w:vMerge w:val="continue"/>
                  <w:noWrap w:val="0"/>
                  <w:vAlign w:val="center"/>
                </w:tcPr>
                <w:p w14:paraId="757EC71A">
                  <w:pPr>
                    <w:keepNext w:val="0"/>
                    <w:keepLines w:val="0"/>
                    <w:pageBreakBefore w:val="0"/>
                    <w:widowControl/>
                    <w:kinsoku/>
                    <w:wordWrap/>
                    <w:overflowPunct/>
                    <w:topLinePunct w:val="0"/>
                    <w:autoSpaceDE/>
                    <w:autoSpaceDN/>
                    <w:bidi w:val="0"/>
                    <w:adjustRightInd/>
                    <w:snapToGrid/>
                    <w:ind w:firstLineChars="0"/>
                    <w:jc w:val="center"/>
                    <w:rPr>
                      <w:rFonts w:hint="default" w:ascii="Times New Roman" w:hAnsi="Times New Roman" w:eastAsia="宋体" w:cs="Times New Roman"/>
                      <w:b w:val="0"/>
                      <w:bCs w:val="0"/>
                      <w:i w:val="0"/>
                      <w:iCs w:val="0"/>
                      <w:color w:val="000000"/>
                      <w:sz w:val="21"/>
                      <w:szCs w:val="21"/>
                      <w:u w:val="none"/>
                    </w:rPr>
                  </w:pPr>
                </w:p>
              </w:tc>
              <w:tc>
                <w:tcPr>
                  <w:tcW w:w="1497" w:type="pct"/>
                  <w:vMerge w:val="continue"/>
                  <w:noWrap w:val="0"/>
                  <w:vAlign w:val="center"/>
                </w:tcPr>
                <w:p w14:paraId="0C803AF7">
                  <w:pPr>
                    <w:keepNext w:val="0"/>
                    <w:keepLines w:val="0"/>
                    <w:pageBreakBefore w:val="0"/>
                    <w:widowControl/>
                    <w:kinsoku/>
                    <w:wordWrap/>
                    <w:overflowPunct/>
                    <w:topLinePunct w:val="0"/>
                    <w:autoSpaceDE/>
                    <w:autoSpaceDN/>
                    <w:bidi w:val="0"/>
                    <w:adjustRightInd/>
                    <w:snapToGrid/>
                    <w:ind w:firstLineChars="0"/>
                    <w:jc w:val="center"/>
                    <w:rPr>
                      <w:rFonts w:hint="default" w:ascii="Times New Roman" w:hAnsi="Times New Roman" w:eastAsia="宋体" w:cs="Times New Roman"/>
                      <w:b w:val="0"/>
                      <w:bCs w:val="0"/>
                      <w:i w:val="0"/>
                      <w:iCs w:val="0"/>
                      <w:color w:val="000000"/>
                      <w:sz w:val="21"/>
                      <w:szCs w:val="21"/>
                      <w:u w:val="none"/>
                    </w:rPr>
                  </w:pPr>
                </w:p>
              </w:tc>
            </w:tr>
            <w:tr w14:paraId="76174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pct"/>
                  <w:noWrap w:val="0"/>
                  <w:vAlign w:val="center"/>
                </w:tcPr>
                <w:p w14:paraId="75C76322">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eastAsia" w:ascii="Times New Roman" w:hAnsi="Times New Roman" w:eastAsia="宋体" w:cs="Times New Roman"/>
                      <w:b w:val="0"/>
                      <w:bCs w:val="0"/>
                      <w:i w:val="0"/>
                      <w:iCs w:val="0"/>
                      <w:color w:val="000000"/>
                      <w:sz w:val="21"/>
                      <w:szCs w:val="21"/>
                      <w:u w:val="none"/>
                      <w:lang w:val="en-US" w:eastAsia="zh-CN"/>
                    </w:rPr>
                  </w:pPr>
                  <w:r>
                    <w:rPr>
                      <w:rFonts w:hint="eastAsia" w:ascii="Times New Roman" w:hAnsi="Times New Roman" w:eastAsia="宋体" w:cs="Times New Roman"/>
                      <w:b w:val="0"/>
                      <w:bCs w:val="0"/>
                      <w:i w:val="0"/>
                      <w:iCs w:val="0"/>
                      <w:color w:val="000000"/>
                      <w:sz w:val="21"/>
                      <w:szCs w:val="21"/>
                      <w:u w:val="none"/>
                      <w:lang w:val="en-US" w:eastAsia="zh-CN"/>
                    </w:rPr>
                    <w:t>7</w:t>
                  </w:r>
                </w:p>
              </w:tc>
              <w:tc>
                <w:tcPr>
                  <w:tcW w:w="1039" w:type="pct"/>
                  <w:noWrap w:val="0"/>
                  <w:vAlign w:val="center"/>
                </w:tcPr>
                <w:p w14:paraId="7CE2F0E3">
                  <w:pPr>
                    <w:keepNext w:val="0"/>
                    <w:keepLines w:val="0"/>
                    <w:pageBreakBefore w:val="0"/>
                    <w:widowControl/>
                    <w:suppressLineNumbers w:val="0"/>
                    <w:kinsoku/>
                    <w:wordWrap/>
                    <w:overflowPunct/>
                    <w:topLinePunct w:val="0"/>
                    <w:autoSpaceDE/>
                    <w:autoSpaceDN/>
                    <w:bidi w:val="0"/>
                    <w:adjustRightInd/>
                    <w:snapToGrid/>
                    <w:ind w:firstLineChars="0"/>
                    <w:jc w:val="center"/>
                    <w:textAlignment w:val="top"/>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中煤箱式程控压滤机</w:t>
                  </w:r>
                </w:p>
              </w:tc>
              <w:tc>
                <w:tcPr>
                  <w:tcW w:w="1119" w:type="pct"/>
                  <w:noWrap w:val="0"/>
                  <w:vAlign w:val="center"/>
                </w:tcPr>
                <w:p w14:paraId="31C71502">
                  <w:pPr>
                    <w:keepNext w:val="0"/>
                    <w:keepLines w:val="0"/>
                    <w:pageBreakBefore w:val="0"/>
                    <w:widowControl/>
                    <w:suppressLineNumbers w:val="0"/>
                    <w:kinsoku/>
                    <w:wordWrap/>
                    <w:overflowPunct/>
                    <w:topLinePunct w:val="0"/>
                    <w:autoSpaceDE/>
                    <w:autoSpaceDN/>
                    <w:bidi w:val="0"/>
                    <w:adjustRightInd/>
                    <w:snapToGrid/>
                    <w:ind w:firstLineChars="0"/>
                    <w:jc w:val="center"/>
                    <w:textAlignment w:val="top"/>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XMZ1500-U型F=400m</w:t>
                  </w:r>
                  <w:r>
                    <w:rPr>
                      <w:rFonts w:hint="default" w:ascii="Times New Roman" w:hAnsi="Times New Roman" w:eastAsia="宋体" w:cs="Times New Roman"/>
                      <w:b w:val="0"/>
                      <w:bCs w:val="0"/>
                      <w:i w:val="0"/>
                      <w:iCs w:val="0"/>
                      <w:color w:val="000000"/>
                      <w:kern w:val="0"/>
                      <w:sz w:val="21"/>
                      <w:szCs w:val="21"/>
                      <w:u w:val="none"/>
                      <w:vertAlign w:val="superscript"/>
                      <w:lang w:val="en-US" w:eastAsia="zh-CN" w:bidi="ar"/>
                    </w:rPr>
                    <w:t>2</w:t>
                  </w:r>
                </w:p>
              </w:tc>
              <w:tc>
                <w:tcPr>
                  <w:tcW w:w="463" w:type="pct"/>
                  <w:noWrap w:val="0"/>
                  <w:vAlign w:val="center"/>
                </w:tcPr>
                <w:p w14:paraId="0A5C72A9">
                  <w:pPr>
                    <w:keepNext w:val="0"/>
                    <w:keepLines w:val="0"/>
                    <w:pageBreakBefore w:val="0"/>
                    <w:widowControl/>
                    <w:suppressLineNumbers w:val="0"/>
                    <w:kinsoku/>
                    <w:wordWrap/>
                    <w:overflowPunct/>
                    <w:topLinePunct w:val="0"/>
                    <w:autoSpaceDE/>
                    <w:autoSpaceDN/>
                    <w:bidi w:val="0"/>
                    <w:adjustRightInd/>
                    <w:snapToGrid/>
                    <w:ind w:firstLineChars="0"/>
                    <w:jc w:val="center"/>
                    <w:textAlignment w:val="top"/>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c>
                <w:tcPr>
                  <w:tcW w:w="449" w:type="pct"/>
                  <w:noWrap w:val="0"/>
                  <w:vAlign w:val="center"/>
                </w:tcPr>
                <w:p w14:paraId="09E90EB6">
                  <w:pPr>
                    <w:keepNext w:val="0"/>
                    <w:keepLines w:val="0"/>
                    <w:pageBreakBefore w:val="0"/>
                    <w:widowControl/>
                    <w:kinsoku/>
                    <w:wordWrap/>
                    <w:overflowPunct/>
                    <w:topLinePunct w:val="0"/>
                    <w:autoSpaceDE/>
                    <w:autoSpaceDN/>
                    <w:bidi w:val="0"/>
                    <w:adjustRightInd/>
                    <w:snapToGrid/>
                    <w:ind w:firstLineChars="0"/>
                    <w:jc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台</w:t>
                  </w:r>
                </w:p>
              </w:tc>
              <w:tc>
                <w:tcPr>
                  <w:tcW w:w="1497" w:type="pct"/>
                  <w:noWrap w:val="0"/>
                  <w:vAlign w:val="center"/>
                </w:tcPr>
                <w:p w14:paraId="3F0CEBB4">
                  <w:pPr>
                    <w:keepNext w:val="0"/>
                    <w:keepLines w:val="0"/>
                    <w:pageBreakBefore w:val="0"/>
                    <w:widowControl/>
                    <w:suppressLineNumbers w:val="0"/>
                    <w:kinsoku/>
                    <w:wordWrap/>
                    <w:overflowPunct/>
                    <w:topLinePunct w:val="0"/>
                    <w:autoSpaceDE/>
                    <w:autoSpaceDN/>
                    <w:bidi w:val="0"/>
                    <w:adjustRightInd/>
                    <w:snapToGrid/>
                    <w:ind w:firstLineChars="0"/>
                    <w:jc w:val="center"/>
                    <w:textAlignment w:val="top"/>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单丝滤布入料压力≦0.8MPa</w:t>
                  </w:r>
                </w:p>
              </w:tc>
            </w:tr>
            <w:tr w14:paraId="24CED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pct"/>
                  <w:noWrap w:val="0"/>
                  <w:vAlign w:val="center"/>
                </w:tcPr>
                <w:p w14:paraId="55AEAA55">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eastAsia" w:ascii="Times New Roman" w:hAnsi="Times New Roman" w:eastAsia="宋体" w:cs="Times New Roman"/>
                      <w:b w:val="0"/>
                      <w:bCs w:val="0"/>
                      <w:i w:val="0"/>
                      <w:iCs w:val="0"/>
                      <w:color w:val="000000"/>
                      <w:kern w:val="0"/>
                      <w:sz w:val="21"/>
                      <w:szCs w:val="21"/>
                      <w:u w:val="none"/>
                      <w:lang w:val="en-US" w:eastAsia="zh-CN" w:bidi="ar"/>
                    </w:rPr>
                    <w:t>8</w:t>
                  </w:r>
                </w:p>
              </w:tc>
              <w:tc>
                <w:tcPr>
                  <w:tcW w:w="1039" w:type="pct"/>
                  <w:noWrap w:val="0"/>
                  <w:vAlign w:val="center"/>
                </w:tcPr>
                <w:p w14:paraId="131D2D51">
                  <w:pPr>
                    <w:keepNext w:val="0"/>
                    <w:keepLines w:val="0"/>
                    <w:pageBreakBefore w:val="0"/>
                    <w:widowControl/>
                    <w:suppressLineNumbers w:val="0"/>
                    <w:kinsoku/>
                    <w:wordWrap/>
                    <w:overflowPunct/>
                    <w:topLinePunct w:val="0"/>
                    <w:autoSpaceDE/>
                    <w:autoSpaceDN/>
                    <w:bidi w:val="0"/>
                    <w:adjustRightInd/>
                    <w:snapToGrid/>
                    <w:ind w:firstLineChars="0"/>
                    <w:jc w:val="center"/>
                    <w:textAlignment w:val="top"/>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压滤机专用泵</w:t>
                  </w:r>
                </w:p>
              </w:tc>
              <w:tc>
                <w:tcPr>
                  <w:tcW w:w="1119" w:type="pct"/>
                  <w:noWrap w:val="0"/>
                  <w:vAlign w:val="center"/>
                </w:tcPr>
                <w:p w14:paraId="041F547C">
                  <w:pPr>
                    <w:keepNext w:val="0"/>
                    <w:keepLines w:val="0"/>
                    <w:pageBreakBefore w:val="0"/>
                    <w:widowControl/>
                    <w:suppressLineNumbers w:val="0"/>
                    <w:kinsoku/>
                    <w:wordWrap/>
                    <w:overflowPunct/>
                    <w:topLinePunct w:val="0"/>
                    <w:autoSpaceDE/>
                    <w:autoSpaceDN/>
                    <w:bidi w:val="0"/>
                    <w:adjustRightInd/>
                    <w:snapToGrid/>
                    <w:ind w:firstLineChars="0"/>
                    <w:jc w:val="center"/>
                    <w:textAlignment w:val="top"/>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100ZJE</w:t>
                  </w:r>
                  <w:r>
                    <w:rPr>
                      <w:rStyle w:val="57"/>
                      <w:rFonts w:hint="default" w:ascii="Times New Roman" w:hAnsi="Times New Roman" w:cs="Times New Roman"/>
                      <w:b w:val="0"/>
                      <w:bCs w:val="0"/>
                      <w:sz w:val="21"/>
                      <w:szCs w:val="21"/>
                      <w:lang w:val="en-US" w:eastAsia="zh-CN" w:bidi="ar"/>
                    </w:rPr>
                    <w:t>N=55kw</w:t>
                  </w:r>
                </w:p>
              </w:tc>
              <w:tc>
                <w:tcPr>
                  <w:tcW w:w="463" w:type="pct"/>
                  <w:noWrap w:val="0"/>
                  <w:vAlign w:val="center"/>
                </w:tcPr>
                <w:p w14:paraId="5078A6D8">
                  <w:pPr>
                    <w:keepNext w:val="0"/>
                    <w:keepLines w:val="0"/>
                    <w:pageBreakBefore w:val="0"/>
                    <w:widowControl/>
                    <w:suppressLineNumbers w:val="0"/>
                    <w:kinsoku/>
                    <w:wordWrap/>
                    <w:overflowPunct/>
                    <w:topLinePunct w:val="0"/>
                    <w:autoSpaceDE/>
                    <w:autoSpaceDN/>
                    <w:bidi w:val="0"/>
                    <w:adjustRightInd/>
                    <w:snapToGrid/>
                    <w:ind w:firstLineChars="0"/>
                    <w:jc w:val="center"/>
                    <w:textAlignment w:val="top"/>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3</w:t>
                  </w:r>
                </w:p>
              </w:tc>
              <w:tc>
                <w:tcPr>
                  <w:tcW w:w="449" w:type="pct"/>
                  <w:noWrap w:val="0"/>
                  <w:vAlign w:val="center"/>
                </w:tcPr>
                <w:p w14:paraId="7D7B3C53">
                  <w:pPr>
                    <w:keepNext w:val="0"/>
                    <w:keepLines w:val="0"/>
                    <w:pageBreakBefore w:val="0"/>
                    <w:widowControl/>
                    <w:kinsoku/>
                    <w:wordWrap/>
                    <w:overflowPunct/>
                    <w:topLinePunct w:val="0"/>
                    <w:autoSpaceDE/>
                    <w:autoSpaceDN/>
                    <w:bidi w:val="0"/>
                    <w:adjustRightInd/>
                    <w:snapToGrid/>
                    <w:ind w:firstLineChars="0"/>
                    <w:jc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台</w:t>
                  </w:r>
                </w:p>
              </w:tc>
              <w:tc>
                <w:tcPr>
                  <w:tcW w:w="1497" w:type="pct"/>
                  <w:noWrap w:val="0"/>
                  <w:vAlign w:val="center"/>
                </w:tcPr>
                <w:p w14:paraId="410121E6">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Q=170m</w:t>
                  </w:r>
                  <w:r>
                    <w:rPr>
                      <w:rFonts w:hint="default" w:ascii="Times New Roman" w:hAnsi="Times New Roman" w:eastAsia="宋体" w:cs="Times New Roman"/>
                      <w:b w:val="0"/>
                      <w:bCs w:val="0"/>
                      <w:i w:val="0"/>
                      <w:iCs w:val="0"/>
                      <w:color w:val="000000"/>
                      <w:kern w:val="0"/>
                      <w:sz w:val="21"/>
                      <w:szCs w:val="21"/>
                      <w:u w:val="none"/>
                      <w:vertAlign w:val="superscript"/>
                      <w:lang w:val="en-US" w:eastAsia="zh-CN" w:bidi="ar"/>
                    </w:rPr>
                    <w:t>3</w:t>
                  </w:r>
                  <w:r>
                    <w:rPr>
                      <w:rFonts w:hint="default" w:ascii="Times New Roman" w:hAnsi="Times New Roman" w:eastAsia="宋体" w:cs="Times New Roman"/>
                      <w:b w:val="0"/>
                      <w:bCs w:val="0"/>
                      <w:i w:val="0"/>
                      <w:iCs w:val="0"/>
                      <w:color w:val="000000"/>
                      <w:kern w:val="0"/>
                      <w:sz w:val="21"/>
                      <w:szCs w:val="21"/>
                      <w:u w:val="none"/>
                      <w:lang w:val="en-US" w:eastAsia="zh-CN" w:bidi="ar"/>
                    </w:rPr>
                    <w:t>/h，H=73m</w:t>
                  </w:r>
                </w:p>
              </w:tc>
            </w:tr>
            <w:tr w14:paraId="29A11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pct"/>
                  <w:vMerge w:val="restart"/>
                  <w:noWrap w:val="0"/>
                  <w:vAlign w:val="center"/>
                </w:tcPr>
                <w:p w14:paraId="7CB50F74">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eastAsia" w:ascii="Times New Roman" w:hAnsi="Times New Roman" w:eastAsia="宋体" w:cs="Times New Roman"/>
                      <w:b w:val="0"/>
                      <w:bCs w:val="0"/>
                      <w:i w:val="0"/>
                      <w:iCs w:val="0"/>
                      <w:color w:val="000000"/>
                      <w:kern w:val="0"/>
                      <w:sz w:val="21"/>
                      <w:szCs w:val="21"/>
                      <w:u w:val="none"/>
                      <w:lang w:val="en-US" w:eastAsia="zh-CN" w:bidi="ar"/>
                    </w:rPr>
                    <w:t>9</w:t>
                  </w:r>
                </w:p>
              </w:tc>
              <w:tc>
                <w:tcPr>
                  <w:tcW w:w="1039" w:type="pct"/>
                  <w:vMerge w:val="restart"/>
                  <w:noWrap w:val="0"/>
                  <w:vAlign w:val="center"/>
                </w:tcPr>
                <w:p w14:paraId="65CC9842">
                  <w:pPr>
                    <w:keepNext w:val="0"/>
                    <w:keepLines w:val="0"/>
                    <w:pageBreakBefore w:val="0"/>
                    <w:widowControl/>
                    <w:suppressLineNumbers w:val="0"/>
                    <w:kinsoku/>
                    <w:wordWrap/>
                    <w:overflowPunct/>
                    <w:topLinePunct w:val="0"/>
                    <w:autoSpaceDE/>
                    <w:autoSpaceDN/>
                    <w:bidi w:val="0"/>
                    <w:adjustRightInd/>
                    <w:snapToGrid/>
                    <w:ind w:firstLineChars="0"/>
                    <w:jc w:val="center"/>
                    <w:textAlignment w:val="top"/>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螺杆空压机</w:t>
                  </w:r>
                </w:p>
              </w:tc>
              <w:tc>
                <w:tcPr>
                  <w:tcW w:w="1119" w:type="pct"/>
                  <w:vMerge w:val="restart"/>
                  <w:noWrap w:val="0"/>
                  <w:vAlign w:val="center"/>
                </w:tcPr>
                <w:p w14:paraId="64BB87EE">
                  <w:pPr>
                    <w:keepNext w:val="0"/>
                    <w:keepLines w:val="0"/>
                    <w:pageBreakBefore w:val="0"/>
                    <w:widowControl/>
                    <w:suppressLineNumbers w:val="0"/>
                    <w:kinsoku/>
                    <w:wordWrap/>
                    <w:overflowPunct/>
                    <w:topLinePunct w:val="0"/>
                    <w:autoSpaceDE/>
                    <w:autoSpaceDN/>
                    <w:bidi w:val="0"/>
                    <w:adjustRightInd/>
                    <w:snapToGrid/>
                    <w:ind w:firstLineChars="0"/>
                    <w:jc w:val="center"/>
                    <w:textAlignment w:val="top"/>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160KW-10KG</w:t>
                  </w:r>
                </w:p>
              </w:tc>
              <w:tc>
                <w:tcPr>
                  <w:tcW w:w="463" w:type="pct"/>
                  <w:vMerge w:val="restart"/>
                  <w:noWrap w:val="0"/>
                  <w:vAlign w:val="center"/>
                </w:tcPr>
                <w:p w14:paraId="0CE25B6B">
                  <w:pPr>
                    <w:keepNext w:val="0"/>
                    <w:keepLines w:val="0"/>
                    <w:pageBreakBefore w:val="0"/>
                    <w:widowControl/>
                    <w:suppressLineNumbers w:val="0"/>
                    <w:kinsoku/>
                    <w:wordWrap/>
                    <w:overflowPunct/>
                    <w:topLinePunct w:val="0"/>
                    <w:autoSpaceDE/>
                    <w:autoSpaceDN/>
                    <w:bidi w:val="0"/>
                    <w:adjustRightInd/>
                    <w:snapToGrid/>
                    <w:ind w:firstLineChars="0"/>
                    <w:jc w:val="center"/>
                    <w:textAlignment w:val="top"/>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c>
                <w:tcPr>
                  <w:tcW w:w="449" w:type="pct"/>
                  <w:vMerge w:val="restart"/>
                  <w:noWrap w:val="0"/>
                  <w:vAlign w:val="center"/>
                </w:tcPr>
                <w:p w14:paraId="76B513A2">
                  <w:pPr>
                    <w:keepNext w:val="0"/>
                    <w:keepLines w:val="0"/>
                    <w:pageBreakBefore w:val="0"/>
                    <w:widowControl/>
                    <w:kinsoku/>
                    <w:wordWrap/>
                    <w:overflowPunct/>
                    <w:topLinePunct w:val="0"/>
                    <w:autoSpaceDE/>
                    <w:autoSpaceDN/>
                    <w:bidi w:val="0"/>
                    <w:adjustRightInd/>
                    <w:snapToGrid/>
                    <w:ind w:firstLineChars="0"/>
                    <w:jc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台</w:t>
                  </w:r>
                </w:p>
              </w:tc>
              <w:tc>
                <w:tcPr>
                  <w:tcW w:w="1497" w:type="pct"/>
                  <w:noWrap w:val="0"/>
                  <w:vAlign w:val="center"/>
                </w:tcPr>
                <w:p w14:paraId="68F08B9C">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Q=30m</w:t>
                  </w:r>
                  <w:r>
                    <w:rPr>
                      <w:rFonts w:hint="default" w:ascii="Times New Roman" w:hAnsi="Times New Roman" w:eastAsia="宋体" w:cs="Times New Roman"/>
                      <w:b w:val="0"/>
                      <w:bCs w:val="0"/>
                      <w:i w:val="0"/>
                      <w:iCs w:val="0"/>
                      <w:color w:val="000000"/>
                      <w:kern w:val="0"/>
                      <w:sz w:val="21"/>
                      <w:szCs w:val="21"/>
                      <w:u w:val="none"/>
                      <w:vertAlign w:val="superscript"/>
                      <w:lang w:val="en-US" w:eastAsia="zh-CN" w:bidi="ar"/>
                    </w:rPr>
                    <w:t>3</w:t>
                  </w:r>
                  <w:r>
                    <w:rPr>
                      <w:rFonts w:hint="default" w:ascii="Times New Roman" w:hAnsi="Times New Roman" w:eastAsia="宋体" w:cs="Times New Roman"/>
                      <w:b w:val="0"/>
                      <w:bCs w:val="0"/>
                      <w:i w:val="0"/>
                      <w:iCs w:val="0"/>
                      <w:color w:val="000000"/>
                      <w:kern w:val="0"/>
                      <w:sz w:val="21"/>
                      <w:szCs w:val="21"/>
                      <w:u w:val="none"/>
                      <w:lang w:val="en-US" w:eastAsia="zh-CN" w:bidi="ar"/>
                    </w:rPr>
                    <w:t>/min，</w:t>
                  </w:r>
                  <w:r>
                    <w:rPr>
                      <w:rStyle w:val="57"/>
                      <w:rFonts w:hint="default" w:ascii="Times New Roman" w:hAnsi="Times New Roman" w:cs="Times New Roman"/>
                      <w:b w:val="0"/>
                      <w:bCs w:val="0"/>
                      <w:sz w:val="21"/>
                      <w:szCs w:val="21"/>
                      <w:lang w:val="en-US" w:eastAsia="zh-CN" w:bidi="ar"/>
                    </w:rPr>
                    <w:t>0.84Mpa，</w:t>
                  </w:r>
                </w:p>
              </w:tc>
            </w:tr>
            <w:tr w14:paraId="3670D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pct"/>
                  <w:vMerge w:val="continue"/>
                  <w:noWrap w:val="0"/>
                  <w:vAlign w:val="center"/>
                </w:tcPr>
                <w:p w14:paraId="047384C1">
                  <w:pPr>
                    <w:keepNext w:val="0"/>
                    <w:keepLines w:val="0"/>
                    <w:pageBreakBefore w:val="0"/>
                    <w:widowControl/>
                    <w:kinsoku/>
                    <w:wordWrap/>
                    <w:overflowPunct/>
                    <w:topLinePunct w:val="0"/>
                    <w:autoSpaceDE/>
                    <w:autoSpaceDN/>
                    <w:bidi w:val="0"/>
                    <w:adjustRightInd/>
                    <w:snapToGrid/>
                    <w:ind w:firstLineChars="0"/>
                    <w:jc w:val="center"/>
                    <w:rPr>
                      <w:rFonts w:hint="default" w:ascii="Times New Roman" w:hAnsi="Times New Roman" w:eastAsia="宋体" w:cs="Times New Roman"/>
                      <w:b w:val="0"/>
                      <w:bCs w:val="0"/>
                      <w:i w:val="0"/>
                      <w:iCs w:val="0"/>
                      <w:color w:val="000000"/>
                      <w:sz w:val="21"/>
                      <w:szCs w:val="21"/>
                      <w:u w:val="none"/>
                    </w:rPr>
                  </w:pPr>
                </w:p>
              </w:tc>
              <w:tc>
                <w:tcPr>
                  <w:tcW w:w="1039" w:type="pct"/>
                  <w:vMerge w:val="continue"/>
                  <w:noWrap w:val="0"/>
                  <w:vAlign w:val="center"/>
                </w:tcPr>
                <w:p w14:paraId="3AA12267">
                  <w:pPr>
                    <w:keepNext w:val="0"/>
                    <w:keepLines w:val="0"/>
                    <w:pageBreakBefore w:val="0"/>
                    <w:widowControl/>
                    <w:kinsoku/>
                    <w:wordWrap/>
                    <w:overflowPunct/>
                    <w:topLinePunct w:val="0"/>
                    <w:autoSpaceDE/>
                    <w:autoSpaceDN/>
                    <w:bidi w:val="0"/>
                    <w:adjustRightInd/>
                    <w:snapToGrid/>
                    <w:ind w:firstLineChars="0"/>
                    <w:jc w:val="center"/>
                    <w:rPr>
                      <w:rFonts w:hint="default" w:ascii="Times New Roman" w:hAnsi="Times New Roman" w:eastAsia="宋体" w:cs="Times New Roman"/>
                      <w:b w:val="0"/>
                      <w:bCs w:val="0"/>
                      <w:i w:val="0"/>
                      <w:iCs w:val="0"/>
                      <w:color w:val="000000"/>
                      <w:sz w:val="21"/>
                      <w:szCs w:val="21"/>
                      <w:u w:val="none"/>
                    </w:rPr>
                  </w:pPr>
                </w:p>
              </w:tc>
              <w:tc>
                <w:tcPr>
                  <w:tcW w:w="1119" w:type="pct"/>
                  <w:vMerge w:val="continue"/>
                  <w:noWrap w:val="0"/>
                  <w:vAlign w:val="center"/>
                </w:tcPr>
                <w:p w14:paraId="4A9248BA">
                  <w:pPr>
                    <w:keepNext w:val="0"/>
                    <w:keepLines w:val="0"/>
                    <w:pageBreakBefore w:val="0"/>
                    <w:widowControl/>
                    <w:kinsoku/>
                    <w:wordWrap/>
                    <w:overflowPunct/>
                    <w:topLinePunct w:val="0"/>
                    <w:autoSpaceDE/>
                    <w:autoSpaceDN/>
                    <w:bidi w:val="0"/>
                    <w:adjustRightInd/>
                    <w:snapToGrid/>
                    <w:ind w:firstLineChars="0"/>
                    <w:jc w:val="center"/>
                    <w:rPr>
                      <w:rFonts w:hint="default" w:ascii="Times New Roman" w:hAnsi="Times New Roman" w:eastAsia="宋体" w:cs="Times New Roman"/>
                      <w:b w:val="0"/>
                      <w:bCs w:val="0"/>
                      <w:i w:val="0"/>
                      <w:iCs w:val="0"/>
                      <w:color w:val="000000"/>
                      <w:sz w:val="21"/>
                      <w:szCs w:val="21"/>
                      <w:u w:val="none"/>
                    </w:rPr>
                  </w:pPr>
                </w:p>
              </w:tc>
              <w:tc>
                <w:tcPr>
                  <w:tcW w:w="463" w:type="pct"/>
                  <w:vMerge w:val="continue"/>
                  <w:noWrap w:val="0"/>
                  <w:vAlign w:val="center"/>
                </w:tcPr>
                <w:p w14:paraId="769DD5B0">
                  <w:pPr>
                    <w:keepNext w:val="0"/>
                    <w:keepLines w:val="0"/>
                    <w:pageBreakBefore w:val="0"/>
                    <w:widowControl/>
                    <w:kinsoku/>
                    <w:wordWrap/>
                    <w:overflowPunct/>
                    <w:topLinePunct w:val="0"/>
                    <w:autoSpaceDE/>
                    <w:autoSpaceDN/>
                    <w:bidi w:val="0"/>
                    <w:adjustRightInd/>
                    <w:snapToGrid/>
                    <w:ind w:firstLineChars="0"/>
                    <w:jc w:val="center"/>
                    <w:rPr>
                      <w:rFonts w:hint="default" w:ascii="Times New Roman" w:hAnsi="Times New Roman" w:eastAsia="宋体" w:cs="Times New Roman"/>
                      <w:b w:val="0"/>
                      <w:bCs w:val="0"/>
                      <w:i w:val="0"/>
                      <w:iCs w:val="0"/>
                      <w:color w:val="000000"/>
                      <w:sz w:val="21"/>
                      <w:szCs w:val="21"/>
                      <w:u w:val="none"/>
                    </w:rPr>
                  </w:pPr>
                </w:p>
              </w:tc>
              <w:tc>
                <w:tcPr>
                  <w:tcW w:w="449" w:type="pct"/>
                  <w:vMerge w:val="continue"/>
                  <w:noWrap w:val="0"/>
                  <w:vAlign w:val="center"/>
                </w:tcPr>
                <w:p w14:paraId="04DE31D9">
                  <w:pPr>
                    <w:keepNext w:val="0"/>
                    <w:keepLines w:val="0"/>
                    <w:pageBreakBefore w:val="0"/>
                    <w:widowControl/>
                    <w:kinsoku/>
                    <w:wordWrap/>
                    <w:overflowPunct/>
                    <w:topLinePunct w:val="0"/>
                    <w:autoSpaceDE/>
                    <w:autoSpaceDN/>
                    <w:bidi w:val="0"/>
                    <w:adjustRightInd/>
                    <w:snapToGrid/>
                    <w:ind w:firstLineChars="0"/>
                    <w:jc w:val="center"/>
                    <w:rPr>
                      <w:rFonts w:hint="default" w:ascii="Times New Roman" w:hAnsi="Times New Roman" w:eastAsia="宋体" w:cs="Times New Roman"/>
                      <w:b w:val="0"/>
                      <w:bCs w:val="0"/>
                      <w:i w:val="0"/>
                      <w:iCs w:val="0"/>
                      <w:color w:val="000000"/>
                      <w:sz w:val="21"/>
                      <w:szCs w:val="21"/>
                      <w:u w:val="none"/>
                    </w:rPr>
                  </w:pPr>
                </w:p>
              </w:tc>
              <w:tc>
                <w:tcPr>
                  <w:tcW w:w="1497" w:type="pct"/>
                  <w:noWrap w:val="0"/>
                  <w:vAlign w:val="center"/>
                </w:tcPr>
                <w:p w14:paraId="7DC35964">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两台压滤机错开使用</w:t>
                  </w:r>
                </w:p>
              </w:tc>
            </w:tr>
            <w:tr w14:paraId="54636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pct"/>
                  <w:noWrap w:val="0"/>
                  <w:vAlign w:val="center"/>
                </w:tcPr>
                <w:p w14:paraId="24FB81E2">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w:t>
                  </w:r>
                  <w:r>
                    <w:rPr>
                      <w:rFonts w:hint="eastAsia" w:ascii="Times New Roman" w:hAnsi="Times New Roman" w:eastAsia="宋体" w:cs="Times New Roman"/>
                      <w:b w:val="0"/>
                      <w:bCs w:val="0"/>
                      <w:i w:val="0"/>
                      <w:iCs w:val="0"/>
                      <w:color w:val="000000"/>
                      <w:kern w:val="0"/>
                      <w:sz w:val="21"/>
                      <w:szCs w:val="21"/>
                      <w:u w:val="none"/>
                      <w:lang w:val="en-US" w:eastAsia="zh-CN" w:bidi="ar"/>
                    </w:rPr>
                    <w:t>0</w:t>
                  </w:r>
                </w:p>
              </w:tc>
              <w:tc>
                <w:tcPr>
                  <w:tcW w:w="1039" w:type="pct"/>
                  <w:noWrap w:val="0"/>
                  <w:vAlign w:val="center"/>
                </w:tcPr>
                <w:p w14:paraId="1D91D616">
                  <w:pPr>
                    <w:keepNext w:val="0"/>
                    <w:keepLines w:val="0"/>
                    <w:pageBreakBefore w:val="0"/>
                    <w:widowControl/>
                    <w:suppressLineNumbers w:val="0"/>
                    <w:kinsoku/>
                    <w:wordWrap/>
                    <w:overflowPunct/>
                    <w:topLinePunct w:val="0"/>
                    <w:autoSpaceDE/>
                    <w:autoSpaceDN/>
                    <w:bidi w:val="0"/>
                    <w:adjustRightInd/>
                    <w:snapToGrid/>
                    <w:ind w:firstLineChars="0"/>
                    <w:jc w:val="center"/>
                    <w:textAlignment w:val="top"/>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储气罐</w:t>
                  </w:r>
                </w:p>
              </w:tc>
              <w:tc>
                <w:tcPr>
                  <w:tcW w:w="1119" w:type="pct"/>
                  <w:noWrap w:val="0"/>
                  <w:vAlign w:val="center"/>
                </w:tcPr>
                <w:p w14:paraId="0333D978">
                  <w:pPr>
                    <w:keepNext w:val="0"/>
                    <w:keepLines w:val="0"/>
                    <w:pageBreakBefore w:val="0"/>
                    <w:widowControl/>
                    <w:suppressLineNumbers w:val="0"/>
                    <w:kinsoku/>
                    <w:wordWrap/>
                    <w:overflowPunct/>
                    <w:topLinePunct w:val="0"/>
                    <w:autoSpaceDE/>
                    <w:autoSpaceDN/>
                    <w:bidi w:val="0"/>
                    <w:adjustRightInd/>
                    <w:snapToGrid/>
                    <w:ind w:firstLineChars="0"/>
                    <w:jc w:val="center"/>
                    <w:textAlignment w:val="top"/>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25m</w:t>
                  </w:r>
                  <w:r>
                    <w:rPr>
                      <w:rStyle w:val="58"/>
                      <w:rFonts w:hint="default" w:ascii="Times New Roman" w:hAnsi="Times New Roman" w:cs="Times New Roman"/>
                      <w:b w:val="0"/>
                      <w:bCs w:val="0"/>
                      <w:sz w:val="21"/>
                      <w:szCs w:val="21"/>
                      <w:lang w:val="en-US" w:eastAsia="zh-CN" w:bidi="ar"/>
                    </w:rPr>
                    <w:t>3</w:t>
                  </w:r>
                  <w:r>
                    <w:rPr>
                      <w:rStyle w:val="57"/>
                      <w:rFonts w:hint="default" w:ascii="Times New Roman" w:hAnsi="Times New Roman" w:cs="Times New Roman"/>
                      <w:b w:val="0"/>
                      <w:bCs w:val="0"/>
                      <w:sz w:val="21"/>
                      <w:szCs w:val="21"/>
                      <w:lang w:val="en-US" w:eastAsia="zh-CN" w:bidi="ar"/>
                    </w:rPr>
                    <w:t>，0.8Mpa</w:t>
                  </w:r>
                </w:p>
              </w:tc>
              <w:tc>
                <w:tcPr>
                  <w:tcW w:w="463" w:type="pct"/>
                  <w:noWrap w:val="0"/>
                  <w:vAlign w:val="center"/>
                </w:tcPr>
                <w:p w14:paraId="2ED47888">
                  <w:pPr>
                    <w:keepNext w:val="0"/>
                    <w:keepLines w:val="0"/>
                    <w:pageBreakBefore w:val="0"/>
                    <w:widowControl/>
                    <w:suppressLineNumbers w:val="0"/>
                    <w:kinsoku/>
                    <w:wordWrap/>
                    <w:overflowPunct/>
                    <w:topLinePunct w:val="0"/>
                    <w:autoSpaceDE/>
                    <w:autoSpaceDN/>
                    <w:bidi w:val="0"/>
                    <w:adjustRightInd/>
                    <w:snapToGrid/>
                    <w:ind w:firstLineChars="0"/>
                    <w:jc w:val="center"/>
                    <w:textAlignment w:val="top"/>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2</w:t>
                  </w:r>
                </w:p>
              </w:tc>
              <w:tc>
                <w:tcPr>
                  <w:tcW w:w="449" w:type="pct"/>
                  <w:noWrap w:val="0"/>
                  <w:vAlign w:val="center"/>
                </w:tcPr>
                <w:p w14:paraId="7A2EED0C">
                  <w:pPr>
                    <w:keepNext w:val="0"/>
                    <w:keepLines w:val="0"/>
                    <w:pageBreakBefore w:val="0"/>
                    <w:widowControl/>
                    <w:kinsoku/>
                    <w:wordWrap/>
                    <w:overflowPunct/>
                    <w:topLinePunct w:val="0"/>
                    <w:autoSpaceDE/>
                    <w:autoSpaceDN/>
                    <w:bidi w:val="0"/>
                    <w:adjustRightInd/>
                    <w:snapToGrid/>
                    <w:ind w:firstLineChars="0"/>
                    <w:jc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台</w:t>
                  </w:r>
                </w:p>
              </w:tc>
              <w:tc>
                <w:tcPr>
                  <w:tcW w:w="1497" w:type="pct"/>
                  <w:noWrap w:val="0"/>
                  <w:vAlign w:val="center"/>
                </w:tcPr>
                <w:p w14:paraId="16178555">
                  <w:pPr>
                    <w:keepNext w:val="0"/>
                    <w:keepLines w:val="0"/>
                    <w:pageBreakBefore w:val="0"/>
                    <w:widowControl/>
                    <w:kinsoku/>
                    <w:wordWrap/>
                    <w:overflowPunct/>
                    <w:topLinePunct w:val="0"/>
                    <w:autoSpaceDE/>
                    <w:autoSpaceDN/>
                    <w:bidi w:val="0"/>
                    <w:adjustRightInd/>
                    <w:snapToGrid/>
                    <w:ind w:firstLineChars="0"/>
                    <w:jc w:val="center"/>
                    <w:rPr>
                      <w:rFonts w:hint="default" w:ascii="Times New Roman" w:hAnsi="Times New Roman" w:eastAsia="宋体" w:cs="Times New Roman"/>
                      <w:b w:val="0"/>
                      <w:bCs w:val="0"/>
                      <w:i w:val="0"/>
                      <w:iCs w:val="0"/>
                      <w:color w:val="000000"/>
                      <w:sz w:val="21"/>
                      <w:szCs w:val="21"/>
                      <w:u w:val="none"/>
                      <w:lang w:val="en-US" w:eastAsia="zh-CN"/>
                    </w:rPr>
                  </w:pPr>
                  <w:r>
                    <w:rPr>
                      <w:rFonts w:hint="default" w:ascii="Times New Roman" w:hAnsi="Times New Roman" w:eastAsia="宋体" w:cs="Times New Roman"/>
                      <w:b w:val="0"/>
                      <w:bCs w:val="0"/>
                      <w:i w:val="0"/>
                      <w:iCs w:val="0"/>
                      <w:color w:val="000000"/>
                      <w:sz w:val="21"/>
                      <w:szCs w:val="21"/>
                      <w:u w:val="none"/>
                      <w:lang w:val="en-US" w:eastAsia="zh-CN"/>
                    </w:rPr>
                    <w:t>/</w:t>
                  </w:r>
                </w:p>
              </w:tc>
            </w:tr>
            <w:tr w14:paraId="10F65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pct"/>
                  <w:noWrap w:val="0"/>
                  <w:vAlign w:val="center"/>
                </w:tcPr>
                <w:p w14:paraId="3265D2DE">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w:t>
                  </w:r>
                  <w:r>
                    <w:rPr>
                      <w:rFonts w:hint="eastAsia" w:ascii="Times New Roman" w:hAnsi="Times New Roman" w:eastAsia="宋体" w:cs="Times New Roman"/>
                      <w:b w:val="0"/>
                      <w:bCs w:val="0"/>
                      <w:i w:val="0"/>
                      <w:iCs w:val="0"/>
                      <w:color w:val="000000"/>
                      <w:kern w:val="0"/>
                      <w:sz w:val="21"/>
                      <w:szCs w:val="21"/>
                      <w:u w:val="none"/>
                      <w:lang w:val="en-US" w:eastAsia="zh-CN" w:bidi="ar"/>
                    </w:rPr>
                    <w:t>1</w:t>
                  </w:r>
                </w:p>
              </w:tc>
              <w:tc>
                <w:tcPr>
                  <w:tcW w:w="1039" w:type="pct"/>
                  <w:noWrap w:val="0"/>
                  <w:vAlign w:val="center"/>
                </w:tcPr>
                <w:p w14:paraId="79B9A193">
                  <w:pPr>
                    <w:keepNext w:val="0"/>
                    <w:keepLines w:val="0"/>
                    <w:pageBreakBefore w:val="0"/>
                    <w:widowControl/>
                    <w:suppressLineNumbers w:val="0"/>
                    <w:kinsoku/>
                    <w:wordWrap/>
                    <w:overflowPunct/>
                    <w:topLinePunct w:val="0"/>
                    <w:autoSpaceDE/>
                    <w:autoSpaceDN/>
                    <w:bidi w:val="0"/>
                    <w:adjustRightInd/>
                    <w:snapToGrid/>
                    <w:ind w:firstLineChars="0"/>
                    <w:jc w:val="center"/>
                    <w:textAlignment w:val="top"/>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储气罐</w:t>
                  </w:r>
                </w:p>
              </w:tc>
              <w:tc>
                <w:tcPr>
                  <w:tcW w:w="1119" w:type="pct"/>
                  <w:noWrap w:val="0"/>
                  <w:vAlign w:val="center"/>
                </w:tcPr>
                <w:p w14:paraId="415F9B1F">
                  <w:pPr>
                    <w:keepNext w:val="0"/>
                    <w:keepLines w:val="0"/>
                    <w:pageBreakBefore w:val="0"/>
                    <w:widowControl/>
                    <w:suppressLineNumbers w:val="0"/>
                    <w:kinsoku/>
                    <w:wordWrap/>
                    <w:overflowPunct/>
                    <w:topLinePunct w:val="0"/>
                    <w:autoSpaceDE/>
                    <w:autoSpaceDN/>
                    <w:bidi w:val="0"/>
                    <w:adjustRightInd/>
                    <w:snapToGrid/>
                    <w:ind w:firstLineChars="0"/>
                    <w:jc w:val="center"/>
                    <w:textAlignment w:val="top"/>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1m</w:t>
                  </w:r>
                  <w:r>
                    <w:rPr>
                      <w:rStyle w:val="58"/>
                      <w:rFonts w:hint="default" w:ascii="Times New Roman" w:hAnsi="Times New Roman" w:cs="Times New Roman"/>
                      <w:b w:val="0"/>
                      <w:bCs w:val="0"/>
                      <w:sz w:val="21"/>
                      <w:szCs w:val="21"/>
                      <w:lang w:val="en-US" w:eastAsia="zh-CN" w:bidi="ar"/>
                    </w:rPr>
                    <w:t>3</w:t>
                  </w:r>
                  <w:r>
                    <w:rPr>
                      <w:rStyle w:val="57"/>
                      <w:rFonts w:hint="default" w:ascii="Times New Roman" w:hAnsi="Times New Roman" w:cs="Times New Roman"/>
                      <w:b w:val="0"/>
                      <w:bCs w:val="0"/>
                      <w:sz w:val="21"/>
                      <w:szCs w:val="21"/>
                      <w:lang w:val="en-US" w:eastAsia="zh-CN" w:bidi="ar"/>
                    </w:rPr>
                    <w:t>，0.84Mpa</w:t>
                  </w:r>
                </w:p>
              </w:tc>
              <w:tc>
                <w:tcPr>
                  <w:tcW w:w="463" w:type="pct"/>
                  <w:noWrap w:val="0"/>
                  <w:vAlign w:val="center"/>
                </w:tcPr>
                <w:p w14:paraId="71E0466D">
                  <w:pPr>
                    <w:keepNext w:val="0"/>
                    <w:keepLines w:val="0"/>
                    <w:pageBreakBefore w:val="0"/>
                    <w:widowControl/>
                    <w:suppressLineNumbers w:val="0"/>
                    <w:kinsoku/>
                    <w:wordWrap/>
                    <w:overflowPunct/>
                    <w:topLinePunct w:val="0"/>
                    <w:autoSpaceDE/>
                    <w:autoSpaceDN/>
                    <w:bidi w:val="0"/>
                    <w:adjustRightInd/>
                    <w:snapToGrid/>
                    <w:ind w:firstLineChars="0"/>
                    <w:jc w:val="center"/>
                    <w:textAlignment w:val="top"/>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c>
                <w:tcPr>
                  <w:tcW w:w="449" w:type="pct"/>
                  <w:noWrap w:val="0"/>
                  <w:vAlign w:val="center"/>
                </w:tcPr>
                <w:p w14:paraId="427348BE">
                  <w:pPr>
                    <w:keepNext w:val="0"/>
                    <w:keepLines w:val="0"/>
                    <w:pageBreakBefore w:val="0"/>
                    <w:widowControl/>
                    <w:kinsoku/>
                    <w:wordWrap/>
                    <w:overflowPunct/>
                    <w:topLinePunct w:val="0"/>
                    <w:autoSpaceDE/>
                    <w:autoSpaceDN/>
                    <w:bidi w:val="0"/>
                    <w:adjustRightInd/>
                    <w:snapToGrid/>
                    <w:ind w:firstLineChars="0"/>
                    <w:jc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台</w:t>
                  </w:r>
                </w:p>
              </w:tc>
              <w:tc>
                <w:tcPr>
                  <w:tcW w:w="1497" w:type="pct"/>
                  <w:noWrap w:val="0"/>
                  <w:vAlign w:val="center"/>
                </w:tcPr>
                <w:p w14:paraId="28F9F6D9">
                  <w:pPr>
                    <w:keepNext w:val="0"/>
                    <w:keepLines w:val="0"/>
                    <w:pageBreakBefore w:val="0"/>
                    <w:widowControl/>
                    <w:kinsoku/>
                    <w:wordWrap/>
                    <w:overflowPunct/>
                    <w:topLinePunct w:val="0"/>
                    <w:autoSpaceDE/>
                    <w:autoSpaceDN/>
                    <w:bidi w:val="0"/>
                    <w:adjustRightInd/>
                    <w:snapToGrid/>
                    <w:ind w:firstLineChars="0"/>
                    <w:jc w:val="center"/>
                    <w:rPr>
                      <w:rFonts w:hint="default" w:ascii="Times New Roman" w:hAnsi="Times New Roman" w:eastAsia="宋体" w:cs="Times New Roman"/>
                      <w:b w:val="0"/>
                      <w:bCs w:val="0"/>
                      <w:i w:val="0"/>
                      <w:iCs w:val="0"/>
                      <w:color w:val="000000"/>
                      <w:sz w:val="21"/>
                      <w:szCs w:val="21"/>
                      <w:u w:val="none"/>
                      <w:lang w:val="en-US" w:eastAsia="zh-CN"/>
                    </w:rPr>
                  </w:pPr>
                  <w:r>
                    <w:rPr>
                      <w:rFonts w:hint="default" w:ascii="Times New Roman" w:hAnsi="Times New Roman" w:eastAsia="宋体" w:cs="Times New Roman"/>
                      <w:b w:val="0"/>
                      <w:bCs w:val="0"/>
                      <w:i w:val="0"/>
                      <w:iCs w:val="0"/>
                      <w:color w:val="000000"/>
                      <w:sz w:val="21"/>
                      <w:szCs w:val="21"/>
                      <w:u w:val="none"/>
                      <w:lang w:val="en-US" w:eastAsia="zh-CN"/>
                    </w:rPr>
                    <w:t>/</w:t>
                  </w:r>
                </w:p>
              </w:tc>
            </w:tr>
            <w:tr w14:paraId="40E4E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pct"/>
                  <w:noWrap w:val="0"/>
                  <w:vAlign w:val="center"/>
                </w:tcPr>
                <w:p w14:paraId="6AA0A01C">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w:t>
                  </w:r>
                  <w:r>
                    <w:rPr>
                      <w:rFonts w:hint="eastAsia" w:ascii="Times New Roman" w:hAnsi="Times New Roman" w:eastAsia="宋体" w:cs="Times New Roman"/>
                      <w:b w:val="0"/>
                      <w:bCs w:val="0"/>
                      <w:i w:val="0"/>
                      <w:iCs w:val="0"/>
                      <w:color w:val="000000"/>
                      <w:kern w:val="0"/>
                      <w:sz w:val="21"/>
                      <w:szCs w:val="21"/>
                      <w:u w:val="none"/>
                      <w:lang w:val="en-US" w:eastAsia="zh-CN" w:bidi="ar"/>
                    </w:rPr>
                    <w:t>2</w:t>
                  </w:r>
                </w:p>
              </w:tc>
              <w:tc>
                <w:tcPr>
                  <w:tcW w:w="1039" w:type="pct"/>
                  <w:noWrap w:val="0"/>
                  <w:vAlign w:val="center"/>
                </w:tcPr>
                <w:p w14:paraId="5D613637">
                  <w:pPr>
                    <w:keepNext w:val="0"/>
                    <w:keepLines w:val="0"/>
                    <w:pageBreakBefore w:val="0"/>
                    <w:widowControl/>
                    <w:suppressLineNumbers w:val="0"/>
                    <w:kinsoku/>
                    <w:wordWrap/>
                    <w:overflowPunct/>
                    <w:topLinePunct w:val="0"/>
                    <w:autoSpaceDE/>
                    <w:autoSpaceDN/>
                    <w:bidi w:val="0"/>
                    <w:adjustRightInd/>
                    <w:snapToGrid/>
                    <w:ind w:firstLineChars="0"/>
                    <w:jc w:val="center"/>
                    <w:textAlignment w:val="top"/>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气动阀门</w:t>
                  </w:r>
                </w:p>
              </w:tc>
              <w:tc>
                <w:tcPr>
                  <w:tcW w:w="1119" w:type="pct"/>
                  <w:noWrap w:val="0"/>
                  <w:vAlign w:val="center"/>
                </w:tcPr>
                <w:p w14:paraId="1E947681">
                  <w:pPr>
                    <w:keepNext w:val="0"/>
                    <w:keepLines w:val="0"/>
                    <w:pageBreakBefore w:val="0"/>
                    <w:widowControl/>
                    <w:kinsoku/>
                    <w:wordWrap/>
                    <w:overflowPunct/>
                    <w:topLinePunct w:val="0"/>
                    <w:autoSpaceDE/>
                    <w:autoSpaceDN/>
                    <w:bidi w:val="0"/>
                    <w:adjustRightInd/>
                    <w:snapToGrid/>
                    <w:ind w:firstLineChars="0"/>
                    <w:jc w:val="center"/>
                    <w:rPr>
                      <w:rFonts w:hint="default" w:ascii="Times New Roman" w:hAnsi="Times New Roman" w:eastAsia="宋体" w:cs="Times New Roman"/>
                      <w:b w:val="0"/>
                      <w:bCs w:val="0"/>
                      <w:i w:val="0"/>
                      <w:iCs w:val="0"/>
                      <w:color w:val="000000"/>
                      <w:sz w:val="21"/>
                      <w:szCs w:val="21"/>
                      <w:u w:val="none"/>
                      <w:lang w:val="en-US" w:eastAsia="zh-CN"/>
                    </w:rPr>
                  </w:pPr>
                  <w:r>
                    <w:rPr>
                      <w:rFonts w:hint="default" w:ascii="Times New Roman" w:hAnsi="Times New Roman" w:eastAsia="宋体" w:cs="Times New Roman"/>
                      <w:b w:val="0"/>
                      <w:bCs w:val="0"/>
                      <w:i w:val="0"/>
                      <w:iCs w:val="0"/>
                      <w:color w:val="000000"/>
                      <w:sz w:val="21"/>
                      <w:szCs w:val="21"/>
                      <w:u w:val="none"/>
                      <w:lang w:val="en-US" w:eastAsia="zh-CN"/>
                    </w:rPr>
                    <w:t>/</w:t>
                  </w:r>
                </w:p>
              </w:tc>
              <w:tc>
                <w:tcPr>
                  <w:tcW w:w="463" w:type="pct"/>
                  <w:noWrap w:val="0"/>
                  <w:vAlign w:val="center"/>
                </w:tcPr>
                <w:p w14:paraId="3AA92975">
                  <w:pPr>
                    <w:keepNext w:val="0"/>
                    <w:keepLines w:val="0"/>
                    <w:pageBreakBefore w:val="0"/>
                    <w:widowControl/>
                    <w:suppressLineNumbers w:val="0"/>
                    <w:kinsoku/>
                    <w:wordWrap/>
                    <w:overflowPunct/>
                    <w:topLinePunct w:val="0"/>
                    <w:autoSpaceDE/>
                    <w:autoSpaceDN/>
                    <w:bidi w:val="0"/>
                    <w:adjustRightInd/>
                    <w:snapToGrid/>
                    <w:ind w:firstLineChars="0"/>
                    <w:jc w:val="center"/>
                    <w:textAlignment w:val="top"/>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2</w:t>
                  </w:r>
                </w:p>
              </w:tc>
              <w:tc>
                <w:tcPr>
                  <w:tcW w:w="449" w:type="pct"/>
                  <w:noWrap w:val="0"/>
                  <w:vAlign w:val="center"/>
                </w:tcPr>
                <w:p w14:paraId="50F6ACAC">
                  <w:pPr>
                    <w:keepNext w:val="0"/>
                    <w:keepLines w:val="0"/>
                    <w:pageBreakBefore w:val="0"/>
                    <w:widowControl/>
                    <w:kinsoku/>
                    <w:wordWrap/>
                    <w:overflowPunct/>
                    <w:topLinePunct w:val="0"/>
                    <w:autoSpaceDE/>
                    <w:autoSpaceDN/>
                    <w:bidi w:val="0"/>
                    <w:adjustRightInd/>
                    <w:snapToGrid/>
                    <w:ind w:firstLineChars="0"/>
                    <w:jc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套</w:t>
                  </w:r>
                </w:p>
              </w:tc>
              <w:tc>
                <w:tcPr>
                  <w:tcW w:w="1497" w:type="pct"/>
                  <w:noWrap w:val="0"/>
                  <w:vAlign w:val="center"/>
                </w:tcPr>
                <w:p w14:paraId="788B492D">
                  <w:pPr>
                    <w:keepNext w:val="0"/>
                    <w:keepLines w:val="0"/>
                    <w:pageBreakBefore w:val="0"/>
                    <w:widowControl/>
                    <w:kinsoku/>
                    <w:wordWrap/>
                    <w:overflowPunct/>
                    <w:topLinePunct w:val="0"/>
                    <w:autoSpaceDE/>
                    <w:autoSpaceDN/>
                    <w:bidi w:val="0"/>
                    <w:adjustRightInd/>
                    <w:snapToGrid/>
                    <w:ind w:firstLineChars="0"/>
                    <w:jc w:val="center"/>
                    <w:rPr>
                      <w:rFonts w:hint="default" w:ascii="Times New Roman" w:hAnsi="Times New Roman" w:eastAsia="宋体" w:cs="Times New Roman"/>
                      <w:b w:val="0"/>
                      <w:bCs w:val="0"/>
                      <w:i w:val="0"/>
                      <w:iCs w:val="0"/>
                      <w:color w:val="000000"/>
                      <w:sz w:val="21"/>
                      <w:szCs w:val="21"/>
                      <w:u w:val="none"/>
                      <w:lang w:val="en-US" w:eastAsia="zh-CN"/>
                    </w:rPr>
                  </w:pPr>
                  <w:r>
                    <w:rPr>
                      <w:rFonts w:hint="default" w:ascii="Times New Roman" w:hAnsi="Times New Roman" w:eastAsia="宋体" w:cs="Times New Roman"/>
                      <w:b w:val="0"/>
                      <w:bCs w:val="0"/>
                      <w:i w:val="0"/>
                      <w:iCs w:val="0"/>
                      <w:color w:val="000000"/>
                      <w:sz w:val="21"/>
                      <w:szCs w:val="21"/>
                      <w:u w:val="none"/>
                      <w:lang w:val="en-US" w:eastAsia="zh-CN"/>
                    </w:rPr>
                    <w:t>/</w:t>
                  </w:r>
                </w:p>
              </w:tc>
            </w:tr>
            <w:tr w14:paraId="048CF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pct"/>
                  <w:noWrap w:val="0"/>
                  <w:vAlign w:val="center"/>
                </w:tcPr>
                <w:p w14:paraId="6BA380F1">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w:t>
                  </w:r>
                  <w:r>
                    <w:rPr>
                      <w:rFonts w:hint="eastAsia" w:ascii="Times New Roman" w:hAnsi="Times New Roman" w:eastAsia="宋体" w:cs="Times New Roman"/>
                      <w:b w:val="0"/>
                      <w:bCs w:val="0"/>
                      <w:i w:val="0"/>
                      <w:iCs w:val="0"/>
                      <w:color w:val="000000"/>
                      <w:kern w:val="0"/>
                      <w:sz w:val="21"/>
                      <w:szCs w:val="21"/>
                      <w:u w:val="none"/>
                      <w:lang w:val="en-US" w:eastAsia="zh-CN" w:bidi="ar"/>
                    </w:rPr>
                    <w:t>3</w:t>
                  </w:r>
                </w:p>
              </w:tc>
              <w:tc>
                <w:tcPr>
                  <w:tcW w:w="1039" w:type="pct"/>
                  <w:noWrap w:val="0"/>
                  <w:vAlign w:val="center"/>
                </w:tcPr>
                <w:p w14:paraId="6324AE38">
                  <w:pPr>
                    <w:keepNext w:val="0"/>
                    <w:keepLines w:val="0"/>
                    <w:pageBreakBefore w:val="0"/>
                    <w:widowControl/>
                    <w:suppressLineNumbers w:val="0"/>
                    <w:kinsoku/>
                    <w:wordWrap/>
                    <w:overflowPunct/>
                    <w:topLinePunct w:val="0"/>
                    <w:autoSpaceDE/>
                    <w:autoSpaceDN/>
                    <w:bidi w:val="0"/>
                    <w:adjustRightInd/>
                    <w:snapToGrid/>
                    <w:ind w:firstLineChars="0"/>
                    <w:jc w:val="center"/>
                    <w:textAlignment w:val="top"/>
                    <w:rPr>
                      <w:rFonts w:hint="default" w:ascii="Times New Roman" w:hAnsi="Times New Roman" w:eastAsia="楷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压滤机多级泵</w:t>
                  </w:r>
                </w:p>
              </w:tc>
              <w:tc>
                <w:tcPr>
                  <w:tcW w:w="1119" w:type="pct"/>
                  <w:noWrap w:val="0"/>
                  <w:vAlign w:val="center"/>
                </w:tcPr>
                <w:p w14:paraId="0C8E2815">
                  <w:pPr>
                    <w:keepNext w:val="0"/>
                    <w:keepLines w:val="0"/>
                    <w:pageBreakBefore w:val="0"/>
                    <w:widowControl/>
                    <w:suppressLineNumbers w:val="0"/>
                    <w:kinsoku/>
                    <w:wordWrap/>
                    <w:overflowPunct/>
                    <w:topLinePunct w:val="0"/>
                    <w:autoSpaceDE/>
                    <w:autoSpaceDN/>
                    <w:bidi w:val="0"/>
                    <w:adjustRightInd/>
                    <w:snapToGrid/>
                    <w:ind w:firstLineChars="0"/>
                    <w:jc w:val="center"/>
                    <w:textAlignment w:val="top"/>
                    <w:rPr>
                      <w:rFonts w:hint="default" w:ascii="Times New Roman" w:hAnsi="Times New Roman" w:eastAsia="楷体" w:cs="Times New Roman"/>
                      <w:b w:val="0"/>
                      <w:bCs w:val="0"/>
                      <w:i w:val="0"/>
                      <w:iCs w:val="0"/>
                      <w:color w:val="000000"/>
                      <w:sz w:val="21"/>
                      <w:szCs w:val="21"/>
                      <w:u w:val="none"/>
                    </w:rPr>
                  </w:pPr>
                  <w:r>
                    <w:rPr>
                      <w:rFonts w:hint="default" w:ascii="Times New Roman" w:hAnsi="Times New Roman" w:eastAsia="楷体" w:cs="Times New Roman"/>
                      <w:b w:val="0"/>
                      <w:bCs w:val="0"/>
                      <w:i w:val="0"/>
                      <w:iCs w:val="0"/>
                      <w:color w:val="000000"/>
                      <w:kern w:val="0"/>
                      <w:sz w:val="21"/>
                      <w:szCs w:val="21"/>
                      <w:u w:val="none"/>
                      <w:lang w:val="en-US" w:eastAsia="zh-CN" w:bidi="ar"/>
                    </w:rPr>
                    <w:t>N=11KW</w:t>
                  </w:r>
                  <w:r>
                    <w:rPr>
                      <w:rStyle w:val="59"/>
                      <w:rFonts w:hint="default" w:ascii="Times New Roman" w:hAnsi="Times New Roman" w:cs="Times New Roman"/>
                      <w:b w:val="0"/>
                      <w:bCs w:val="0"/>
                      <w:sz w:val="21"/>
                      <w:szCs w:val="21"/>
                      <w:lang w:val="en-US" w:eastAsia="zh-CN" w:bidi="ar"/>
                    </w:rPr>
                    <w:t>Q=10m</w:t>
                  </w:r>
                  <w:r>
                    <w:rPr>
                      <w:rStyle w:val="60"/>
                      <w:rFonts w:hint="default" w:ascii="Times New Roman" w:hAnsi="Times New Roman" w:cs="Times New Roman"/>
                      <w:b w:val="0"/>
                      <w:bCs w:val="0"/>
                      <w:sz w:val="21"/>
                      <w:szCs w:val="21"/>
                      <w:lang w:val="en-US" w:eastAsia="zh-CN" w:bidi="ar"/>
                    </w:rPr>
                    <w:t>3</w:t>
                  </w:r>
                  <w:r>
                    <w:rPr>
                      <w:rStyle w:val="59"/>
                      <w:rFonts w:hint="default" w:ascii="Times New Roman" w:hAnsi="Times New Roman" w:cs="Times New Roman"/>
                      <w:b w:val="0"/>
                      <w:bCs w:val="0"/>
                      <w:sz w:val="21"/>
                      <w:szCs w:val="21"/>
                      <w:lang w:val="en-US" w:eastAsia="zh-CN" w:bidi="ar"/>
                    </w:rPr>
                    <w:t>/h</w:t>
                  </w:r>
                </w:p>
              </w:tc>
              <w:tc>
                <w:tcPr>
                  <w:tcW w:w="463" w:type="pct"/>
                  <w:noWrap w:val="0"/>
                  <w:vAlign w:val="center"/>
                </w:tcPr>
                <w:p w14:paraId="5A869586">
                  <w:pPr>
                    <w:keepNext w:val="0"/>
                    <w:keepLines w:val="0"/>
                    <w:pageBreakBefore w:val="0"/>
                    <w:widowControl/>
                    <w:suppressLineNumbers w:val="0"/>
                    <w:kinsoku/>
                    <w:wordWrap/>
                    <w:overflowPunct/>
                    <w:topLinePunct w:val="0"/>
                    <w:autoSpaceDE/>
                    <w:autoSpaceDN/>
                    <w:bidi w:val="0"/>
                    <w:adjustRightInd/>
                    <w:snapToGrid/>
                    <w:ind w:firstLineChars="0"/>
                    <w:jc w:val="center"/>
                    <w:textAlignment w:val="top"/>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2</w:t>
                  </w:r>
                </w:p>
              </w:tc>
              <w:tc>
                <w:tcPr>
                  <w:tcW w:w="449" w:type="pct"/>
                  <w:noWrap w:val="0"/>
                  <w:vAlign w:val="center"/>
                </w:tcPr>
                <w:p w14:paraId="5A319642">
                  <w:pPr>
                    <w:keepNext w:val="0"/>
                    <w:keepLines w:val="0"/>
                    <w:pageBreakBefore w:val="0"/>
                    <w:widowControl/>
                    <w:kinsoku/>
                    <w:wordWrap/>
                    <w:overflowPunct/>
                    <w:topLinePunct w:val="0"/>
                    <w:autoSpaceDE/>
                    <w:autoSpaceDN/>
                    <w:bidi w:val="0"/>
                    <w:adjustRightInd/>
                    <w:snapToGrid/>
                    <w:ind w:firstLineChars="0"/>
                    <w:jc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台</w:t>
                  </w:r>
                </w:p>
              </w:tc>
              <w:tc>
                <w:tcPr>
                  <w:tcW w:w="1497" w:type="pct"/>
                  <w:noWrap w:val="0"/>
                  <w:vAlign w:val="center"/>
                </w:tcPr>
                <w:p w14:paraId="36C2FBA5">
                  <w:pPr>
                    <w:keepNext w:val="0"/>
                    <w:keepLines w:val="0"/>
                    <w:pageBreakBefore w:val="0"/>
                    <w:widowControl/>
                    <w:kinsoku/>
                    <w:wordWrap/>
                    <w:overflowPunct/>
                    <w:topLinePunct w:val="0"/>
                    <w:autoSpaceDE/>
                    <w:autoSpaceDN/>
                    <w:bidi w:val="0"/>
                    <w:adjustRightInd/>
                    <w:snapToGrid/>
                    <w:ind w:firstLineChars="0"/>
                    <w:jc w:val="center"/>
                    <w:rPr>
                      <w:rFonts w:hint="default" w:ascii="Times New Roman" w:hAnsi="Times New Roman" w:eastAsia="宋体" w:cs="Times New Roman"/>
                      <w:b w:val="0"/>
                      <w:bCs w:val="0"/>
                      <w:i w:val="0"/>
                      <w:iCs w:val="0"/>
                      <w:color w:val="000000"/>
                      <w:sz w:val="21"/>
                      <w:szCs w:val="21"/>
                      <w:u w:val="none"/>
                      <w:lang w:val="en-US" w:eastAsia="zh-CN"/>
                    </w:rPr>
                  </w:pPr>
                  <w:r>
                    <w:rPr>
                      <w:rFonts w:hint="default" w:ascii="Times New Roman" w:hAnsi="Times New Roman" w:eastAsia="宋体" w:cs="Times New Roman"/>
                      <w:b w:val="0"/>
                      <w:bCs w:val="0"/>
                      <w:i w:val="0"/>
                      <w:iCs w:val="0"/>
                      <w:color w:val="000000"/>
                      <w:sz w:val="21"/>
                      <w:szCs w:val="21"/>
                      <w:u w:val="none"/>
                      <w:lang w:val="en-US" w:eastAsia="zh-CN"/>
                    </w:rPr>
                    <w:t>/</w:t>
                  </w:r>
                </w:p>
              </w:tc>
            </w:tr>
            <w:tr w14:paraId="497FA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6"/>
                  <w:noWrap w:val="0"/>
                  <w:vAlign w:val="center"/>
                </w:tcPr>
                <w:p w14:paraId="1C50DBDF">
                  <w:pPr>
                    <w:keepNext w:val="0"/>
                    <w:keepLines w:val="0"/>
                    <w:pageBreakBefore w:val="0"/>
                    <w:widowControl/>
                    <w:suppressLineNumbers w:val="0"/>
                    <w:kinsoku/>
                    <w:wordWrap/>
                    <w:overflowPunct/>
                    <w:topLinePunct w:val="0"/>
                    <w:autoSpaceDE/>
                    <w:autoSpaceDN/>
                    <w:bidi w:val="0"/>
                    <w:adjustRightInd/>
                    <w:snapToGrid/>
                    <w:ind w:firstLineChars="0"/>
                    <w:jc w:val="center"/>
                    <w:textAlignment w:val="top"/>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（四）煤泥浓缩压滤浮选</w:t>
                  </w:r>
                </w:p>
              </w:tc>
            </w:tr>
            <w:tr w14:paraId="4434B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pct"/>
                  <w:noWrap w:val="0"/>
                  <w:vAlign w:val="center"/>
                </w:tcPr>
                <w:p w14:paraId="0D5EAEFC">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c>
                <w:tcPr>
                  <w:tcW w:w="1039" w:type="pct"/>
                  <w:noWrap w:val="0"/>
                  <w:vAlign w:val="center"/>
                </w:tcPr>
                <w:p w14:paraId="6F9366FE">
                  <w:pPr>
                    <w:keepNext w:val="0"/>
                    <w:keepLines w:val="0"/>
                    <w:pageBreakBefore w:val="0"/>
                    <w:widowControl/>
                    <w:suppressLineNumbers w:val="0"/>
                    <w:kinsoku/>
                    <w:wordWrap/>
                    <w:overflowPunct/>
                    <w:topLinePunct w:val="0"/>
                    <w:autoSpaceDE/>
                    <w:autoSpaceDN/>
                    <w:bidi w:val="0"/>
                    <w:adjustRightInd/>
                    <w:snapToGrid/>
                    <w:ind w:firstLineChars="0"/>
                    <w:jc w:val="center"/>
                    <w:textAlignment w:val="top"/>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浓缩池</w:t>
                  </w:r>
                </w:p>
              </w:tc>
              <w:tc>
                <w:tcPr>
                  <w:tcW w:w="1119" w:type="pct"/>
                  <w:noWrap w:val="0"/>
                  <w:vAlign w:val="center"/>
                </w:tcPr>
                <w:p w14:paraId="3301D0FF">
                  <w:pPr>
                    <w:keepNext w:val="0"/>
                    <w:keepLines w:val="0"/>
                    <w:pageBreakBefore w:val="0"/>
                    <w:widowControl/>
                    <w:suppressLineNumbers w:val="0"/>
                    <w:kinsoku/>
                    <w:wordWrap/>
                    <w:overflowPunct/>
                    <w:topLinePunct w:val="0"/>
                    <w:autoSpaceDE/>
                    <w:autoSpaceDN/>
                    <w:bidi w:val="0"/>
                    <w:adjustRightInd/>
                    <w:snapToGrid/>
                    <w:ind w:firstLineChars="0"/>
                    <w:jc w:val="center"/>
                    <w:textAlignment w:val="top"/>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钢板焊接</w:t>
                  </w:r>
                </w:p>
              </w:tc>
              <w:tc>
                <w:tcPr>
                  <w:tcW w:w="463" w:type="pct"/>
                  <w:noWrap w:val="0"/>
                  <w:vAlign w:val="center"/>
                </w:tcPr>
                <w:p w14:paraId="00E827EA">
                  <w:pPr>
                    <w:keepNext w:val="0"/>
                    <w:keepLines w:val="0"/>
                    <w:pageBreakBefore w:val="0"/>
                    <w:widowControl/>
                    <w:suppressLineNumbers w:val="0"/>
                    <w:kinsoku/>
                    <w:wordWrap/>
                    <w:overflowPunct/>
                    <w:topLinePunct w:val="0"/>
                    <w:autoSpaceDE/>
                    <w:autoSpaceDN/>
                    <w:bidi w:val="0"/>
                    <w:adjustRightInd/>
                    <w:snapToGrid/>
                    <w:ind w:firstLineChars="0"/>
                    <w:jc w:val="center"/>
                    <w:textAlignment w:val="top"/>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c>
                <w:tcPr>
                  <w:tcW w:w="449" w:type="pct"/>
                  <w:noWrap w:val="0"/>
                  <w:vAlign w:val="center"/>
                </w:tcPr>
                <w:p w14:paraId="67E6E89F">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台</w:t>
                  </w:r>
                </w:p>
              </w:tc>
              <w:tc>
                <w:tcPr>
                  <w:tcW w:w="1497" w:type="pct"/>
                  <w:noWrap w:val="0"/>
                  <w:vAlign w:val="center"/>
                </w:tcPr>
                <w:p w14:paraId="780AD455">
                  <w:pPr>
                    <w:keepNext w:val="0"/>
                    <w:keepLines w:val="0"/>
                    <w:pageBreakBefore w:val="0"/>
                    <w:widowControl/>
                    <w:suppressLineNumbers w:val="0"/>
                    <w:kinsoku/>
                    <w:wordWrap/>
                    <w:overflowPunct/>
                    <w:topLinePunct w:val="0"/>
                    <w:autoSpaceDE/>
                    <w:autoSpaceDN/>
                    <w:bidi w:val="0"/>
                    <w:adjustRightInd/>
                    <w:snapToGrid/>
                    <w:ind w:firstLineChars="0"/>
                    <w:jc w:val="center"/>
                    <w:textAlignment w:val="top"/>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（材料重量放在第六大项）</w:t>
                  </w:r>
                </w:p>
              </w:tc>
            </w:tr>
            <w:tr w14:paraId="10288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pct"/>
                  <w:noWrap w:val="0"/>
                  <w:vAlign w:val="center"/>
                </w:tcPr>
                <w:p w14:paraId="4FACE0E1">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3</w:t>
                  </w:r>
                </w:p>
              </w:tc>
              <w:tc>
                <w:tcPr>
                  <w:tcW w:w="1039" w:type="pct"/>
                  <w:noWrap w:val="0"/>
                  <w:vAlign w:val="center"/>
                </w:tcPr>
                <w:p w14:paraId="7BDDE7F2">
                  <w:pPr>
                    <w:keepNext w:val="0"/>
                    <w:keepLines w:val="0"/>
                    <w:pageBreakBefore w:val="0"/>
                    <w:widowControl/>
                    <w:suppressLineNumbers w:val="0"/>
                    <w:kinsoku/>
                    <w:wordWrap/>
                    <w:overflowPunct/>
                    <w:topLinePunct w:val="0"/>
                    <w:autoSpaceDE/>
                    <w:autoSpaceDN/>
                    <w:bidi w:val="0"/>
                    <w:adjustRightInd/>
                    <w:snapToGrid/>
                    <w:ind w:firstLineChars="0"/>
                    <w:jc w:val="center"/>
                    <w:textAlignment w:val="top"/>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中心回转装置</w:t>
                  </w:r>
                </w:p>
              </w:tc>
              <w:tc>
                <w:tcPr>
                  <w:tcW w:w="1119" w:type="pct"/>
                  <w:noWrap w:val="0"/>
                  <w:vAlign w:val="center"/>
                </w:tcPr>
                <w:p w14:paraId="103E59F6">
                  <w:pPr>
                    <w:keepNext w:val="0"/>
                    <w:keepLines w:val="0"/>
                    <w:pageBreakBefore w:val="0"/>
                    <w:widowControl/>
                    <w:kinsoku/>
                    <w:wordWrap/>
                    <w:overflowPunct/>
                    <w:topLinePunct w:val="0"/>
                    <w:autoSpaceDE/>
                    <w:autoSpaceDN/>
                    <w:bidi w:val="0"/>
                    <w:adjustRightInd/>
                    <w:snapToGrid/>
                    <w:ind w:firstLineChars="0"/>
                    <w:jc w:val="center"/>
                    <w:rPr>
                      <w:rFonts w:hint="default" w:ascii="Times New Roman" w:hAnsi="Times New Roman" w:eastAsia="宋体" w:cs="Times New Roman"/>
                      <w:b w:val="0"/>
                      <w:bCs w:val="0"/>
                      <w:i w:val="0"/>
                      <w:iCs w:val="0"/>
                      <w:color w:val="000000"/>
                      <w:sz w:val="21"/>
                      <w:szCs w:val="21"/>
                      <w:u w:val="none"/>
                      <w:lang w:val="en-US" w:eastAsia="zh-CN"/>
                    </w:rPr>
                  </w:pPr>
                  <w:r>
                    <w:rPr>
                      <w:rFonts w:hint="default" w:ascii="Times New Roman" w:hAnsi="Times New Roman" w:eastAsia="宋体" w:cs="Times New Roman"/>
                      <w:b w:val="0"/>
                      <w:bCs w:val="0"/>
                      <w:i w:val="0"/>
                      <w:iCs w:val="0"/>
                      <w:color w:val="000000"/>
                      <w:sz w:val="21"/>
                      <w:szCs w:val="21"/>
                      <w:u w:val="none"/>
                      <w:lang w:val="en-US" w:eastAsia="zh-CN"/>
                    </w:rPr>
                    <w:t>/</w:t>
                  </w:r>
                </w:p>
              </w:tc>
              <w:tc>
                <w:tcPr>
                  <w:tcW w:w="463" w:type="pct"/>
                  <w:noWrap w:val="0"/>
                  <w:vAlign w:val="center"/>
                </w:tcPr>
                <w:p w14:paraId="2A1F0536">
                  <w:pPr>
                    <w:keepNext w:val="0"/>
                    <w:keepLines w:val="0"/>
                    <w:pageBreakBefore w:val="0"/>
                    <w:widowControl/>
                    <w:suppressLineNumbers w:val="0"/>
                    <w:kinsoku/>
                    <w:wordWrap/>
                    <w:overflowPunct/>
                    <w:topLinePunct w:val="0"/>
                    <w:autoSpaceDE/>
                    <w:autoSpaceDN/>
                    <w:bidi w:val="0"/>
                    <w:adjustRightInd/>
                    <w:snapToGrid/>
                    <w:ind w:firstLineChars="0"/>
                    <w:jc w:val="center"/>
                    <w:textAlignment w:val="top"/>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c>
                <w:tcPr>
                  <w:tcW w:w="449" w:type="pct"/>
                  <w:noWrap w:val="0"/>
                  <w:vAlign w:val="center"/>
                </w:tcPr>
                <w:p w14:paraId="5470D44D">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台</w:t>
                  </w:r>
                </w:p>
              </w:tc>
              <w:tc>
                <w:tcPr>
                  <w:tcW w:w="1497" w:type="pct"/>
                  <w:noWrap w:val="0"/>
                  <w:vAlign w:val="center"/>
                </w:tcPr>
                <w:p w14:paraId="57DBE632">
                  <w:pPr>
                    <w:keepNext w:val="0"/>
                    <w:keepLines w:val="0"/>
                    <w:pageBreakBefore w:val="0"/>
                    <w:widowControl/>
                    <w:kinsoku/>
                    <w:wordWrap/>
                    <w:overflowPunct/>
                    <w:topLinePunct w:val="0"/>
                    <w:autoSpaceDE/>
                    <w:autoSpaceDN/>
                    <w:bidi w:val="0"/>
                    <w:adjustRightInd/>
                    <w:snapToGrid/>
                    <w:ind w:firstLineChars="0"/>
                    <w:jc w:val="center"/>
                    <w:rPr>
                      <w:rFonts w:hint="default" w:ascii="Times New Roman" w:hAnsi="Times New Roman" w:eastAsia="宋体" w:cs="Times New Roman"/>
                      <w:b w:val="0"/>
                      <w:bCs w:val="0"/>
                      <w:i w:val="0"/>
                      <w:iCs w:val="0"/>
                      <w:color w:val="000000"/>
                      <w:sz w:val="21"/>
                      <w:szCs w:val="21"/>
                      <w:u w:val="none"/>
                      <w:lang w:val="en-US" w:eastAsia="zh-CN"/>
                    </w:rPr>
                  </w:pPr>
                  <w:r>
                    <w:rPr>
                      <w:rFonts w:hint="default" w:ascii="Times New Roman" w:hAnsi="Times New Roman" w:eastAsia="宋体" w:cs="Times New Roman"/>
                      <w:b w:val="0"/>
                      <w:bCs w:val="0"/>
                      <w:i w:val="0"/>
                      <w:iCs w:val="0"/>
                      <w:color w:val="000000"/>
                      <w:sz w:val="21"/>
                      <w:szCs w:val="21"/>
                      <w:u w:val="none"/>
                      <w:lang w:val="en-US" w:eastAsia="zh-CN"/>
                    </w:rPr>
                    <w:t>/</w:t>
                  </w:r>
                </w:p>
              </w:tc>
            </w:tr>
            <w:tr w14:paraId="14482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pct"/>
                  <w:noWrap w:val="0"/>
                  <w:vAlign w:val="center"/>
                </w:tcPr>
                <w:p w14:paraId="2F01F5B3">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4</w:t>
                  </w:r>
                </w:p>
              </w:tc>
              <w:tc>
                <w:tcPr>
                  <w:tcW w:w="1039" w:type="pct"/>
                  <w:noWrap w:val="0"/>
                  <w:vAlign w:val="center"/>
                </w:tcPr>
                <w:p w14:paraId="76DBE727">
                  <w:pPr>
                    <w:keepNext w:val="0"/>
                    <w:keepLines w:val="0"/>
                    <w:pageBreakBefore w:val="0"/>
                    <w:widowControl/>
                    <w:suppressLineNumbers w:val="0"/>
                    <w:kinsoku/>
                    <w:wordWrap/>
                    <w:overflowPunct/>
                    <w:topLinePunct w:val="0"/>
                    <w:autoSpaceDE/>
                    <w:autoSpaceDN/>
                    <w:bidi w:val="0"/>
                    <w:adjustRightInd/>
                    <w:snapToGrid/>
                    <w:ind w:firstLineChars="0"/>
                    <w:jc w:val="center"/>
                    <w:textAlignment w:val="top"/>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驱动系统</w:t>
                  </w:r>
                </w:p>
              </w:tc>
              <w:tc>
                <w:tcPr>
                  <w:tcW w:w="1119" w:type="pct"/>
                  <w:noWrap w:val="0"/>
                  <w:vAlign w:val="center"/>
                </w:tcPr>
                <w:p w14:paraId="0AB483E6">
                  <w:pPr>
                    <w:keepNext w:val="0"/>
                    <w:keepLines w:val="0"/>
                    <w:pageBreakBefore w:val="0"/>
                    <w:widowControl/>
                    <w:kinsoku/>
                    <w:wordWrap/>
                    <w:overflowPunct/>
                    <w:topLinePunct w:val="0"/>
                    <w:autoSpaceDE/>
                    <w:autoSpaceDN/>
                    <w:bidi w:val="0"/>
                    <w:adjustRightInd/>
                    <w:snapToGrid/>
                    <w:ind w:firstLineChars="0"/>
                    <w:jc w:val="center"/>
                    <w:rPr>
                      <w:rFonts w:hint="default" w:ascii="Times New Roman" w:hAnsi="Times New Roman" w:eastAsia="宋体" w:cs="Times New Roman"/>
                      <w:b w:val="0"/>
                      <w:bCs w:val="0"/>
                      <w:i w:val="0"/>
                      <w:iCs w:val="0"/>
                      <w:color w:val="000000"/>
                      <w:sz w:val="21"/>
                      <w:szCs w:val="21"/>
                      <w:u w:val="none"/>
                      <w:lang w:val="en-US" w:eastAsia="zh-CN"/>
                    </w:rPr>
                  </w:pPr>
                  <w:r>
                    <w:rPr>
                      <w:rFonts w:hint="default" w:ascii="Times New Roman" w:hAnsi="Times New Roman" w:eastAsia="宋体" w:cs="Times New Roman"/>
                      <w:b w:val="0"/>
                      <w:bCs w:val="0"/>
                      <w:i w:val="0"/>
                      <w:iCs w:val="0"/>
                      <w:color w:val="000000"/>
                      <w:sz w:val="21"/>
                      <w:szCs w:val="21"/>
                      <w:u w:val="none"/>
                      <w:lang w:val="en-US" w:eastAsia="zh-CN"/>
                    </w:rPr>
                    <w:t>/</w:t>
                  </w:r>
                </w:p>
              </w:tc>
              <w:tc>
                <w:tcPr>
                  <w:tcW w:w="463" w:type="pct"/>
                  <w:noWrap w:val="0"/>
                  <w:vAlign w:val="center"/>
                </w:tcPr>
                <w:p w14:paraId="06B22457">
                  <w:pPr>
                    <w:keepNext w:val="0"/>
                    <w:keepLines w:val="0"/>
                    <w:pageBreakBefore w:val="0"/>
                    <w:widowControl/>
                    <w:suppressLineNumbers w:val="0"/>
                    <w:kinsoku/>
                    <w:wordWrap/>
                    <w:overflowPunct/>
                    <w:topLinePunct w:val="0"/>
                    <w:autoSpaceDE/>
                    <w:autoSpaceDN/>
                    <w:bidi w:val="0"/>
                    <w:adjustRightInd/>
                    <w:snapToGrid/>
                    <w:ind w:firstLineChars="0"/>
                    <w:jc w:val="center"/>
                    <w:textAlignment w:val="top"/>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c>
                <w:tcPr>
                  <w:tcW w:w="449" w:type="pct"/>
                  <w:noWrap w:val="0"/>
                  <w:vAlign w:val="center"/>
                </w:tcPr>
                <w:p w14:paraId="0C91706C">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套</w:t>
                  </w:r>
                </w:p>
              </w:tc>
              <w:tc>
                <w:tcPr>
                  <w:tcW w:w="1497" w:type="pct"/>
                  <w:noWrap w:val="0"/>
                  <w:vAlign w:val="center"/>
                </w:tcPr>
                <w:p w14:paraId="360064B8">
                  <w:pPr>
                    <w:keepNext w:val="0"/>
                    <w:keepLines w:val="0"/>
                    <w:pageBreakBefore w:val="0"/>
                    <w:widowControl/>
                    <w:kinsoku/>
                    <w:wordWrap/>
                    <w:overflowPunct/>
                    <w:topLinePunct w:val="0"/>
                    <w:autoSpaceDE/>
                    <w:autoSpaceDN/>
                    <w:bidi w:val="0"/>
                    <w:adjustRightInd/>
                    <w:snapToGrid/>
                    <w:ind w:firstLineChars="0"/>
                    <w:jc w:val="center"/>
                    <w:rPr>
                      <w:rFonts w:hint="default" w:ascii="Times New Roman" w:hAnsi="Times New Roman" w:eastAsia="宋体" w:cs="Times New Roman"/>
                      <w:b w:val="0"/>
                      <w:bCs w:val="0"/>
                      <w:i w:val="0"/>
                      <w:iCs w:val="0"/>
                      <w:color w:val="000000"/>
                      <w:sz w:val="21"/>
                      <w:szCs w:val="21"/>
                      <w:u w:val="none"/>
                      <w:lang w:val="en-US" w:eastAsia="zh-CN"/>
                    </w:rPr>
                  </w:pPr>
                  <w:r>
                    <w:rPr>
                      <w:rFonts w:hint="default" w:ascii="Times New Roman" w:hAnsi="Times New Roman" w:eastAsia="宋体" w:cs="Times New Roman"/>
                      <w:b w:val="0"/>
                      <w:bCs w:val="0"/>
                      <w:i w:val="0"/>
                      <w:iCs w:val="0"/>
                      <w:color w:val="000000"/>
                      <w:sz w:val="21"/>
                      <w:szCs w:val="21"/>
                      <w:u w:val="none"/>
                      <w:lang w:val="en-US" w:eastAsia="zh-CN"/>
                    </w:rPr>
                    <w:t>/</w:t>
                  </w:r>
                </w:p>
              </w:tc>
            </w:tr>
            <w:tr w14:paraId="13D09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pct"/>
                  <w:noWrap w:val="0"/>
                  <w:vAlign w:val="center"/>
                </w:tcPr>
                <w:p w14:paraId="41A4890C">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5</w:t>
                  </w:r>
                </w:p>
              </w:tc>
              <w:tc>
                <w:tcPr>
                  <w:tcW w:w="1039" w:type="pct"/>
                  <w:noWrap w:val="0"/>
                  <w:vAlign w:val="center"/>
                </w:tcPr>
                <w:p w14:paraId="52AA6426">
                  <w:pPr>
                    <w:keepNext w:val="0"/>
                    <w:keepLines w:val="0"/>
                    <w:pageBreakBefore w:val="0"/>
                    <w:widowControl/>
                    <w:suppressLineNumbers w:val="0"/>
                    <w:kinsoku/>
                    <w:wordWrap/>
                    <w:overflowPunct/>
                    <w:topLinePunct w:val="0"/>
                    <w:autoSpaceDE/>
                    <w:autoSpaceDN/>
                    <w:bidi w:val="0"/>
                    <w:adjustRightInd/>
                    <w:snapToGrid/>
                    <w:ind w:firstLineChars="0"/>
                    <w:jc w:val="center"/>
                    <w:textAlignment w:val="top"/>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箱式程控压滤机</w:t>
                  </w:r>
                </w:p>
              </w:tc>
              <w:tc>
                <w:tcPr>
                  <w:tcW w:w="1119" w:type="pct"/>
                  <w:noWrap w:val="0"/>
                  <w:vAlign w:val="center"/>
                </w:tcPr>
                <w:p w14:paraId="562712BD">
                  <w:pPr>
                    <w:keepNext w:val="0"/>
                    <w:keepLines w:val="0"/>
                    <w:pageBreakBefore w:val="0"/>
                    <w:widowControl/>
                    <w:suppressLineNumbers w:val="0"/>
                    <w:kinsoku/>
                    <w:wordWrap/>
                    <w:overflowPunct/>
                    <w:topLinePunct w:val="0"/>
                    <w:autoSpaceDE/>
                    <w:autoSpaceDN/>
                    <w:bidi w:val="0"/>
                    <w:adjustRightInd/>
                    <w:snapToGrid/>
                    <w:ind w:firstLineChars="0"/>
                    <w:jc w:val="center"/>
                    <w:textAlignment w:val="top"/>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XMZ1600-U型F=500</w:t>
                  </w:r>
                  <w:r>
                    <w:rPr>
                      <w:rStyle w:val="56"/>
                      <w:rFonts w:hint="default" w:ascii="Times New Roman" w:hAnsi="Times New Roman" w:cs="Times New Roman"/>
                      <w:b w:val="0"/>
                      <w:bCs w:val="0"/>
                      <w:sz w:val="21"/>
                      <w:szCs w:val="21"/>
                      <w:lang w:val="en-US" w:eastAsia="zh-CN" w:bidi="ar"/>
                    </w:rPr>
                    <w:t>2</w:t>
                  </w:r>
                </w:p>
              </w:tc>
              <w:tc>
                <w:tcPr>
                  <w:tcW w:w="463" w:type="pct"/>
                  <w:noWrap w:val="0"/>
                  <w:vAlign w:val="center"/>
                </w:tcPr>
                <w:p w14:paraId="445C113A">
                  <w:pPr>
                    <w:keepNext w:val="0"/>
                    <w:keepLines w:val="0"/>
                    <w:pageBreakBefore w:val="0"/>
                    <w:widowControl/>
                    <w:suppressLineNumbers w:val="0"/>
                    <w:kinsoku/>
                    <w:wordWrap/>
                    <w:overflowPunct/>
                    <w:topLinePunct w:val="0"/>
                    <w:autoSpaceDE/>
                    <w:autoSpaceDN/>
                    <w:bidi w:val="0"/>
                    <w:adjustRightInd/>
                    <w:snapToGrid/>
                    <w:ind w:firstLineChars="0"/>
                    <w:jc w:val="center"/>
                    <w:textAlignment w:val="top"/>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2</w:t>
                  </w:r>
                </w:p>
              </w:tc>
              <w:tc>
                <w:tcPr>
                  <w:tcW w:w="449" w:type="pct"/>
                  <w:noWrap w:val="0"/>
                  <w:vAlign w:val="center"/>
                </w:tcPr>
                <w:p w14:paraId="397CC9CE">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台</w:t>
                  </w:r>
                </w:p>
              </w:tc>
              <w:tc>
                <w:tcPr>
                  <w:tcW w:w="1497" w:type="pct"/>
                  <w:noWrap w:val="0"/>
                  <w:vAlign w:val="center"/>
                </w:tcPr>
                <w:p w14:paraId="32CF86BA">
                  <w:pPr>
                    <w:keepNext w:val="0"/>
                    <w:keepLines w:val="0"/>
                    <w:pageBreakBefore w:val="0"/>
                    <w:widowControl/>
                    <w:suppressLineNumbers w:val="0"/>
                    <w:kinsoku/>
                    <w:wordWrap/>
                    <w:overflowPunct/>
                    <w:topLinePunct w:val="0"/>
                    <w:autoSpaceDE/>
                    <w:autoSpaceDN/>
                    <w:bidi w:val="0"/>
                    <w:adjustRightInd/>
                    <w:snapToGrid/>
                    <w:ind w:firstLineChars="0"/>
                    <w:jc w:val="center"/>
                    <w:textAlignment w:val="top"/>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单丝滤布入料压力≦0.8MPa</w:t>
                  </w:r>
                </w:p>
              </w:tc>
            </w:tr>
            <w:tr w14:paraId="31315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pct"/>
                  <w:noWrap w:val="0"/>
                  <w:vAlign w:val="center"/>
                </w:tcPr>
                <w:p w14:paraId="0647FB99">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6</w:t>
                  </w:r>
                </w:p>
              </w:tc>
              <w:tc>
                <w:tcPr>
                  <w:tcW w:w="1039" w:type="pct"/>
                  <w:noWrap w:val="0"/>
                  <w:vAlign w:val="center"/>
                </w:tcPr>
                <w:p w14:paraId="1FA9D7E9">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煤泥压滤机渣浆泵</w:t>
                  </w:r>
                </w:p>
              </w:tc>
              <w:tc>
                <w:tcPr>
                  <w:tcW w:w="1119" w:type="pct"/>
                  <w:noWrap w:val="0"/>
                  <w:vAlign w:val="center"/>
                </w:tcPr>
                <w:p w14:paraId="0D69B196">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100ZJE</w:t>
                  </w:r>
                  <w:r>
                    <w:rPr>
                      <w:rStyle w:val="57"/>
                      <w:rFonts w:hint="default" w:ascii="Times New Roman" w:hAnsi="Times New Roman" w:cs="Times New Roman"/>
                      <w:b w:val="0"/>
                      <w:bCs w:val="0"/>
                      <w:sz w:val="21"/>
                      <w:szCs w:val="21"/>
                      <w:lang w:val="en-US" w:eastAsia="zh-CN" w:bidi="ar"/>
                    </w:rPr>
                    <w:t>N=75kw</w:t>
                  </w:r>
                </w:p>
              </w:tc>
              <w:tc>
                <w:tcPr>
                  <w:tcW w:w="463" w:type="pct"/>
                  <w:noWrap w:val="0"/>
                  <w:vAlign w:val="center"/>
                </w:tcPr>
                <w:p w14:paraId="7F32F289">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2</w:t>
                  </w:r>
                </w:p>
              </w:tc>
              <w:tc>
                <w:tcPr>
                  <w:tcW w:w="449" w:type="pct"/>
                  <w:noWrap w:val="0"/>
                  <w:vAlign w:val="center"/>
                </w:tcPr>
                <w:p w14:paraId="5C84ABB0">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台</w:t>
                  </w:r>
                </w:p>
              </w:tc>
              <w:tc>
                <w:tcPr>
                  <w:tcW w:w="1497" w:type="pct"/>
                  <w:noWrap w:val="0"/>
                  <w:vAlign w:val="center"/>
                </w:tcPr>
                <w:p w14:paraId="0ECC05E0">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流量200</w:t>
                  </w:r>
                  <w:r>
                    <w:rPr>
                      <w:rStyle w:val="56"/>
                      <w:rFonts w:hint="default" w:ascii="Times New Roman" w:hAnsi="Times New Roman" w:cs="Times New Roman"/>
                      <w:b w:val="0"/>
                      <w:bCs w:val="0"/>
                      <w:sz w:val="21"/>
                      <w:szCs w:val="21"/>
                      <w:lang w:val="en-US" w:eastAsia="zh-CN" w:bidi="ar"/>
                    </w:rPr>
                    <w:t>3</w:t>
                  </w:r>
                  <w:r>
                    <w:rPr>
                      <w:rFonts w:hint="default" w:ascii="Times New Roman" w:hAnsi="Times New Roman" w:eastAsia="宋体" w:cs="Times New Roman"/>
                      <w:b w:val="0"/>
                      <w:bCs w:val="0"/>
                      <w:i w:val="0"/>
                      <w:iCs w:val="0"/>
                      <w:color w:val="000000"/>
                      <w:kern w:val="0"/>
                      <w:sz w:val="21"/>
                      <w:szCs w:val="21"/>
                      <w:u w:val="none"/>
                      <w:lang w:val="en-US" w:eastAsia="zh-CN" w:bidi="ar"/>
                    </w:rPr>
                    <w:t>/H，扬程73米</w:t>
                  </w:r>
                </w:p>
              </w:tc>
            </w:tr>
            <w:tr w14:paraId="7698B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6"/>
                  <w:noWrap w:val="0"/>
                  <w:vAlign w:val="center"/>
                </w:tcPr>
                <w:p w14:paraId="12C4F29F">
                  <w:pPr>
                    <w:keepNext w:val="0"/>
                    <w:keepLines w:val="0"/>
                    <w:pageBreakBefore w:val="0"/>
                    <w:widowControl/>
                    <w:suppressLineNumbers w:val="0"/>
                    <w:kinsoku/>
                    <w:wordWrap/>
                    <w:overflowPunct/>
                    <w:topLinePunct w:val="0"/>
                    <w:autoSpaceDE/>
                    <w:autoSpaceDN/>
                    <w:bidi w:val="0"/>
                    <w:adjustRightInd/>
                    <w:snapToGrid/>
                    <w:ind w:firstLineChars="0"/>
                    <w:jc w:val="center"/>
                    <w:textAlignment w:val="top"/>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（五）电控系统</w:t>
                  </w:r>
                </w:p>
              </w:tc>
            </w:tr>
            <w:tr w14:paraId="56C3D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431" w:type="pct"/>
                  <w:noWrap w:val="0"/>
                  <w:vAlign w:val="center"/>
                </w:tcPr>
                <w:p w14:paraId="49FDDCE3">
                  <w:pPr>
                    <w:keepNext w:val="0"/>
                    <w:keepLines w:val="0"/>
                    <w:pageBreakBefore w:val="0"/>
                    <w:widowControl/>
                    <w:suppressLineNumbers w:val="0"/>
                    <w:kinsoku/>
                    <w:wordWrap/>
                    <w:overflowPunct/>
                    <w:topLinePunct w:val="0"/>
                    <w:autoSpaceDE/>
                    <w:autoSpaceDN/>
                    <w:bidi w:val="0"/>
                    <w:adjustRightInd/>
                    <w:snapToGrid/>
                    <w:ind w:firstLineChars="0"/>
                    <w:jc w:val="center"/>
                    <w:textAlignment w:val="top"/>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c>
                <w:tcPr>
                  <w:tcW w:w="1039" w:type="pct"/>
                  <w:noWrap w:val="0"/>
                  <w:vAlign w:val="center"/>
                </w:tcPr>
                <w:p w14:paraId="2B730EA1">
                  <w:pPr>
                    <w:keepNext w:val="0"/>
                    <w:keepLines w:val="0"/>
                    <w:pageBreakBefore w:val="0"/>
                    <w:widowControl/>
                    <w:suppressLineNumbers w:val="0"/>
                    <w:kinsoku/>
                    <w:wordWrap/>
                    <w:overflowPunct/>
                    <w:topLinePunct w:val="0"/>
                    <w:autoSpaceDE/>
                    <w:autoSpaceDN/>
                    <w:bidi w:val="0"/>
                    <w:adjustRightInd/>
                    <w:snapToGrid/>
                    <w:ind w:firstLineChars="0"/>
                    <w:jc w:val="center"/>
                    <w:textAlignment w:val="top"/>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电柜</w:t>
                  </w:r>
                </w:p>
              </w:tc>
              <w:tc>
                <w:tcPr>
                  <w:tcW w:w="1119" w:type="pct"/>
                  <w:noWrap w:val="0"/>
                  <w:vAlign w:val="center"/>
                </w:tcPr>
                <w:p w14:paraId="467C0D88">
                  <w:pPr>
                    <w:keepNext w:val="0"/>
                    <w:keepLines w:val="0"/>
                    <w:pageBreakBefore w:val="0"/>
                    <w:widowControl/>
                    <w:suppressLineNumbers w:val="0"/>
                    <w:kinsoku/>
                    <w:wordWrap/>
                    <w:overflowPunct/>
                    <w:topLinePunct w:val="0"/>
                    <w:autoSpaceDE/>
                    <w:autoSpaceDN/>
                    <w:bidi w:val="0"/>
                    <w:adjustRightInd/>
                    <w:snapToGrid/>
                    <w:ind w:firstLineChars="0"/>
                    <w:jc w:val="center"/>
                    <w:textAlignment w:val="top"/>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1177.8KW</w:t>
                  </w:r>
                </w:p>
              </w:tc>
              <w:tc>
                <w:tcPr>
                  <w:tcW w:w="463" w:type="pct"/>
                  <w:noWrap w:val="0"/>
                  <w:vAlign w:val="center"/>
                </w:tcPr>
                <w:p w14:paraId="18BBFB20">
                  <w:pPr>
                    <w:keepNext w:val="0"/>
                    <w:keepLines w:val="0"/>
                    <w:pageBreakBefore w:val="0"/>
                    <w:widowControl/>
                    <w:kinsoku/>
                    <w:wordWrap/>
                    <w:overflowPunct/>
                    <w:topLinePunct w:val="0"/>
                    <w:autoSpaceDE/>
                    <w:autoSpaceDN/>
                    <w:bidi w:val="0"/>
                    <w:adjustRightInd/>
                    <w:snapToGrid/>
                    <w:ind w:firstLineChars="0"/>
                    <w:jc w:val="center"/>
                    <w:rPr>
                      <w:rFonts w:hint="default" w:ascii="Times New Roman" w:hAnsi="Times New Roman" w:eastAsia="宋体" w:cs="Times New Roman"/>
                      <w:b w:val="0"/>
                      <w:bCs w:val="0"/>
                      <w:i w:val="0"/>
                      <w:iCs w:val="0"/>
                      <w:color w:val="000000"/>
                      <w:sz w:val="21"/>
                      <w:szCs w:val="21"/>
                      <w:u w:val="none"/>
                      <w:lang w:val="en-US" w:eastAsia="zh-CN"/>
                    </w:rPr>
                  </w:pPr>
                  <w:r>
                    <w:rPr>
                      <w:rFonts w:hint="default" w:ascii="Times New Roman" w:hAnsi="Times New Roman" w:eastAsia="宋体" w:cs="Times New Roman"/>
                      <w:b w:val="0"/>
                      <w:bCs w:val="0"/>
                      <w:i w:val="0"/>
                      <w:iCs w:val="0"/>
                      <w:color w:val="000000"/>
                      <w:sz w:val="21"/>
                      <w:szCs w:val="21"/>
                      <w:u w:val="none"/>
                      <w:lang w:val="en-US" w:eastAsia="zh-CN"/>
                    </w:rPr>
                    <w:t>/</w:t>
                  </w:r>
                </w:p>
              </w:tc>
              <w:tc>
                <w:tcPr>
                  <w:tcW w:w="449" w:type="pct"/>
                  <w:noWrap w:val="0"/>
                  <w:vAlign w:val="center"/>
                </w:tcPr>
                <w:p w14:paraId="300600E2">
                  <w:pPr>
                    <w:keepNext w:val="0"/>
                    <w:keepLines w:val="0"/>
                    <w:pageBreakBefore w:val="0"/>
                    <w:widowControl/>
                    <w:kinsoku/>
                    <w:wordWrap/>
                    <w:overflowPunct/>
                    <w:topLinePunct w:val="0"/>
                    <w:autoSpaceDE/>
                    <w:autoSpaceDN/>
                    <w:bidi w:val="0"/>
                    <w:adjustRightInd/>
                    <w:snapToGrid/>
                    <w:ind w:firstLineChars="0"/>
                    <w:jc w:val="center"/>
                    <w:rPr>
                      <w:rFonts w:hint="default" w:ascii="Times New Roman" w:hAnsi="Times New Roman" w:eastAsia="宋体" w:cs="Times New Roman"/>
                      <w:b w:val="0"/>
                      <w:bCs w:val="0"/>
                      <w:i w:val="0"/>
                      <w:iCs w:val="0"/>
                      <w:color w:val="000000"/>
                      <w:sz w:val="21"/>
                      <w:szCs w:val="21"/>
                      <w:u w:val="none"/>
                      <w:lang w:val="en-US" w:eastAsia="zh-CN"/>
                    </w:rPr>
                  </w:pPr>
                  <w:r>
                    <w:rPr>
                      <w:rFonts w:hint="default" w:ascii="Times New Roman" w:hAnsi="Times New Roman" w:eastAsia="宋体" w:cs="Times New Roman"/>
                      <w:b w:val="0"/>
                      <w:bCs w:val="0"/>
                      <w:i w:val="0"/>
                      <w:iCs w:val="0"/>
                      <w:color w:val="000000"/>
                      <w:sz w:val="21"/>
                      <w:szCs w:val="21"/>
                      <w:u w:val="none"/>
                      <w:lang w:val="en-US" w:eastAsia="zh-CN"/>
                    </w:rPr>
                    <w:t>/</w:t>
                  </w:r>
                </w:p>
              </w:tc>
              <w:tc>
                <w:tcPr>
                  <w:tcW w:w="1497" w:type="pct"/>
                  <w:noWrap w:val="0"/>
                  <w:vAlign w:val="center"/>
                </w:tcPr>
                <w:p w14:paraId="0F468CDC">
                  <w:pPr>
                    <w:keepNext w:val="0"/>
                    <w:keepLines w:val="0"/>
                    <w:pageBreakBefore w:val="0"/>
                    <w:widowControl/>
                    <w:suppressLineNumbers w:val="0"/>
                    <w:kinsoku/>
                    <w:wordWrap/>
                    <w:overflowPunct/>
                    <w:topLinePunct w:val="0"/>
                    <w:autoSpaceDE/>
                    <w:autoSpaceDN/>
                    <w:bidi w:val="0"/>
                    <w:adjustRightInd/>
                    <w:snapToGrid/>
                    <w:ind w:firstLineChars="0"/>
                    <w:jc w:val="center"/>
                    <w:textAlignment w:val="top"/>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30kw以上智能软起</w:t>
                  </w:r>
                </w:p>
              </w:tc>
            </w:tr>
          </w:tbl>
          <w:p w14:paraId="40F5BC06">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Cs/>
                <w:sz w:val="24"/>
                <w:szCs w:val="24"/>
                <w:lang w:val="en-US" w:eastAsia="zh-CN"/>
              </w:rPr>
            </w:pPr>
            <w:r>
              <w:rPr>
                <w:rFonts w:hint="default" w:ascii="Times New Roman" w:hAnsi="Times New Roman" w:eastAsia="宋体" w:cs="Times New Roman"/>
                <w:bCs/>
                <w:kern w:val="2"/>
                <w:sz w:val="24"/>
                <w:szCs w:val="24"/>
                <w:lang w:val="en-US" w:eastAsia="zh-CN" w:bidi="ar-SA"/>
              </w:rPr>
              <w:t>5、</w:t>
            </w:r>
            <w:r>
              <w:rPr>
                <w:rFonts w:hint="default" w:ascii="Times New Roman" w:hAnsi="Times New Roman" w:eastAsia="宋体" w:cs="Times New Roman"/>
                <w:bCs/>
                <w:sz w:val="24"/>
                <w:szCs w:val="24"/>
                <w:lang w:val="en-US" w:eastAsia="zh-CN"/>
              </w:rPr>
              <w:t>主要原辅料</w:t>
            </w:r>
          </w:p>
          <w:p w14:paraId="5A31D7D5">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Cs/>
                <w:sz w:val="24"/>
                <w:szCs w:val="24"/>
                <w:lang w:val="en-US" w:eastAsia="zh-CN"/>
              </w:rPr>
            </w:pPr>
            <w:r>
              <w:rPr>
                <w:rFonts w:hint="default" w:ascii="Times New Roman" w:hAnsi="Times New Roman" w:eastAsia="宋体" w:cs="Times New Roman"/>
                <w:bCs/>
                <w:sz w:val="24"/>
                <w:szCs w:val="24"/>
                <w:lang w:val="en-US" w:eastAsia="zh-CN"/>
              </w:rPr>
              <w:t>（1）原辅料消耗情况</w:t>
            </w:r>
          </w:p>
          <w:p w14:paraId="69DAAAEE">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Cs/>
                <w:sz w:val="24"/>
                <w:szCs w:val="24"/>
                <w:lang w:val="en-US" w:eastAsia="zh-CN"/>
              </w:rPr>
            </w:pPr>
            <w:r>
              <w:rPr>
                <w:rFonts w:hint="default" w:ascii="Times New Roman" w:hAnsi="Times New Roman" w:eastAsia="宋体" w:cs="Times New Roman"/>
                <w:bCs/>
                <w:sz w:val="24"/>
                <w:szCs w:val="24"/>
                <w:lang w:val="en-US" w:eastAsia="zh-CN"/>
              </w:rPr>
              <w:t>本项目外购煤泥进入煤泥洗选系统，煤泥洗选工艺需要加入起泡剂、捕收剂，起泡剂用量为0.2kg/t，捕收剂用量为1kg/</w:t>
            </w:r>
            <w:r>
              <w:rPr>
                <w:rFonts w:hint="default" w:ascii="Times New Roman" w:hAnsi="Times New Roman" w:eastAsia="宋体" w:cs="Times New Roman"/>
                <w:bCs/>
                <w:color w:val="auto"/>
                <w:sz w:val="24"/>
                <w:szCs w:val="24"/>
                <w:lang w:val="en-US" w:eastAsia="zh-CN"/>
              </w:rPr>
              <w:t>t，由桶装暂存于</w:t>
            </w:r>
            <w:r>
              <w:rPr>
                <w:rFonts w:hint="eastAsia" w:ascii="Times New Roman" w:hAnsi="Times New Roman" w:eastAsia="宋体" w:cs="Times New Roman"/>
                <w:bCs/>
                <w:color w:val="auto"/>
                <w:sz w:val="24"/>
                <w:szCs w:val="24"/>
                <w:lang w:val="en-US" w:eastAsia="zh-CN"/>
              </w:rPr>
              <w:t>洗煤厂房</w:t>
            </w:r>
            <w:r>
              <w:rPr>
                <w:rFonts w:hint="default" w:ascii="Times New Roman" w:hAnsi="Times New Roman" w:eastAsia="宋体" w:cs="Times New Roman"/>
                <w:bCs/>
                <w:color w:val="auto"/>
                <w:sz w:val="24"/>
                <w:szCs w:val="24"/>
                <w:lang w:val="en-US" w:eastAsia="zh-CN"/>
              </w:rPr>
              <w:t>。项目所用原</w:t>
            </w:r>
            <w:r>
              <w:rPr>
                <w:rFonts w:hint="default" w:ascii="Times New Roman" w:hAnsi="Times New Roman" w:eastAsia="宋体" w:cs="Times New Roman"/>
                <w:bCs/>
                <w:sz w:val="24"/>
                <w:szCs w:val="24"/>
                <w:lang w:val="en-US" w:eastAsia="zh-CN"/>
              </w:rPr>
              <w:t>辅料</w:t>
            </w:r>
            <w:r>
              <w:rPr>
                <w:rFonts w:hint="eastAsia" w:ascii="Times New Roman" w:hAnsi="Times New Roman" w:eastAsia="宋体" w:cs="Times New Roman"/>
                <w:bCs/>
                <w:sz w:val="24"/>
                <w:szCs w:val="24"/>
                <w:lang w:val="en-US" w:eastAsia="zh-CN"/>
              </w:rPr>
              <w:t>主要来源于华安矿业及周边洗煤厂产生的煤泥</w:t>
            </w:r>
            <w:r>
              <w:rPr>
                <w:rFonts w:hint="default" w:ascii="Times New Roman" w:hAnsi="Times New Roman" w:eastAsia="宋体" w:cs="Times New Roman"/>
                <w:bCs/>
                <w:sz w:val="24"/>
                <w:szCs w:val="24"/>
                <w:lang w:val="en-US" w:eastAsia="zh-CN"/>
              </w:rPr>
              <w:t>。</w:t>
            </w:r>
          </w:p>
          <w:p w14:paraId="3B6D81E5">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22" w:firstLineChars="200"/>
              <w:jc w:val="center"/>
              <w:textAlignment w:val="auto"/>
              <w:rPr>
                <w:rFonts w:hint="default" w:ascii="Times New Roman" w:hAnsi="Times New Roman" w:eastAsia="宋体" w:cs="Times New Roman"/>
                <w:b/>
                <w:bCs w:val="0"/>
                <w:sz w:val="21"/>
                <w:szCs w:val="21"/>
                <w:lang w:val="en-US" w:eastAsia="zh-CN"/>
              </w:rPr>
            </w:pPr>
            <w:r>
              <w:rPr>
                <w:rFonts w:hint="default" w:ascii="Times New Roman" w:hAnsi="Times New Roman" w:eastAsia="宋体" w:cs="Times New Roman"/>
                <w:b/>
                <w:bCs w:val="0"/>
                <w:sz w:val="21"/>
                <w:szCs w:val="21"/>
                <w:lang w:val="en-US" w:eastAsia="zh-CN"/>
              </w:rPr>
              <w:t>表2-</w:t>
            </w:r>
            <w:r>
              <w:rPr>
                <w:rFonts w:hint="eastAsia" w:cs="Times New Roman"/>
                <w:b/>
                <w:bCs w:val="0"/>
                <w:sz w:val="21"/>
                <w:szCs w:val="21"/>
                <w:lang w:val="en-US" w:eastAsia="zh-CN"/>
              </w:rPr>
              <w:t>6</w:t>
            </w:r>
            <w:r>
              <w:rPr>
                <w:rFonts w:hint="default" w:ascii="Times New Roman" w:hAnsi="Times New Roman" w:eastAsia="宋体" w:cs="Times New Roman"/>
                <w:b/>
                <w:bCs w:val="0"/>
                <w:sz w:val="21"/>
                <w:szCs w:val="21"/>
                <w:lang w:val="en-US" w:eastAsia="zh-CN"/>
              </w:rPr>
              <w:t xml:space="preserve"> 原辅料消耗与储运一览表</w:t>
            </w:r>
          </w:p>
          <w:tbl>
            <w:tblPr>
              <w:tblStyle w:val="26"/>
              <w:tblW w:w="79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7"/>
              <w:gridCol w:w="986"/>
              <w:gridCol w:w="1061"/>
              <w:gridCol w:w="1161"/>
              <w:gridCol w:w="846"/>
              <w:gridCol w:w="1096"/>
              <w:gridCol w:w="1998"/>
            </w:tblGrid>
            <w:tr w14:paraId="0A5BA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97" w:type="dxa"/>
                  <w:noWrap w:val="0"/>
                  <w:vAlign w:val="center"/>
                </w:tcPr>
                <w:p w14:paraId="1F71B00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sz w:val="21"/>
                      <w:szCs w:val="21"/>
                      <w:vertAlign w:val="baseline"/>
                      <w:lang w:val="en-US" w:eastAsia="zh-CN"/>
                    </w:rPr>
                    <w:t>序号</w:t>
                  </w:r>
                </w:p>
              </w:tc>
              <w:tc>
                <w:tcPr>
                  <w:tcW w:w="986" w:type="dxa"/>
                  <w:noWrap w:val="0"/>
                  <w:vAlign w:val="center"/>
                </w:tcPr>
                <w:p w14:paraId="72B7CBB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sz w:val="21"/>
                      <w:szCs w:val="21"/>
                      <w:vertAlign w:val="baseline"/>
                      <w:lang w:val="en-US" w:eastAsia="zh-CN"/>
                    </w:rPr>
                    <w:t>名称</w:t>
                  </w:r>
                </w:p>
              </w:tc>
              <w:tc>
                <w:tcPr>
                  <w:tcW w:w="1061" w:type="dxa"/>
                  <w:noWrap w:val="0"/>
                  <w:vAlign w:val="center"/>
                </w:tcPr>
                <w:p w14:paraId="29F9DA6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sz w:val="21"/>
                      <w:szCs w:val="21"/>
                      <w:vertAlign w:val="baseline"/>
                      <w:lang w:val="en-US" w:eastAsia="zh-CN"/>
                    </w:rPr>
                    <w:t>年用量（t/a）</w:t>
                  </w:r>
                </w:p>
              </w:tc>
              <w:tc>
                <w:tcPr>
                  <w:tcW w:w="1161" w:type="dxa"/>
                  <w:noWrap w:val="0"/>
                  <w:vAlign w:val="center"/>
                </w:tcPr>
                <w:p w14:paraId="0B8C689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sz w:val="21"/>
                      <w:szCs w:val="21"/>
                      <w:vertAlign w:val="baseline"/>
                      <w:lang w:val="en-US" w:eastAsia="zh-CN"/>
                    </w:rPr>
                    <w:t>最大存储量（t/a）</w:t>
                  </w:r>
                </w:p>
              </w:tc>
              <w:tc>
                <w:tcPr>
                  <w:tcW w:w="846" w:type="dxa"/>
                  <w:noWrap w:val="0"/>
                  <w:vAlign w:val="center"/>
                </w:tcPr>
                <w:p w14:paraId="5B1972C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sz w:val="21"/>
                      <w:szCs w:val="21"/>
                      <w:vertAlign w:val="baseline"/>
                      <w:lang w:val="en-US" w:eastAsia="zh-CN"/>
                    </w:rPr>
                    <w:t>周期（天）</w:t>
                  </w:r>
                </w:p>
              </w:tc>
              <w:tc>
                <w:tcPr>
                  <w:tcW w:w="1096" w:type="dxa"/>
                  <w:noWrap w:val="0"/>
                  <w:vAlign w:val="center"/>
                </w:tcPr>
                <w:p w14:paraId="2363E3D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color w:val="auto"/>
                      <w:sz w:val="21"/>
                      <w:szCs w:val="21"/>
                      <w:vertAlign w:val="baseline"/>
                      <w:lang w:val="en-US" w:eastAsia="zh-CN"/>
                    </w:rPr>
                    <w:t>存储位置</w:t>
                  </w:r>
                </w:p>
              </w:tc>
              <w:tc>
                <w:tcPr>
                  <w:tcW w:w="1998" w:type="dxa"/>
                  <w:noWrap w:val="0"/>
                  <w:vAlign w:val="center"/>
                </w:tcPr>
                <w:p w14:paraId="4B5E093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sz w:val="21"/>
                      <w:szCs w:val="21"/>
                      <w:vertAlign w:val="baseline"/>
                      <w:lang w:val="en-US" w:eastAsia="zh-CN"/>
                    </w:rPr>
                    <w:t>备注</w:t>
                  </w:r>
                </w:p>
              </w:tc>
            </w:tr>
            <w:tr w14:paraId="38483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945" w:type="dxa"/>
                  <w:gridSpan w:val="7"/>
                  <w:noWrap w:val="0"/>
                  <w:vAlign w:val="center"/>
                </w:tcPr>
                <w:p w14:paraId="52FECEA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cs="Times New Roman"/>
                      <w:b w:val="0"/>
                      <w:bCs/>
                      <w:sz w:val="21"/>
                      <w:szCs w:val="21"/>
                      <w:vertAlign w:val="baseline"/>
                      <w:lang w:val="en-US" w:eastAsia="zh-CN"/>
                    </w:rPr>
                    <w:t>一期</w:t>
                  </w:r>
                </w:p>
              </w:tc>
            </w:tr>
            <w:tr w14:paraId="779A9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97" w:type="dxa"/>
                  <w:noWrap w:val="0"/>
                  <w:vAlign w:val="center"/>
                </w:tcPr>
                <w:p w14:paraId="377D28E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sz w:val="21"/>
                      <w:szCs w:val="21"/>
                      <w:vertAlign w:val="baseline"/>
                      <w:lang w:val="en-US" w:eastAsia="zh-CN"/>
                    </w:rPr>
                    <w:t>1</w:t>
                  </w:r>
                </w:p>
              </w:tc>
              <w:tc>
                <w:tcPr>
                  <w:tcW w:w="986" w:type="dxa"/>
                  <w:noWrap w:val="0"/>
                  <w:vAlign w:val="center"/>
                </w:tcPr>
                <w:p w14:paraId="46DDAAD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sz w:val="21"/>
                      <w:szCs w:val="21"/>
                      <w:vertAlign w:val="baseline"/>
                      <w:lang w:val="en-US" w:eastAsia="zh-CN"/>
                    </w:rPr>
                    <w:t>煤泥</w:t>
                  </w:r>
                </w:p>
              </w:tc>
              <w:tc>
                <w:tcPr>
                  <w:tcW w:w="1061" w:type="dxa"/>
                  <w:noWrap w:val="0"/>
                  <w:vAlign w:val="center"/>
                </w:tcPr>
                <w:p w14:paraId="39563C1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sz w:val="21"/>
                      <w:szCs w:val="21"/>
                      <w:vertAlign w:val="baseline"/>
                      <w:lang w:val="en-US" w:eastAsia="zh-CN"/>
                    </w:rPr>
                    <w:t>6万</w:t>
                  </w:r>
                </w:p>
              </w:tc>
              <w:tc>
                <w:tcPr>
                  <w:tcW w:w="1161" w:type="dxa"/>
                  <w:noWrap w:val="0"/>
                  <w:vAlign w:val="center"/>
                </w:tcPr>
                <w:p w14:paraId="6A47F3A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sz w:val="21"/>
                      <w:szCs w:val="21"/>
                      <w:vertAlign w:val="baseline"/>
                      <w:lang w:val="en-US" w:eastAsia="zh-CN"/>
                    </w:rPr>
                    <w:t>3000</w:t>
                  </w:r>
                </w:p>
              </w:tc>
              <w:tc>
                <w:tcPr>
                  <w:tcW w:w="846" w:type="dxa"/>
                  <w:noWrap w:val="0"/>
                  <w:vAlign w:val="center"/>
                </w:tcPr>
                <w:p w14:paraId="4E7541E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sz w:val="21"/>
                      <w:szCs w:val="21"/>
                      <w:vertAlign w:val="baseline"/>
                      <w:lang w:val="en-US" w:eastAsia="zh-CN"/>
                    </w:rPr>
                    <w:t>5</w:t>
                  </w:r>
                </w:p>
              </w:tc>
              <w:tc>
                <w:tcPr>
                  <w:tcW w:w="1096" w:type="dxa"/>
                  <w:noWrap w:val="0"/>
                  <w:vAlign w:val="center"/>
                </w:tcPr>
                <w:p w14:paraId="640AE93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color w:val="auto"/>
                      <w:sz w:val="21"/>
                      <w:szCs w:val="21"/>
                      <w:vertAlign w:val="baseline"/>
                      <w:lang w:val="en-US" w:eastAsia="zh-CN"/>
                    </w:rPr>
                    <w:t>煤棚</w:t>
                  </w:r>
                </w:p>
              </w:tc>
              <w:tc>
                <w:tcPr>
                  <w:tcW w:w="1998" w:type="dxa"/>
                  <w:noWrap w:val="0"/>
                  <w:vAlign w:val="center"/>
                </w:tcPr>
                <w:p w14:paraId="61FAFD5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sz w:val="21"/>
                      <w:szCs w:val="21"/>
                      <w:vertAlign w:val="baseline"/>
                      <w:lang w:val="en-US" w:eastAsia="zh-CN"/>
                    </w:rPr>
                    <w:t>主要来源于华安矿业及周边洗煤厂产生的煤泥</w:t>
                  </w:r>
                </w:p>
              </w:tc>
            </w:tr>
            <w:tr w14:paraId="283C6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945" w:type="dxa"/>
                  <w:gridSpan w:val="7"/>
                  <w:noWrap w:val="0"/>
                  <w:vAlign w:val="center"/>
                </w:tcPr>
                <w:p w14:paraId="3A946FD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cs="Times New Roman"/>
                      <w:b w:val="0"/>
                      <w:bCs/>
                      <w:sz w:val="21"/>
                      <w:szCs w:val="21"/>
                      <w:vertAlign w:val="baseline"/>
                      <w:lang w:val="en-US" w:eastAsia="zh-CN"/>
                    </w:rPr>
                    <w:t>二期</w:t>
                  </w:r>
                </w:p>
              </w:tc>
            </w:tr>
            <w:tr w14:paraId="29C11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97" w:type="dxa"/>
                  <w:noWrap w:val="0"/>
                  <w:vAlign w:val="center"/>
                </w:tcPr>
                <w:p w14:paraId="63ECACC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sz w:val="21"/>
                      <w:szCs w:val="21"/>
                      <w:vertAlign w:val="baseline"/>
                      <w:lang w:val="en-US" w:eastAsia="zh-CN"/>
                    </w:rPr>
                    <w:t>1</w:t>
                  </w:r>
                </w:p>
              </w:tc>
              <w:tc>
                <w:tcPr>
                  <w:tcW w:w="986" w:type="dxa"/>
                  <w:noWrap w:val="0"/>
                  <w:vAlign w:val="center"/>
                </w:tcPr>
                <w:p w14:paraId="7F3174A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sz w:val="21"/>
                      <w:szCs w:val="21"/>
                      <w:vertAlign w:val="baseline"/>
                      <w:lang w:val="en-US" w:eastAsia="zh-CN"/>
                    </w:rPr>
                    <w:t>煤泥</w:t>
                  </w:r>
                </w:p>
              </w:tc>
              <w:tc>
                <w:tcPr>
                  <w:tcW w:w="1061" w:type="dxa"/>
                  <w:noWrap w:val="0"/>
                  <w:vAlign w:val="center"/>
                </w:tcPr>
                <w:p w14:paraId="1D4327B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sz w:val="21"/>
                      <w:szCs w:val="21"/>
                      <w:vertAlign w:val="baseline"/>
                      <w:lang w:val="en-US" w:eastAsia="zh-CN"/>
                    </w:rPr>
                    <w:t>12万</w:t>
                  </w:r>
                </w:p>
              </w:tc>
              <w:tc>
                <w:tcPr>
                  <w:tcW w:w="1161" w:type="dxa"/>
                  <w:noWrap w:val="0"/>
                  <w:vAlign w:val="center"/>
                </w:tcPr>
                <w:p w14:paraId="29550A1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sz w:val="21"/>
                      <w:szCs w:val="21"/>
                      <w:vertAlign w:val="baseline"/>
                      <w:lang w:val="en-US" w:eastAsia="zh-CN"/>
                    </w:rPr>
                    <w:t>3000</w:t>
                  </w:r>
                </w:p>
              </w:tc>
              <w:tc>
                <w:tcPr>
                  <w:tcW w:w="846" w:type="dxa"/>
                  <w:noWrap w:val="0"/>
                  <w:vAlign w:val="center"/>
                </w:tcPr>
                <w:p w14:paraId="7CCBB31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sz w:val="21"/>
                      <w:szCs w:val="21"/>
                      <w:vertAlign w:val="baseline"/>
                      <w:lang w:val="en-US" w:eastAsia="zh-CN"/>
                    </w:rPr>
                    <w:t>5</w:t>
                  </w:r>
                </w:p>
              </w:tc>
              <w:tc>
                <w:tcPr>
                  <w:tcW w:w="1096" w:type="dxa"/>
                  <w:noWrap w:val="0"/>
                  <w:vAlign w:val="center"/>
                </w:tcPr>
                <w:p w14:paraId="212FFCB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color w:val="auto"/>
                      <w:sz w:val="21"/>
                      <w:szCs w:val="21"/>
                      <w:vertAlign w:val="baseline"/>
                      <w:lang w:val="en-US" w:eastAsia="zh-CN"/>
                    </w:rPr>
                    <w:t>煤棚</w:t>
                  </w:r>
                </w:p>
              </w:tc>
              <w:tc>
                <w:tcPr>
                  <w:tcW w:w="1998" w:type="dxa"/>
                  <w:noWrap w:val="0"/>
                  <w:vAlign w:val="center"/>
                </w:tcPr>
                <w:p w14:paraId="501F952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sz w:val="21"/>
                      <w:szCs w:val="21"/>
                      <w:vertAlign w:val="baseline"/>
                      <w:lang w:val="en-US" w:eastAsia="zh-CN"/>
                    </w:rPr>
                    <w:t>主要来源于华安矿业及周边洗煤厂产生的煤泥</w:t>
                  </w:r>
                </w:p>
              </w:tc>
            </w:tr>
            <w:tr w14:paraId="702E7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97" w:type="dxa"/>
                  <w:noWrap w:val="0"/>
                  <w:vAlign w:val="center"/>
                </w:tcPr>
                <w:p w14:paraId="2B5EE7E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sz w:val="21"/>
                      <w:szCs w:val="21"/>
                      <w:vertAlign w:val="baseline"/>
                      <w:lang w:val="en-US" w:eastAsia="zh-CN"/>
                    </w:rPr>
                    <w:t>2</w:t>
                  </w:r>
                </w:p>
              </w:tc>
              <w:tc>
                <w:tcPr>
                  <w:tcW w:w="986" w:type="dxa"/>
                  <w:noWrap w:val="0"/>
                  <w:vAlign w:val="center"/>
                </w:tcPr>
                <w:p w14:paraId="290E66F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sz w:val="21"/>
                      <w:szCs w:val="21"/>
                      <w:vertAlign w:val="baseline"/>
                      <w:lang w:val="en-US" w:eastAsia="zh-CN"/>
                    </w:rPr>
                    <w:t>起泡剂</w:t>
                  </w:r>
                </w:p>
              </w:tc>
              <w:tc>
                <w:tcPr>
                  <w:tcW w:w="1061" w:type="dxa"/>
                  <w:noWrap w:val="0"/>
                  <w:vAlign w:val="center"/>
                </w:tcPr>
                <w:p w14:paraId="10DD8C4D">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sz w:val="21"/>
                      <w:szCs w:val="21"/>
                      <w:vertAlign w:val="baseline"/>
                      <w:lang w:val="en-US" w:eastAsia="zh-CN"/>
                    </w:rPr>
                    <w:t>24</w:t>
                  </w:r>
                </w:p>
              </w:tc>
              <w:tc>
                <w:tcPr>
                  <w:tcW w:w="1161" w:type="dxa"/>
                  <w:noWrap w:val="0"/>
                  <w:vAlign w:val="center"/>
                </w:tcPr>
                <w:p w14:paraId="10AFDE7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sz w:val="21"/>
                      <w:szCs w:val="21"/>
                      <w:vertAlign w:val="baseline"/>
                      <w:lang w:val="en-US" w:eastAsia="zh-CN"/>
                    </w:rPr>
                    <w:t>1.64</w:t>
                  </w:r>
                </w:p>
              </w:tc>
              <w:tc>
                <w:tcPr>
                  <w:tcW w:w="846" w:type="dxa"/>
                  <w:noWrap w:val="0"/>
                  <w:vAlign w:val="center"/>
                </w:tcPr>
                <w:p w14:paraId="6B7B371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sz w:val="21"/>
                      <w:szCs w:val="21"/>
                      <w:vertAlign w:val="baseline"/>
                      <w:lang w:val="en-US" w:eastAsia="zh-CN"/>
                    </w:rPr>
                    <w:t>5</w:t>
                  </w:r>
                </w:p>
              </w:tc>
              <w:tc>
                <w:tcPr>
                  <w:tcW w:w="1096" w:type="dxa"/>
                  <w:noWrap w:val="0"/>
                  <w:vAlign w:val="center"/>
                </w:tcPr>
                <w:p w14:paraId="4B36D09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color w:val="auto"/>
                      <w:sz w:val="21"/>
                      <w:szCs w:val="21"/>
                      <w:vertAlign w:val="baseline"/>
                      <w:lang w:val="en-US" w:eastAsia="zh-CN"/>
                    </w:rPr>
                    <w:t>洗煤厂房</w:t>
                  </w:r>
                </w:p>
              </w:tc>
              <w:tc>
                <w:tcPr>
                  <w:tcW w:w="1998" w:type="dxa"/>
                  <w:noWrap w:val="0"/>
                  <w:vAlign w:val="center"/>
                </w:tcPr>
                <w:p w14:paraId="17604B6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sz w:val="21"/>
                      <w:szCs w:val="21"/>
                      <w:vertAlign w:val="baseline"/>
                      <w:lang w:val="en-US" w:eastAsia="zh-CN"/>
                    </w:rPr>
                    <w:t>外购，</w:t>
                  </w:r>
                  <w:r>
                    <w:rPr>
                      <w:rFonts w:hint="default" w:ascii="Times New Roman" w:hAnsi="Times New Roman" w:eastAsia="宋体" w:cs="Times New Roman"/>
                      <w:color w:val="auto"/>
                      <w:sz w:val="21"/>
                      <w:szCs w:val="21"/>
                      <w:lang w:val="en-US" w:eastAsia="zh-CN"/>
                    </w:rPr>
                    <w:t>仲辛醇</w:t>
                  </w:r>
                </w:p>
              </w:tc>
            </w:tr>
            <w:tr w14:paraId="22DE1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97" w:type="dxa"/>
                  <w:noWrap w:val="0"/>
                  <w:vAlign w:val="center"/>
                </w:tcPr>
                <w:p w14:paraId="74C01AC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sz w:val="21"/>
                      <w:szCs w:val="21"/>
                      <w:vertAlign w:val="baseline"/>
                      <w:lang w:val="en-US" w:eastAsia="zh-CN"/>
                    </w:rPr>
                    <w:t>3</w:t>
                  </w:r>
                </w:p>
              </w:tc>
              <w:tc>
                <w:tcPr>
                  <w:tcW w:w="986" w:type="dxa"/>
                  <w:noWrap w:val="0"/>
                  <w:vAlign w:val="center"/>
                </w:tcPr>
                <w:p w14:paraId="2EF7747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sz w:val="21"/>
                      <w:szCs w:val="21"/>
                      <w:vertAlign w:val="baseline"/>
                      <w:lang w:val="en-US" w:eastAsia="zh-CN"/>
                    </w:rPr>
                    <w:t>捕收剂（柴油）</w:t>
                  </w:r>
                </w:p>
              </w:tc>
              <w:tc>
                <w:tcPr>
                  <w:tcW w:w="1061" w:type="dxa"/>
                  <w:noWrap w:val="0"/>
                  <w:vAlign w:val="center"/>
                </w:tcPr>
                <w:p w14:paraId="6BD35DA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sz w:val="21"/>
                      <w:szCs w:val="21"/>
                      <w:vertAlign w:val="baseline"/>
                      <w:lang w:val="en-US" w:eastAsia="zh-CN"/>
                    </w:rPr>
                    <w:t>120</w:t>
                  </w:r>
                </w:p>
              </w:tc>
              <w:tc>
                <w:tcPr>
                  <w:tcW w:w="1161" w:type="dxa"/>
                  <w:noWrap w:val="0"/>
                  <w:vAlign w:val="center"/>
                </w:tcPr>
                <w:p w14:paraId="34C7985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sz w:val="21"/>
                      <w:szCs w:val="21"/>
                      <w:vertAlign w:val="baseline"/>
                      <w:lang w:val="en-US" w:eastAsia="zh-CN"/>
                    </w:rPr>
                    <w:t>8.22</w:t>
                  </w:r>
                </w:p>
              </w:tc>
              <w:tc>
                <w:tcPr>
                  <w:tcW w:w="846" w:type="dxa"/>
                  <w:noWrap w:val="0"/>
                  <w:vAlign w:val="center"/>
                </w:tcPr>
                <w:p w14:paraId="69F6693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sz w:val="21"/>
                      <w:szCs w:val="21"/>
                      <w:vertAlign w:val="baseline"/>
                      <w:lang w:val="en-US" w:eastAsia="zh-CN"/>
                    </w:rPr>
                    <w:t>5</w:t>
                  </w:r>
                </w:p>
              </w:tc>
              <w:tc>
                <w:tcPr>
                  <w:tcW w:w="1096" w:type="dxa"/>
                  <w:noWrap w:val="0"/>
                  <w:vAlign w:val="center"/>
                </w:tcPr>
                <w:p w14:paraId="5B2298D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color w:val="auto"/>
                      <w:sz w:val="21"/>
                      <w:szCs w:val="21"/>
                      <w:vertAlign w:val="baseline"/>
                      <w:lang w:val="en-US" w:eastAsia="zh-CN"/>
                    </w:rPr>
                    <w:t>洗煤厂房</w:t>
                  </w:r>
                </w:p>
              </w:tc>
              <w:tc>
                <w:tcPr>
                  <w:tcW w:w="1998" w:type="dxa"/>
                  <w:noWrap w:val="0"/>
                  <w:vAlign w:val="center"/>
                </w:tcPr>
                <w:p w14:paraId="6352520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sz w:val="21"/>
                      <w:szCs w:val="21"/>
                      <w:vertAlign w:val="baseline"/>
                      <w:lang w:val="en-US" w:eastAsia="zh-CN"/>
                    </w:rPr>
                    <w:t>外购，柴油</w:t>
                  </w:r>
                </w:p>
              </w:tc>
            </w:tr>
            <w:tr w14:paraId="0A1A7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945" w:type="dxa"/>
                  <w:gridSpan w:val="7"/>
                  <w:noWrap w:val="0"/>
                  <w:vAlign w:val="center"/>
                </w:tcPr>
                <w:p w14:paraId="6C0B8FD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cs="Times New Roman"/>
                      <w:b w:val="0"/>
                      <w:bCs/>
                      <w:sz w:val="21"/>
                      <w:szCs w:val="21"/>
                      <w:vertAlign w:val="baseline"/>
                      <w:lang w:val="en-US" w:eastAsia="zh-CN"/>
                    </w:rPr>
                    <w:t>三期</w:t>
                  </w:r>
                </w:p>
              </w:tc>
            </w:tr>
            <w:tr w14:paraId="1074D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97" w:type="dxa"/>
                  <w:noWrap w:val="0"/>
                  <w:vAlign w:val="center"/>
                </w:tcPr>
                <w:p w14:paraId="366CDBE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sz w:val="21"/>
                      <w:szCs w:val="21"/>
                      <w:vertAlign w:val="baseline"/>
                      <w:lang w:val="en-US" w:eastAsia="zh-CN"/>
                    </w:rPr>
                    <w:t>1</w:t>
                  </w:r>
                </w:p>
              </w:tc>
              <w:tc>
                <w:tcPr>
                  <w:tcW w:w="986" w:type="dxa"/>
                  <w:noWrap w:val="0"/>
                  <w:vAlign w:val="center"/>
                </w:tcPr>
                <w:p w14:paraId="61083E7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sz w:val="21"/>
                      <w:szCs w:val="21"/>
                      <w:vertAlign w:val="baseline"/>
                      <w:lang w:val="en-US" w:eastAsia="zh-CN"/>
                    </w:rPr>
                    <w:t>煤泥</w:t>
                  </w:r>
                </w:p>
              </w:tc>
              <w:tc>
                <w:tcPr>
                  <w:tcW w:w="1061" w:type="dxa"/>
                  <w:noWrap w:val="0"/>
                  <w:vAlign w:val="center"/>
                </w:tcPr>
                <w:p w14:paraId="1F3214C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cs="Times New Roman"/>
                      <w:b w:val="0"/>
                      <w:bCs/>
                      <w:sz w:val="21"/>
                      <w:szCs w:val="21"/>
                      <w:vertAlign w:val="baseline"/>
                      <w:lang w:val="en-US" w:eastAsia="zh-CN"/>
                    </w:rPr>
                    <w:t>30</w:t>
                  </w:r>
                  <w:r>
                    <w:rPr>
                      <w:rFonts w:hint="default" w:ascii="Times New Roman" w:hAnsi="Times New Roman" w:eastAsia="宋体" w:cs="Times New Roman"/>
                      <w:b w:val="0"/>
                      <w:bCs/>
                      <w:sz w:val="21"/>
                      <w:szCs w:val="21"/>
                      <w:vertAlign w:val="baseline"/>
                      <w:lang w:val="en-US" w:eastAsia="zh-CN"/>
                    </w:rPr>
                    <w:t>万</w:t>
                  </w:r>
                </w:p>
              </w:tc>
              <w:tc>
                <w:tcPr>
                  <w:tcW w:w="1161" w:type="dxa"/>
                  <w:noWrap w:val="0"/>
                  <w:vAlign w:val="center"/>
                </w:tcPr>
                <w:p w14:paraId="53F9AE1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sz w:val="21"/>
                      <w:szCs w:val="21"/>
                      <w:vertAlign w:val="baseline"/>
                      <w:lang w:val="en-US" w:eastAsia="zh-CN"/>
                    </w:rPr>
                    <w:t>3000</w:t>
                  </w:r>
                </w:p>
              </w:tc>
              <w:tc>
                <w:tcPr>
                  <w:tcW w:w="846" w:type="dxa"/>
                  <w:noWrap w:val="0"/>
                  <w:vAlign w:val="center"/>
                </w:tcPr>
                <w:p w14:paraId="1A0418B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sz w:val="21"/>
                      <w:szCs w:val="21"/>
                      <w:vertAlign w:val="baseline"/>
                      <w:lang w:val="en-US" w:eastAsia="zh-CN"/>
                    </w:rPr>
                    <w:t>5</w:t>
                  </w:r>
                </w:p>
              </w:tc>
              <w:tc>
                <w:tcPr>
                  <w:tcW w:w="1096" w:type="dxa"/>
                  <w:noWrap w:val="0"/>
                  <w:vAlign w:val="center"/>
                </w:tcPr>
                <w:p w14:paraId="63FC4F1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color w:val="auto"/>
                      <w:sz w:val="21"/>
                      <w:szCs w:val="21"/>
                      <w:vertAlign w:val="baseline"/>
                      <w:lang w:val="en-US" w:eastAsia="zh-CN"/>
                    </w:rPr>
                    <w:t>煤棚</w:t>
                  </w:r>
                </w:p>
              </w:tc>
              <w:tc>
                <w:tcPr>
                  <w:tcW w:w="1998" w:type="dxa"/>
                  <w:noWrap w:val="0"/>
                  <w:vAlign w:val="center"/>
                </w:tcPr>
                <w:p w14:paraId="1457C82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sz w:val="21"/>
                      <w:szCs w:val="21"/>
                      <w:vertAlign w:val="baseline"/>
                      <w:lang w:val="en-US" w:eastAsia="zh-CN"/>
                    </w:rPr>
                    <w:t>主要来源于华安矿业及周边洗煤厂产生的煤泥</w:t>
                  </w:r>
                </w:p>
              </w:tc>
            </w:tr>
            <w:tr w14:paraId="54299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97" w:type="dxa"/>
                  <w:noWrap w:val="0"/>
                  <w:vAlign w:val="center"/>
                </w:tcPr>
                <w:p w14:paraId="0A74BC7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sz w:val="21"/>
                      <w:szCs w:val="21"/>
                      <w:vertAlign w:val="baseline"/>
                      <w:lang w:val="en-US" w:eastAsia="zh-CN"/>
                    </w:rPr>
                    <w:t>2</w:t>
                  </w:r>
                </w:p>
              </w:tc>
              <w:tc>
                <w:tcPr>
                  <w:tcW w:w="986" w:type="dxa"/>
                  <w:noWrap w:val="0"/>
                  <w:vAlign w:val="center"/>
                </w:tcPr>
                <w:p w14:paraId="0FC9D05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sz w:val="21"/>
                      <w:szCs w:val="21"/>
                      <w:vertAlign w:val="baseline"/>
                      <w:lang w:val="en-US" w:eastAsia="zh-CN"/>
                    </w:rPr>
                    <w:t>起泡剂</w:t>
                  </w:r>
                </w:p>
              </w:tc>
              <w:tc>
                <w:tcPr>
                  <w:tcW w:w="1061" w:type="dxa"/>
                  <w:noWrap w:val="0"/>
                  <w:vAlign w:val="center"/>
                </w:tcPr>
                <w:p w14:paraId="6D6ED92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sz w:val="21"/>
                      <w:szCs w:val="21"/>
                      <w:vertAlign w:val="baseline"/>
                      <w:lang w:val="en-US" w:eastAsia="zh-CN"/>
                    </w:rPr>
                    <w:t>60</w:t>
                  </w:r>
                </w:p>
              </w:tc>
              <w:tc>
                <w:tcPr>
                  <w:tcW w:w="1161" w:type="dxa"/>
                  <w:noWrap w:val="0"/>
                  <w:vAlign w:val="center"/>
                </w:tcPr>
                <w:p w14:paraId="4D81D8C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sz w:val="21"/>
                      <w:szCs w:val="21"/>
                      <w:vertAlign w:val="baseline"/>
                      <w:lang w:val="en-US" w:eastAsia="zh-CN"/>
                    </w:rPr>
                    <w:t>1.64</w:t>
                  </w:r>
                </w:p>
              </w:tc>
              <w:tc>
                <w:tcPr>
                  <w:tcW w:w="846" w:type="dxa"/>
                  <w:noWrap w:val="0"/>
                  <w:vAlign w:val="center"/>
                </w:tcPr>
                <w:p w14:paraId="71F38E6D">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sz w:val="21"/>
                      <w:szCs w:val="21"/>
                      <w:vertAlign w:val="baseline"/>
                      <w:lang w:val="en-US" w:eastAsia="zh-CN"/>
                    </w:rPr>
                    <w:t>5</w:t>
                  </w:r>
                </w:p>
              </w:tc>
              <w:tc>
                <w:tcPr>
                  <w:tcW w:w="1096" w:type="dxa"/>
                  <w:noWrap w:val="0"/>
                  <w:vAlign w:val="center"/>
                </w:tcPr>
                <w:p w14:paraId="65B141E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color w:val="auto"/>
                      <w:sz w:val="21"/>
                      <w:szCs w:val="21"/>
                      <w:vertAlign w:val="baseline"/>
                      <w:lang w:val="en-US" w:eastAsia="zh-CN"/>
                    </w:rPr>
                    <w:t>洗煤厂房</w:t>
                  </w:r>
                </w:p>
              </w:tc>
              <w:tc>
                <w:tcPr>
                  <w:tcW w:w="1998" w:type="dxa"/>
                  <w:noWrap w:val="0"/>
                  <w:vAlign w:val="center"/>
                </w:tcPr>
                <w:p w14:paraId="6AB15DD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sz w:val="21"/>
                      <w:szCs w:val="21"/>
                      <w:vertAlign w:val="baseline"/>
                      <w:lang w:val="en-US" w:eastAsia="zh-CN"/>
                    </w:rPr>
                    <w:t>外购，</w:t>
                  </w:r>
                  <w:r>
                    <w:rPr>
                      <w:rFonts w:hint="default" w:ascii="Times New Roman" w:hAnsi="Times New Roman" w:eastAsia="宋体" w:cs="Times New Roman"/>
                      <w:color w:val="auto"/>
                      <w:sz w:val="21"/>
                      <w:szCs w:val="21"/>
                      <w:lang w:val="en-US" w:eastAsia="zh-CN"/>
                    </w:rPr>
                    <w:t>仲辛醇</w:t>
                  </w:r>
                </w:p>
              </w:tc>
            </w:tr>
            <w:tr w14:paraId="433D3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97" w:type="dxa"/>
                  <w:noWrap w:val="0"/>
                  <w:vAlign w:val="center"/>
                </w:tcPr>
                <w:p w14:paraId="5A79986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sz w:val="21"/>
                      <w:szCs w:val="21"/>
                      <w:vertAlign w:val="baseline"/>
                      <w:lang w:val="en-US" w:eastAsia="zh-CN"/>
                    </w:rPr>
                    <w:t>3</w:t>
                  </w:r>
                </w:p>
              </w:tc>
              <w:tc>
                <w:tcPr>
                  <w:tcW w:w="986" w:type="dxa"/>
                  <w:noWrap w:val="0"/>
                  <w:vAlign w:val="center"/>
                </w:tcPr>
                <w:p w14:paraId="7582E6B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sz w:val="21"/>
                      <w:szCs w:val="21"/>
                      <w:vertAlign w:val="baseline"/>
                      <w:lang w:val="en-US" w:eastAsia="zh-CN"/>
                    </w:rPr>
                    <w:t>捕收剂（柴油）</w:t>
                  </w:r>
                </w:p>
              </w:tc>
              <w:tc>
                <w:tcPr>
                  <w:tcW w:w="1061" w:type="dxa"/>
                  <w:noWrap w:val="0"/>
                  <w:vAlign w:val="center"/>
                </w:tcPr>
                <w:p w14:paraId="599F3DE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sz w:val="21"/>
                      <w:szCs w:val="21"/>
                      <w:vertAlign w:val="baseline"/>
                      <w:lang w:val="en-US" w:eastAsia="zh-CN"/>
                    </w:rPr>
                    <w:t>300</w:t>
                  </w:r>
                </w:p>
              </w:tc>
              <w:tc>
                <w:tcPr>
                  <w:tcW w:w="1161" w:type="dxa"/>
                  <w:noWrap w:val="0"/>
                  <w:vAlign w:val="center"/>
                </w:tcPr>
                <w:p w14:paraId="39E4887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sz w:val="21"/>
                      <w:szCs w:val="21"/>
                      <w:vertAlign w:val="baseline"/>
                      <w:lang w:val="en-US" w:eastAsia="zh-CN"/>
                    </w:rPr>
                    <w:t>8.22</w:t>
                  </w:r>
                </w:p>
              </w:tc>
              <w:tc>
                <w:tcPr>
                  <w:tcW w:w="846" w:type="dxa"/>
                  <w:noWrap w:val="0"/>
                  <w:vAlign w:val="center"/>
                </w:tcPr>
                <w:p w14:paraId="39C91C3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sz w:val="21"/>
                      <w:szCs w:val="21"/>
                      <w:vertAlign w:val="baseline"/>
                      <w:lang w:val="en-US" w:eastAsia="zh-CN"/>
                    </w:rPr>
                    <w:t>5</w:t>
                  </w:r>
                </w:p>
              </w:tc>
              <w:tc>
                <w:tcPr>
                  <w:tcW w:w="1096" w:type="dxa"/>
                  <w:noWrap w:val="0"/>
                  <w:vAlign w:val="center"/>
                </w:tcPr>
                <w:p w14:paraId="74F1B48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color w:val="auto"/>
                      <w:sz w:val="21"/>
                      <w:szCs w:val="21"/>
                      <w:vertAlign w:val="baseline"/>
                      <w:lang w:val="en-US" w:eastAsia="zh-CN"/>
                    </w:rPr>
                    <w:t>洗煤厂房</w:t>
                  </w:r>
                </w:p>
              </w:tc>
              <w:tc>
                <w:tcPr>
                  <w:tcW w:w="1998" w:type="dxa"/>
                  <w:noWrap w:val="0"/>
                  <w:vAlign w:val="center"/>
                </w:tcPr>
                <w:p w14:paraId="5BCD8D5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sz w:val="21"/>
                      <w:szCs w:val="21"/>
                      <w:vertAlign w:val="baseline"/>
                      <w:lang w:val="en-US" w:eastAsia="zh-CN"/>
                    </w:rPr>
                  </w:pPr>
                  <w:r>
                    <w:rPr>
                      <w:rFonts w:hint="default" w:ascii="Times New Roman" w:hAnsi="Times New Roman" w:eastAsia="宋体" w:cs="Times New Roman"/>
                      <w:b w:val="0"/>
                      <w:bCs/>
                      <w:sz w:val="21"/>
                      <w:szCs w:val="21"/>
                      <w:vertAlign w:val="baseline"/>
                      <w:lang w:val="en-US" w:eastAsia="zh-CN"/>
                    </w:rPr>
                    <w:t>外购，柴油</w:t>
                  </w:r>
                </w:p>
              </w:tc>
            </w:tr>
          </w:tbl>
          <w:p w14:paraId="72B89E5D">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left"/>
              <w:textAlignment w:val="auto"/>
              <w:rPr>
                <w:rFonts w:hint="default" w:ascii="Times New Roman" w:hAnsi="Times New Roman" w:eastAsia="宋体" w:cs="Times New Roman"/>
                <w:b w:val="0"/>
                <w:bCs/>
                <w:sz w:val="24"/>
                <w:szCs w:val="24"/>
                <w:lang w:val="en-US" w:eastAsia="zh-CN"/>
              </w:rPr>
            </w:pPr>
            <w:r>
              <w:rPr>
                <w:rFonts w:hint="default" w:ascii="Times New Roman" w:hAnsi="Times New Roman" w:eastAsia="宋体" w:cs="Times New Roman"/>
                <w:b w:val="0"/>
                <w:bCs/>
                <w:kern w:val="2"/>
                <w:sz w:val="24"/>
                <w:szCs w:val="24"/>
                <w:lang w:val="en-US" w:eastAsia="zh-CN" w:bidi="ar-SA"/>
              </w:rPr>
              <w:t>（2）</w:t>
            </w:r>
            <w:r>
              <w:rPr>
                <w:rFonts w:hint="default" w:ascii="Times New Roman" w:hAnsi="Times New Roman" w:eastAsia="宋体" w:cs="Times New Roman"/>
                <w:b w:val="0"/>
                <w:bCs/>
                <w:sz w:val="24"/>
                <w:szCs w:val="24"/>
                <w:lang w:val="en-US" w:eastAsia="zh-CN"/>
              </w:rPr>
              <w:t>原辅料理化性质</w:t>
            </w:r>
          </w:p>
          <w:p w14:paraId="33C40F35">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left"/>
              <w:textAlignment w:val="auto"/>
              <w:rPr>
                <w:rFonts w:hint="default" w:ascii="Times New Roman" w:hAnsi="Times New Roman" w:eastAsia="宋体" w:cs="Times New Roman"/>
                <w:b w:val="0"/>
                <w:bCs/>
                <w:sz w:val="24"/>
                <w:szCs w:val="24"/>
                <w:lang w:val="en-US" w:eastAsia="zh-CN"/>
              </w:rPr>
            </w:pPr>
            <w:r>
              <w:rPr>
                <w:rFonts w:hint="default" w:ascii="Times New Roman" w:hAnsi="Times New Roman" w:eastAsia="宋体" w:cs="Times New Roman"/>
                <w:b w:val="0"/>
                <w:bCs/>
                <w:sz w:val="24"/>
                <w:szCs w:val="24"/>
                <w:lang w:val="en-US" w:eastAsia="zh-CN"/>
              </w:rPr>
              <w:t>本项目原辅料理化性质见下表。</w:t>
            </w:r>
          </w:p>
          <w:p w14:paraId="7BF38F83">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jc w:val="center"/>
              <w:textAlignment w:val="auto"/>
              <w:rPr>
                <w:rFonts w:hint="eastAsia" w:ascii="Times New Roman" w:hAnsi="Times New Roman" w:eastAsia="宋体" w:cs="Times New Roman"/>
                <w:b/>
                <w:bCs w:val="0"/>
                <w:sz w:val="21"/>
                <w:szCs w:val="21"/>
                <w:lang w:val="en-US" w:eastAsia="zh-CN"/>
              </w:rPr>
            </w:pPr>
            <w:r>
              <w:rPr>
                <w:rFonts w:hint="eastAsia" w:ascii="Times New Roman" w:hAnsi="Times New Roman" w:eastAsia="宋体" w:cs="Times New Roman"/>
                <w:b/>
                <w:bCs w:val="0"/>
                <w:sz w:val="21"/>
                <w:szCs w:val="21"/>
                <w:lang w:val="en-US" w:eastAsia="zh-CN"/>
              </w:rPr>
              <w:t>表2-</w:t>
            </w:r>
            <w:r>
              <w:rPr>
                <w:rFonts w:hint="eastAsia" w:cs="Times New Roman"/>
                <w:b/>
                <w:bCs w:val="0"/>
                <w:sz w:val="21"/>
                <w:szCs w:val="21"/>
                <w:lang w:val="en-US" w:eastAsia="zh-CN"/>
              </w:rPr>
              <w:t>7</w:t>
            </w:r>
            <w:r>
              <w:rPr>
                <w:rFonts w:hint="eastAsia" w:ascii="Times New Roman" w:hAnsi="Times New Roman" w:eastAsia="宋体" w:cs="Times New Roman"/>
                <w:b/>
                <w:bCs w:val="0"/>
                <w:sz w:val="21"/>
                <w:szCs w:val="21"/>
                <w:lang w:val="en-US" w:eastAsia="zh-CN"/>
              </w:rPr>
              <w:t xml:space="preserve"> 原辅料理化性质一览表</w:t>
            </w:r>
          </w:p>
          <w:tbl>
            <w:tblPr>
              <w:tblStyle w:val="25"/>
              <w:tblW w:w="499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3"/>
              <w:gridCol w:w="893"/>
              <w:gridCol w:w="893"/>
              <w:gridCol w:w="639"/>
              <w:gridCol w:w="952"/>
              <w:gridCol w:w="774"/>
              <w:gridCol w:w="850"/>
              <w:gridCol w:w="2030"/>
            </w:tblGrid>
            <w:tr w14:paraId="48475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3" w:type="pct"/>
                  <w:noWrap w:val="0"/>
                  <w:vAlign w:val="center"/>
                </w:tcPr>
                <w:p w14:paraId="214A2CF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物料名称</w:t>
                  </w:r>
                </w:p>
              </w:tc>
              <w:tc>
                <w:tcPr>
                  <w:tcW w:w="563" w:type="pct"/>
                  <w:noWrap w:val="0"/>
                  <w:vAlign w:val="center"/>
                </w:tcPr>
                <w:p w14:paraId="5F92FAC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外观性状</w:t>
                  </w:r>
                </w:p>
              </w:tc>
              <w:tc>
                <w:tcPr>
                  <w:tcW w:w="563" w:type="pct"/>
                  <w:noWrap w:val="0"/>
                  <w:vAlign w:val="center"/>
                </w:tcPr>
                <w:p w14:paraId="245ED6E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主要化学成分</w:t>
                  </w:r>
                </w:p>
              </w:tc>
              <w:tc>
                <w:tcPr>
                  <w:tcW w:w="403" w:type="pct"/>
                  <w:noWrap w:val="0"/>
                  <w:vAlign w:val="center"/>
                </w:tcPr>
                <w:p w14:paraId="076F75E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沸点</w:t>
                  </w:r>
                </w:p>
              </w:tc>
              <w:tc>
                <w:tcPr>
                  <w:tcW w:w="600" w:type="pct"/>
                  <w:noWrap w:val="0"/>
                  <w:vAlign w:val="center"/>
                </w:tcPr>
                <w:p w14:paraId="4323FD1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密度</w:t>
                  </w:r>
                </w:p>
              </w:tc>
              <w:tc>
                <w:tcPr>
                  <w:tcW w:w="488" w:type="pct"/>
                  <w:noWrap w:val="0"/>
                  <w:vAlign w:val="center"/>
                </w:tcPr>
                <w:p w14:paraId="6F109A0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闪点</w:t>
                  </w:r>
                </w:p>
              </w:tc>
              <w:tc>
                <w:tcPr>
                  <w:tcW w:w="536" w:type="pct"/>
                  <w:noWrap w:val="0"/>
                  <w:vAlign w:val="center"/>
                </w:tcPr>
                <w:p w14:paraId="15D7C38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溶解性</w:t>
                  </w:r>
                </w:p>
              </w:tc>
              <w:tc>
                <w:tcPr>
                  <w:tcW w:w="1280" w:type="pct"/>
                  <w:noWrap w:val="0"/>
                  <w:vAlign w:val="center"/>
                </w:tcPr>
                <w:p w14:paraId="4D7E35C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理化特性、用途、危险特性</w:t>
                  </w:r>
                </w:p>
              </w:tc>
            </w:tr>
            <w:tr w14:paraId="3F3D9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3" w:type="pct"/>
                  <w:noWrap w:val="0"/>
                  <w:vAlign w:val="center"/>
                </w:tcPr>
                <w:p w14:paraId="2F76C94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煤泥</w:t>
                  </w:r>
                </w:p>
              </w:tc>
              <w:tc>
                <w:tcPr>
                  <w:tcW w:w="563" w:type="pct"/>
                  <w:noWrap w:val="0"/>
                  <w:vAlign w:val="center"/>
                </w:tcPr>
                <w:p w14:paraId="40A885C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黑色湿状泥质、颗粒微细</w:t>
                  </w:r>
                </w:p>
              </w:tc>
              <w:tc>
                <w:tcPr>
                  <w:tcW w:w="563" w:type="pct"/>
                  <w:noWrap w:val="0"/>
                  <w:vAlign w:val="center"/>
                </w:tcPr>
                <w:p w14:paraId="691689E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固定碳、灰分、水分、挥发分</w:t>
                  </w:r>
                </w:p>
              </w:tc>
              <w:tc>
                <w:tcPr>
                  <w:tcW w:w="403" w:type="pct"/>
                  <w:noWrap w:val="0"/>
                  <w:vAlign w:val="center"/>
                </w:tcPr>
                <w:p w14:paraId="28A4997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noBreakHyphen/>
                  </w:r>
                </w:p>
              </w:tc>
              <w:tc>
                <w:tcPr>
                  <w:tcW w:w="600" w:type="pct"/>
                  <w:noWrap w:val="0"/>
                  <w:vAlign w:val="center"/>
                </w:tcPr>
                <w:p w14:paraId="1F28375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堆积密度1.1</w:t>
                  </w:r>
                  <w:r>
                    <w:rPr>
                      <w:rFonts w:hint="default" w:ascii="Times New Roman" w:hAnsi="Times New Roman" w:eastAsia="宋体" w:cs="Times New Roman"/>
                      <w:b w:val="0"/>
                      <w:bCs w:val="0"/>
                      <w:i w:val="0"/>
                      <w:iCs w:val="0"/>
                      <w:color w:val="000000"/>
                      <w:kern w:val="0"/>
                      <w:sz w:val="21"/>
                      <w:szCs w:val="21"/>
                      <w:u w:val="none"/>
                      <w:lang w:val="en-US" w:eastAsia="zh-CN" w:bidi="ar"/>
                    </w:rPr>
                    <w:noBreakHyphen/>
                  </w:r>
                  <w:r>
                    <w:rPr>
                      <w:rFonts w:hint="default" w:ascii="Times New Roman" w:hAnsi="Times New Roman" w:eastAsia="宋体" w:cs="Times New Roman"/>
                      <w:b w:val="0"/>
                      <w:bCs w:val="0"/>
                      <w:i w:val="0"/>
                      <w:iCs w:val="0"/>
                      <w:color w:val="000000"/>
                      <w:kern w:val="0"/>
                      <w:sz w:val="21"/>
                      <w:szCs w:val="21"/>
                      <w:u w:val="none"/>
                      <w:lang w:val="en-US" w:eastAsia="zh-CN" w:bidi="ar"/>
                    </w:rPr>
                    <w:t>1.3t/m³</w:t>
                  </w:r>
                </w:p>
              </w:tc>
              <w:tc>
                <w:tcPr>
                  <w:tcW w:w="488" w:type="pct"/>
                  <w:noWrap w:val="0"/>
                  <w:vAlign w:val="center"/>
                </w:tcPr>
                <w:p w14:paraId="5DEB5FB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无闪点</w:t>
                  </w:r>
                </w:p>
              </w:tc>
              <w:tc>
                <w:tcPr>
                  <w:tcW w:w="536" w:type="pct"/>
                  <w:noWrap w:val="0"/>
                  <w:vAlign w:val="center"/>
                </w:tcPr>
                <w:p w14:paraId="465D8CA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难溶于水</w:t>
                  </w:r>
                </w:p>
              </w:tc>
              <w:tc>
                <w:tcPr>
                  <w:tcW w:w="1280" w:type="pct"/>
                  <w:noWrap w:val="0"/>
                  <w:vAlign w:val="center"/>
                </w:tcPr>
                <w:p w14:paraId="3468460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为本项目浮选原料；潮湿状态下不易起尘，微细煤粉，遇明火可发生粉尘燃烧</w:t>
                  </w:r>
                </w:p>
              </w:tc>
            </w:tr>
            <w:tr w14:paraId="42B61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3" w:type="pct"/>
                  <w:noWrap w:val="0"/>
                  <w:vAlign w:val="center"/>
                </w:tcPr>
                <w:p w14:paraId="71EF57D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柴油（捕收剂，0#轻质柴油）</w:t>
                  </w:r>
                </w:p>
              </w:tc>
              <w:tc>
                <w:tcPr>
                  <w:tcW w:w="563" w:type="pct"/>
                  <w:noWrap w:val="0"/>
                  <w:vAlign w:val="center"/>
                </w:tcPr>
                <w:p w14:paraId="3AC436D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淡黄色透明油状液体</w:t>
                  </w:r>
                </w:p>
              </w:tc>
              <w:tc>
                <w:tcPr>
                  <w:tcW w:w="563" w:type="pct"/>
                  <w:noWrap w:val="0"/>
                  <w:vAlign w:val="center"/>
                </w:tcPr>
                <w:p w14:paraId="2E62CFE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C₁₀~C₂₂烷烃、环烷烃、芳香烃</w:t>
                  </w:r>
                </w:p>
              </w:tc>
              <w:tc>
                <w:tcPr>
                  <w:tcW w:w="403" w:type="pct"/>
                  <w:noWrap w:val="0"/>
                  <w:vAlign w:val="center"/>
                </w:tcPr>
                <w:p w14:paraId="2CED3EE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180</w:t>
                  </w:r>
                  <w:r>
                    <w:rPr>
                      <w:rFonts w:hint="default" w:ascii="Times New Roman" w:hAnsi="Times New Roman" w:eastAsia="宋体" w:cs="Times New Roman"/>
                      <w:b w:val="0"/>
                      <w:bCs w:val="0"/>
                      <w:i w:val="0"/>
                      <w:iCs w:val="0"/>
                      <w:color w:val="000000"/>
                      <w:kern w:val="0"/>
                      <w:sz w:val="21"/>
                      <w:szCs w:val="21"/>
                      <w:u w:val="none"/>
                      <w:lang w:val="en-US" w:eastAsia="zh-CN" w:bidi="ar"/>
                    </w:rPr>
                    <w:noBreakHyphen/>
                  </w:r>
                  <w:r>
                    <w:rPr>
                      <w:rFonts w:hint="default" w:ascii="Times New Roman" w:hAnsi="Times New Roman" w:eastAsia="宋体" w:cs="Times New Roman"/>
                      <w:b w:val="0"/>
                      <w:bCs w:val="0"/>
                      <w:i w:val="0"/>
                      <w:iCs w:val="0"/>
                      <w:color w:val="000000"/>
                      <w:kern w:val="0"/>
                      <w:sz w:val="21"/>
                      <w:szCs w:val="21"/>
                      <w:u w:val="none"/>
                      <w:lang w:val="en-US" w:eastAsia="zh-CN" w:bidi="ar"/>
                    </w:rPr>
                    <w:t>370℃</w:t>
                  </w:r>
                </w:p>
              </w:tc>
              <w:tc>
                <w:tcPr>
                  <w:tcW w:w="600" w:type="pct"/>
                  <w:noWrap w:val="0"/>
                  <w:vAlign w:val="center"/>
                </w:tcPr>
                <w:p w14:paraId="55F8547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0.82</w:t>
                  </w:r>
                  <w:r>
                    <w:rPr>
                      <w:rFonts w:hint="default" w:ascii="Times New Roman" w:hAnsi="Times New Roman" w:eastAsia="宋体" w:cs="Times New Roman"/>
                      <w:b w:val="0"/>
                      <w:bCs w:val="0"/>
                      <w:i w:val="0"/>
                      <w:iCs w:val="0"/>
                      <w:color w:val="000000"/>
                      <w:kern w:val="0"/>
                      <w:sz w:val="21"/>
                      <w:szCs w:val="21"/>
                      <w:u w:val="none"/>
                      <w:lang w:val="en-US" w:eastAsia="zh-CN" w:bidi="ar"/>
                    </w:rPr>
                    <w:noBreakHyphen/>
                  </w:r>
                  <w:r>
                    <w:rPr>
                      <w:rFonts w:hint="default" w:ascii="Times New Roman" w:hAnsi="Times New Roman" w:eastAsia="宋体" w:cs="Times New Roman"/>
                      <w:b w:val="0"/>
                      <w:bCs w:val="0"/>
                      <w:i w:val="0"/>
                      <w:iCs w:val="0"/>
                      <w:color w:val="000000"/>
                      <w:kern w:val="0"/>
                      <w:sz w:val="21"/>
                      <w:szCs w:val="21"/>
                      <w:u w:val="none"/>
                      <w:lang w:val="en-US" w:eastAsia="zh-CN" w:bidi="ar"/>
                    </w:rPr>
                    <w:t>0.85t/m³</w:t>
                  </w:r>
                </w:p>
              </w:tc>
              <w:tc>
                <w:tcPr>
                  <w:tcW w:w="488" w:type="pct"/>
                  <w:noWrap w:val="0"/>
                  <w:vAlign w:val="center"/>
                </w:tcPr>
                <w:p w14:paraId="161CDA2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55℃</w:t>
                  </w:r>
                </w:p>
              </w:tc>
              <w:tc>
                <w:tcPr>
                  <w:tcW w:w="536" w:type="pct"/>
                  <w:noWrap w:val="0"/>
                  <w:vAlign w:val="center"/>
                </w:tcPr>
                <w:p w14:paraId="75AA11B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难溶于水，可以和有机溶剂互溶</w:t>
                  </w:r>
                </w:p>
              </w:tc>
              <w:tc>
                <w:tcPr>
                  <w:tcW w:w="1280" w:type="pct"/>
                  <w:noWrap w:val="0"/>
                  <w:vAlign w:val="center"/>
                </w:tcPr>
                <w:p w14:paraId="0088C57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易燃液态矿物油；浮选过程吸附于煤颗粒表层，提升煤粒疏水性；属于易燃液体</w:t>
                  </w:r>
                </w:p>
              </w:tc>
            </w:tr>
            <w:tr w14:paraId="54E8C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3" w:type="pct"/>
                  <w:noWrap w:val="0"/>
                  <w:vAlign w:val="center"/>
                </w:tcPr>
                <w:p w14:paraId="32AA363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color w:val="auto"/>
                      <w:sz w:val="21"/>
                      <w:szCs w:val="21"/>
                      <w:lang w:val="en-US" w:eastAsia="zh-CN"/>
                    </w:rPr>
                    <w:t>仲辛醇</w:t>
                  </w:r>
                </w:p>
              </w:tc>
              <w:tc>
                <w:tcPr>
                  <w:tcW w:w="563" w:type="pct"/>
                  <w:noWrap w:val="0"/>
                  <w:vAlign w:val="center"/>
                </w:tcPr>
                <w:p w14:paraId="50B1BB8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sz w:val="21"/>
                      <w:szCs w:val="21"/>
                    </w:rPr>
                    <w:t>无色透明油状液体，带有轻微刺激性醇类气味</w:t>
                  </w:r>
                </w:p>
              </w:tc>
              <w:tc>
                <w:tcPr>
                  <w:tcW w:w="563" w:type="pct"/>
                  <w:noWrap w:val="0"/>
                  <w:vAlign w:val="center"/>
                </w:tcPr>
                <w:p w14:paraId="4F46AD8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sz w:val="21"/>
                      <w:szCs w:val="21"/>
                      <w:u w:val="none"/>
                    </w:rPr>
                    <w:t>2‑辛醇，分子式</w:t>
                  </w:r>
                  <w:r>
                    <w:rPr>
                      <w:rFonts w:hint="default" w:ascii="Times New Roman" w:hAnsi="Times New Roman" w:eastAsia="宋体" w:cs="Times New Roman"/>
                      <w:b w:val="0"/>
                      <w:bCs w:val="0"/>
                      <w:i w:val="0"/>
                      <w:iCs w:val="0"/>
                      <w:color w:val="000000"/>
                      <w:sz w:val="21"/>
                      <w:szCs w:val="21"/>
                      <w:u w:val="none"/>
                      <w:lang w:val="en-US" w:eastAsia="zh-CN"/>
                    </w:rPr>
                    <w:t>C</w:t>
                  </w:r>
                  <w:r>
                    <w:rPr>
                      <w:rFonts w:hint="default" w:ascii="Times New Roman" w:hAnsi="Times New Roman" w:eastAsia="宋体" w:cs="Times New Roman"/>
                      <w:b w:val="0"/>
                      <w:bCs w:val="0"/>
                      <w:i w:val="0"/>
                      <w:iCs w:val="0"/>
                      <w:color w:val="000000"/>
                      <w:sz w:val="21"/>
                      <w:szCs w:val="21"/>
                      <w:u w:val="none"/>
                      <w:vertAlign w:val="subscript"/>
                      <w:lang w:val="en-US" w:eastAsia="zh-CN"/>
                    </w:rPr>
                    <w:t>8</w:t>
                  </w:r>
                  <w:r>
                    <w:rPr>
                      <w:rFonts w:hint="default" w:ascii="Times New Roman" w:hAnsi="Times New Roman" w:eastAsia="宋体" w:cs="Times New Roman"/>
                      <w:b w:val="0"/>
                      <w:bCs w:val="0"/>
                      <w:i w:val="0"/>
                      <w:iCs w:val="0"/>
                      <w:color w:val="000000"/>
                      <w:sz w:val="21"/>
                      <w:szCs w:val="21"/>
                      <w:u w:val="none"/>
                      <w:lang w:val="en-US" w:eastAsia="zh-CN"/>
                    </w:rPr>
                    <w:t>H</w:t>
                  </w:r>
                  <w:r>
                    <w:rPr>
                      <w:rFonts w:hint="default" w:ascii="Times New Roman" w:hAnsi="Times New Roman" w:eastAsia="宋体" w:cs="Times New Roman"/>
                      <w:b w:val="0"/>
                      <w:bCs w:val="0"/>
                      <w:i w:val="0"/>
                      <w:iCs w:val="0"/>
                      <w:color w:val="000000"/>
                      <w:sz w:val="21"/>
                      <w:szCs w:val="21"/>
                      <w:u w:val="none"/>
                      <w:vertAlign w:val="subscript"/>
                      <w:lang w:val="en-US" w:eastAsia="zh-CN"/>
                    </w:rPr>
                    <w:t>18</w:t>
                  </w:r>
                  <w:r>
                    <w:rPr>
                      <w:rFonts w:hint="default" w:ascii="Times New Roman" w:hAnsi="Times New Roman" w:eastAsia="宋体" w:cs="Times New Roman"/>
                      <w:b w:val="0"/>
                      <w:bCs w:val="0"/>
                      <w:i w:val="0"/>
                      <w:iCs w:val="0"/>
                      <w:color w:val="000000"/>
                      <w:sz w:val="21"/>
                      <w:szCs w:val="21"/>
                      <w:u w:val="none"/>
                      <w:lang w:val="en-US" w:eastAsia="zh-CN"/>
                    </w:rPr>
                    <w:t>O</w:t>
                  </w:r>
                  <w:r>
                    <w:rPr>
                      <w:rFonts w:hint="default" w:ascii="Times New Roman" w:hAnsi="Times New Roman" w:eastAsia="宋体" w:cs="Times New Roman"/>
                      <w:b w:val="0"/>
                      <w:bCs w:val="0"/>
                      <w:i w:val="0"/>
                      <w:iCs w:val="0"/>
                      <w:color w:val="000000"/>
                      <w:sz w:val="21"/>
                      <w:szCs w:val="21"/>
                      <w:u w:val="none"/>
                    </w:rPr>
                    <w:t>，单一醇类有机物</w:t>
                  </w:r>
                </w:p>
              </w:tc>
              <w:tc>
                <w:tcPr>
                  <w:tcW w:w="403" w:type="pct"/>
                  <w:noWrap w:val="0"/>
                  <w:vAlign w:val="center"/>
                </w:tcPr>
                <w:p w14:paraId="4C86EB7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sz w:val="21"/>
                      <w:szCs w:val="21"/>
                      <w:u w:val="none"/>
                    </w:rPr>
                    <w:t>174‑181℃（标准大气压）</w:t>
                  </w:r>
                </w:p>
              </w:tc>
              <w:tc>
                <w:tcPr>
                  <w:tcW w:w="600" w:type="pct"/>
                  <w:noWrap w:val="0"/>
                  <w:vAlign w:val="center"/>
                </w:tcPr>
                <w:p w14:paraId="5650809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sz w:val="21"/>
                      <w:szCs w:val="21"/>
                      <w:u w:val="none"/>
                    </w:rPr>
                    <w:t>0.82g/cm³（20℃，水=1）</w:t>
                  </w:r>
                </w:p>
              </w:tc>
              <w:tc>
                <w:tcPr>
                  <w:tcW w:w="488" w:type="pct"/>
                  <w:noWrap w:val="0"/>
                  <w:vAlign w:val="center"/>
                </w:tcPr>
                <w:p w14:paraId="36BD132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sz w:val="21"/>
                      <w:szCs w:val="21"/>
                      <w:u w:val="none"/>
                    </w:rPr>
                    <w:t>71℃</w:t>
                  </w:r>
                </w:p>
              </w:tc>
              <w:tc>
                <w:tcPr>
                  <w:tcW w:w="536" w:type="pct"/>
                  <w:noWrap w:val="0"/>
                  <w:vAlign w:val="center"/>
                </w:tcPr>
                <w:p w14:paraId="5429F24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sz w:val="21"/>
                      <w:szCs w:val="21"/>
                      <w:u w:val="none"/>
                    </w:rPr>
                    <w:t>可与乙醇、柴油、醚类等有机溶剂互溶</w:t>
                  </w:r>
                </w:p>
              </w:tc>
              <w:tc>
                <w:tcPr>
                  <w:tcW w:w="1280" w:type="pct"/>
                  <w:noWrap w:val="0"/>
                  <w:vAlign w:val="center"/>
                </w:tcPr>
                <w:p w14:paraId="6D394B0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sz w:val="21"/>
                      <w:szCs w:val="21"/>
                      <w:u w:val="none"/>
                    </w:rPr>
                    <w:t>浮选过程产生细小稳定泡沫，承载精煤颗粒上浮；可燃液态有机物</w:t>
                  </w:r>
                </w:p>
              </w:tc>
            </w:tr>
          </w:tbl>
          <w:p w14:paraId="76585163">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b/>
                <w:bCs/>
                <w:lang w:val="en-US" w:eastAsia="zh-CN"/>
              </w:rPr>
            </w:pPr>
            <w:r>
              <w:rPr>
                <w:rFonts w:hint="default" w:ascii="Times New Roman" w:hAnsi="Times New Roman" w:cs="Times New Roman"/>
                <w:sz w:val="24"/>
                <w:szCs w:val="24"/>
                <w:lang w:val="en-US" w:eastAsia="zh-CN"/>
              </w:rPr>
              <w:t>建设单位提供的煤泥分析报告如下：</w:t>
            </w:r>
          </w:p>
          <w:p w14:paraId="07E3633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表2-</w:t>
            </w:r>
            <w:r>
              <w:rPr>
                <w:rFonts w:hint="eastAsia" w:cs="Times New Roman"/>
                <w:b/>
                <w:bCs/>
                <w:lang w:val="en-US" w:eastAsia="zh-CN"/>
              </w:rPr>
              <w:t>8</w:t>
            </w:r>
            <w:r>
              <w:rPr>
                <w:rFonts w:hint="default" w:ascii="Times New Roman" w:hAnsi="Times New Roman" w:cs="Times New Roman"/>
                <w:b/>
                <w:bCs/>
                <w:lang w:val="en-US" w:eastAsia="zh-CN"/>
              </w:rPr>
              <w:t xml:space="preserve"> 煤泥分析监测报告</w:t>
            </w:r>
          </w:p>
          <w:tbl>
            <w:tblPr>
              <w:tblStyle w:val="25"/>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99"/>
              <w:gridCol w:w="790"/>
              <w:gridCol w:w="2386"/>
              <w:gridCol w:w="2457"/>
              <w:gridCol w:w="1713"/>
            </w:tblGrid>
            <w:tr w14:paraId="01D56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375" w:type="pct"/>
                  <w:gridSpan w:val="3"/>
                  <w:tcBorders>
                    <w:top w:val="single" w:color="000000" w:sz="4" w:space="0"/>
                    <w:left w:val="single" w:color="000000" w:sz="4" w:space="0"/>
                    <w:bottom w:val="single" w:color="000000" w:sz="4" w:space="0"/>
                    <w:right w:val="single" w:color="000000" w:sz="4" w:space="0"/>
                  </w:tcBorders>
                  <w:noWrap w:val="0"/>
                  <w:vAlign w:val="center"/>
                </w:tcPr>
                <w:p w14:paraId="029F869A">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Style w:val="54"/>
                      <w:rFonts w:hint="default" w:ascii="Times New Roman" w:hAnsi="Times New Roman" w:cs="Times New Roman"/>
                      <w:b w:val="0"/>
                      <w:bCs w:val="0"/>
                      <w:sz w:val="21"/>
                      <w:szCs w:val="21"/>
                      <w:lang w:val="en-US" w:eastAsia="zh-CN" w:bidi="ar"/>
                    </w:rPr>
                    <w:t>化验项目</w:t>
                  </w:r>
                </w:p>
              </w:tc>
              <w:tc>
                <w:tcPr>
                  <w:tcW w:w="1546" w:type="pct"/>
                  <w:tcBorders>
                    <w:top w:val="single" w:color="000000" w:sz="4" w:space="0"/>
                    <w:left w:val="single" w:color="000000" w:sz="4" w:space="0"/>
                    <w:bottom w:val="single" w:color="000000" w:sz="4" w:space="0"/>
                    <w:right w:val="single" w:color="000000" w:sz="4" w:space="0"/>
                  </w:tcBorders>
                  <w:noWrap w:val="0"/>
                  <w:vAlign w:val="center"/>
                </w:tcPr>
                <w:p w14:paraId="50B9810D">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Style w:val="54"/>
                      <w:rFonts w:hint="default" w:ascii="Times New Roman" w:hAnsi="Times New Roman" w:cs="Times New Roman"/>
                      <w:b w:val="0"/>
                      <w:bCs w:val="0"/>
                      <w:sz w:val="21"/>
                      <w:szCs w:val="21"/>
                      <w:lang w:val="en-US" w:eastAsia="zh-CN" w:bidi="ar"/>
                    </w:rPr>
                    <w:t>化验结果</w:t>
                  </w:r>
                </w:p>
              </w:tc>
              <w:tc>
                <w:tcPr>
                  <w:tcW w:w="1078" w:type="pct"/>
                  <w:tcBorders>
                    <w:top w:val="single" w:color="000000" w:sz="4" w:space="0"/>
                    <w:left w:val="single" w:color="000000" w:sz="4" w:space="0"/>
                    <w:bottom w:val="single" w:color="000000" w:sz="4" w:space="0"/>
                    <w:right w:val="single" w:color="000000" w:sz="4" w:space="0"/>
                  </w:tcBorders>
                  <w:noWrap w:val="0"/>
                  <w:vAlign w:val="center"/>
                </w:tcPr>
                <w:p w14:paraId="296E9A1C">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Style w:val="54"/>
                      <w:rFonts w:hint="default" w:ascii="Times New Roman" w:hAnsi="Times New Roman" w:cs="Times New Roman"/>
                      <w:b w:val="0"/>
                      <w:bCs w:val="0"/>
                      <w:sz w:val="21"/>
                      <w:szCs w:val="21"/>
                      <w:lang w:val="en-US" w:eastAsia="zh-CN" w:bidi="ar"/>
                    </w:rPr>
                    <w:t>备注</w:t>
                  </w:r>
                </w:p>
              </w:tc>
            </w:tr>
            <w:tr w14:paraId="2545C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377" w:type="pct"/>
                  <w:tcBorders>
                    <w:top w:val="single" w:color="000000" w:sz="4" w:space="0"/>
                    <w:left w:val="single" w:color="000000" w:sz="4" w:space="0"/>
                    <w:bottom w:val="single" w:color="000000" w:sz="4" w:space="0"/>
                    <w:right w:val="single" w:color="000000" w:sz="4" w:space="0"/>
                  </w:tcBorders>
                  <w:noWrap w:val="0"/>
                  <w:vAlign w:val="center"/>
                </w:tcPr>
                <w:p w14:paraId="0A2FEA91">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c>
                <w:tcPr>
                  <w:tcW w:w="1998" w:type="pct"/>
                  <w:gridSpan w:val="2"/>
                  <w:tcBorders>
                    <w:top w:val="single" w:color="000000" w:sz="4" w:space="0"/>
                    <w:left w:val="single" w:color="000000" w:sz="4" w:space="0"/>
                    <w:bottom w:val="single" w:color="000000" w:sz="4" w:space="0"/>
                    <w:right w:val="single" w:color="000000" w:sz="4" w:space="0"/>
                  </w:tcBorders>
                  <w:noWrap w:val="0"/>
                  <w:vAlign w:val="center"/>
                </w:tcPr>
                <w:p w14:paraId="5442539F">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Style w:val="54"/>
                      <w:rFonts w:hint="default" w:ascii="Times New Roman" w:hAnsi="Times New Roman" w:cs="Times New Roman"/>
                      <w:b w:val="0"/>
                      <w:bCs w:val="0"/>
                      <w:sz w:val="21"/>
                      <w:szCs w:val="21"/>
                      <w:lang w:val="en-US" w:eastAsia="zh-CN" w:bidi="ar"/>
                    </w:rPr>
                    <w:t>全水分</w:t>
                  </w:r>
                </w:p>
              </w:tc>
              <w:tc>
                <w:tcPr>
                  <w:tcW w:w="1546" w:type="pct"/>
                  <w:tcBorders>
                    <w:top w:val="single" w:color="000000" w:sz="4" w:space="0"/>
                    <w:left w:val="single" w:color="000000" w:sz="4" w:space="0"/>
                    <w:bottom w:val="single" w:color="000000" w:sz="4" w:space="0"/>
                    <w:right w:val="single" w:color="000000" w:sz="4" w:space="0"/>
                  </w:tcBorders>
                  <w:noWrap w:val="0"/>
                  <w:vAlign w:val="center"/>
                </w:tcPr>
                <w:p w14:paraId="661465C4">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Style w:val="54"/>
                      <w:rFonts w:hint="default" w:ascii="Times New Roman" w:hAnsi="Times New Roman" w:cs="Times New Roman"/>
                      <w:b w:val="0"/>
                      <w:bCs w:val="0"/>
                      <w:sz w:val="21"/>
                      <w:szCs w:val="21"/>
                      <w:lang w:val="en-US" w:eastAsia="zh-CN" w:bidi="ar"/>
                    </w:rPr>
                    <w:t>Mt%=18.80</w:t>
                  </w:r>
                </w:p>
              </w:tc>
              <w:tc>
                <w:tcPr>
                  <w:tcW w:w="1078" w:type="pct"/>
                  <w:tcBorders>
                    <w:top w:val="single" w:color="000000" w:sz="4" w:space="0"/>
                    <w:left w:val="single" w:color="000000" w:sz="4" w:space="0"/>
                    <w:bottom w:val="single" w:color="000000" w:sz="4" w:space="0"/>
                    <w:right w:val="single" w:color="000000" w:sz="4" w:space="0"/>
                  </w:tcBorders>
                  <w:noWrap w:val="0"/>
                  <w:vAlign w:val="center"/>
                </w:tcPr>
                <w:p w14:paraId="7617D9A6">
                  <w:pPr>
                    <w:keepNext w:val="0"/>
                    <w:keepLines w:val="0"/>
                    <w:pageBreakBefore w:val="0"/>
                    <w:widowControl/>
                    <w:kinsoku/>
                    <w:wordWrap/>
                    <w:overflowPunct/>
                    <w:topLinePunct w:val="0"/>
                    <w:autoSpaceDE/>
                    <w:autoSpaceDN/>
                    <w:bidi w:val="0"/>
                    <w:adjustRightInd/>
                    <w:snapToGrid/>
                    <w:ind w:firstLineChars="0"/>
                    <w:jc w:val="center"/>
                    <w:rPr>
                      <w:rFonts w:hint="default" w:ascii="Times New Roman" w:hAnsi="Times New Roman" w:eastAsia="宋体" w:cs="Times New Roman"/>
                      <w:b w:val="0"/>
                      <w:bCs w:val="0"/>
                      <w:i w:val="0"/>
                      <w:iCs w:val="0"/>
                      <w:color w:val="000000"/>
                      <w:sz w:val="21"/>
                      <w:szCs w:val="21"/>
                      <w:u w:val="none"/>
                      <w:lang w:val="en-US" w:eastAsia="zh-CN"/>
                    </w:rPr>
                  </w:pPr>
                  <w:r>
                    <w:rPr>
                      <w:rFonts w:hint="default" w:ascii="Times New Roman" w:hAnsi="Times New Roman" w:cs="Times New Roman"/>
                      <w:b w:val="0"/>
                      <w:bCs w:val="0"/>
                      <w:i w:val="0"/>
                      <w:iCs w:val="0"/>
                      <w:color w:val="000000"/>
                      <w:sz w:val="21"/>
                      <w:szCs w:val="21"/>
                      <w:u w:val="none"/>
                      <w:lang w:val="en-US" w:eastAsia="zh-CN"/>
                    </w:rPr>
                    <w:t>/</w:t>
                  </w:r>
                </w:p>
              </w:tc>
            </w:tr>
            <w:tr w14:paraId="79740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377" w:type="pct"/>
                  <w:tcBorders>
                    <w:top w:val="single" w:color="000000" w:sz="4" w:space="0"/>
                    <w:left w:val="single" w:color="000000" w:sz="4" w:space="0"/>
                    <w:bottom w:val="single" w:color="000000" w:sz="4" w:space="0"/>
                    <w:right w:val="single" w:color="000000" w:sz="4" w:space="0"/>
                  </w:tcBorders>
                  <w:noWrap w:val="0"/>
                  <w:vAlign w:val="center"/>
                </w:tcPr>
                <w:p w14:paraId="66749319">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2</w:t>
                  </w:r>
                </w:p>
              </w:tc>
              <w:tc>
                <w:tcPr>
                  <w:tcW w:w="1998" w:type="pct"/>
                  <w:gridSpan w:val="2"/>
                  <w:tcBorders>
                    <w:top w:val="single" w:color="000000" w:sz="4" w:space="0"/>
                    <w:left w:val="single" w:color="000000" w:sz="4" w:space="0"/>
                    <w:bottom w:val="single" w:color="000000" w:sz="4" w:space="0"/>
                    <w:right w:val="single" w:color="000000" w:sz="4" w:space="0"/>
                  </w:tcBorders>
                  <w:noWrap w:val="0"/>
                  <w:vAlign w:val="center"/>
                </w:tcPr>
                <w:p w14:paraId="6AAFE391">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Style w:val="54"/>
                      <w:rFonts w:hint="default" w:ascii="Times New Roman" w:hAnsi="Times New Roman" w:cs="Times New Roman"/>
                      <w:b w:val="0"/>
                      <w:bCs w:val="0"/>
                      <w:sz w:val="21"/>
                      <w:szCs w:val="21"/>
                      <w:lang w:val="en-US" w:eastAsia="zh-CN" w:bidi="ar"/>
                    </w:rPr>
                    <w:t>分析水分</w:t>
                  </w:r>
                </w:p>
              </w:tc>
              <w:tc>
                <w:tcPr>
                  <w:tcW w:w="1546" w:type="pct"/>
                  <w:tcBorders>
                    <w:top w:val="single" w:color="000000" w:sz="4" w:space="0"/>
                    <w:left w:val="single" w:color="000000" w:sz="4" w:space="0"/>
                    <w:bottom w:val="single" w:color="000000" w:sz="4" w:space="0"/>
                    <w:right w:val="single" w:color="000000" w:sz="4" w:space="0"/>
                  </w:tcBorders>
                  <w:noWrap w:val="0"/>
                  <w:vAlign w:val="center"/>
                </w:tcPr>
                <w:p w14:paraId="55A49554">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Style w:val="54"/>
                      <w:rFonts w:hint="default" w:ascii="Times New Roman" w:hAnsi="Times New Roman" w:cs="Times New Roman"/>
                      <w:b w:val="0"/>
                      <w:bCs w:val="0"/>
                      <w:sz w:val="21"/>
                      <w:szCs w:val="21"/>
                      <w:lang w:val="en-US" w:eastAsia="zh-CN" w:bidi="ar"/>
                    </w:rPr>
                    <w:t>Mad%=1.74</w:t>
                  </w:r>
                </w:p>
              </w:tc>
              <w:tc>
                <w:tcPr>
                  <w:tcW w:w="1078" w:type="pct"/>
                  <w:tcBorders>
                    <w:top w:val="single" w:color="000000" w:sz="4" w:space="0"/>
                    <w:left w:val="single" w:color="000000" w:sz="4" w:space="0"/>
                    <w:bottom w:val="single" w:color="000000" w:sz="4" w:space="0"/>
                    <w:right w:val="single" w:color="000000" w:sz="4" w:space="0"/>
                  </w:tcBorders>
                  <w:noWrap w:val="0"/>
                  <w:vAlign w:val="center"/>
                </w:tcPr>
                <w:p w14:paraId="45447E85">
                  <w:pPr>
                    <w:keepNext w:val="0"/>
                    <w:keepLines w:val="0"/>
                    <w:pageBreakBefore w:val="0"/>
                    <w:widowControl/>
                    <w:kinsoku/>
                    <w:wordWrap/>
                    <w:overflowPunct/>
                    <w:topLinePunct w:val="0"/>
                    <w:autoSpaceDE/>
                    <w:autoSpaceDN/>
                    <w:bidi w:val="0"/>
                    <w:adjustRightInd/>
                    <w:snapToGrid/>
                    <w:ind w:firstLineChars="0"/>
                    <w:jc w:val="center"/>
                    <w:rPr>
                      <w:rFonts w:hint="default" w:ascii="Times New Roman" w:hAnsi="Times New Roman" w:eastAsia="宋体" w:cs="Times New Roman"/>
                      <w:b w:val="0"/>
                      <w:bCs w:val="0"/>
                      <w:i w:val="0"/>
                      <w:iCs w:val="0"/>
                      <w:color w:val="000000"/>
                      <w:sz w:val="21"/>
                      <w:szCs w:val="21"/>
                      <w:u w:val="none"/>
                      <w:lang w:val="en-US" w:eastAsia="zh-CN"/>
                    </w:rPr>
                  </w:pPr>
                  <w:r>
                    <w:rPr>
                      <w:rFonts w:hint="default" w:ascii="Times New Roman" w:hAnsi="Times New Roman" w:cs="Times New Roman"/>
                      <w:b w:val="0"/>
                      <w:bCs w:val="0"/>
                      <w:i w:val="0"/>
                      <w:iCs w:val="0"/>
                      <w:color w:val="000000"/>
                      <w:sz w:val="21"/>
                      <w:szCs w:val="21"/>
                      <w:u w:val="none"/>
                      <w:lang w:val="en-US" w:eastAsia="zh-CN"/>
                    </w:rPr>
                    <w:t>/</w:t>
                  </w:r>
                </w:p>
              </w:tc>
            </w:tr>
            <w:tr w14:paraId="33AF6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377" w:type="pct"/>
                  <w:tcBorders>
                    <w:top w:val="single" w:color="000000" w:sz="4" w:space="0"/>
                    <w:left w:val="single" w:color="000000" w:sz="4" w:space="0"/>
                    <w:bottom w:val="single" w:color="000000" w:sz="4" w:space="0"/>
                    <w:right w:val="single" w:color="000000" w:sz="4" w:space="0"/>
                  </w:tcBorders>
                  <w:noWrap w:val="0"/>
                  <w:vAlign w:val="center"/>
                </w:tcPr>
                <w:p w14:paraId="0100F102">
                  <w:pPr>
                    <w:keepNext w:val="0"/>
                    <w:keepLines w:val="0"/>
                    <w:pageBreakBefore w:val="0"/>
                    <w:widowControl/>
                    <w:suppressLineNumbers w:val="0"/>
                    <w:kinsoku/>
                    <w:wordWrap/>
                    <w:overflowPunct/>
                    <w:topLinePunct w:val="0"/>
                    <w:autoSpaceDE/>
                    <w:autoSpaceDN/>
                    <w:bidi w:val="0"/>
                    <w:adjustRightInd/>
                    <w:snapToGrid/>
                    <w:ind w:firstLineChars="0"/>
                    <w:jc w:val="center"/>
                    <w:textAlignment w:val="top"/>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3</w:t>
                  </w:r>
                </w:p>
              </w:tc>
              <w:tc>
                <w:tcPr>
                  <w:tcW w:w="1998" w:type="pct"/>
                  <w:gridSpan w:val="2"/>
                  <w:tcBorders>
                    <w:top w:val="single" w:color="000000" w:sz="4" w:space="0"/>
                    <w:left w:val="single" w:color="000000" w:sz="4" w:space="0"/>
                    <w:bottom w:val="single" w:color="000000" w:sz="4" w:space="0"/>
                    <w:right w:val="single" w:color="000000" w:sz="4" w:space="0"/>
                  </w:tcBorders>
                  <w:noWrap w:val="0"/>
                  <w:vAlign w:val="center"/>
                </w:tcPr>
                <w:p w14:paraId="5D576E05">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Style w:val="54"/>
                      <w:rFonts w:hint="default" w:ascii="Times New Roman" w:hAnsi="Times New Roman" w:cs="Times New Roman"/>
                      <w:b w:val="0"/>
                      <w:bCs w:val="0"/>
                      <w:sz w:val="21"/>
                      <w:szCs w:val="21"/>
                      <w:lang w:val="en-US" w:eastAsia="zh-CN" w:bidi="ar"/>
                    </w:rPr>
                    <w:t>灰分</w:t>
                  </w:r>
                </w:p>
              </w:tc>
              <w:tc>
                <w:tcPr>
                  <w:tcW w:w="1546" w:type="pct"/>
                  <w:tcBorders>
                    <w:top w:val="single" w:color="000000" w:sz="4" w:space="0"/>
                    <w:left w:val="single" w:color="000000" w:sz="4" w:space="0"/>
                    <w:bottom w:val="single" w:color="000000" w:sz="4" w:space="0"/>
                    <w:right w:val="single" w:color="000000" w:sz="4" w:space="0"/>
                  </w:tcBorders>
                  <w:noWrap w:val="0"/>
                  <w:vAlign w:val="center"/>
                </w:tcPr>
                <w:p w14:paraId="3383E049">
                  <w:pPr>
                    <w:keepNext w:val="0"/>
                    <w:keepLines w:val="0"/>
                    <w:pageBreakBefore w:val="0"/>
                    <w:widowControl/>
                    <w:suppressLineNumbers w:val="0"/>
                    <w:kinsoku/>
                    <w:wordWrap/>
                    <w:overflowPunct/>
                    <w:topLinePunct w:val="0"/>
                    <w:autoSpaceDE/>
                    <w:autoSpaceDN/>
                    <w:bidi w:val="0"/>
                    <w:adjustRightInd/>
                    <w:snapToGrid/>
                    <w:ind w:firstLineChars="0"/>
                    <w:jc w:val="center"/>
                    <w:textAlignment w:val="top"/>
                    <w:rPr>
                      <w:rFonts w:hint="default" w:ascii="Times New Roman" w:hAnsi="Times New Roman" w:eastAsia="宋体" w:cs="Times New Roman"/>
                      <w:b w:val="0"/>
                      <w:bCs w:val="0"/>
                      <w:i w:val="0"/>
                      <w:iCs w:val="0"/>
                      <w:color w:val="000000"/>
                      <w:sz w:val="21"/>
                      <w:szCs w:val="21"/>
                      <w:u w:val="none"/>
                    </w:rPr>
                  </w:pPr>
                  <w:r>
                    <w:rPr>
                      <w:rStyle w:val="54"/>
                      <w:rFonts w:hint="default" w:ascii="Times New Roman" w:hAnsi="Times New Roman" w:cs="Times New Roman"/>
                      <w:b w:val="0"/>
                      <w:bCs w:val="0"/>
                      <w:sz w:val="21"/>
                      <w:szCs w:val="21"/>
                      <w:lang w:val="en-US" w:eastAsia="zh-CN" w:bidi="ar"/>
                    </w:rPr>
                    <w:t>Aad%=52.5340</w:t>
                  </w:r>
                </w:p>
              </w:tc>
              <w:tc>
                <w:tcPr>
                  <w:tcW w:w="1078" w:type="pct"/>
                  <w:tcBorders>
                    <w:top w:val="single" w:color="000000" w:sz="4" w:space="0"/>
                    <w:left w:val="single" w:color="000000" w:sz="4" w:space="0"/>
                    <w:bottom w:val="single" w:color="000000" w:sz="4" w:space="0"/>
                    <w:right w:val="single" w:color="000000" w:sz="4" w:space="0"/>
                  </w:tcBorders>
                  <w:noWrap w:val="0"/>
                  <w:vAlign w:val="center"/>
                </w:tcPr>
                <w:p w14:paraId="2849C0AD">
                  <w:pPr>
                    <w:keepNext w:val="0"/>
                    <w:keepLines w:val="0"/>
                    <w:pageBreakBefore w:val="0"/>
                    <w:widowControl/>
                    <w:suppressLineNumbers w:val="0"/>
                    <w:kinsoku/>
                    <w:wordWrap/>
                    <w:overflowPunct/>
                    <w:topLinePunct w:val="0"/>
                    <w:autoSpaceDE/>
                    <w:autoSpaceDN/>
                    <w:bidi w:val="0"/>
                    <w:adjustRightInd/>
                    <w:snapToGrid/>
                    <w:ind w:firstLineChars="0"/>
                    <w:jc w:val="center"/>
                    <w:textAlignment w:val="top"/>
                    <w:rPr>
                      <w:rFonts w:hint="default" w:ascii="Times New Roman" w:hAnsi="Times New Roman" w:eastAsia="宋体" w:cs="Times New Roman"/>
                      <w:b w:val="0"/>
                      <w:bCs w:val="0"/>
                      <w:i w:val="0"/>
                      <w:iCs w:val="0"/>
                      <w:color w:val="000000"/>
                      <w:sz w:val="21"/>
                      <w:szCs w:val="21"/>
                      <w:u w:val="none"/>
                    </w:rPr>
                  </w:pPr>
                  <w:r>
                    <w:rPr>
                      <w:rStyle w:val="54"/>
                      <w:rFonts w:hint="default" w:ascii="Times New Roman" w:hAnsi="Times New Roman" w:cs="Times New Roman"/>
                      <w:b w:val="0"/>
                      <w:bCs w:val="0"/>
                      <w:sz w:val="21"/>
                      <w:szCs w:val="21"/>
                      <w:lang w:val="en-US" w:eastAsia="zh-CN" w:bidi="ar"/>
                    </w:rPr>
                    <w:t>Ad%=53.46</w:t>
                  </w:r>
                </w:p>
              </w:tc>
            </w:tr>
            <w:tr w14:paraId="03829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377" w:type="pct"/>
                  <w:tcBorders>
                    <w:top w:val="single" w:color="000000" w:sz="4" w:space="0"/>
                    <w:left w:val="single" w:color="000000" w:sz="4" w:space="0"/>
                    <w:bottom w:val="single" w:color="000000" w:sz="4" w:space="0"/>
                    <w:right w:val="single" w:color="000000" w:sz="4" w:space="0"/>
                  </w:tcBorders>
                  <w:noWrap w:val="0"/>
                  <w:vAlign w:val="center"/>
                </w:tcPr>
                <w:p w14:paraId="04B7C0F4">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4</w:t>
                  </w:r>
                </w:p>
              </w:tc>
              <w:tc>
                <w:tcPr>
                  <w:tcW w:w="1998" w:type="pct"/>
                  <w:gridSpan w:val="2"/>
                  <w:tcBorders>
                    <w:top w:val="single" w:color="000000" w:sz="4" w:space="0"/>
                    <w:left w:val="single" w:color="000000" w:sz="4" w:space="0"/>
                    <w:bottom w:val="single" w:color="000000" w:sz="4" w:space="0"/>
                    <w:right w:val="single" w:color="000000" w:sz="4" w:space="0"/>
                  </w:tcBorders>
                  <w:noWrap w:val="0"/>
                  <w:vAlign w:val="center"/>
                </w:tcPr>
                <w:p w14:paraId="52286E95">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Style w:val="54"/>
                      <w:rFonts w:hint="default" w:ascii="Times New Roman" w:hAnsi="Times New Roman" w:cs="Times New Roman"/>
                      <w:b w:val="0"/>
                      <w:bCs w:val="0"/>
                      <w:sz w:val="21"/>
                      <w:szCs w:val="21"/>
                      <w:lang w:val="en-US" w:eastAsia="zh-CN" w:bidi="ar"/>
                    </w:rPr>
                    <w:t>挥发分</w:t>
                  </w:r>
                </w:p>
              </w:tc>
              <w:tc>
                <w:tcPr>
                  <w:tcW w:w="1546" w:type="pct"/>
                  <w:tcBorders>
                    <w:top w:val="single" w:color="000000" w:sz="4" w:space="0"/>
                    <w:left w:val="single" w:color="000000" w:sz="4" w:space="0"/>
                    <w:bottom w:val="single" w:color="000000" w:sz="4" w:space="0"/>
                    <w:right w:val="single" w:color="000000" w:sz="4" w:space="0"/>
                  </w:tcBorders>
                  <w:noWrap w:val="0"/>
                  <w:vAlign w:val="center"/>
                </w:tcPr>
                <w:p w14:paraId="51AF13A5">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Style w:val="54"/>
                      <w:rFonts w:hint="default" w:ascii="Times New Roman" w:hAnsi="Times New Roman" w:cs="Times New Roman"/>
                      <w:b w:val="0"/>
                      <w:bCs w:val="0"/>
                      <w:sz w:val="21"/>
                      <w:szCs w:val="21"/>
                      <w:lang w:val="en-US" w:eastAsia="zh-CN" w:bidi="ar"/>
                    </w:rPr>
                    <w:t>Vad%=21.59</w:t>
                  </w:r>
                </w:p>
              </w:tc>
              <w:tc>
                <w:tcPr>
                  <w:tcW w:w="1078" w:type="pct"/>
                  <w:tcBorders>
                    <w:top w:val="single" w:color="000000" w:sz="4" w:space="0"/>
                    <w:left w:val="single" w:color="000000" w:sz="4" w:space="0"/>
                    <w:bottom w:val="single" w:color="000000" w:sz="4" w:space="0"/>
                    <w:right w:val="single" w:color="000000" w:sz="4" w:space="0"/>
                  </w:tcBorders>
                  <w:noWrap w:val="0"/>
                  <w:vAlign w:val="center"/>
                </w:tcPr>
                <w:p w14:paraId="2F986EFD">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Style w:val="54"/>
                      <w:rFonts w:hint="default" w:ascii="Times New Roman" w:hAnsi="Times New Roman" w:cs="Times New Roman"/>
                      <w:b w:val="0"/>
                      <w:bCs w:val="0"/>
                      <w:sz w:val="21"/>
                      <w:szCs w:val="21"/>
                      <w:lang w:val="en-US" w:eastAsia="zh-CN" w:bidi="ar"/>
                    </w:rPr>
                    <w:t>Vdaf%=47.21</w:t>
                  </w:r>
                </w:p>
              </w:tc>
            </w:tr>
            <w:tr w14:paraId="5E79D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377" w:type="pct"/>
                  <w:tcBorders>
                    <w:top w:val="single" w:color="000000" w:sz="4" w:space="0"/>
                    <w:left w:val="single" w:color="000000" w:sz="4" w:space="0"/>
                    <w:bottom w:val="single" w:color="000000" w:sz="4" w:space="0"/>
                    <w:right w:val="single" w:color="000000" w:sz="4" w:space="0"/>
                  </w:tcBorders>
                  <w:noWrap w:val="0"/>
                  <w:vAlign w:val="center"/>
                </w:tcPr>
                <w:p w14:paraId="0DEE45EA">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5</w:t>
                  </w:r>
                </w:p>
              </w:tc>
              <w:tc>
                <w:tcPr>
                  <w:tcW w:w="1998" w:type="pct"/>
                  <w:gridSpan w:val="2"/>
                  <w:tcBorders>
                    <w:top w:val="single" w:color="000000" w:sz="4" w:space="0"/>
                    <w:left w:val="single" w:color="000000" w:sz="4" w:space="0"/>
                    <w:bottom w:val="single" w:color="000000" w:sz="4" w:space="0"/>
                    <w:right w:val="single" w:color="000000" w:sz="4" w:space="0"/>
                  </w:tcBorders>
                  <w:noWrap w:val="0"/>
                  <w:vAlign w:val="center"/>
                </w:tcPr>
                <w:p w14:paraId="4F40E99C">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Style w:val="54"/>
                      <w:rFonts w:hint="default" w:ascii="Times New Roman" w:hAnsi="Times New Roman" w:cs="Times New Roman"/>
                      <w:b w:val="0"/>
                      <w:bCs w:val="0"/>
                      <w:sz w:val="21"/>
                      <w:szCs w:val="21"/>
                      <w:lang w:val="en-US" w:eastAsia="zh-CN" w:bidi="ar"/>
                    </w:rPr>
                    <w:t>结渣特征</w:t>
                  </w:r>
                </w:p>
              </w:tc>
              <w:tc>
                <w:tcPr>
                  <w:tcW w:w="2624" w:type="pct"/>
                  <w:gridSpan w:val="2"/>
                  <w:tcBorders>
                    <w:top w:val="single" w:color="000000" w:sz="4" w:space="0"/>
                    <w:left w:val="single" w:color="000000" w:sz="4" w:space="0"/>
                    <w:bottom w:val="single" w:color="000000" w:sz="4" w:space="0"/>
                    <w:right w:val="single" w:color="000000" w:sz="4" w:space="0"/>
                  </w:tcBorders>
                  <w:noWrap w:val="0"/>
                  <w:vAlign w:val="center"/>
                </w:tcPr>
                <w:p w14:paraId="39BAD425">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2</w:t>
                  </w:r>
                </w:p>
              </w:tc>
            </w:tr>
            <w:tr w14:paraId="6D3B3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377" w:type="pct"/>
                  <w:tcBorders>
                    <w:top w:val="single" w:color="000000" w:sz="4" w:space="0"/>
                    <w:left w:val="single" w:color="000000" w:sz="4" w:space="0"/>
                    <w:bottom w:val="single" w:color="000000" w:sz="4" w:space="0"/>
                    <w:right w:val="single" w:color="000000" w:sz="4" w:space="0"/>
                  </w:tcBorders>
                  <w:noWrap w:val="0"/>
                  <w:vAlign w:val="center"/>
                </w:tcPr>
                <w:p w14:paraId="287E641B">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6</w:t>
                  </w:r>
                </w:p>
              </w:tc>
              <w:tc>
                <w:tcPr>
                  <w:tcW w:w="1998" w:type="pct"/>
                  <w:gridSpan w:val="2"/>
                  <w:tcBorders>
                    <w:top w:val="single" w:color="000000" w:sz="4" w:space="0"/>
                    <w:left w:val="single" w:color="000000" w:sz="4" w:space="0"/>
                    <w:bottom w:val="single" w:color="000000" w:sz="4" w:space="0"/>
                    <w:right w:val="single" w:color="000000" w:sz="4" w:space="0"/>
                  </w:tcBorders>
                  <w:noWrap w:val="0"/>
                  <w:vAlign w:val="center"/>
                </w:tcPr>
                <w:p w14:paraId="707F332A">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Style w:val="54"/>
                      <w:rFonts w:hint="default" w:ascii="Times New Roman" w:hAnsi="Times New Roman" w:cs="Times New Roman"/>
                      <w:b w:val="0"/>
                      <w:bCs w:val="0"/>
                      <w:sz w:val="21"/>
                      <w:szCs w:val="21"/>
                      <w:lang w:val="en-US" w:eastAsia="zh-CN" w:bidi="ar"/>
                    </w:rPr>
                    <w:t>固定碳</w:t>
                  </w:r>
                </w:p>
              </w:tc>
              <w:tc>
                <w:tcPr>
                  <w:tcW w:w="2624" w:type="pct"/>
                  <w:gridSpan w:val="2"/>
                  <w:tcBorders>
                    <w:top w:val="single" w:color="000000" w:sz="4" w:space="0"/>
                    <w:left w:val="single" w:color="000000" w:sz="4" w:space="0"/>
                    <w:bottom w:val="single" w:color="000000" w:sz="4" w:space="0"/>
                    <w:right w:val="single" w:color="000000" w:sz="4" w:space="0"/>
                  </w:tcBorders>
                  <w:noWrap w:val="0"/>
                  <w:vAlign w:val="center"/>
                </w:tcPr>
                <w:p w14:paraId="46ED3EA6">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Style w:val="54"/>
                      <w:rFonts w:hint="default" w:ascii="Times New Roman" w:hAnsi="Times New Roman" w:cs="Times New Roman"/>
                      <w:b w:val="0"/>
                      <w:bCs w:val="0"/>
                      <w:sz w:val="21"/>
                      <w:szCs w:val="21"/>
                      <w:lang w:val="en-US" w:eastAsia="zh-CN" w:bidi="ar"/>
                    </w:rPr>
                    <w:t>FC%=24.14</w:t>
                  </w:r>
                </w:p>
              </w:tc>
            </w:tr>
            <w:tr w14:paraId="1BFB9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377" w:type="pct"/>
                  <w:tcBorders>
                    <w:top w:val="single" w:color="000000" w:sz="4" w:space="0"/>
                    <w:left w:val="single" w:color="000000" w:sz="4" w:space="0"/>
                    <w:bottom w:val="single" w:color="000000" w:sz="4" w:space="0"/>
                    <w:right w:val="single" w:color="000000" w:sz="4" w:space="0"/>
                  </w:tcBorders>
                  <w:noWrap w:val="0"/>
                  <w:vAlign w:val="center"/>
                </w:tcPr>
                <w:p w14:paraId="5E35011D">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7</w:t>
                  </w:r>
                </w:p>
              </w:tc>
              <w:tc>
                <w:tcPr>
                  <w:tcW w:w="1998" w:type="pct"/>
                  <w:gridSpan w:val="2"/>
                  <w:tcBorders>
                    <w:top w:val="single" w:color="000000" w:sz="4" w:space="0"/>
                    <w:left w:val="single" w:color="000000" w:sz="4" w:space="0"/>
                    <w:bottom w:val="single" w:color="000000" w:sz="4" w:space="0"/>
                    <w:right w:val="single" w:color="000000" w:sz="4" w:space="0"/>
                  </w:tcBorders>
                  <w:noWrap w:val="0"/>
                  <w:vAlign w:val="center"/>
                </w:tcPr>
                <w:p w14:paraId="49212F0D">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Style w:val="54"/>
                      <w:rFonts w:hint="default" w:ascii="Times New Roman" w:hAnsi="Times New Roman" w:cs="Times New Roman"/>
                      <w:b w:val="0"/>
                      <w:bCs w:val="0"/>
                      <w:sz w:val="21"/>
                      <w:szCs w:val="21"/>
                      <w:lang w:val="en-US" w:eastAsia="zh-CN" w:bidi="ar"/>
                    </w:rPr>
                    <w:t>空干基全硫</w:t>
                  </w:r>
                </w:p>
              </w:tc>
              <w:tc>
                <w:tcPr>
                  <w:tcW w:w="2624" w:type="pct"/>
                  <w:gridSpan w:val="2"/>
                  <w:tcBorders>
                    <w:top w:val="single" w:color="000000" w:sz="4" w:space="0"/>
                    <w:left w:val="single" w:color="000000" w:sz="4" w:space="0"/>
                    <w:bottom w:val="single" w:color="000000" w:sz="4" w:space="0"/>
                    <w:right w:val="single" w:color="000000" w:sz="4" w:space="0"/>
                  </w:tcBorders>
                  <w:noWrap w:val="0"/>
                  <w:vAlign w:val="center"/>
                </w:tcPr>
                <w:p w14:paraId="57182BE9">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Style w:val="54"/>
                      <w:rFonts w:hint="default" w:ascii="Times New Roman" w:hAnsi="Times New Roman" w:cs="Times New Roman"/>
                      <w:b w:val="0"/>
                      <w:bCs w:val="0"/>
                      <w:sz w:val="21"/>
                      <w:szCs w:val="21"/>
                      <w:lang w:val="en-US" w:eastAsia="zh-CN" w:bidi="ar"/>
                    </w:rPr>
                    <w:t>St,ad%=1.423</w:t>
                  </w:r>
                </w:p>
              </w:tc>
            </w:tr>
            <w:tr w14:paraId="7D9E7D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377" w:type="pct"/>
                  <w:vMerge w:val="restart"/>
                  <w:tcBorders>
                    <w:top w:val="single" w:color="000000" w:sz="4" w:space="0"/>
                    <w:left w:val="single" w:color="000000" w:sz="4" w:space="0"/>
                    <w:bottom w:val="single" w:color="000000" w:sz="4" w:space="0"/>
                    <w:right w:val="single" w:color="000000" w:sz="4" w:space="0"/>
                  </w:tcBorders>
                  <w:noWrap w:val="0"/>
                  <w:vAlign w:val="center"/>
                </w:tcPr>
                <w:p w14:paraId="7C926924">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8</w:t>
                  </w:r>
                </w:p>
              </w:tc>
              <w:tc>
                <w:tcPr>
                  <w:tcW w:w="497" w:type="pct"/>
                  <w:vMerge w:val="restart"/>
                  <w:tcBorders>
                    <w:top w:val="single" w:color="000000" w:sz="4" w:space="0"/>
                    <w:left w:val="single" w:color="000000" w:sz="4" w:space="0"/>
                    <w:bottom w:val="single" w:color="000000" w:sz="4" w:space="0"/>
                    <w:right w:val="single" w:color="000000" w:sz="4" w:space="0"/>
                  </w:tcBorders>
                  <w:noWrap w:val="0"/>
                  <w:vAlign w:val="center"/>
                </w:tcPr>
                <w:p w14:paraId="79860BA3">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Style w:val="54"/>
                      <w:rFonts w:hint="default" w:ascii="Times New Roman" w:hAnsi="Times New Roman" w:cs="Times New Roman"/>
                      <w:b w:val="0"/>
                      <w:bCs w:val="0"/>
                      <w:sz w:val="21"/>
                      <w:szCs w:val="21"/>
                      <w:lang w:val="en-US" w:eastAsia="zh-CN" w:bidi="ar"/>
                    </w:rPr>
                    <w:t>发热量</w:t>
                  </w:r>
                </w:p>
              </w:tc>
              <w:tc>
                <w:tcPr>
                  <w:tcW w:w="1500" w:type="pct"/>
                  <w:tcBorders>
                    <w:top w:val="single" w:color="000000" w:sz="4" w:space="0"/>
                    <w:left w:val="single" w:color="000000" w:sz="4" w:space="0"/>
                    <w:bottom w:val="single" w:color="000000" w:sz="4" w:space="0"/>
                    <w:right w:val="single" w:color="000000" w:sz="4" w:space="0"/>
                  </w:tcBorders>
                  <w:noWrap w:val="0"/>
                  <w:vAlign w:val="center"/>
                </w:tcPr>
                <w:p w14:paraId="4BDAF29D">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Style w:val="54"/>
                      <w:rFonts w:hint="default" w:ascii="Times New Roman" w:hAnsi="Times New Roman" w:cs="Times New Roman"/>
                      <w:b w:val="0"/>
                      <w:bCs w:val="0"/>
                      <w:sz w:val="21"/>
                      <w:szCs w:val="21"/>
                      <w:lang w:val="en-US" w:eastAsia="zh-CN" w:bidi="ar"/>
                    </w:rPr>
                    <w:t>空干基高位Qgr,v,ad</w:t>
                  </w:r>
                </w:p>
              </w:tc>
              <w:tc>
                <w:tcPr>
                  <w:tcW w:w="1546" w:type="pct"/>
                  <w:tcBorders>
                    <w:top w:val="single" w:color="000000" w:sz="4" w:space="0"/>
                    <w:left w:val="single" w:color="000000" w:sz="4" w:space="0"/>
                    <w:bottom w:val="single" w:color="000000" w:sz="4" w:space="0"/>
                    <w:right w:val="single" w:color="000000" w:sz="4" w:space="0"/>
                  </w:tcBorders>
                  <w:noWrap w:val="0"/>
                  <w:vAlign w:val="center"/>
                </w:tcPr>
                <w:p w14:paraId="393F0815">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Style w:val="54"/>
                      <w:rFonts w:hint="default" w:ascii="Times New Roman" w:hAnsi="Times New Roman" w:cs="Times New Roman"/>
                      <w:b w:val="0"/>
                      <w:bCs w:val="0"/>
                      <w:sz w:val="21"/>
                      <w:szCs w:val="21"/>
                      <w:lang w:val="en-US" w:eastAsia="zh-CN" w:bidi="ar"/>
                    </w:rPr>
                    <w:t>3292.08Kcal/Kg</w:t>
                  </w:r>
                </w:p>
              </w:tc>
              <w:tc>
                <w:tcPr>
                  <w:tcW w:w="1078" w:type="pct"/>
                  <w:tcBorders>
                    <w:top w:val="single" w:color="000000" w:sz="4" w:space="0"/>
                    <w:left w:val="single" w:color="000000" w:sz="4" w:space="0"/>
                    <w:bottom w:val="single" w:color="000000" w:sz="4" w:space="0"/>
                    <w:right w:val="single" w:color="000000" w:sz="4" w:space="0"/>
                  </w:tcBorders>
                  <w:noWrap w:val="0"/>
                  <w:vAlign w:val="center"/>
                </w:tcPr>
                <w:p w14:paraId="411D1797">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Style w:val="55"/>
                      <w:rFonts w:hint="default" w:ascii="Times New Roman" w:hAnsi="Times New Roman" w:cs="Times New Roman"/>
                      <w:b w:val="0"/>
                      <w:bCs w:val="0"/>
                      <w:sz w:val="21"/>
                      <w:szCs w:val="21"/>
                      <w:lang w:val="en-US" w:eastAsia="zh-CN" w:bidi="ar"/>
                    </w:rPr>
                    <w:t>13.77MJ/kg</w:t>
                  </w:r>
                </w:p>
              </w:tc>
            </w:tr>
            <w:tr w14:paraId="657C5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377" w:type="pct"/>
                  <w:vMerge w:val="continue"/>
                  <w:tcBorders>
                    <w:top w:val="single" w:color="000000" w:sz="4" w:space="0"/>
                    <w:left w:val="single" w:color="000000" w:sz="4" w:space="0"/>
                    <w:bottom w:val="single" w:color="000000" w:sz="4" w:space="0"/>
                    <w:right w:val="single" w:color="000000" w:sz="4" w:space="0"/>
                  </w:tcBorders>
                  <w:noWrap w:val="0"/>
                  <w:vAlign w:val="center"/>
                </w:tcPr>
                <w:p w14:paraId="435809F0">
                  <w:pPr>
                    <w:keepNext w:val="0"/>
                    <w:keepLines w:val="0"/>
                    <w:pageBreakBefore w:val="0"/>
                    <w:widowControl/>
                    <w:kinsoku/>
                    <w:wordWrap/>
                    <w:overflowPunct/>
                    <w:topLinePunct w:val="0"/>
                    <w:autoSpaceDE/>
                    <w:autoSpaceDN/>
                    <w:bidi w:val="0"/>
                    <w:adjustRightInd/>
                    <w:snapToGrid/>
                    <w:ind w:firstLineChars="0"/>
                    <w:jc w:val="center"/>
                    <w:rPr>
                      <w:rFonts w:hint="default" w:ascii="Times New Roman" w:hAnsi="Times New Roman" w:eastAsia="宋体" w:cs="Times New Roman"/>
                      <w:b w:val="0"/>
                      <w:bCs w:val="0"/>
                      <w:i w:val="0"/>
                      <w:iCs w:val="0"/>
                      <w:color w:val="000000"/>
                      <w:sz w:val="21"/>
                      <w:szCs w:val="21"/>
                      <w:u w:val="none"/>
                    </w:rPr>
                  </w:pPr>
                </w:p>
              </w:tc>
              <w:tc>
                <w:tcPr>
                  <w:tcW w:w="497" w:type="pct"/>
                  <w:vMerge w:val="continue"/>
                  <w:tcBorders>
                    <w:top w:val="single" w:color="000000" w:sz="4" w:space="0"/>
                    <w:left w:val="single" w:color="000000" w:sz="4" w:space="0"/>
                    <w:bottom w:val="single" w:color="000000" w:sz="4" w:space="0"/>
                    <w:right w:val="single" w:color="000000" w:sz="4" w:space="0"/>
                  </w:tcBorders>
                  <w:noWrap w:val="0"/>
                  <w:vAlign w:val="center"/>
                </w:tcPr>
                <w:p w14:paraId="2A887D8E">
                  <w:pPr>
                    <w:keepNext w:val="0"/>
                    <w:keepLines w:val="0"/>
                    <w:pageBreakBefore w:val="0"/>
                    <w:widowControl/>
                    <w:kinsoku/>
                    <w:wordWrap/>
                    <w:overflowPunct/>
                    <w:topLinePunct w:val="0"/>
                    <w:autoSpaceDE/>
                    <w:autoSpaceDN/>
                    <w:bidi w:val="0"/>
                    <w:adjustRightInd/>
                    <w:snapToGrid/>
                    <w:ind w:firstLineChars="0"/>
                    <w:jc w:val="center"/>
                    <w:rPr>
                      <w:rFonts w:hint="default" w:ascii="Times New Roman" w:hAnsi="Times New Roman" w:eastAsia="宋体" w:cs="Times New Roman"/>
                      <w:b w:val="0"/>
                      <w:bCs w:val="0"/>
                      <w:i w:val="0"/>
                      <w:iCs w:val="0"/>
                      <w:color w:val="000000"/>
                      <w:sz w:val="21"/>
                      <w:szCs w:val="21"/>
                      <w:u w:val="none"/>
                    </w:rPr>
                  </w:pPr>
                </w:p>
              </w:tc>
              <w:tc>
                <w:tcPr>
                  <w:tcW w:w="1500" w:type="pct"/>
                  <w:tcBorders>
                    <w:top w:val="single" w:color="000000" w:sz="4" w:space="0"/>
                    <w:left w:val="single" w:color="000000" w:sz="4" w:space="0"/>
                    <w:bottom w:val="single" w:color="000000" w:sz="4" w:space="0"/>
                    <w:right w:val="single" w:color="000000" w:sz="4" w:space="0"/>
                  </w:tcBorders>
                  <w:noWrap w:val="0"/>
                  <w:vAlign w:val="center"/>
                </w:tcPr>
                <w:p w14:paraId="795C1120">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Style w:val="54"/>
                      <w:rFonts w:hint="default" w:ascii="Times New Roman" w:hAnsi="Times New Roman" w:cs="Times New Roman"/>
                      <w:b w:val="0"/>
                      <w:bCs w:val="0"/>
                      <w:sz w:val="21"/>
                      <w:szCs w:val="21"/>
                      <w:lang w:val="en-US" w:eastAsia="zh-CN" w:bidi="ar"/>
                    </w:rPr>
                    <w:t>收到基低位Qnet,v,ar</w:t>
                  </w:r>
                </w:p>
              </w:tc>
              <w:tc>
                <w:tcPr>
                  <w:tcW w:w="1546" w:type="pct"/>
                  <w:tcBorders>
                    <w:top w:val="single" w:color="000000" w:sz="4" w:space="0"/>
                    <w:left w:val="single" w:color="000000" w:sz="4" w:space="0"/>
                    <w:bottom w:val="single" w:color="000000" w:sz="4" w:space="0"/>
                    <w:right w:val="single" w:color="000000" w:sz="4" w:space="0"/>
                  </w:tcBorders>
                  <w:noWrap w:val="0"/>
                  <w:vAlign w:val="center"/>
                </w:tcPr>
                <w:p w14:paraId="1968A5DA">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Style w:val="54"/>
                      <w:rFonts w:hint="default" w:ascii="Times New Roman" w:hAnsi="Times New Roman" w:cs="Times New Roman"/>
                      <w:b w:val="0"/>
                      <w:bCs w:val="0"/>
                      <w:sz w:val="21"/>
                      <w:szCs w:val="21"/>
                      <w:lang w:val="en-US" w:eastAsia="zh-CN" w:bidi="ar"/>
                    </w:rPr>
                    <w:t>2569.76Kcal/Kg</w:t>
                  </w:r>
                </w:p>
              </w:tc>
              <w:tc>
                <w:tcPr>
                  <w:tcW w:w="1078" w:type="pct"/>
                  <w:tcBorders>
                    <w:top w:val="single" w:color="000000" w:sz="4" w:space="0"/>
                    <w:left w:val="single" w:color="000000" w:sz="4" w:space="0"/>
                    <w:bottom w:val="single" w:color="000000" w:sz="4" w:space="0"/>
                    <w:right w:val="single" w:color="000000" w:sz="4" w:space="0"/>
                  </w:tcBorders>
                  <w:noWrap w:val="0"/>
                  <w:vAlign w:val="center"/>
                </w:tcPr>
                <w:p w14:paraId="7134F051">
                  <w:pPr>
                    <w:keepNext w:val="0"/>
                    <w:keepLines w:val="0"/>
                    <w:pageBreakBefore w:val="0"/>
                    <w:widowControl/>
                    <w:suppressLineNumbers w:val="0"/>
                    <w:kinsoku/>
                    <w:wordWrap/>
                    <w:overflowPunct/>
                    <w:topLinePunct w:val="0"/>
                    <w:autoSpaceDE/>
                    <w:autoSpaceDN/>
                    <w:bidi w:val="0"/>
                    <w:adjustRightInd/>
                    <w:snapToGrid/>
                    <w:ind w:firstLineChars="0"/>
                    <w:jc w:val="center"/>
                    <w:textAlignment w:val="center"/>
                    <w:rPr>
                      <w:rFonts w:hint="default" w:ascii="Times New Roman" w:hAnsi="Times New Roman" w:eastAsia="宋体" w:cs="Times New Roman"/>
                      <w:b w:val="0"/>
                      <w:bCs w:val="0"/>
                      <w:i w:val="0"/>
                      <w:iCs w:val="0"/>
                      <w:color w:val="000000"/>
                      <w:sz w:val="21"/>
                      <w:szCs w:val="21"/>
                      <w:u w:val="none"/>
                    </w:rPr>
                  </w:pPr>
                  <w:r>
                    <w:rPr>
                      <w:rStyle w:val="55"/>
                      <w:rFonts w:hint="default" w:ascii="Times New Roman" w:hAnsi="Times New Roman" w:cs="Times New Roman"/>
                      <w:b w:val="0"/>
                      <w:bCs w:val="0"/>
                      <w:sz w:val="21"/>
                      <w:szCs w:val="21"/>
                      <w:lang w:val="en-US" w:eastAsia="zh-CN" w:bidi="ar"/>
                    </w:rPr>
                    <w:t>10.75MJ/kg</w:t>
                  </w:r>
                </w:p>
              </w:tc>
            </w:tr>
          </w:tbl>
          <w:p w14:paraId="54D7A34E">
            <w:pPr>
              <w:keepNext w:val="0"/>
              <w:keepLines w:val="0"/>
              <w:pageBreakBefore w:val="0"/>
              <w:widowControl/>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6、劳动定员及工作制度</w:t>
            </w:r>
          </w:p>
          <w:p w14:paraId="4A2F3F58">
            <w:pPr>
              <w:keepNext w:val="0"/>
              <w:keepLines w:val="0"/>
              <w:pageBreakBefore w:val="0"/>
              <w:widowControl/>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zh-CN" w:eastAsia="zh-CN"/>
              </w:rPr>
              <w:t>本项目</w:t>
            </w:r>
            <w:r>
              <w:rPr>
                <w:rFonts w:hint="default" w:ascii="Times New Roman" w:hAnsi="Times New Roman" w:eastAsia="宋体" w:cs="Times New Roman"/>
                <w:color w:val="auto"/>
                <w:sz w:val="24"/>
                <w:szCs w:val="24"/>
                <w:lang w:val="en-US" w:eastAsia="zh-CN"/>
              </w:rPr>
              <w:t>设置</w:t>
            </w:r>
            <w:r>
              <w:rPr>
                <w:rFonts w:hint="default" w:ascii="Times New Roman" w:hAnsi="Times New Roman" w:eastAsia="宋体" w:cs="Times New Roman"/>
                <w:color w:val="auto"/>
                <w:sz w:val="24"/>
                <w:szCs w:val="24"/>
                <w:lang w:val="zh-CN" w:eastAsia="zh-CN"/>
              </w:rPr>
              <w:t>劳动定员</w:t>
            </w:r>
            <w:r>
              <w:rPr>
                <w:rFonts w:hint="default" w:ascii="Times New Roman" w:hAnsi="Times New Roman" w:eastAsia="宋体" w:cs="Times New Roman"/>
                <w:color w:val="auto"/>
                <w:sz w:val="24"/>
                <w:szCs w:val="24"/>
                <w:lang w:val="en-US" w:eastAsia="zh-CN"/>
              </w:rPr>
              <w:t>30</w:t>
            </w:r>
            <w:r>
              <w:rPr>
                <w:rFonts w:hint="default" w:ascii="Times New Roman" w:hAnsi="Times New Roman" w:eastAsia="宋体" w:cs="Times New Roman"/>
                <w:color w:val="auto"/>
                <w:sz w:val="24"/>
                <w:szCs w:val="24"/>
                <w:lang w:val="zh-CN" w:eastAsia="zh-CN"/>
              </w:rPr>
              <w:t>人，每天工作</w:t>
            </w:r>
            <w:r>
              <w:rPr>
                <w:rFonts w:hint="default" w:ascii="Times New Roman" w:hAnsi="Times New Roman" w:eastAsia="宋体" w:cs="Times New Roman"/>
                <w:color w:val="auto"/>
                <w:sz w:val="24"/>
                <w:szCs w:val="24"/>
                <w:lang w:val="en-US" w:eastAsia="zh-CN"/>
              </w:rPr>
              <w:t>8</w:t>
            </w:r>
            <w:r>
              <w:rPr>
                <w:rFonts w:hint="default" w:ascii="Times New Roman" w:hAnsi="Times New Roman" w:eastAsia="宋体" w:cs="Times New Roman"/>
                <w:color w:val="auto"/>
                <w:sz w:val="24"/>
                <w:szCs w:val="24"/>
                <w:lang w:val="zh-CN" w:eastAsia="zh-CN"/>
              </w:rPr>
              <w:t>小时，</w:t>
            </w:r>
            <w:r>
              <w:rPr>
                <w:rFonts w:hint="default" w:ascii="Times New Roman" w:hAnsi="Times New Roman" w:eastAsia="宋体" w:cs="Times New Roman"/>
                <w:color w:val="auto"/>
                <w:sz w:val="24"/>
                <w:szCs w:val="24"/>
                <w:lang w:val="en-US" w:eastAsia="zh-CN"/>
              </w:rPr>
              <w:t>一班制，</w:t>
            </w:r>
            <w:r>
              <w:rPr>
                <w:rFonts w:hint="default" w:ascii="Times New Roman" w:hAnsi="Times New Roman" w:eastAsia="宋体" w:cs="Times New Roman"/>
                <w:color w:val="auto"/>
                <w:sz w:val="24"/>
                <w:szCs w:val="24"/>
                <w:lang w:val="zh-CN" w:eastAsia="zh-CN"/>
              </w:rPr>
              <w:t>年工作时间为</w:t>
            </w:r>
            <w:r>
              <w:rPr>
                <w:rFonts w:hint="default" w:ascii="Times New Roman" w:hAnsi="Times New Roman" w:eastAsia="宋体" w:cs="Times New Roman"/>
                <w:color w:val="auto"/>
                <w:sz w:val="24"/>
                <w:szCs w:val="24"/>
                <w:lang w:val="en-US" w:eastAsia="zh-CN"/>
              </w:rPr>
              <w:t>300天。</w:t>
            </w:r>
          </w:p>
          <w:p w14:paraId="55FC9A2C">
            <w:pPr>
              <w:keepNext w:val="0"/>
              <w:keepLines w:val="0"/>
              <w:pageBreakBefore w:val="0"/>
              <w:widowControl/>
              <w:numPr>
                <w:ilvl w:val="0"/>
                <w:numId w:val="0"/>
              </w:numPr>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kern w:val="2"/>
                <w:sz w:val="24"/>
                <w:szCs w:val="24"/>
                <w:lang w:val="en-US" w:eastAsia="zh-CN" w:bidi="ar-SA"/>
              </w:rPr>
              <w:t>7、</w:t>
            </w:r>
            <w:r>
              <w:rPr>
                <w:rFonts w:hint="default" w:ascii="Times New Roman" w:hAnsi="Times New Roman" w:eastAsia="宋体" w:cs="Times New Roman"/>
                <w:b w:val="0"/>
                <w:bCs w:val="0"/>
                <w:color w:val="auto"/>
                <w:sz w:val="24"/>
                <w:szCs w:val="24"/>
                <w:lang w:val="en-US" w:eastAsia="zh-CN"/>
              </w:rPr>
              <w:t>给排水</w:t>
            </w:r>
          </w:p>
          <w:p w14:paraId="3FDC2F14">
            <w:pPr>
              <w:keepNext w:val="0"/>
              <w:keepLines w:val="0"/>
              <w:pageBreakBefore w:val="0"/>
              <w:widowControl/>
              <w:numPr>
                <w:ilvl w:val="0"/>
                <w:numId w:val="0"/>
              </w:numPr>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本项目用水主要为生活用水、车辆清洗用水、场地冲洗用水、洒水降尘用水及煤泥洗选用水。</w:t>
            </w:r>
          </w:p>
          <w:p w14:paraId="6A1F9E65">
            <w:pPr>
              <w:keepNext w:val="0"/>
              <w:keepLines w:val="0"/>
              <w:pageBreakBefore w:val="0"/>
              <w:widowControl/>
              <w:numPr>
                <w:ilvl w:val="0"/>
                <w:numId w:val="0"/>
              </w:numPr>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fldChar w:fldCharType="begin"/>
            </w:r>
            <w:r>
              <w:rPr>
                <w:rFonts w:hint="default" w:ascii="Times New Roman" w:hAnsi="Times New Roman" w:eastAsia="宋体" w:cs="Times New Roman"/>
                <w:b w:val="0"/>
                <w:bCs w:val="0"/>
                <w:color w:val="auto"/>
                <w:sz w:val="24"/>
                <w:szCs w:val="24"/>
                <w:lang w:val="en-US" w:eastAsia="zh-CN"/>
              </w:rPr>
              <w:instrText xml:space="preserve"> = 1 \* GB3 \* MERGEFORMAT </w:instrText>
            </w:r>
            <w:r>
              <w:rPr>
                <w:rFonts w:hint="default" w:ascii="Times New Roman" w:hAnsi="Times New Roman" w:eastAsia="宋体" w:cs="Times New Roman"/>
                <w:b w:val="0"/>
                <w:bCs w:val="0"/>
                <w:color w:val="auto"/>
                <w:sz w:val="24"/>
                <w:szCs w:val="24"/>
                <w:lang w:val="en-US" w:eastAsia="zh-CN"/>
              </w:rPr>
              <w:fldChar w:fldCharType="separate"/>
            </w:r>
            <w:r>
              <w:rPr>
                <w:rFonts w:hint="default" w:ascii="Times New Roman" w:hAnsi="Times New Roman" w:cs="Times New Roman"/>
                <w:sz w:val="24"/>
                <w:szCs w:val="24"/>
              </w:rPr>
              <w:t>①</w:t>
            </w:r>
            <w:r>
              <w:rPr>
                <w:rFonts w:hint="default" w:ascii="Times New Roman" w:hAnsi="Times New Roman" w:eastAsia="宋体" w:cs="Times New Roman"/>
                <w:b w:val="0"/>
                <w:bCs w:val="0"/>
                <w:color w:val="auto"/>
                <w:sz w:val="24"/>
                <w:szCs w:val="24"/>
                <w:lang w:val="en-US" w:eastAsia="zh-CN"/>
              </w:rPr>
              <w:fldChar w:fldCharType="end"/>
            </w:r>
            <w:r>
              <w:rPr>
                <w:rFonts w:hint="default" w:ascii="Times New Roman" w:hAnsi="Times New Roman" w:eastAsia="宋体" w:cs="Times New Roman"/>
                <w:b w:val="0"/>
                <w:bCs w:val="0"/>
                <w:color w:val="auto"/>
                <w:sz w:val="24"/>
                <w:szCs w:val="24"/>
                <w:lang w:val="en-US" w:eastAsia="zh-CN"/>
              </w:rPr>
              <w:t>生活用水</w:t>
            </w:r>
          </w:p>
          <w:p w14:paraId="46BD579C">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000000"/>
                <w:sz w:val="24"/>
                <w:szCs w:val="24"/>
                <w:lang w:val="en-US" w:eastAsia="zh-CN"/>
              </w:rPr>
            </w:pPr>
            <w:r>
              <w:rPr>
                <w:rFonts w:hint="default" w:ascii="Times New Roman" w:hAnsi="Times New Roman" w:cs="Times New Roman"/>
                <w:color w:val="000000"/>
                <w:sz w:val="24"/>
                <w:szCs w:val="24"/>
              </w:rPr>
              <w:t>本项目</w:t>
            </w:r>
            <w:r>
              <w:rPr>
                <w:rFonts w:hint="default" w:ascii="Times New Roman" w:hAnsi="Times New Roman" w:cs="Times New Roman"/>
                <w:color w:val="000000"/>
                <w:sz w:val="24"/>
                <w:szCs w:val="24"/>
                <w:lang w:val="en-US" w:eastAsia="zh-CN"/>
              </w:rPr>
              <w:t>设置</w:t>
            </w:r>
            <w:r>
              <w:rPr>
                <w:rFonts w:hint="default" w:ascii="Times New Roman" w:hAnsi="Times New Roman" w:cs="Times New Roman"/>
                <w:color w:val="000000"/>
                <w:sz w:val="24"/>
                <w:szCs w:val="24"/>
              </w:rPr>
              <w:t>劳动定员</w:t>
            </w:r>
            <w:r>
              <w:rPr>
                <w:rFonts w:hint="default" w:ascii="Times New Roman" w:hAnsi="Times New Roman" w:cs="Times New Roman"/>
                <w:color w:val="000000"/>
                <w:sz w:val="24"/>
                <w:szCs w:val="24"/>
                <w:lang w:val="en-US" w:eastAsia="zh-CN"/>
              </w:rPr>
              <w:t>30</w:t>
            </w:r>
            <w:r>
              <w:rPr>
                <w:rFonts w:hint="default" w:ascii="Times New Roman" w:hAnsi="Times New Roman" w:cs="Times New Roman"/>
                <w:color w:val="000000"/>
                <w:sz w:val="24"/>
                <w:szCs w:val="24"/>
              </w:rPr>
              <w:t>人，</w:t>
            </w:r>
            <w:r>
              <w:rPr>
                <w:rFonts w:hint="default" w:ascii="Times New Roman" w:hAnsi="Times New Roman" w:cs="Times New Roman"/>
                <w:color w:val="000000"/>
                <w:sz w:val="24"/>
                <w:szCs w:val="24"/>
                <w:lang w:val="en-US" w:eastAsia="zh-CN"/>
              </w:rPr>
              <w:t>根据员工实际生产生活情况并</w:t>
            </w:r>
            <w:r>
              <w:rPr>
                <w:rFonts w:hint="default" w:ascii="Times New Roman" w:hAnsi="Times New Roman" w:cs="Times New Roman"/>
                <w:sz w:val="24"/>
                <w:szCs w:val="24"/>
              </w:rPr>
              <w:t>参</w:t>
            </w:r>
            <w:r>
              <w:rPr>
                <w:rFonts w:hint="default" w:ascii="Times New Roman" w:hAnsi="Times New Roman" w:cs="Times New Roman"/>
                <w:sz w:val="24"/>
                <w:szCs w:val="24"/>
                <w:lang w:val="en-US" w:eastAsia="zh-CN"/>
              </w:rPr>
              <w:t>考</w:t>
            </w:r>
            <w:r>
              <w:rPr>
                <w:rFonts w:hint="default" w:ascii="Times New Roman" w:hAnsi="Times New Roman" w:cs="Times New Roman"/>
                <w:sz w:val="24"/>
                <w:szCs w:val="24"/>
              </w:rPr>
              <w:t>《新疆维吾尔自治区生活用水定额》（新政办发</w:t>
            </w:r>
            <w:r>
              <w:rPr>
                <w:rFonts w:hint="default" w:ascii="Times New Roman" w:hAnsi="Times New Roman" w:cs="Times New Roman"/>
                <w:sz w:val="24"/>
                <w:szCs w:val="24"/>
                <w:lang w:eastAsia="zh-CN"/>
              </w:rPr>
              <w:t>〔2007〕105号</w:t>
            </w:r>
            <w:r>
              <w:rPr>
                <w:rFonts w:hint="default" w:ascii="Times New Roman" w:hAnsi="Times New Roman" w:cs="Times New Roman"/>
                <w:sz w:val="24"/>
                <w:szCs w:val="24"/>
              </w:rPr>
              <w:t>）规定，</w:t>
            </w:r>
            <w:r>
              <w:rPr>
                <w:rFonts w:hint="default" w:ascii="Times New Roman" w:hAnsi="Times New Roman" w:cs="Times New Roman"/>
                <w:sz w:val="24"/>
                <w:szCs w:val="24"/>
                <w:lang w:val="en-US" w:eastAsia="zh-CN"/>
              </w:rPr>
              <w:t>本项目劳动人员在厂区内食宿的</w:t>
            </w:r>
            <w:r>
              <w:rPr>
                <w:rFonts w:hint="default" w:ascii="Times New Roman" w:hAnsi="Times New Roman" w:cs="Times New Roman"/>
                <w:sz w:val="24"/>
                <w:szCs w:val="24"/>
              </w:rPr>
              <w:t>用水量按</w:t>
            </w:r>
            <w:r>
              <w:rPr>
                <w:rFonts w:hint="default" w:ascii="Times New Roman" w:hAnsi="Times New Roman" w:cs="Times New Roman"/>
                <w:sz w:val="24"/>
                <w:szCs w:val="24"/>
                <w:lang w:val="en-US" w:eastAsia="zh-CN"/>
              </w:rPr>
              <w:t>80</w:t>
            </w:r>
            <w:r>
              <w:rPr>
                <w:rFonts w:hint="default" w:ascii="Times New Roman" w:hAnsi="Times New Roman" w:cs="Times New Roman"/>
                <w:sz w:val="24"/>
                <w:szCs w:val="24"/>
              </w:rPr>
              <w:t>L/人</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日计</w:t>
            </w:r>
            <w:r>
              <w:rPr>
                <w:rFonts w:hint="default" w:ascii="Times New Roman" w:hAnsi="Times New Roman" w:cs="Times New Roman"/>
                <w:color w:val="000000"/>
                <w:sz w:val="24"/>
                <w:szCs w:val="24"/>
              </w:rPr>
              <w:t>，则用水量</w:t>
            </w:r>
            <w:r>
              <w:rPr>
                <w:rFonts w:hint="default" w:ascii="Times New Roman" w:hAnsi="Times New Roman" w:cs="Times New Roman"/>
                <w:color w:val="000000"/>
                <w:sz w:val="24"/>
                <w:szCs w:val="24"/>
                <w:lang w:val="en-US" w:eastAsia="zh-CN"/>
              </w:rPr>
              <w:t>720</w:t>
            </w:r>
            <w:r>
              <w:rPr>
                <w:rFonts w:hint="default" w:ascii="Times New Roman" w:hAnsi="Times New Roman" w:cs="Times New Roman"/>
                <w:color w:val="000000"/>
                <w:sz w:val="24"/>
                <w:szCs w:val="24"/>
              </w:rPr>
              <w:t>m</w:t>
            </w:r>
            <w:r>
              <w:rPr>
                <w:rFonts w:hint="default" w:ascii="Times New Roman" w:hAnsi="Times New Roman" w:cs="Times New Roman"/>
                <w:color w:val="000000"/>
                <w:sz w:val="24"/>
                <w:szCs w:val="24"/>
                <w:vertAlign w:val="superscript"/>
                <w:lang w:val="en-US" w:eastAsia="zh-CN"/>
              </w:rPr>
              <w:t>3</w:t>
            </w:r>
            <w:r>
              <w:rPr>
                <w:rFonts w:hint="default" w:ascii="Times New Roman" w:hAnsi="Times New Roman" w:cs="Times New Roman"/>
                <w:color w:val="000000"/>
                <w:sz w:val="24"/>
                <w:szCs w:val="24"/>
              </w:rPr>
              <w:t>/a</w:t>
            </w:r>
            <w:r>
              <w:rPr>
                <w:rFonts w:hint="default" w:ascii="Times New Roman" w:hAnsi="Times New Roman" w:cs="Times New Roman"/>
                <w:color w:val="000000"/>
                <w:sz w:val="24"/>
                <w:szCs w:val="24"/>
                <w:lang w:eastAsia="zh-CN"/>
              </w:rPr>
              <w:t>。</w:t>
            </w:r>
            <w:r>
              <w:rPr>
                <w:rFonts w:hint="default" w:ascii="Times New Roman" w:hAnsi="Times New Roman" w:cs="Times New Roman"/>
                <w:color w:val="000000"/>
                <w:sz w:val="24"/>
                <w:szCs w:val="24"/>
                <w:lang w:val="en-US" w:eastAsia="zh-CN"/>
              </w:rPr>
              <w:t>产污系数</w:t>
            </w:r>
            <w:r>
              <w:rPr>
                <w:rFonts w:hint="default" w:ascii="Times New Roman" w:hAnsi="Times New Roman" w:cs="Times New Roman"/>
                <w:color w:val="000000"/>
                <w:sz w:val="24"/>
                <w:szCs w:val="24"/>
                <w:lang w:eastAsia="zh-CN"/>
              </w:rPr>
              <w:t>以</w:t>
            </w:r>
            <w:r>
              <w:rPr>
                <w:rFonts w:hint="default" w:ascii="Times New Roman" w:hAnsi="Times New Roman" w:cs="Times New Roman"/>
                <w:color w:val="000000"/>
                <w:sz w:val="24"/>
                <w:szCs w:val="24"/>
                <w:lang w:val="en-US" w:eastAsia="zh-CN"/>
              </w:rPr>
              <w:t>0.8</w:t>
            </w:r>
            <w:r>
              <w:rPr>
                <w:rFonts w:hint="default" w:ascii="Times New Roman" w:hAnsi="Times New Roman" w:cs="Times New Roman"/>
                <w:color w:val="000000"/>
                <w:sz w:val="24"/>
                <w:szCs w:val="24"/>
                <w:lang w:eastAsia="zh-CN"/>
              </w:rPr>
              <w:t>计，则生活污水产生量为</w:t>
            </w:r>
            <w:r>
              <w:rPr>
                <w:rFonts w:hint="default" w:ascii="Times New Roman" w:hAnsi="Times New Roman" w:cs="Times New Roman"/>
                <w:color w:val="000000"/>
                <w:sz w:val="24"/>
                <w:szCs w:val="24"/>
                <w:lang w:val="en-US" w:eastAsia="zh-CN"/>
              </w:rPr>
              <w:t>576</w:t>
            </w:r>
            <w:r>
              <w:rPr>
                <w:rFonts w:hint="default" w:ascii="Times New Roman" w:hAnsi="Times New Roman" w:eastAsia="宋体" w:cs="Times New Roman"/>
                <w:color w:val="000000"/>
                <w:sz w:val="24"/>
                <w:szCs w:val="24"/>
                <w:lang w:val="en-US" w:eastAsia="zh-CN"/>
              </w:rPr>
              <w:t>m</w:t>
            </w:r>
            <w:r>
              <w:rPr>
                <w:rFonts w:hint="default" w:ascii="Times New Roman" w:hAnsi="Times New Roman" w:eastAsia="宋体" w:cs="Times New Roman"/>
                <w:color w:val="000000"/>
                <w:sz w:val="24"/>
                <w:szCs w:val="24"/>
                <w:vertAlign w:val="superscript"/>
                <w:lang w:val="en-US" w:eastAsia="zh-CN"/>
              </w:rPr>
              <w:t>3</w:t>
            </w:r>
            <w:r>
              <w:rPr>
                <w:rFonts w:hint="default" w:ascii="Times New Roman" w:hAnsi="Times New Roman" w:eastAsia="宋体" w:cs="Times New Roman"/>
                <w:color w:val="000000"/>
                <w:sz w:val="24"/>
                <w:szCs w:val="24"/>
                <w:lang w:val="en-US" w:eastAsia="zh-CN"/>
              </w:rPr>
              <w:t>/a，生活污水经一体化污水处理设施</w:t>
            </w:r>
            <w:r>
              <w:rPr>
                <w:rFonts w:hint="eastAsia" w:ascii="Times New Roman" w:hAnsi="Times New Roman" w:eastAsia="宋体" w:cs="Times New Roman"/>
                <w:color w:val="000000"/>
                <w:sz w:val="24"/>
                <w:szCs w:val="24"/>
                <w:lang w:val="en-US" w:eastAsia="zh-CN"/>
              </w:rPr>
              <w:t>（“</w:t>
            </w:r>
            <w:r>
              <w:rPr>
                <w:rFonts w:hint="default" w:ascii="Times New Roman" w:hAnsi="Times New Roman" w:eastAsia="宋体" w:cs="Times New Roman"/>
                <w:color w:val="000000"/>
                <w:sz w:val="24"/>
                <w:szCs w:val="24"/>
                <w:lang w:val="en-US" w:eastAsia="zh-CN"/>
              </w:rPr>
              <w:t>化粪池+A/O</w:t>
            </w:r>
            <w:r>
              <w:rPr>
                <w:rFonts w:hint="eastAsia" w:ascii="Times New Roman" w:hAnsi="Times New Roman" w:eastAsia="宋体" w:cs="Times New Roman"/>
                <w:color w:val="000000"/>
                <w:sz w:val="24"/>
                <w:szCs w:val="24"/>
                <w:lang w:val="en-US" w:eastAsia="zh-CN"/>
              </w:rPr>
              <w:t>+</w:t>
            </w:r>
            <w:r>
              <w:rPr>
                <w:rFonts w:hint="default" w:ascii="Times New Roman" w:hAnsi="Times New Roman" w:eastAsia="宋体" w:cs="Times New Roman"/>
                <w:color w:val="000000"/>
                <w:sz w:val="24"/>
                <w:szCs w:val="24"/>
                <w:lang w:val="en-US" w:eastAsia="zh-CN"/>
              </w:rPr>
              <w:t>沉淀</w:t>
            </w:r>
            <w:r>
              <w:rPr>
                <w:rFonts w:hint="eastAsia" w:ascii="Times New Roman" w:hAnsi="Times New Roman" w:eastAsia="宋体" w:cs="Times New Roman"/>
                <w:color w:val="000000"/>
                <w:sz w:val="24"/>
                <w:szCs w:val="24"/>
                <w:lang w:val="en-US" w:eastAsia="zh-CN"/>
              </w:rPr>
              <w:t>+消毒</w:t>
            </w:r>
            <w:r>
              <w:rPr>
                <w:rFonts w:hint="default" w:ascii="Times New Roman" w:hAnsi="Times New Roman" w:eastAsia="宋体" w:cs="Times New Roman"/>
                <w:color w:val="000000"/>
                <w:sz w:val="24"/>
                <w:szCs w:val="24"/>
                <w:lang w:val="en-US" w:eastAsia="zh-CN"/>
              </w:rPr>
              <w:t>一体化</w:t>
            </w:r>
            <w:r>
              <w:rPr>
                <w:rFonts w:hint="eastAsia" w:ascii="Times New Roman" w:hAnsi="Times New Roman" w:eastAsia="宋体" w:cs="Times New Roman"/>
                <w:color w:val="000000"/>
                <w:sz w:val="24"/>
                <w:szCs w:val="24"/>
                <w:lang w:val="en-US" w:eastAsia="zh-CN"/>
              </w:rPr>
              <w:t>”，处理规模为5m</w:t>
            </w:r>
            <w:r>
              <w:rPr>
                <w:rFonts w:hint="eastAsia" w:ascii="Times New Roman" w:hAnsi="Times New Roman" w:eastAsia="宋体" w:cs="Times New Roman"/>
                <w:color w:val="000000"/>
                <w:sz w:val="24"/>
                <w:szCs w:val="24"/>
                <w:vertAlign w:val="superscript"/>
                <w:lang w:val="en-US" w:eastAsia="zh-CN"/>
              </w:rPr>
              <w:t>3</w:t>
            </w:r>
            <w:r>
              <w:rPr>
                <w:rFonts w:hint="eastAsia" w:ascii="Times New Roman" w:hAnsi="Times New Roman" w:eastAsia="宋体" w:cs="Times New Roman"/>
                <w:color w:val="000000"/>
                <w:sz w:val="24"/>
                <w:szCs w:val="24"/>
                <w:lang w:val="en-US" w:eastAsia="zh-CN"/>
              </w:rPr>
              <w:t>/d）</w:t>
            </w:r>
            <w:r>
              <w:rPr>
                <w:rFonts w:hint="default" w:ascii="Times New Roman" w:hAnsi="Times New Roman" w:eastAsia="宋体" w:cs="Times New Roman"/>
                <w:color w:val="000000"/>
                <w:sz w:val="24"/>
                <w:szCs w:val="24"/>
                <w:lang w:val="en-US" w:eastAsia="zh-CN"/>
              </w:rPr>
              <w:t>处理后，达到《农村生活污水处理排放标准》（DB654275-2019）表2的B级标准，</w:t>
            </w:r>
            <w:r>
              <w:rPr>
                <w:rFonts w:hint="eastAsia" w:ascii="Times New Roman" w:hAnsi="Times New Roman" w:eastAsia="宋体" w:cs="Times New Roman"/>
                <w:b w:val="0"/>
                <w:bCs w:val="0"/>
                <w:kern w:val="2"/>
                <w:sz w:val="24"/>
                <w:szCs w:val="24"/>
                <w:lang w:val="en-US" w:eastAsia="zh-CN" w:bidi="ar-SA"/>
              </w:rPr>
              <w:t>冬储夏灌，</w:t>
            </w:r>
            <w:r>
              <w:rPr>
                <w:rFonts w:hint="default" w:ascii="Times New Roman" w:hAnsi="Times New Roman" w:eastAsia="宋体" w:cs="Times New Roman"/>
                <w:color w:val="000000"/>
                <w:sz w:val="24"/>
                <w:szCs w:val="24"/>
                <w:lang w:val="en-US" w:eastAsia="zh-CN"/>
              </w:rPr>
              <w:t>用于荒漠灌溉。</w:t>
            </w:r>
          </w:p>
          <w:p w14:paraId="224AAEF4">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spacing w:val="5"/>
                <w:sz w:val="24"/>
                <w:szCs w:val="24"/>
                <w:lang w:val="en-US" w:eastAsia="zh-CN"/>
              </w:rPr>
            </w:pPr>
            <w:r>
              <w:rPr>
                <w:rFonts w:hint="default" w:ascii="Times New Roman" w:hAnsi="Times New Roman" w:eastAsia="宋体" w:cs="Times New Roman"/>
                <w:b w:val="0"/>
                <w:bCs w:val="0"/>
                <w:color w:val="auto"/>
                <w:sz w:val="24"/>
                <w:szCs w:val="24"/>
                <w:lang w:val="en-US" w:eastAsia="zh-CN"/>
              </w:rPr>
              <w:fldChar w:fldCharType="begin"/>
            </w:r>
            <w:r>
              <w:rPr>
                <w:rFonts w:hint="default" w:ascii="Times New Roman" w:hAnsi="Times New Roman" w:eastAsia="宋体" w:cs="Times New Roman"/>
                <w:b w:val="0"/>
                <w:bCs w:val="0"/>
                <w:color w:val="auto"/>
                <w:sz w:val="24"/>
                <w:szCs w:val="24"/>
                <w:lang w:val="en-US" w:eastAsia="zh-CN"/>
              </w:rPr>
              <w:instrText xml:space="preserve"> = 2 \* GB3 \* MERGEFORMAT </w:instrText>
            </w:r>
            <w:r>
              <w:rPr>
                <w:rFonts w:hint="default" w:ascii="Times New Roman" w:hAnsi="Times New Roman" w:eastAsia="宋体" w:cs="Times New Roman"/>
                <w:b w:val="0"/>
                <w:bCs w:val="0"/>
                <w:color w:val="auto"/>
                <w:sz w:val="24"/>
                <w:szCs w:val="24"/>
                <w:lang w:val="en-US" w:eastAsia="zh-CN"/>
              </w:rPr>
              <w:fldChar w:fldCharType="separate"/>
            </w:r>
            <w:r>
              <w:rPr>
                <w:rFonts w:hint="default" w:ascii="Times New Roman" w:hAnsi="Times New Roman" w:eastAsia="宋体" w:cs="Times New Roman"/>
                <w:b w:val="0"/>
                <w:bCs w:val="0"/>
                <w:color w:val="auto"/>
                <w:sz w:val="24"/>
                <w:szCs w:val="24"/>
                <w:lang w:val="en-US" w:eastAsia="zh-CN"/>
              </w:rPr>
              <w:t>②</w:t>
            </w:r>
            <w:r>
              <w:rPr>
                <w:rFonts w:hint="default" w:ascii="Times New Roman" w:hAnsi="Times New Roman" w:eastAsia="宋体" w:cs="Times New Roman"/>
                <w:b w:val="0"/>
                <w:bCs w:val="0"/>
                <w:color w:val="auto"/>
                <w:sz w:val="24"/>
                <w:szCs w:val="24"/>
                <w:lang w:val="en-US" w:eastAsia="zh-CN"/>
              </w:rPr>
              <w:fldChar w:fldCharType="end"/>
            </w:r>
            <w:r>
              <w:rPr>
                <w:rFonts w:hint="default" w:ascii="Times New Roman" w:hAnsi="Times New Roman" w:eastAsia="宋体" w:cs="Times New Roman"/>
                <w:spacing w:val="5"/>
                <w:sz w:val="24"/>
                <w:szCs w:val="24"/>
                <w:lang w:val="en-US" w:eastAsia="zh-CN"/>
              </w:rPr>
              <w:t>车辆清洗用水：本项目采用30t汽车运输</w:t>
            </w:r>
            <w:r>
              <w:rPr>
                <w:rFonts w:hint="eastAsia" w:ascii="Times New Roman" w:hAnsi="Times New Roman" w:eastAsia="宋体" w:cs="Times New Roman"/>
                <w:spacing w:val="5"/>
                <w:sz w:val="24"/>
                <w:szCs w:val="24"/>
                <w:lang w:val="en-US" w:eastAsia="zh-CN"/>
              </w:rPr>
              <w:t>物料</w:t>
            </w:r>
            <w:r>
              <w:rPr>
                <w:rFonts w:hint="default" w:ascii="Times New Roman" w:hAnsi="Times New Roman" w:eastAsia="宋体" w:cs="Times New Roman"/>
                <w:spacing w:val="5"/>
                <w:sz w:val="24"/>
                <w:szCs w:val="24"/>
                <w:lang w:val="en-US" w:eastAsia="zh-CN"/>
              </w:rPr>
              <w:t>，</w:t>
            </w:r>
            <w:r>
              <w:rPr>
                <w:rFonts w:hint="eastAsia" w:ascii="Times New Roman" w:hAnsi="Times New Roman" w:eastAsia="宋体" w:cs="Times New Roman"/>
                <w:spacing w:val="5"/>
                <w:sz w:val="24"/>
                <w:szCs w:val="24"/>
                <w:lang w:val="en-US" w:eastAsia="zh-CN"/>
              </w:rPr>
              <w:t>项目建成，</w:t>
            </w:r>
            <w:r>
              <w:rPr>
                <w:rFonts w:hint="default" w:ascii="Times New Roman" w:hAnsi="Times New Roman" w:eastAsia="宋体" w:cs="Times New Roman"/>
                <w:spacing w:val="5"/>
                <w:sz w:val="24"/>
                <w:szCs w:val="24"/>
                <w:lang w:val="en-US" w:eastAsia="zh-CN"/>
              </w:rPr>
              <w:t>进厂运输原料煤泥和出厂运输</w:t>
            </w:r>
            <w:r>
              <w:rPr>
                <w:rFonts w:hint="eastAsia" w:ascii="Times New Roman" w:hAnsi="Times New Roman" w:eastAsia="宋体" w:cs="Times New Roman"/>
                <w:spacing w:val="5"/>
                <w:sz w:val="24"/>
                <w:szCs w:val="24"/>
                <w:lang w:val="en-US" w:eastAsia="zh-CN"/>
              </w:rPr>
              <w:t>精煤、尾煤泥等</w:t>
            </w:r>
            <w:r>
              <w:rPr>
                <w:rFonts w:hint="default" w:ascii="Times New Roman" w:hAnsi="Times New Roman" w:eastAsia="宋体" w:cs="Times New Roman"/>
                <w:spacing w:val="5"/>
                <w:sz w:val="24"/>
                <w:szCs w:val="24"/>
                <w:lang w:val="en-US" w:eastAsia="zh-CN"/>
              </w:rPr>
              <w:t>共计约</w:t>
            </w:r>
            <w:r>
              <w:rPr>
                <w:rFonts w:hint="eastAsia" w:cs="Times New Roman"/>
                <w:spacing w:val="5"/>
                <w:sz w:val="24"/>
                <w:szCs w:val="24"/>
                <w:lang w:val="en-US" w:eastAsia="zh-CN"/>
              </w:rPr>
              <w:t>19981</w:t>
            </w:r>
            <w:r>
              <w:rPr>
                <w:rFonts w:hint="default" w:ascii="Times New Roman" w:hAnsi="Times New Roman" w:eastAsia="宋体" w:cs="Times New Roman"/>
                <w:spacing w:val="5"/>
                <w:sz w:val="24"/>
                <w:szCs w:val="24"/>
                <w:lang w:val="en-US" w:eastAsia="zh-CN"/>
              </w:rPr>
              <w:t>次，每次清洗用水取55L，则用水量10</w:t>
            </w:r>
            <w:r>
              <w:rPr>
                <w:rFonts w:hint="eastAsia" w:ascii="Times New Roman" w:hAnsi="Times New Roman" w:eastAsia="宋体" w:cs="Times New Roman"/>
                <w:spacing w:val="5"/>
                <w:sz w:val="24"/>
                <w:szCs w:val="24"/>
                <w:lang w:val="en-US" w:eastAsia="zh-CN"/>
              </w:rPr>
              <w:t>98</w:t>
            </w:r>
            <w:r>
              <w:rPr>
                <w:rFonts w:hint="default" w:ascii="Times New Roman" w:hAnsi="Times New Roman" w:eastAsia="宋体" w:cs="Times New Roman"/>
                <w:spacing w:val="5"/>
                <w:sz w:val="24"/>
                <w:szCs w:val="24"/>
                <w:lang w:val="en-US" w:eastAsia="zh-CN"/>
              </w:rPr>
              <w:t>.</w:t>
            </w:r>
            <w:r>
              <w:rPr>
                <w:rFonts w:hint="eastAsia" w:cs="Times New Roman"/>
                <w:spacing w:val="5"/>
                <w:sz w:val="24"/>
                <w:szCs w:val="24"/>
                <w:lang w:val="en-US" w:eastAsia="zh-CN"/>
              </w:rPr>
              <w:t>96</w:t>
            </w:r>
            <w:r>
              <w:rPr>
                <w:rFonts w:hint="default" w:ascii="Times New Roman" w:hAnsi="Times New Roman" w:eastAsia="宋体" w:cs="Times New Roman"/>
                <w:spacing w:val="5"/>
                <w:sz w:val="24"/>
                <w:szCs w:val="24"/>
                <w:lang w:val="en-US" w:eastAsia="zh-CN"/>
              </w:rPr>
              <w:t>t/a，废水</w:t>
            </w:r>
            <w:r>
              <w:rPr>
                <w:rFonts w:hint="default" w:ascii="Times New Roman" w:hAnsi="Times New Roman" w:eastAsia="宋体" w:cs="Times New Roman"/>
                <w:spacing w:val="5"/>
                <w:sz w:val="24"/>
                <w:szCs w:val="24"/>
              </w:rPr>
              <w:t>损耗系数按0.2计，损耗水量为</w:t>
            </w:r>
            <w:r>
              <w:rPr>
                <w:rFonts w:hint="eastAsia" w:ascii="Times New Roman" w:hAnsi="Times New Roman" w:eastAsia="宋体" w:cs="Times New Roman"/>
                <w:spacing w:val="5"/>
                <w:sz w:val="24"/>
                <w:szCs w:val="24"/>
                <w:lang w:val="en-US" w:eastAsia="zh-CN"/>
              </w:rPr>
              <w:t>219.</w:t>
            </w:r>
            <w:r>
              <w:rPr>
                <w:rFonts w:hint="eastAsia" w:cs="Times New Roman"/>
                <w:spacing w:val="5"/>
                <w:sz w:val="24"/>
                <w:szCs w:val="24"/>
                <w:lang w:val="en-US" w:eastAsia="zh-CN"/>
              </w:rPr>
              <w:t>79</w:t>
            </w:r>
            <w:r>
              <w:rPr>
                <w:rFonts w:hint="default" w:ascii="Times New Roman" w:hAnsi="Times New Roman" w:eastAsia="宋体" w:cs="Times New Roman"/>
                <w:spacing w:val="5"/>
                <w:sz w:val="24"/>
                <w:szCs w:val="24"/>
              </w:rPr>
              <w:t>m</w:t>
            </w:r>
            <w:r>
              <w:rPr>
                <w:rFonts w:hint="default" w:ascii="Times New Roman" w:hAnsi="Times New Roman" w:eastAsia="宋体" w:cs="Times New Roman"/>
                <w:spacing w:val="5"/>
                <w:sz w:val="24"/>
                <w:szCs w:val="24"/>
                <w:vertAlign w:val="superscript"/>
              </w:rPr>
              <w:t>3</w:t>
            </w:r>
            <w:r>
              <w:rPr>
                <w:rFonts w:hint="default" w:ascii="Times New Roman" w:hAnsi="Times New Roman" w:eastAsia="宋体" w:cs="Times New Roman"/>
                <w:spacing w:val="5"/>
                <w:sz w:val="24"/>
                <w:szCs w:val="24"/>
              </w:rPr>
              <w:t>/a</w:t>
            </w:r>
            <w:r>
              <w:rPr>
                <w:rFonts w:hint="default" w:ascii="Times New Roman" w:hAnsi="Times New Roman" w:eastAsia="宋体" w:cs="Times New Roman"/>
                <w:spacing w:val="5"/>
                <w:sz w:val="24"/>
                <w:szCs w:val="24"/>
                <w:lang w:eastAsia="zh-CN"/>
              </w:rPr>
              <w:t>；</w:t>
            </w:r>
            <w:r>
              <w:rPr>
                <w:rFonts w:hint="default" w:ascii="Times New Roman" w:hAnsi="Times New Roman" w:eastAsia="宋体" w:cs="Times New Roman"/>
                <w:spacing w:val="5"/>
                <w:sz w:val="24"/>
                <w:szCs w:val="24"/>
                <w:lang w:val="en-US" w:eastAsia="zh-CN"/>
              </w:rPr>
              <w:t>洗车废水排入沉淀池，沉淀后循环使用。</w:t>
            </w:r>
          </w:p>
          <w:p w14:paraId="44E5CD76">
            <w:pPr>
              <w:keepNext w:val="0"/>
              <w:keepLines w:val="0"/>
              <w:pageBreakBefore w:val="0"/>
              <w:numPr>
                <w:ilvl w:val="0"/>
                <w:numId w:val="0"/>
              </w:numPr>
              <w:kinsoku/>
              <w:wordWrap/>
              <w:overflowPunct/>
              <w:topLinePunct w:val="0"/>
              <w:autoSpaceDE/>
              <w:autoSpaceDN/>
              <w:bidi w:val="0"/>
              <w:adjustRightInd/>
              <w:snapToGrid/>
              <w:spacing w:line="440" w:lineRule="exact"/>
              <w:ind w:firstLine="50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spacing w:val="5"/>
                <w:sz w:val="24"/>
                <w:szCs w:val="24"/>
                <w:lang w:val="en-US" w:eastAsia="zh-CN"/>
              </w:rPr>
              <w:fldChar w:fldCharType="begin"/>
            </w:r>
            <w:r>
              <w:rPr>
                <w:rFonts w:hint="default" w:ascii="Times New Roman" w:hAnsi="Times New Roman" w:eastAsia="宋体" w:cs="Times New Roman"/>
                <w:spacing w:val="5"/>
                <w:sz w:val="24"/>
                <w:szCs w:val="24"/>
                <w:lang w:val="en-US" w:eastAsia="zh-CN"/>
              </w:rPr>
              <w:instrText xml:space="preserve"> = 3 \* GB3 \* MERGEFORMAT </w:instrText>
            </w:r>
            <w:r>
              <w:rPr>
                <w:rFonts w:hint="default" w:ascii="Times New Roman" w:hAnsi="Times New Roman" w:eastAsia="宋体" w:cs="Times New Roman"/>
                <w:spacing w:val="5"/>
                <w:sz w:val="24"/>
                <w:szCs w:val="24"/>
                <w:lang w:val="en-US" w:eastAsia="zh-CN"/>
              </w:rPr>
              <w:fldChar w:fldCharType="separate"/>
            </w:r>
            <w:r>
              <w:rPr>
                <w:rFonts w:hint="default" w:ascii="Times New Roman" w:hAnsi="Times New Roman" w:cs="Times New Roman"/>
                <w:sz w:val="24"/>
                <w:szCs w:val="24"/>
              </w:rPr>
              <w:t>③</w:t>
            </w:r>
            <w:r>
              <w:rPr>
                <w:rFonts w:hint="default" w:ascii="Times New Roman" w:hAnsi="Times New Roman" w:eastAsia="宋体" w:cs="Times New Roman"/>
                <w:spacing w:val="5"/>
                <w:sz w:val="24"/>
                <w:szCs w:val="24"/>
                <w:lang w:val="en-US" w:eastAsia="zh-CN"/>
              </w:rPr>
              <w:fldChar w:fldCharType="end"/>
            </w:r>
            <w:r>
              <w:rPr>
                <w:rFonts w:hint="default" w:ascii="Times New Roman" w:hAnsi="Times New Roman" w:eastAsia="宋体" w:cs="Times New Roman"/>
                <w:spacing w:val="5"/>
                <w:sz w:val="24"/>
                <w:szCs w:val="24"/>
                <w:lang w:val="en-US" w:eastAsia="zh-CN"/>
              </w:rPr>
              <w:t>场地冲洗用水：</w:t>
            </w:r>
            <w:r>
              <w:rPr>
                <w:rFonts w:hint="default" w:ascii="Times New Roman" w:hAnsi="Times New Roman" w:eastAsia="宋体" w:cs="Times New Roman"/>
                <w:color w:val="auto"/>
                <w:sz w:val="24"/>
                <w:szCs w:val="24"/>
                <w:lang w:val="en-US" w:eastAsia="zh-CN"/>
              </w:rPr>
              <w:t>根据《建筑给水排水设计标准》（GB50015-2019），洗煤厂房每日冲洗平均用水量按照1.5L/m</w:t>
            </w:r>
            <w:r>
              <w:rPr>
                <w:rFonts w:hint="default" w:ascii="Times New Roman" w:hAnsi="Times New Roman" w:eastAsia="宋体" w:cs="Times New Roman"/>
                <w:color w:val="auto"/>
                <w:sz w:val="24"/>
                <w:szCs w:val="24"/>
                <w:vertAlign w:val="superscript"/>
                <w:lang w:val="en-US" w:eastAsia="zh-CN"/>
              </w:rPr>
              <w:t>2</w:t>
            </w:r>
            <w:r>
              <w:rPr>
                <w:rFonts w:hint="default" w:ascii="Times New Roman" w:hAnsi="Times New Roman" w:eastAsia="宋体" w:cs="Times New Roman"/>
                <w:color w:val="auto"/>
                <w:sz w:val="24"/>
                <w:szCs w:val="24"/>
                <w:lang w:val="en-US" w:eastAsia="zh-CN"/>
              </w:rPr>
              <w:t>计，项目洗选区冲洗地面积约为</w:t>
            </w:r>
            <w:r>
              <w:rPr>
                <w:rFonts w:hint="default" w:ascii="Times New Roman" w:hAnsi="Times New Roman" w:cs="Times New Roman"/>
                <w:color w:val="auto"/>
                <w:sz w:val="24"/>
                <w:szCs w:val="24"/>
                <w:lang w:val="en-US" w:eastAsia="zh-CN"/>
              </w:rPr>
              <w:t>5000</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2</w:t>
            </w:r>
            <w:r>
              <w:rPr>
                <w:rFonts w:hint="default" w:ascii="Times New Roman" w:hAnsi="Times New Roman" w:eastAsia="宋体" w:cs="Times New Roman"/>
                <w:color w:val="auto"/>
                <w:sz w:val="24"/>
                <w:szCs w:val="24"/>
                <w:lang w:val="en-US" w:eastAsia="zh-CN"/>
              </w:rPr>
              <w:t>，则冲洗水量约为2250m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lang w:val="en-US" w:eastAsia="zh-CN"/>
              </w:rPr>
              <w:t>/a，扣除地面残留损耗，排水量按80%计算，则排水量为1800m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lang w:val="en-US" w:eastAsia="zh-CN"/>
              </w:rPr>
              <w:t>/a，地面冲洗水进入浓缩设备进一步处理后回用生产，不外排，补水量为450m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lang w:val="en-US" w:eastAsia="zh-CN"/>
              </w:rPr>
              <w:t>/a。</w:t>
            </w:r>
          </w:p>
          <w:p w14:paraId="110BDB98">
            <w:pPr>
              <w:pStyle w:val="2"/>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fldChar w:fldCharType="begin"/>
            </w:r>
            <w:r>
              <w:rPr>
                <w:rFonts w:hint="default" w:ascii="Times New Roman" w:hAnsi="Times New Roman" w:eastAsia="宋体" w:cs="Times New Roman"/>
                <w:color w:val="auto"/>
                <w:kern w:val="2"/>
                <w:sz w:val="24"/>
                <w:szCs w:val="24"/>
                <w:lang w:val="en-US" w:eastAsia="zh-CN" w:bidi="ar-SA"/>
              </w:rPr>
              <w:instrText xml:space="preserve"> = 4 \* GB3 \* MERGEFORMAT </w:instrText>
            </w:r>
            <w:r>
              <w:rPr>
                <w:rFonts w:hint="default" w:ascii="Times New Roman" w:hAnsi="Times New Roman" w:eastAsia="宋体" w:cs="Times New Roman"/>
                <w:color w:val="auto"/>
                <w:kern w:val="2"/>
                <w:sz w:val="24"/>
                <w:szCs w:val="24"/>
                <w:lang w:val="en-US" w:eastAsia="zh-CN" w:bidi="ar-SA"/>
              </w:rPr>
              <w:fldChar w:fldCharType="separate"/>
            </w:r>
            <w:r>
              <w:rPr>
                <w:rFonts w:hint="default" w:ascii="Times New Roman" w:hAnsi="Times New Roman" w:eastAsia="宋体" w:cs="Times New Roman"/>
                <w:color w:val="auto"/>
                <w:kern w:val="2"/>
                <w:sz w:val="24"/>
                <w:szCs w:val="24"/>
                <w:lang w:val="en-US" w:eastAsia="zh-CN" w:bidi="ar-SA"/>
              </w:rPr>
              <w:t>④</w:t>
            </w:r>
            <w:r>
              <w:rPr>
                <w:rFonts w:hint="default" w:ascii="Times New Roman" w:hAnsi="Times New Roman" w:eastAsia="宋体" w:cs="Times New Roman"/>
                <w:color w:val="auto"/>
                <w:kern w:val="2"/>
                <w:sz w:val="24"/>
                <w:szCs w:val="24"/>
                <w:lang w:val="en-US" w:eastAsia="zh-CN" w:bidi="ar-SA"/>
              </w:rPr>
              <w:fldChar w:fldCharType="end"/>
            </w:r>
            <w:r>
              <w:rPr>
                <w:rFonts w:hint="default" w:ascii="Times New Roman" w:hAnsi="Times New Roman" w:eastAsia="宋体" w:cs="Times New Roman"/>
                <w:color w:val="auto"/>
                <w:kern w:val="2"/>
                <w:sz w:val="24"/>
                <w:szCs w:val="24"/>
                <w:lang w:val="en-US" w:eastAsia="zh-CN" w:bidi="ar-SA"/>
              </w:rPr>
              <w:t>洒水降尘用水</w:t>
            </w:r>
          </w:p>
          <w:p w14:paraId="5A1978C8">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全封闭大型煤炭储运中心装卸车时、皮带转运时需喷雾降尘，用水量约2.5m</w:t>
            </w:r>
            <w:r>
              <w:rPr>
                <w:rFonts w:hint="default" w:ascii="Times New Roman" w:hAnsi="Times New Roman" w:eastAsia="宋体" w:cs="Times New Roman"/>
                <w:color w:val="auto"/>
                <w:kern w:val="2"/>
                <w:sz w:val="24"/>
                <w:szCs w:val="24"/>
                <w:vertAlign w:val="superscript"/>
                <w:lang w:val="en-US" w:eastAsia="zh-CN" w:bidi="ar-SA"/>
              </w:rPr>
              <w:t>3</w:t>
            </w:r>
            <w:r>
              <w:rPr>
                <w:rFonts w:hint="default" w:ascii="Times New Roman" w:hAnsi="Times New Roman" w:eastAsia="宋体" w:cs="Times New Roman"/>
                <w:color w:val="auto"/>
                <w:kern w:val="2"/>
                <w:sz w:val="24"/>
                <w:szCs w:val="24"/>
                <w:lang w:val="en-US" w:eastAsia="zh-CN" w:bidi="ar-SA"/>
              </w:rPr>
              <w:t>/h，每天工作8h，则用水量为6000m</w:t>
            </w:r>
            <w:r>
              <w:rPr>
                <w:rFonts w:hint="default" w:ascii="Times New Roman" w:hAnsi="Times New Roman" w:eastAsia="宋体" w:cs="Times New Roman"/>
                <w:color w:val="auto"/>
                <w:kern w:val="2"/>
                <w:sz w:val="24"/>
                <w:szCs w:val="24"/>
                <w:vertAlign w:val="superscript"/>
                <w:lang w:val="en-US" w:eastAsia="zh-CN" w:bidi="ar-SA"/>
              </w:rPr>
              <w:t>3</w:t>
            </w:r>
            <w:r>
              <w:rPr>
                <w:rFonts w:hint="default" w:ascii="Times New Roman" w:hAnsi="Times New Roman" w:eastAsia="宋体" w:cs="Times New Roman"/>
                <w:color w:val="auto"/>
                <w:kern w:val="2"/>
                <w:sz w:val="24"/>
                <w:szCs w:val="24"/>
                <w:lang w:val="en-US" w:eastAsia="zh-CN" w:bidi="ar-SA"/>
              </w:rPr>
              <w:t>/a，</w:t>
            </w:r>
            <w:r>
              <w:rPr>
                <w:rFonts w:hint="eastAsia" w:ascii="Times New Roman" w:hAnsi="Times New Roman" w:eastAsia="宋体" w:cs="Times New Roman"/>
                <w:color w:val="auto"/>
                <w:kern w:val="2"/>
                <w:sz w:val="24"/>
                <w:szCs w:val="24"/>
                <w:lang w:val="en-US" w:eastAsia="zh-CN" w:bidi="ar-SA"/>
              </w:rPr>
              <w:t>自然</w:t>
            </w:r>
            <w:r>
              <w:rPr>
                <w:rFonts w:hint="default" w:ascii="Times New Roman" w:hAnsi="Times New Roman" w:eastAsia="宋体" w:cs="Times New Roman"/>
                <w:color w:val="auto"/>
                <w:kern w:val="2"/>
                <w:sz w:val="24"/>
                <w:szCs w:val="24"/>
                <w:lang w:val="en-US" w:eastAsia="zh-CN" w:bidi="ar-SA"/>
              </w:rPr>
              <w:t>蒸发</w:t>
            </w:r>
            <w:r>
              <w:rPr>
                <w:rFonts w:hint="eastAsia" w:ascii="Times New Roman" w:hAnsi="Times New Roman" w:eastAsia="宋体" w:cs="Times New Roman"/>
                <w:color w:val="auto"/>
                <w:kern w:val="2"/>
                <w:sz w:val="24"/>
                <w:szCs w:val="24"/>
                <w:lang w:val="en-US" w:eastAsia="zh-CN" w:bidi="ar-SA"/>
              </w:rPr>
              <w:t>损耗</w:t>
            </w:r>
            <w:r>
              <w:rPr>
                <w:rFonts w:hint="default" w:ascii="Times New Roman" w:hAnsi="Times New Roman" w:eastAsia="宋体" w:cs="Times New Roman"/>
                <w:color w:val="auto"/>
                <w:kern w:val="2"/>
                <w:sz w:val="24"/>
                <w:szCs w:val="24"/>
                <w:lang w:val="en-US" w:eastAsia="zh-CN" w:bidi="ar-SA"/>
              </w:rPr>
              <w:t>。</w:t>
            </w:r>
          </w:p>
          <w:p w14:paraId="4FCFD554">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fldChar w:fldCharType="begin"/>
            </w:r>
            <w:r>
              <w:rPr>
                <w:rFonts w:hint="default" w:ascii="Times New Roman" w:hAnsi="Times New Roman" w:eastAsia="宋体" w:cs="Times New Roman"/>
                <w:color w:val="auto"/>
                <w:sz w:val="24"/>
                <w:szCs w:val="24"/>
                <w:lang w:val="en-US" w:eastAsia="zh-CN"/>
              </w:rPr>
              <w:instrText xml:space="preserve"> = 5 \* GB3 \* MERGEFORMAT </w:instrText>
            </w:r>
            <w:r>
              <w:rPr>
                <w:rFonts w:hint="default" w:ascii="Times New Roman" w:hAnsi="Times New Roman" w:eastAsia="宋体" w:cs="Times New Roman"/>
                <w:color w:val="auto"/>
                <w:sz w:val="24"/>
                <w:szCs w:val="24"/>
                <w:lang w:val="en-US" w:eastAsia="zh-CN"/>
              </w:rPr>
              <w:fldChar w:fldCharType="separate"/>
            </w:r>
            <w:r>
              <w:rPr>
                <w:rFonts w:hint="default" w:ascii="Times New Roman" w:hAnsi="Times New Roman" w:cs="Times New Roman"/>
                <w:sz w:val="24"/>
                <w:szCs w:val="24"/>
              </w:rPr>
              <w:t>⑤</w:t>
            </w:r>
            <w:r>
              <w:rPr>
                <w:rFonts w:hint="default" w:ascii="Times New Roman" w:hAnsi="Times New Roman" w:eastAsia="宋体" w:cs="Times New Roman"/>
                <w:color w:val="auto"/>
                <w:sz w:val="24"/>
                <w:szCs w:val="24"/>
                <w:lang w:val="en-US" w:eastAsia="zh-CN"/>
              </w:rPr>
              <w:fldChar w:fldCharType="end"/>
            </w:r>
            <w:r>
              <w:rPr>
                <w:rFonts w:hint="default" w:ascii="Times New Roman" w:hAnsi="Times New Roman" w:eastAsia="宋体" w:cs="Times New Roman"/>
                <w:color w:val="auto"/>
                <w:sz w:val="24"/>
                <w:szCs w:val="24"/>
                <w:lang w:val="en-US" w:eastAsia="zh-CN"/>
              </w:rPr>
              <w:t>煤泥洗选用水</w:t>
            </w:r>
          </w:p>
          <w:p w14:paraId="1143D245">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参照</w:t>
            </w:r>
            <w:r>
              <w:rPr>
                <w:rFonts w:hint="default" w:ascii="Times New Roman" w:hAnsi="Times New Roman" w:cs="Times New Roman"/>
                <w:sz w:val="24"/>
                <w:szCs w:val="24"/>
              </w:rPr>
              <w:t>《新疆维吾尔自治区生活用水定额》（新政办发</w:t>
            </w:r>
            <w:r>
              <w:rPr>
                <w:rFonts w:hint="default" w:ascii="Times New Roman" w:hAnsi="Times New Roman" w:cs="Times New Roman"/>
                <w:sz w:val="24"/>
                <w:szCs w:val="24"/>
                <w:lang w:eastAsia="zh-CN"/>
              </w:rPr>
              <w:t>〔2007〕105号</w:t>
            </w:r>
            <w:r>
              <w:rPr>
                <w:rFonts w:hint="default" w:ascii="Times New Roman" w:hAnsi="Times New Roman" w:cs="Times New Roman"/>
                <w:sz w:val="24"/>
                <w:szCs w:val="24"/>
              </w:rPr>
              <w:t>）规定</w:t>
            </w:r>
            <w:r>
              <w:rPr>
                <w:rFonts w:hint="default" w:ascii="Times New Roman" w:hAnsi="Times New Roman" w:eastAsia="宋体" w:cs="Times New Roman"/>
                <w:color w:val="auto"/>
                <w:sz w:val="24"/>
                <w:szCs w:val="24"/>
                <w:lang w:val="en-US" w:eastAsia="zh-CN"/>
              </w:rPr>
              <w:t>中煤炭开采业-洗煤的用水定额为0.18m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lang w:val="en-US" w:eastAsia="zh-CN"/>
              </w:rPr>
              <w:t>/t，参照《选煤厂洗水闭路循环等级》（GB/T35051</w:t>
            </w:r>
            <w:r>
              <w:rPr>
                <w:rFonts w:hint="default" w:ascii="Times New Roman" w:hAnsi="Times New Roman" w:eastAsia="宋体" w:cs="Times New Roman"/>
                <w:color w:val="auto"/>
                <w:sz w:val="24"/>
                <w:szCs w:val="24"/>
                <w:lang w:val="en-US" w:eastAsia="zh-CN"/>
              </w:rPr>
              <w:noBreakHyphen/>
            </w:r>
            <w:r>
              <w:rPr>
                <w:rFonts w:hint="default" w:ascii="Times New Roman" w:hAnsi="Times New Roman" w:eastAsia="宋体" w:cs="Times New Roman"/>
                <w:color w:val="auto"/>
                <w:sz w:val="24"/>
                <w:szCs w:val="24"/>
                <w:lang w:val="en-US" w:eastAsia="zh-CN"/>
              </w:rPr>
              <w:t>2018）重复利用率取90%（循环水量为1.62m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lang w:val="en-US" w:eastAsia="zh-CN"/>
              </w:rPr>
              <w:t>/t），</w:t>
            </w:r>
            <w:r>
              <w:rPr>
                <w:rFonts w:hint="eastAsia" w:ascii="Times New Roman" w:hAnsi="Times New Roman" w:eastAsia="宋体" w:cs="Times New Roman"/>
                <w:color w:val="auto"/>
                <w:sz w:val="24"/>
                <w:szCs w:val="24"/>
                <w:lang w:val="en-US" w:eastAsia="zh-CN"/>
              </w:rPr>
              <w:t>则</w:t>
            </w:r>
            <w:r>
              <w:rPr>
                <w:rFonts w:hint="default" w:ascii="Times New Roman" w:hAnsi="Times New Roman" w:eastAsia="宋体" w:cs="Times New Roman"/>
                <w:color w:val="auto"/>
                <w:sz w:val="24"/>
                <w:szCs w:val="24"/>
                <w:lang w:val="en-US" w:eastAsia="zh-CN"/>
              </w:rPr>
              <w:t>煤泥洗选循环水量为486000m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lang w:val="en-US" w:eastAsia="zh-CN"/>
              </w:rPr>
              <w:t>/a，由于本项目原料为煤泥，含水率约为18.8%，考虑本项目与煤炭开采业-洗煤工艺的差异性，</w:t>
            </w:r>
            <w:r>
              <w:rPr>
                <w:rFonts w:hint="eastAsia" w:ascii="Times New Roman" w:hAnsi="Times New Roman" w:eastAsia="宋体" w:cs="Times New Roman"/>
                <w:color w:val="auto"/>
                <w:sz w:val="24"/>
                <w:szCs w:val="24"/>
                <w:lang w:val="en-US" w:eastAsia="zh-CN"/>
              </w:rPr>
              <w:t>参照《水利部关于印发钢铁等十八项工业用水定额的通知》（水节约</w:t>
            </w:r>
            <w:r>
              <w:rPr>
                <w:rFonts w:hint="eastAsia" w:ascii="Times New Roman" w:hAnsi="Times New Roman" w:eastAsia="宋体" w:cs="Times New Roman"/>
                <w:color w:val="auto"/>
                <w:kern w:val="0"/>
                <w:sz w:val="24"/>
                <w:szCs w:val="24"/>
                <w:lang w:eastAsia="zh-CN"/>
              </w:rPr>
              <w:t>〔</w:t>
            </w:r>
            <w:r>
              <w:rPr>
                <w:rFonts w:hint="eastAsia" w:ascii="Times New Roman" w:hAnsi="Times New Roman" w:eastAsia="宋体" w:cs="Times New Roman"/>
                <w:color w:val="auto"/>
                <w:sz w:val="24"/>
                <w:szCs w:val="24"/>
                <w:lang w:val="en-US" w:eastAsia="zh-CN"/>
              </w:rPr>
              <w:t>2019</w:t>
            </w:r>
            <w:r>
              <w:rPr>
                <w:rFonts w:hint="eastAsia" w:ascii="Times New Roman" w:hAnsi="Times New Roman" w:eastAsia="宋体" w:cs="Times New Roman"/>
                <w:color w:val="auto"/>
                <w:kern w:val="0"/>
                <w:sz w:val="24"/>
                <w:szCs w:val="24"/>
                <w:lang w:eastAsia="zh-CN"/>
              </w:rPr>
              <w:t>〕</w:t>
            </w:r>
            <w:r>
              <w:rPr>
                <w:rFonts w:hint="eastAsia" w:ascii="Times New Roman" w:hAnsi="Times New Roman" w:eastAsia="宋体" w:cs="Times New Roman"/>
                <w:color w:val="auto"/>
                <w:sz w:val="24"/>
                <w:szCs w:val="24"/>
                <w:lang w:val="en-US" w:eastAsia="zh-CN"/>
              </w:rPr>
              <w:t>373号），</w:t>
            </w:r>
            <w:r>
              <w:rPr>
                <w:rFonts w:hint="default" w:ascii="Times New Roman" w:hAnsi="Times New Roman" w:eastAsia="宋体" w:cs="Times New Roman"/>
                <w:color w:val="auto"/>
                <w:sz w:val="24"/>
                <w:szCs w:val="24"/>
                <w:lang w:val="en-US" w:eastAsia="zh-CN"/>
              </w:rPr>
              <w:t>洗选需要补水量</w:t>
            </w:r>
            <w:r>
              <w:rPr>
                <w:rFonts w:hint="eastAsia" w:ascii="Times New Roman" w:hAnsi="Times New Roman" w:eastAsia="宋体" w:cs="Times New Roman"/>
                <w:color w:val="auto"/>
                <w:sz w:val="24"/>
                <w:szCs w:val="24"/>
                <w:lang w:val="en-US" w:eastAsia="zh-CN"/>
              </w:rPr>
              <w:t>取</w:t>
            </w:r>
            <w:r>
              <w:rPr>
                <w:rFonts w:hint="default" w:ascii="Times New Roman" w:hAnsi="Times New Roman" w:eastAsia="宋体" w:cs="Times New Roman"/>
                <w:color w:val="auto"/>
                <w:sz w:val="24"/>
                <w:szCs w:val="24"/>
                <w:lang w:val="en-US" w:eastAsia="zh-CN"/>
              </w:rPr>
              <w:t>0.0</w:t>
            </w:r>
            <w:r>
              <w:rPr>
                <w:rFonts w:hint="eastAsia" w:ascii="Times New Roman" w:hAnsi="Times New Roman" w:eastAsia="宋体" w:cs="Times New Roman"/>
                <w:color w:val="auto"/>
                <w:sz w:val="24"/>
                <w:szCs w:val="24"/>
                <w:lang w:val="en-US" w:eastAsia="zh-CN"/>
              </w:rPr>
              <w:t>6</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lang w:val="en-US" w:eastAsia="zh-CN"/>
              </w:rPr>
              <w:t>/t，即</w:t>
            </w:r>
            <w:r>
              <w:rPr>
                <w:rFonts w:hint="eastAsia" w:ascii="Times New Roman" w:hAnsi="Times New Roman" w:eastAsia="宋体" w:cs="Times New Roman"/>
                <w:color w:val="auto"/>
                <w:sz w:val="24"/>
                <w:szCs w:val="24"/>
                <w:lang w:val="en-US" w:eastAsia="zh-CN"/>
              </w:rPr>
              <w:t>18000</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lang w:val="en-US" w:eastAsia="zh-CN"/>
              </w:rPr>
              <w:t>/a。洗选系统精煤、中煤带走</w:t>
            </w:r>
            <w:r>
              <w:rPr>
                <w:rFonts w:hint="eastAsia" w:ascii="Times New Roman" w:hAnsi="Times New Roman" w:eastAsia="宋体" w:cs="Times New Roman"/>
                <w:color w:val="auto"/>
                <w:sz w:val="24"/>
                <w:szCs w:val="24"/>
                <w:lang w:val="en-US" w:eastAsia="zh-CN"/>
              </w:rPr>
              <w:t>15010</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lang w:val="en-US" w:eastAsia="zh-CN"/>
              </w:rPr>
              <w:t>/a（含水率为</w:t>
            </w:r>
            <w:r>
              <w:rPr>
                <w:rFonts w:hint="eastAsia" w:ascii="Times New Roman" w:hAnsi="Times New Roman" w:eastAsia="宋体" w:cs="Times New Roman"/>
                <w:color w:val="auto"/>
                <w:sz w:val="24"/>
                <w:szCs w:val="24"/>
                <w:lang w:val="en-US" w:eastAsia="zh-CN"/>
              </w:rPr>
              <w:t>19.00</w:t>
            </w:r>
            <w:r>
              <w:rPr>
                <w:rFonts w:hint="default" w:ascii="Times New Roman" w:hAnsi="Times New Roman" w:eastAsia="宋体" w:cs="Times New Roman"/>
                <w:color w:val="auto"/>
                <w:sz w:val="24"/>
                <w:szCs w:val="24"/>
                <w:lang w:val="en-US" w:eastAsia="zh-CN"/>
              </w:rPr>
              <w:t>%），尾煤</w:t>
            </w:r>
            <w:r>
              <w:rPr>
                <w:rFonts w:hint="eastAsia" w:ascii="Times New Roman" w:hAnsi="Times New Roman" w:eastAsia="宋体" w:cs="Times New Roman"/>
                <w:color w:val="auto"/>
                <w:sz w:val="24"/>
                <w:szCs w:val="24"/>
                <w:lang w:val="en-US" w:eastAsia="zh-CN"/>
              </w:rPr>
              <w:t>泥</w:t>
            </w:r>
            <w:r>
              <w:rPr>
                <w:rFonts w:hint="default" w:ascii="Times New Roman" w:hAnsi="Times New Roman" w:eastAsia="宋体" w:cs="Times New Roman"/>
                <w:color w:val="auto"/>
                <w:sz w:val="24"/>
                <w:szCs w:val="24"/>
                <w:lang w:val="en-US" w:eastAsia="zh-CN"/>
              </w:rPr>
              <w:t>带走</w:t>
            </w:r>
            <w:r>
              <w:rPr>
                <w:rFonts w:hint="eastAsia" w:ascii="Times New Roman" w:hAnsi="Times New Roman" w:eastAsia="宋体" w:cs="Times New Roman"/>
                <w:color w:val="auto"/>
                <w:sz w:val="24"/>
                <w:szCs w:val="24"/>
                <w:lang w:val="en-US" w:eastAsia="zh-CN"/>
              </w:rPr>
              <w:t>59390</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lang w:val="en-US" w:eastAsia="zh-CN"/>
              </w:rPr>
              <w:t>/a（含水率为</w:t>
            </w:r>
            <w:r>
              <w:rPr>
                <w:rFonts w:hint="eastAsia" w:ascii="Times New Roman" w:hAnsi="Times New Roman" w:eastAsia="宋体" w:cs="Times New Roman"/>
                <w:color w:val="auto"/>
                <w:sz w:val="24"/>
                <w:szCs w:val="24"/>
                <w:lang w:val="en-US" w:eastAsia="zh-CN"/>
              </w:rPr>
              <w:t>26.983</w:t>
            </w:r>
            <w:r>
              <w:rPr>
                <w:rFonts w:hint="default"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循环水蒸发、地面冲洗、跑冒滴漏</w:t>
            </w:r>
            <w:r>
              <w:rPr>
                <w:rFonts w:hint="eastAsia" w:ascii="Times New Roman" w:hAnsi="Times New Roman" w:eastAsia="宋体" w:cs="Times New Roman"/>
                <w:color w:val="auto"/>
                <w:sz w:val="24"/>
                <w:szCs w:val="24"/>
                <w:lang w:val="en-US" w:eastAsia="zh-CN"/>
              </w:rPr>
              <w:t>约900</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lang w:val="en-US" w:eastAsia="zh-CN"/>
              </w:rPr>
              <w:t>/a</w:t>
            </w:r>
            <w:r>
              <w:rPr>
                <w:rFonts w:hint="eastAsia" w:ascii="Times New Roman" w:hAnsi="Times New Roman" w:eastAsia="宋体" w:cs="Times New Roman"/>
                <w:color w:val="auto"/>
                <w:sz w:val="24"/>
                <w:szCs w:val="24"/>
                <w:lang w:val="en-US" w:eastAsia="zh-CN"/>
              </w:rPr>
              <w:t>，由新鲜水补充。</w:t>
            </w:r>
          </w:p>
          <w:p w14:paraId="66DE496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洗选水量平衡见下表。</w:t>
            </w:r>
          </w:p>
          <w:p w14:paraId="1AA16FC1">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表2-</w:t>
            </w:r>
            <w:r>
              <w:rPr>
                <w:rFonts w:hint="eastAsia" w:cs="Times New Roman"/>
                <w:b/>
                <w:bCs/>
                <w:color w:val="auto"/>
                <w:sz w:val="21"/>
                <w:szCs w:val="21"/>
                <w:lang w:val="en-US" w:eastAsia="zh-CN"/>
              </w:rPr>
              <w:t>9</w:t>
            </w:r>
            <w:r>
              <w:rPr>
                <w:rFonts w:hint="default" w:ascii="Times New Roman" w:hAnsi="Times New Roman" w:eastAsia="宋体" w:cs="Times New Roman"/>
                <w:b/>
                <w:bCs/>
                <w:color w:val="auto"/>
                <w:sz w:val="21"/>
                <w:szCs w:val="21"/>
                <w:lang w:val="en-US" w:eastAsia="zh-CN"/>
              </w:rPr>
              <w:t xml:space="preserve"> </w:t>
            </w:r>
            <w:r>
              <w:rPr>
                <w:rFonts w:hint="eastAsia" w:ascii="Times New Roman" w:hAnsi="Times New Roman" w:eastAsia="宋体" w:cs="Times New Roman"/>
                <w:b/>
                <w:bCs/>
                <w:color w:val="auto"/>
                <w:sz w:val="21"/>
                <w:szCs w:val="21"/>
                <w:lang w:val="en-US" w:eastAsia="zh-CN"/>
              </w:rPr>
              <w:t>项目</w:t>
            </w:r>
            <w:r>
              <w:rPr>
                <w:rFonts w:hint="default" w:ascii="Times New Roman" w:hAnsi="Times New Roman" w:eastAsia="宋体" w:cs="Times New Roman"/>
                <w:b/>
                <w:bCs/>
                <w:color w:val="auto"/>
                <w:sz w:val="21"/>
                <w:szCs w:val="21"/>
                <w:lang w:val="en-US" w:eastAsia="zh-CN"/>
              </w:rPr>
              <w:t>水量平衡表</w:t>
            </w:r>
          </w:p>
          <w:tbl>
            <w:tblPr>
              <w:tblStyle w:val="25"/>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78"/>
              <w:gridCol w:w="1907"/>
              <w:gridCol w:w="1108"/>
              <w:gridCol w:w="801"/>
              <w:gridCol w:w="1951"/>
              <w:gridCol w:w="1297"/>
            </w:tblGrid>
            <w:tr w14:paraId="25FDA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753" w:type="pct"/>
                  <w:gridSpan w:val="2"/>
                  <w:tcBorders>
                    <w:top w:val="single" w:color="000000" w:sz="4" w:space="0"/>
                    <w:left w:val="single" w:color="000000" w:sz="4" w:space="0"/>
                    <w:bottom w:val="single" w:color="000000" w:sz="4" w:space="0"/>
                    <w:right w:val="single" w:color="000000" w:sz="4" w:space="0"/>
                  </w:tcBorders>
                  <w:noWrap w:val="0"/>
                  <w:vAlign w:val="center"/>
                </w:tcPr>
                <w:p w14:paraId="4694341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i w:val="0"/>
                      <w:iCs w:val="0"/>
                      <w:color w:val="auto"/>
                      <w:sz w:val="21"/>
                      <w:szCs w:val="21"/>
                      <w:u w:val="none"/>
                      <w:lang w:val="en-US" w:eastAsia="zh-CN"/>
                    </w:rPr>
                  </w:pPr>
                  <w:r>
                    <w:rPr>
                      <w:rFonts w:hint="default" w:ascii="Times New Roman" w:hAnsi="Times New Roman" w:eastAsia="宋体" w:cs="Times New Roman"/>
                      <w:b w:val="0"/>
                      <w:bCs w:val="0"/>
                      <w:i w:val="0"/>
                      <w:iCs w:val="0"/>
                      <w:color w:val="auto"/>
                      <w:sz w:val="21"/>
                      <w:szCs w:val="21"/>
                      <w:u w:val="none"/>
                      <w:lang w:val="en-US" w:eastAsia="zh-CN"/>
                    </w:rPr>
                    <w:t>本项目</w:t>
                  </w:r>
                </w:p>
              </w:tc>
              <w:tc>
                <w:tcPr>
                  <w:tcW w:w="697" w:type="pct"/>
                  <w:tcBorders>
                    <w:top w:val="single" w:color="000000" w:sz="4" w:space="0"/>
                    <w:left w:val="single" w:color="000000" w:sz="4" w:space="0"/>
                    <w:bottom w:val="single" w:color="000000" w:sz="4" w:space="0"/>
                    <w:right w:val="single" w:color="000000" w:sz="4" w:space="0"/>
                  </w:tcBorders>
                  <w:noWrap w:val="0"/>
                  <w:vAlign w:val="center"/>
                </w:tcPr>
                <w:p w14:paraId="6CC894D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i w:val="0"/>
                      <w:iCs w:val="0"/>
                      <w:color w:val="auto"/>
                      <w:sz w:val="21"/>
                      <w:szCs w:val="21"/>
                      <w:u w:val="none"/>
                      <w:lang w:val="en-US"/>
                    </w:rPr>
                  </w:pPr>
                  <w:r>
                    <w:rPr>
                      <w:rStyle w:val="62"/>
                      <w:rFonts w:hint="default" w:ascii="Times New Roman" w:hAnsi="Times New Roman" w:cs="Times New Roman"/>
                      <w:b w:val="0"/>
                      <w:bCs w:val="0"/>
                      <w:color w:val="auto"/>
                      <w:sz w:val="21"/>
                      <w:szCs w:val="21"/>
                      <w:lang w:val="en-US" w:eastAsia="zh-CN" w:bidi="ar"/>
                    </w:rPr>
                    <w:t>m</w:t>
                  </w:r>
                  <w:r>
                    <w:rPr>
                      <w:rFonts w:hint="default" w:ascii="Times New Roman" w:hAnsi="Times New Roman" w:eastAsia="宋体" w:cs="Times New Roman"/>
                      <w:b w:val="0"/>
                      <w:bCs w:val="0"/>
                      <w:i w:val="0"/>
                      <w:iCs w:val="0"/>
                      <w:color w:val="auto"/>
                      <w:kern w:val="0"/>
                      <w:sz w:val="21"/>
                      <w:szCs w:val="21"/>
                      <w:u w:val="none"/>
                      <w:vertAlign w:val="superscript"/>
                      <w:lang w:val="en-US" w:eastAsia="zh-CN" w:bidi="ar"/>
                    </w:rPr>
                    <w:t>3</w:t>
                  </w:r>
                  <w:r>
                    <w:rPr>
                      <w:rFonts w:hint="default" w:ascii="Times New Roman" w:hAnsi="Times New Roman" w:eastAsia="宋体" w:cs="Times New Roman"/>
                      <w:b w:val="0"/>
                      <w:bCs w:val="0"/>
                      <w:i w:val="0"/>
                      <w:iCs w:val="0"/>
                      <w:color w:val="auto"/>
                      <w:kern w:val="0"/>
                      <w:sz w:val="21"/>
                      <w:szCs w:val="21"/>
                      <w:u w:val="none"/>
                      <w:lang w:val="en-US" w:eastAsia="zh-CN" w:bidi="ar"/>
                    </w:rPr>
                    <w:t>/a</w:t>
                  </w:r>
                </w:p>
              </w:tc>
              <w:tc>
                <w:tcPr>
                  <w:tcW w:w="1732" w:type="pct"/>
                  <w:gridSpan w:val="2"/>
                  <w:tcBorders>
                    <w:top w:val="single" w:color="000000" w:sz="4" w:space="0"/>
                    <w:left w:val="single" w:color="000000" w:sz="4" w:space="0"/>
                    <w:bottom w:val="single" w:color="000000" w:sz="4" w:space="0"/>
                    <w:right w:val="single" w:color="000000" w:sz="4" w:space="0"/>
                  </w:tcBorders>
                  <w:noWrap w:val="0"/>
                  <w:vAlign w:val="center"/>
                </w:tcPr>
                <w:p w14:paraId="1A86603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sz w:val="21"/>
                      <w:szCs w:val="21"/>
                      <w:u w:val="none"/>
                      <w:lang w:val="en-US" w:eastAsia="zh-CN"/>
                    </w:rPr>
                    <w:t>本项目</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32E9EDF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i w:val="0"/>
                      <w:iCs w:val="0"/>
                      <w:color w:val="auto"/>
                      <w:sz w:val="21"/>
                      <w:szCs w:val="21"/>
                      <w:u w:val="none"/>
                    </w:rPr>
                  </w:pPr>
                  <w:r>
                    <w:rPr>
                      <w:rStyle w:val="62"/>
                      <w:rFonts w:hint="default" w:ascii="Times New Roman" w:hAnsi="Times New Roman" w:cs="Times New Roman"/>
                      <w:b w:val="0"/>
                      <w:bCs w:val="0"/>
                      <w:color w:val="auto"/>
                      <w:sz w:val="21"/>
                      <w:szCs w:val="21"/>
                      <w:lang w:val="en-US" w:eastAsia="zh-CN" w:bidi="ar"/>
                    </w:rPr>
                    <w:t>m</w:t>
                  </w:r>
                  <w:r>
                    <w:rPr>
                      <w:rFonts w:hint="default" w:ascii="Times New Roman" w:hAnsi="Times New Roman" w:eastAsia="宋体" w:cs="Times New Roman"/>
                      <w:b w:val="0"/>
                      <w:bCs w:val="0"/>
                      <w:i w:val="0"/>
                      <w:iCs w:val="0"/>
                      <w:color w:val="auto"/>
                      <w:kern w:val="0"/>
                      <w:sz w:val="21"/>
                      <w:szCs w:val="21"/>
                      <w:u w:val="none"/>
                      <w:vertAlign w:val="superscript"/>
                      <w:lang w:val="en-US" w:eastAsia="zh-CN" w:bidi="ar"/>
                    </w:rPr>
                    <w:t>3</w:t>
                  </w:r>
                  <w:r>
                    <w:rPr>
                      <w:rStyle w:val="64"/>
                      <w:rFonts w:hint="default" w:ascii="Times New Roman" w:hAnsi="Times New Roman" w:cs="Times New Roman"/>
                      <w:b w:val="0"/>
                      <w:bCs w:val="0"/>
                      <w:color w:val="auto"/>
                      <w:sz w:val="21"/>
                      <w:szCs w:val="21"/>
                      <w:lang w:val="en-US" w:eastAsia="zh-CN" w:bidi="ar"/>
                    </w:rPr>
                    <w:t>/</w:t>
                  </w:r>
                  <w:r>
                    <w:rPr>
                      <w:rFonts w:hint="default" w:ascii="Times New Roman" w:hAnsi="Times New Roman" w:eastAsia="宋体" w:cs="Times New Roman"/>
                      <w:b w:val="0"/>
                      <w:bCs w:val="0"/>
                      <w:i w:val="0"/>
                      <w:iCs w:val="0"/>
                      <w:color w:val="auto"/>
                      <w:kern w:val="0"/>
                      <w:sz w:val="21"/>
                      <w:szCs w:val="21"/>
                      <w:u w:val="none"/>
                      <w:lang w:val="en-US" w:eastAsia="zh-CN" w:bidi="ar"/>
                    </w:rPr>
                    <w:t>a</w:t>
                  </w:r>
                </w:p>
              </w:tc>
            </w:tr>
            <w:tr w14:paraId="131ACF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553" w:type="pct"/>
                  <w:vMerge w:val="restart"/>
                  <w:tcBorders>
                    <w:top w:val="single" w:color="000000" w:sz="4" w:space="0"/>
                    <w:left w:val="single" w:color="000000" w:sz="4" w:space="0"/>
                    <w:right w:val="single" w:color="000000" w:sz="4" w:space="0"/>
                  </w:tcBorders>
                  <w:noWrap w:val="0"/>
                  <w:vAlign w:val="center"/>
                </w:tcPr>
                <w:p w14:paraId="4359674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进入</w:t>
                  </w:r>
                </w:p>
              </w:tc>
              <w:tc>
                <w:tcPr>
                  <w:tcW w:w="1200" w:type="pct"/>
                  <w:tcBorders>
                    <w:top w:val="single" w:color="000000" w:sz="4" w:space="0"/>
                    <w:left w:val="single" w:color="000000" w:sz="4" w:space="0"/>
                    <w:bottom w:val="single" w:color="000000" w:sz="4" w:space="0"/>
                    <w:right w:val="single" w:color="000000" w:sz="4" w:space="0"/>
                  </w:tcBorders>
                  <w:noWrap w:val="0"/>
                  <w:vAlign w:val="center"/>
                </w:tcPr>
                <w:p w14:paraId="2F76263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i w:val="0"/>
                      <w:iCs w:val="0"/>
                      <w:color w:val="auto"/>
                      <w:sz w:val="21"/>
                      <w:szCs w:val="21"/>
                      <w:u w:val="none"/>
                      <w:lang w:val="en-US" w:eastAsia="zh-CN"/>
                    </w:rPr>
                  </w:pPr>
                  <w:r>
                    <w:rPr>
                      <w:rFonts w:hint="eastAsia" w:ascii="Times New Roman" w:hAnsi="Times New Roman" w:eastAsia="宋体" w:cs="Times New Roman"/>
                      <w:b w:val="0"/>
                      <w:bCs w:val="0"/>
                      <w:i w:val="0"/>
                      <w:iCs w:val="0"/>
                      <w:color w:val="auto"/>
                      <w:sz w:val="21"/>
                      <w:szCs w:val="21"/>
                      <w:u w:val="none"/>
                      <w:lang w:val="en-US" w:eastAsia="zh-CN"/>
                    </w:rPr>
                    <w:t>生活用水</w:t>
                  </w:r>
                </w:p>
              </w:tc>
              <w:tc>
                <w:tcPr>
                  <w:tcW w:w="697" w:type="pct"/>
                  <w:tcBorders>
                    <w:top w:val="single" w:color="000000" w:sz="4" w:space="0"/>
                    <w:left w:val="single" w:color="000000" w:sz="4" w:space="0"/>
                    <w:bottom w:val="single" w:color="000000" w:sz="4" w:space="0"/>
                    <w:right w:val="single" w:color="000000" w:sz="4" w:space="0"/>
                  </w:tcBorders>
                  <w:noWrap w:val="0"/>
                  <w:vAlign w:val="center"/>
                </w:tcPr>
                <w:p w14:paraId="678F035A">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b w:val="0"/>
                      <w:bCs w:val="0"/>
                      <w:i w:val="0"/>
                      <w:iCs w:val="0"/>
                      <w:color w:val="auto"/>
                      <w:sz w:val="21"/>
                      <w:szCs w:val="21"/>
                      <w:u w:val="none"/>
                      <w:lang w:val="en-US"/>
                    </w:rPr>
                  </w:pPr>
                  <w:r>
                    <w:rPr>
                      <w:rFonts w:hint="eastAsia" w:ascii="Times New Roman" w:hAnsi="Times New Roman" w:eastAsia="宋体" w:cs="Times New Roman"/>
                      <w:b w:val="0"/>
                      <w:bCs w:val="0"/>
                      <w:i w:val="0"/>
                      <w:iCs w:val="0"/>
                      <w:color w:val="auto"/>
                      <w:kern w:val="0"/>
                      <w:sz w:val="21"/>
                      <w:szCs w:val="21"/>
                      <w:u w:val="none"/>
                      <w:lang w:val="en-US" w:eastAsia="zh-CN" w:bidi="ar"/>
                    </w:rPr>
                    <w:t>720</w:t>
                  </w:r>
                </w:p>
              </w:tc>
              <w:tc>
                <w:tcPr>
                  <w:tcW w:w="504" w:type="pct"/>
                  <w:vMerge w:val="restart"/>
                  <w:tcBorders>
                    <w:top w:val="single" w:color="000000" w:sz="4" w:space="0"/>
                    <w:left w:val="single" w:color="000000" w:sz="4" w:space="0"/>
                    <w:right w:val="single" w:color="000000" w:sz="4" w:space="0"/>
                  </w:tcBorders>
                  <w:noWrap w:val="0"/>
                  <w:vAlign w:val="center"/>
                </w:tcPr>
                <w:p w14:paraId="736978D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i w:val="0"/>
                      <w:iCs w:val="0"/>
                      <w:color w:val="auto"/>
                      <w:sz w:val="21"/>
                      <w:szCs w:val="21"/>
                      <w:u w:val="none"/>
                    </w:rPr>
                  </w:pPr>
                  <w:r>
                    <w:rPr>
                      <w:rStyle w:val="66"/>
                      <w:rFonts w:hint="default" w:ascii="Times New Roman" w:hAnsi="Times New Roman" w:cs="Times New Roman"/>
                      <w:b w:val="0"/>
                      <w:bCs w:val="0"/>
                      <w:color w:val="auto"/>
                      <w:sz w:val="21"/>
                      <w:szCs w:val="21"/>
                      <w:lang w:val="en-US" w:eastAsia="zh-CN" w:bidi="ar"/>
                    </w:rPr>
                    <w:t>排出</w:t>
                  </w:r>
                </w:p>
              </w:tc>
              <w:tc>
                <w:tcPr>
                  <w:tcW w:w="1228" w:type="pct"/>
                  <w:tcBorders>
                    <w:top w:val="single" w:color="000000" w:sz="4" w:space="0"/>
                    <w:left w:val="single" w:color="000000" w:sz="4" w:space="0"/>
                    <w:bottom w:val="single" w:color="000000" w:sz="4" w:space="0"/>
                    <w:right w:val="single" w:color="000000" w:sz="4" w:space="0"/>
                  </w:tcBorders>
                  <w:noWrap w:val="0"/>
                  <w:vAlign w:val="center"/>
                </w:tcPr>
                <w:p w14:paraId="0DBB91D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i w:val="0"/>
                      <w:iCs w:val="0"/>
                      <w:color w:val="auto"/>
                      <w:sz w:val="21"/>
                      <w:szCs w:val="21"/>
                      <w:u w:val="none"/>
                    </w:rPr>
                  </w:pPr>
                  <w:r>
                    <w:rPr>
                      <w:rStyle w:val="66"/>
                      <w:rFonts w:hint="eastAsia" w:ascii="Times New Roman" w:hAnsi="Times New Roman" w:cs="Times New Roman"/>
                      <w:b w:val="0"/>
                      <w:bCs w:val="0"/>
                      <w:color w:val="auto"/>
                      <w:sz w:val="21"/>
                      <w:szCs w:val="21"/>
                      <w:lang w:val="en-US" w:eastAsia="zh-CN" w:bidi="ar"/>
                    </w:rPr>
                    <w:t>荒漠灌溉</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6205BC44">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b w:val="0"/>
                      <w:bCs w:val="0"/>
                      <w:i w:val="0"/>
                      <w:iCs w:val="0"/>
                      <w:color w:val="auto"/>
                      <w:sz w:val="21"/>
                      <w:szCs w:val="21"/>
                      <w:u w:val="none"/>
                      <w:lang w:val="en-US"/>
                    </w:rPr>
                  </w:pPr>
                  <w:r>
                    <w:rPr>
                      <w:rFonts w:hint="eastAsia" w:ascii="Times New Roman" w:hAnsi="Times New Roman" w:eastAsia="宋体" w:cs="Times New Roman"/>
                      <w:b w:val="0"/>
                      <w:bCs w:val="0"/>
                      <w:i w:val="0"/>
                      <w:iCs w:val="0"/>
                      <w:color w:val="auto"/>
                      <w:kern w:val="0"/>
                      <w:sz w:val="21"/>
                      <w:szCs w:val="21"/>
                      <w:u w:val="none"/>
                      <w:lang w:val="en-US" w:eastAsia="zh-CN" w:bidi="ar"/>
                    </w:rPr>
                    <w:t>576</w:t>
                  </w:r>
                </w:p>
              </w:tc>
            </w:tr>
            <w:tr w14:paraId="3BB65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553" w:type="pct"/>
                  <w:vMerge w:val="continue"/>
                  <w:tcBorders>
                    <w:left w:val="single" w:color="000000" w:sz="4" w:space="0"/>
                    <w:right w:val="single" w:color="000000" w:sz="4" w:space="0"/>
                  </w:tcBorders>
                  <w:noWrap w:val="0"/>
                  <w:vAlign w:val="center"/>
                </w:tcPr>
                <w:p w14:paraId="41A3091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i w:val="0"/>
                      <w:iCs w:val="0"/>
                      <w:color w:val="auto"/>
                      <w:kern w:val="0"/>
                      <w:sz w:val="21"/>
                      <w:szCs w:val="21"/>
                      <w:u w:val="none"/>
                      <w:lang w:val="en-US" w:eastAsia="zh-CN" w:bidi="ar"/>
                    </w:rPr>
                  </w:pPr>
                </w:p>
              </w:tc>
              <w:tc>
                <w:tcPr>
                  <w:tcW w:w="1200" w:type="pct"/>
                  <w:tcBorders>
                    <w:top w:val="single" w:color="000000" w:sz="4" w:space="0"/>
                    <w:left w:val="single" w:color="000000" w:sz="4" w:space="0"/>
                    <w:bottom w:val="single" w:color="000000" w:sz="4" w:space="0"/>
                    <w:right w:val="single" w:color="000000" w:sz="4" w:space="0"/>
                  </w:tcBorders>
                  <w:noWrap w:val="0"/>
                  <w:vAlign w:val="center"/>
                </w:tcPr>
                <w:p w14:paraId="3E92ABC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i w:val="0"/>
                      <w:iCs w:val="0"/>
                      <w:color w:val="auto"/>
                      <w:sz w:val="21"/>
                      <w:szCs w:val="21"/>
                      <w:u w:val="none"/>
                      <w:lang w:val="en-US" w:eastAsia="zh-CN"/>
                    </w:rPr>
                  </w:pPr>
                  <w:r>
                    <w:rPr>
                      <w:rFonts w:hint="eastAsia" w:ascii="Times New Roman" w:hAnsi="Times New Roman" w:eastAsia="宋体" w:cs="Times New Roman"/>
                      <w:b w:val="0"/>
                      <w:bCs w:val="0"/>
                      <w:i w:val="0"/>
                      <w:iCs w:val="0"/>
                      <w:color w:val="auto"/>
                      <w:sz w:val="21"/>
                      <w:szCs w:val="21"/>
                      <w:u w:val="none"/>
                      <w:lang w:val="en-US" w:eastAsia="zh-CN"/>
                    </w:rPr>
                    <w:t>车辆清洗用水</w:t>
                  </w:r>
                </w:p>
              </w:tc>
              <w:tc>
                <w:tcPr>
                  <w:tcW w:w="697" w:type="pct"/>
                  <w:tcBorders>
                    <w:top w:val="single" w:color="000000" w:sz="4" w:space="0"/>
                    <w:left w:val="single" w:color="000000" w:sz="4" w:space="0"/>
                    <w:bottom w:val="single" w:color="000000" w:sz="4" w:space="0"/>
                    <w:right w:val="single" w:color="000000" w:sz="4" w:space="0"/>
                  </w:tcBorders>
                  <w:noWrap w:val="0"/>
                  <w:vAlign w:val="center"/>
                </w:tcPr>
                <w:p w14:paraId="11E5D854">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b w:val="0"/>
                      <w:bCs w:val="0"/>
                      <w:i w:val="0"/>
                      <w:iCs w:val="0"/>
                      <w:color w:val="auto"/>
                      <w:kern w:val="0"/>
                      <w:sz w:val="21"/>
                      <w:szCs w:val="21"/>
                      <w:u w:val="none"/>
                      <w:lang w:val="en-US" w:eastAsia="zh-CN" w:bidi="ar"/>
                    </w:rPr>
                  </w:pPr>
                  <w:r>
                    <w:rPr>
                      <w:rFonts w:hint="eastAsia" w:ascii="Times New Roman" w:hAnsi="Times New Roman" w:eastAsia="宋体" w:cs="Times New Roman"/>
                      <w:b w:val="0"/>
                      <w:bCs w:val="0"/>
                      <w:i w:val="0"/>
                      <w:iCs w:val="0"/>
                      <w:color w:val="auto"/>
                      <w:kern w:val="0"/>
                      <w:sz w:val="21"/>
                      <w:szCs w:val="21"/>
                      <w:u w:val="none"/>
                      <w:lang w:val="en-US" w:eastAsia="zh-CN" w:bidi="ar"/>
                    </w:rPr>
                    <w:t>219.</w:t>
                  </w:r>
                  <w:r>
                    <w:rPr>
                      <w:rFonts w:hint="eastAsia" w:cs="Times New Roman"/>
                      <w:b w:val="0"/>
                      <w:bCs w:val="0"/>
                      <w:i w:val="0"/>
                      <w:iCs w:val="0"/>
                      <w:color w:val="auto"/>
                      <w:kern w:val="0"/>
                      <w:sz w:val="21"/>
                      <w:szCs w:val="21"/>
                      <w:u w:val="none"/>
                      <w:lang w:val="en-US" w:eastAsia="zh-CN" w:bidi="ar"/>
                    </w:rPr>
                    <w:t>79</w:t>
                  </w:r>
                </w:p>
              </w:tc>
              <w:tc>
                <w:tcPr>
                  <w:tcW w:w="504" w:type="pct"/>
                  <w:vMerge w:val="continue"/>
                  <w:tcBorders>
                    <w:left w:val="single" w:color="000000" w:sz="4" w:space="0"/>
                    <w:right w:val="single" w:color="000000" w:sz="4" w:space="0"/>
                  </w:tcBorders>
                  <w:noWrap w:val="0"/>
                  <w:vAlign w:val="center"/>
                </w:tcPr>
                <w:p w14:paraId="40FB4A5B">
                  <w:pPr>
                    <w:keepNext w:val="0"/>
                    <w:keepLines w:val="0"/>
                    <w:pageBreakBefore w:val="0"/>
                    <w:widowControl/>
                    <w:suppressLineNumbers w:val="0"/>
                    <w:kinsoku/>
                    <w:wordWrap/>
                    <w:overflowPunct/>
                    <w:topLinePunct w:val="0"/>
                    <w:autoSpaceDE/>
                    <w:autoSpaceDN/>
                    <w:bidi w:val="0"/>
                    <w:adjustRightInd/>
                    <w:snapToGrid/>
                    <w:jc w:val="center"/>
                    <w:textAlignment w:val="center"/>
                    <w:rPr>
                      <w:rStyle w:val="66"/>
                      <w:rFonts w:hint="default" w:ascii="Times New Roman" w:hAnsi="Times New Roman" w:cs="Times New Roman"/>
                      <w:b w:val="0"/>
                      <w:bCs w:val="0"/>
                      <w:color w:val="auto"/>
                      <w:sz w:val="21"/>
                      <w:szCs w:val="21"/>
                      <w:lang w:val="en-US" w:eastAsia="zh-CN" w:bidi="ar"/>
                    </w:rPr>
                  </w:pPr>
                </w:p>
              </w:tc>
              <w:tc>
                <w:tcPr>
                  <w:tcW w:w="1228" w:type="pct"/>
                  <w:tcBorders>
                    <w:top w:val="single" w:color="000000" w:sz="4" w:space="0"/>
                    <w:left w:val="single" w:color="000000" w:sz="4" w:space="0"/>
                    <w:bottom w:val="single" w:color="000000" w:sz="4" w:space="0"/>
                    <w:right w:val="single" w:color="000000" w:sz="4" w:space="0"/>
                  </w:tcBorders>
                  <w:noWrap w:val="0"/>
                  <w:vAlign w:val="center"/>
                </w:tcPr>
                <w:p w14:paraId="648EAF1E">
                  <w:pPr>
                    <w:keepNext w:val="0"/>
                    <w:keepLines w:val="0"/>
                    <w:pageBreakBefore w:val="0"/>
                    <w:widowControl/>
                    <w:suppressLineNumbers w:val="0"/>
                    <w:kinsoku/>
                    <w:wordWrap/>
                    <w:overflowPunct/>
                    <w:topLinePunct w:val="0"/>
                    <w:autoSpaceDE/>
                    <w:autoSpaceDN/>
                    <w:bidi w:val="0"/>
                    <w:adjustRightInd/>
                    <w:snapToGrid/>
                    <w:jc w:val="center"/>
                    <w:textAlignment w:val="center"/>
                    <w:rPr>
                      <w:rStyle w:val="66"/>
                      <w:rFonts w:hint="default" w:ascii="Times New Roman" w:hAnsi="Times New Roman" w:cs="Times New Roman"/>
                      <w:b w:val="0"/>
                      <w:bCs w:val="0"/>
                      <w:color w:val="auto"/>
                      <w:sz w:val="21"/>
                      <w:szCs w:val="21"/>
                      <w:lang w:val="en-US" w:eastAsia="zh-CN" w:bidi="ar"/>
                    </w:rPr>
                  </w:pPr>
                  <w:r>
                    <w:rPr>
                      <w:rFonts w:hint="eastAsia" w:ascii="Times New Roman" w:hAnsi="Times New Roman" w:eastAsia="宋体" w:cs="Times New Roman"/>
                      <w:b w:val="0"/>
                      <w:bCs w:val="0"/>
                      <w:i w:val="0"/>
                      <w:iCs w:val="0"/>
                      <w:color w:val="auto"/>
                      <w:sz w:val="21"/>
                      <w:szCs w:val="21"/>
                      <w:u w:val="none"/>
                      <w:lang w:val="en-US" w:eastAsia="zh-CN"/>
                    </w:rPr>
                    <w:t>车辆清洗用水损耗</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4C9FE6C8">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b w:val="0"/>
                      <w:bCs w:val="0"/>
                      <w:i w:val="0"/>
                      <w:iCs w:val="0"/>
                      <w:color w:val="auto"/>
                      <w:kern w:val="0"/>
                      <w:sz w:val="21"/>
                      <w:szCs w:val="21"/>
                      <w:u w:val="none"/>
                      <w:lang w:val="en-US" w:eastAsia="zh-CN" w:bidi="ar"/>
                    </w:rPr>
                  </w:pPr>
                  <w:r>
                    <w:rPr>
                      <w:rFonts w:hint="eastAsia" w:ascii="Times New Roman" w:hAnsi="Times New Roman" w:eastAsia="宋体" w:cs="Times New Roman"/>
                      <w:b w:val="0"/>
                      <w:bCs w:val="0"/>
                      <w:i w:val="0"/>
                      <w:iCs w:val="0"/>
                      <w:color w:val="auto"/>
                      <w:kern w:val="0"/>
                      <w:sz w:val="21"/>
                      <w:szCs w:val="21"/>
                      <w:u w:val="none"/>
                      <w:lang w:val="en-US" w:eastAsia="zh-CN" w:bidi="ar"/>
                    </w:rPr>
                    <w:t>219.</w:t>
                  </w:r>
                  <w:r>
                    <w:rPr>
                      <w:rFonts w:hint="eastAsia" w:cs="Times New Roman"/>
                      <w:b w:val="0"/>
                      <w:bCs w:val="0"/>
                      <w:i w:val="0"/>
                      <w:iCs w:val="0"/>
                      <w:color w:val="auto"/>
                      <w:kern w:val="0"/>
                      <w:sz w:val="21"/>
                      <w:szCs w:val="21"/>
                      <w:u w:val="none"/>
                      <w:lang w:val="en-US" w:eastAsia="zh-CN" w:bidi="ar"/>
                    </w:rPr>
                    <w:t>79</w:t>
                  </w:r>
                </w:p>
              </w:tc>
            </w:tr>
            <w:tr w14:paraId="6D0C78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553" w:type="pct"/>
                  <w:vMerge w:val="continue"/>
                  <w:tcBorders>
                    <w:left w:val="single" w:color="000000" w:sz="4" w:space="0"/>
                    <w:right w:val="single" w:color="000000" w:sz="4" w:space="0"/>
                  </w:tcBorders>
                  <w:noWrap w:val="0"/>
                  <w:vAlign w:val="center"/>
                </w:tcPr>
                <w:p w14:paraId="226A18C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i w:val="0"/>
                      <w:iCs w:val="0"/>
                      <w:color w:val="auto"/>
                      <w:kern w:val="0"/>
                      <w:sz w:val="21"/>
                      <w:szCs w:val="21"/>
                      <w:u w:val="none"/>
                      <w:lang w:val="en-US" w:eastAsia="zh-CN" w:bidi="ar"/>
                    </w:rPr>
                  </w:pPr>
                </w:p>
              </w:tc>
              <w:tc>
                <w:tcPr>
                  <w:tcW w:w="1200" w:type="pct"/>
                  <w:tcBorders>
                    <w:top w:val="single" w:color="000000" w:sz="4" w:space="0"/>
                    <w:left w:val="single" w:color="000000" w:sz="4" w:space="0"/>
                    <w:bottom w:val="single" w:color="000000" w:sz="4" w:space="0"/>
                    <w:right w:val="single" w:color="000000" w:sz="4" w:space="0"/>
                  </w:tcBorders>
                  <w:noWrap w:val="0"/>
                  <w:vAlign w:val="center"/>
                </w:tcPr>
                <w:p w14:paraId="17BFCF1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i w:val="0"/>
                      <w:iCs w:val="0"/>
                      <w:color w:val="auto"/>
                      <w:sz w:val="21"/>
                      <w:szCs w:val="21"/>
                      <w:u w:val="none"/>
                      <w:lang w:val="en-US" w:eastAsia="zh-CN"/>
                    </w:rPr>
                  </w:pPr>
                  <w:r>
                    <w:rPr>
                      <w:rFonts w:hint="eastAsia" w:ascii="Times New Roman" w:hAnsi="Times New Roman" w:eastAsia="宋体" w:cs="Times New Roman"/>
                      <w:b w:val="0"/>
                      <w:bCs w:val="0"/>
                      <w:i w:val="0"/>
                      <w:iCs w:val="0"/>
                      <w:color w:val="auto"/>
                      <w:sz w:val="21"/>
                      <w:szCs w:val="21"/>
                      <w:u w:val="none"/>
                      <w:lang w:val="en-US" w:eastAsia="zh-CN"/>
                    </w:rPr>
                    <w:t>洒水降尘用水</w:t>
                  </w:r>
                </w:p>
              </w:tc>
              <w:tc>
                <w:tcPr>
                  <w:tcW w:w="697" w:type="pct"/>
                  <w:tcBorders>
                    <w:top w:val="single" w:color="000000" w:sz="4" w:space="0"/>
                    <w:left w:val="single" w:color="000000" w:sz="4" w:space="0"/>
                    <w:bottom w:val="single" w:color="000000" w:sz="4" w:space="0"/>
                    <w:right w:val="single" w:color="000000" w:sz="4" w:space="0"/>
                  </w:tcBorders>
                  <w:noWrap w:val="0"/>
                  <w:vAlign w:val="center"/>
                </w:tcPr>
                <w:p w14:paraId="0F1363B8">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b w:val="0"/>
                      <w:bCs w:val="0"/>
                      <w:i w:val="0"/>
                      <w:iCs w:val="0"/>
                      <w:color w:val="auto"/>
                      <w:kern w:val="0"/>
                      <w:sz w:val="21"/>
                      <w:szCs w:val="21"/>
                      <w:u w:val="none"/>
                      <w:lang w:val="en-US" w:eastAsia="zh-CN" w:bidi="ar"/>
                    </w:rPr>
                  </w:pPr>
                  <w:r>
                    <w:rPr>
                      <w:rFonts w:hint="eastAsia" w:ascii="Times New Roman" w:hAnsi="Times New Roman" w:eastAsia="宋体" w:cs="Times New Roman"/>
                      <w:b w:val="0"/>
                      <w:bCs w:val="0"/>
                      <w:i w:val="0"/>
                      <w:iCs w:val="0"/>
                      <w:color w:val="auto"/>
                      <w:kern w:val="0"/>
                      <w:sz w:val="21"/>
                      <w:szCs w:val="21"/>
                      <w:u w:val="none"/>
                      <w:lang w:val="en-US" w:eastAsia="zh-CN" w:bidi="ar"/>
                    </w:rPr>
                    <w:t>6000</w:t>
                  </w:r>
                </w:p>
              </w:tc>
              <w:tc>
                <w:tcPr>
                  <w:tcW w:w="504" w:type="pct"/>
                  <w:vMerge w:val="continue"/>
                  <w:tcBorders>
                    <w:left w:val="single" w:color="000000" w:sz="4" w:space="0"/>
                    <w:right w:val="single" w:color="000000" w:sz="4" w:space="0"/>
                  </w:tcBorders>
                  <w:noWrap w:val="0"/>
                  <w:vAlign w:val="center"/>
                </w:tcPr>
                <w:p w14:paraId="6824DF1C">
                  <w:pPr>
                    <w:keepNext w:val="0"/>
                    <w:keepLines w:val="0"/>
                    <w:pageBreakBefore w:val="0"/>
                    <w:widowControl/>
                    <w:suppressLineNumbers w:val="0"/>
                    <w:kinsoku/>
                    <w:wordWrap/>
                    <w:overflowPunct/>
                    <w:topLinePunct w:val="0"/>
                    <w:autoSpaceDE/>
                    <w:autoSpaceDN/>
                    <w:bidi w:val="0"/>
                    <w:adjustRightInd/>
                    <w:snapToGrid/>
                    <w:jc w:val="center"/>
                    <w:textAlignment w:val="center"/>
                    <w:rPr>
                      <w:rStyle w:val="66"/>
                      <w:rFonts w:hint="default" w:ascii="Times New Roman" w:hAnsi="Times New Roman" w:cs="Times New Roman"/>
                      <w:b w:val="0"/>
                      <w:bCs w:val="0"/>
                      <w:color w:val="auto"/>
                      <w:sz w:val="21"/>
                      <w:szCs w:val="21"/>
                      <w:lang w:val="en-US" w:eastAsia="zh-CN" w:bidi="ar"/>
                    </w:rPr>
                  </w:pPr>
                </w:p>
              </w:tc>
              <w:tc>
                <w:tcPr>
                  <w:tcW w:w="1228" w:type="pct"/>
                  <w:tcBorders>
                    <w:top w:val="single" w:color="000000" w:sz="4" w:space="0"/>
                    <w:left w:val="single" w:color="000000" w:sz="4" w:space="0"/>
                    <w:bottom w:val="single" w:color="000000" w:sz="4" w:space="0"/>
                    <w:right w:val="single" w:color="000000" w:sz="4" w:space="0"/>
                  </w:tcBorders>
                  <w:noWrap w:val="0"/>
                  <w:vAlign w:val="center"/>
                </w:tcPr>
                <w:p w14:paraId="3958468C">
                  <w:pPr>
                    <w:keepNext w:val="0"/>
                    <w:keepLines w:val="0"/>
                    <w:pageBreakBefore w:val="0"/>
                    <w:widowControl/>
                    <w:suppressLineNumbers w:val="0"/>
                    <w:kinsoku/>
                    <w:wordWrap/>
                    <w:overflowPunct/>
                    <w:topLinePunct w:val="0"/>
                    <w:autoSpaceDE/>
                    <w:autoSpaceDN/>
                    <w:bidi w:val="0"/>
                    <w:adjustRightInd/>
                    <w:snapToGrid/>
                    <w:jc w:val="center"/>
                    <w:textAlignment w:val="center"/>
                    <w:rPr>
                      <w:rStyle w:val="66"/>
                      <w:rFonts w:hint="default" w:ascii="Times New Roman" w:hAnsi="Times New Roman" w:cs="Times New Roman"/>
                      <w:b w:val="0"/>
                      <w:bCs w:val="0"/>
                      <w:color w:val="auto"/>
                      <w:sz w:val="21"/>
                      <w:szCs w:val="21"/>
                      <w:lang w:val="en-US" w:eastAsia="zh-CN" w:bidi="ar"/>
                    </w:rPr>
                  </w:pPr>
                  <w:r>
                    <w:rPr>
                      <w:rStyle w:val="66"/>
                      <w:rFonts w:hint="eastAsia" w:ascii="Times New Roman" w:hAnsi="Times New Roman" w:cs="Times New Roman"/>
                      <w:b w:val="0"/>
                      <w:bCs w:val="0"/>
                      <w:color w:val="auto"/>
                      <w:sz w:val="21"/>
                      <w:szCs w:val="21"/>
                      <w:lang w:val="en-US" w:eastAsia="zh-CN" w:bidi="ar"/>
                    </w:rPr>
                    <w:t>洒水降尘损耗</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4A72A61E">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b w:val="0"/>
                      <w:bCs w:val="0"/>
                      <w:i w:val="0"/>
                      <w:iCs w:val="0"/>
                      <w:color w:val="auto"/>
                      <w:kern w:val="0"/>
                      <w:sz w:val="21"/>
                      <w:szCs w:val="21"/>
                      <w:u w:val="none"/>
                      <w:lang w:val="en-US" w:eastAsia="zh-CN" w:bidi="ar"/>
                    </w:rPr>
                  </w:pPr>
                  <w:r>
                    <w:rPr>
                      <w:rFonts w:hint="eastAsia" w:ascii="Times New Roman" w:hAnsi="Times New Roman" w:eastAsia="宋体" w:cs="Times New Roman"/>
                      <w:b w:val="0"/>
                      <w:bCs w:val="0"/>
                      <w:i w:val="0"/>
                      <w:iCs w:val="0"/>
                      <w:color w:val="auto"/>
                      <w:kern w:val="0"/>
                      <w:sz w:val="21"/>
                      <w:szCs w:val="21"/>
                      <w:u w:val="none"/>
                      <w:lang w:val="en-US" w:eastAsia="zh-CN" w:bidi="ar"/>
                    </w:rPr>
                    <w:t>6000</w:t>
                  </w:r>
                </w:p>
              </w:tc>
            </w:tr>
            <w:tr w14:paraId="49E05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553" w:type="pct"/>
                  <w:vMerge w:val="continue"/>
                  <w:tcBorders>
                    <w:left w:val="single" w:color="000000" w:sz="4" w:space="0"/>
                    <w:right w:val="single" w:color="000000" w:sz="4" w:space="0"/>
                  </w:tcBorders>
                  <w:noWrap w:val="0"/>
                  <w:vAlign w:val="center"/>
                </w:tcPr>
                <w:p w14:paraId="5711ECB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i w:val="0"/>
                      <w:iCs w:val="0"/>
                      <w:color w:val="auto"/>
                      <w:kern w:val="0"/>
                      <w:sz w:val="21"/>
                      <w:szCs w:val="21"/>
                      <w:u w:val="none"/>
                      <w:lang w:val="en-US" w:eastAsia="zh-CN" w:bidi="ar"/>
                    </w:rPr>
                  </w:pPr>
                </w:p>
              </w:tc>
              <w:tc>
                <w:tcPr>
                  <w:tcW w:w="1200" w:type="pct"/>
                  <w:tcBorders>
                    <w:top w:val="single" w:color="000000" w:sz="4" w:space="0"/>
                    <w:left w:val="single" w:color="000000" w:sz="4" w:space="0"/>
                    <w:bottom w:val="single" w:color="000000" w:sz="4" w:space="0"/>
                    <w:right w:val="single" w:color="000000" w:sz="4" w:space="0"/>
                  </w:tcBorders>
                  <w:noWrap w:val="0"/>
                  <w:vAlign w:val="center"/>
                </w:tcPr>
                <w:p w14:paraId="7B829B4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i w:val="0"/>
                      <w:iCs w:val="0"/>
                      <w:color w:val="auto"/>
                      <w:sz w:val="21"/>
                      <w:szCs w:val="21"/>
                      <w:u w:val="none"/>
                      <w:lang w:val="en-US" w:eastAsia="zh-CN"/>
                    </w:rPr>
                  </w:pPr>
                  <w:r>
                    <w:rPr>
                      <w:rFonts w:hint="eastAsia" w:ascii="Times New Roman" w:hAnsi="Times New Roman" w:eastAsia="宋体" w:cs="Times New Roman"/>
                      <w:b w:val="0"/>
                      <w:bCs w:val="0"/>
                      <w:i w:val="0"/>
                      <w:iCs w:val="0"/>
                      <w:color w:val="auto"/>
                      <w:sz w:val="21"/>
                      <w:szCs w:val="21"/>
                      <w:u w:val="none"/>
                      <w:lang w:val="en-US" w:eastAsia="zh-CN"/>
                    </w:rPr>
                    <w:t>场地清洗用水</w:t>
                  </w:r>
                </w:p>
              </w:tc>
              <w:tc>
                <w:tcPr>
                  <w:tcW w:w="697" w:type="pct"/>
                  <w:tcBorders>
                    <w:top w:val="single" w:color="000000" w:sz="4" w:space="0"/>
                    <w:left w:val="single" w:color="000000" w:sz="4" w:space="0"/>
                    <w:bottom w:val="single" w:color="000000" w:sz="4" w:space="0"/>
                    <w:right w:val="single" w:color="000000" w:sz="4" w:space="0"/>
                  </w:tcBorders>
                  <w:noWrap w:val="0"/>
                  <w:vAlign w:val="center"/>
                </w:tcPr>
                <w:p w14:paraId="5745CF4C">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b w:val="0"/>
                      <w:bCs w:val="0"/>
                      <w:i w:val="0"/>
                      <w:iCs w:val="0"/>
                      <w:color w:val="auto"/>
                      <w:kern w:val="0"/>
                      <w:sz w:val="21"/>
                      <w:szCs w:val="21"/>
                      <w:u w:val="none"/>
                      <w:lang w:val="en-US" w:eastAsia="zh-CN" w:bidi="ar"/>
                    </w:rPr>
                  </w:pPr>
                  <w:r>
                    <w:rPr>
                      <w:rFonts w:hint="eastAsia" w:ascii="Times New Roman" w:hAnsi="Times New Roman" w:eastAsia="宋体" w:cs="Times New Roman"/>
                      <w:b w:val="0"/>
                      <w:bCs w:val="0"/>
                      <w:i w:val="0"/>
                      <w:iCs w:val="0"/>
                      <w:color w:val="auto"/>
                      <w:kern w:val="0"/>
                      <w:sz w:val="21"/>
                      <w:szCs w:val="21"/>
                      <w:u w:val="none"/>
                      <w:lang w:val="en-US" w:eastAsia="zh-CN" w:bidi="ar"/>
                    </w:rPr>
                    <w:t>450</w:t>
                  </w:r>
                </w:p>
              </w:tc>
              <w:tc>
                <w:tcPr>
                  <w:tcW w:w="504" w:type="pct"/>
                  <w:vMerge w:val="continue"/>
                  <w:tcBorders>
                    <w:left w:val="single" w:color="000000" w:sz="4" w:space="0"/>
                    <w:right w:val="single" w:color="000000" w:sz="4" w:space="0"/>
                  </w:tcBorders>
                  <w:noWrap w:val="0"/>
                  <w:vAlign w:val="center"/>
                </w:tcPr>
                <w:p w14:paraId="3B701F30">
                  <w:pPr>
                    <w:keepNext w:val="0"/>
                    <w:keepLines w:val="0"/>
                    <w:pageBreakBefore w:val="0"/>
                    <w:widowControl/>
                    <w:suppressLineNumbers w:val="0"/>
                    <w:kinsoku/>
                    <w:wordWrap/>
                    <w:overflowPunct/>
                    <w:topLinePunct w:val="0"/>
                    <w:autoSpaceDE/>
                    <w:autoSpaceDN/>
                    <w:bidi w:val="0"/>
                    <w:adjustRightInd/>
                    <w:snapToGrid/>
                    <w:jc w:val="center"/>
                    <w:textAlignment w:val="center"/>
                    <w:rPr>
                      <w:rStyle w:val="66"/>
                      <w:rFonts w:hint="default" w:ascii="Times New Roman" w:hAnsi="Times New Roman" w:cs="Times New Roman"/>
                      <w:b w:val="0"/>
                      <w:bCs w:val="0"/>
                      <w:color w:val="auto"/>
                      <w:sz w:val="21"/>
                      <w:szCs w:val="21"/>
                      <w:lang w:val="en-US" w:eastAsia="zh-CN" w:bidi="ar"/>
                    </w:rPr>
                  </w:pPr>
                </w:p>
              </w:tc>
              <w:tc>
                <w:tcPr>
                  <w:tcW w:w="1228" w:type="pct"/>
                  <w:tcBorders>
                    <w:top w:val="single" w:color="000000" w:sz="4" w:space="0"/>
                    <w:left w:val="single" w:color="000000" w:sz="4" w:space="0"/>
                    <w:bottom w:val="single" w:color="000000" w:sz="4" w:space="0"/>
                    <w:right w:val="single" w:color="000000" w:sz="4" w:space="0"/>
                  </w:tcBorders>
                  <w:noWrap w:val="0"/>
                  <w:vAlign w:val="center"/>
                </w:tcPr>
                <w:p w14:paraId="159EAD85">
                  <w:pPr>
                    <w:keepNext w:val="0"/>
                    <w:keepLines w:val="0"/>
                    <w:pageBreakBefore w:val="0"/>
                    <w:widowControl/>
                    <w:suppressLineNumbers w:val="0"/>
                    <w:kinsoku/>
                    <w:wordWrap/>
                    <w:overflowPunct/>
                    <w:topLinePunct w:val="0"/>
                    <w:autoSpaceDE/>
                    <w:autoSpaceDN/>
                    <w:bidi w:val="0"/>
                    <w:adjustRightInd/>
                    <w:snapToGrid/>
                    <w:jc w:val="center"/>
                    <w:textAlignment w:val="center"/>
                    <w:rPr>
                      <w:rStyle w:val="66"/>
                      <w:rFonts w:hint="default" w:ascii="Times New Roman" w:hAnsi="Times New Roman" w:cs="Times New Roman"/>
                      <w:b w:val="0"/>
                      <w:bCs w:val="0"/>
                      <w:color w:val="auto"/>
                      <w:sz w:val="21"/>
                      <w:szCs w:val="21"/>
                      <w:lang w:val="en-US" w:eastAsia="zh-CN" w:bidi="ar"/>
                    </w:rPr>
                  </w:pPr>
                  <w:r>
                    <w:rPr>
                      <w:rFonts w:hint="eastAsia" w:ascii="Times New Roman" w:hAnsi="Times New Roman" w:eastAsia="宋体" w:cs="Times New Roman"/>
                      <w:b w:val="0"/>
                      <w:bCs w:val="0"/>
                      <w:i w:val="0"/>
                      <w:iCs w:val="0"/>
                      <w:color w:val="auto"/>
                      <w:sz w:val="21"/>
                      <w:szCs w:val="21"/>
                      <w:u w:val="none"/>
                      <w:lang w:val="en-US" w:eastAsia="zh-CN"/>
                    </w:rPr>
                    <w:t>场地清洗用水损耗</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5ECFD690">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b w:val="0"/>
                      <w:bCs w:val="0"/>
                      <w:i w:val="0"/>
                      <w:iCs w:val="0"/>
                      <w:color w:val="auto"/>
                      <w:kern w:val="0"/>
                      <w:sz w:val="21"/>
                      <w:szCs w:val="21"/>
                      <w:u w:val="none"/>
                      <w:lang w:val="en-US" w:eastAsia="zh-CN" w:bidi="ar"/>
                    </w:rPr>
                  </w:pPr>
                  <w:r>
                    <w:rPr>
                      <w:rFonts w:hint="eastAsia" w:ascii="Times New Roman" w:hAnsi="Times New Roman" w:eastAsia="宋体" w:cs="Times New Roman"/>
                      <w:b w:val="0"/>
                      <w:bCs w:val="0"/>
                      <w:i w:val="0"/>
                      <w:iCs w:val="0"/>
                      <w:color w:val="auto"/>
                      <w:kern w:val="0"/>
                      <w:sz w:val="21"/>
                      <w:szCs w:val="21"/>
                      <w:u w:val="none"/>
                      <w:lang w:val="en-US" w:eastAsia="zh-CN" w:bidi="ar"/>
                    </w:rPr>
                    <w:t>450</w:t>
                  </w:r>
                </w:p>
              </w:tc>
            </w:tr>
            <w:tr w14:paraId="57C4F5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553" w:type="pct"/>
                  <w:vMerge w:val="continue"/>
                  <w:tcBorders>
                    <w:left w:val="single" w:color="000000" w:sz="4" w:space="0"/>
                    <w:right w:val="single" w:color="000000" w:sz="4" w:space="0"/>
                  </w:tcBorders>
                  <w:noWrap w:val="0"/>
                  <w:vAlign w:val="center"/>
                </w:tcPr>
                <w:p w14:paraId="54233BF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i w:val="0"/>
                      <w:iCs w:val="0"/>
                      <w:color w:val="auto"/>
                      <w:kern w:val="0"/>
                      <w:sz w:val="21"/>
                      <w:szCs w:val="21"/>
                      <w:u w:val="none"/>
                      <w:lang w:val="en-US" w:eastAsia="zh-CN" w:bidi="ar"/>
                    </w:rPr>
                  </w:pPr>
                </w:p>
              </w:tc>
              <w:tc>
                <w:tcPr>
                  <w:tcW w:w="1200" w:type="pct"/>
                  <w:tcBorders>
                    <w:top w:val="single" w:color="000000" w:sz="4" w:space="0"/>
                    <w:left w:val="single" w:color="000000" w:sz="4" w:space="0"/>
                    <w:bottom w:val="single" w:color="000000" w:sz="4" w:space="0"/>
                    <w:right w:val="single" w:color="000000" w:sz="4" w:space="0"/>
                  </w:tcBorders>
                  <w:noWrap w:val="0"/>
                  <w:vAlign w:val="center"/>
                </w:tcPr>
                <w:p w14:paraId="46118DC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imes New Roman" w:hAnsi="Times New Roman" w:eastAsia="宋体" w:cs="Times New Roman"/>
                      <w:b w:val="0"/>
                      <w:bCs w:val="0"/>
                      <w:i w:val="0"/>
                      <w:iCs w:val="0"/>
                      <w:color w:val="auto"/>
                      <w:sz w:val="21"/>
                      <w:szCs w:val="21"/>
                      <w:u w:val="none"/>
                      <w:lang w:val="en-US" w:eastAsia="zh-CN"/>
                    </w:rPr>
                  </w:pPr>
                  <w:r>
                    <w:rPr>
                      <w:rFonts w:hint="eastAsia" w:ascii="Times New Roman" w:hAnsi="Times New Roman" w:eastAsia="宋体" w:cs="Times New Roman"/>
                      <w:b w:val="0"/>
                      <w:bCs w:val="0"/>
                      <w:i w:val="0"/>
                      <w:iCs w:val="0"/>
                      <w:color w:val="auto"/>
                      <w:sz w:val="21"/>
                      <w:szCs w:val="21"/>
                      <w:u w:val="none"/>
                      <w:lang w:val="en-US" w:eastAsia="zh-CN"/>
                    </w:rPr>
                    <w:t>洗选用</w:t>
                  </w:r>
                  <w:r>
                    <w:rPr>
                      <w:rFonts w:hint="default" w:ascii="Times New Roman" w:hAnsi="Times New Roman" w:eastAsia="宋体" w:cs="Times New Roman"/>
                      <w:b w:val="0"/>
                      <w:bCs w:val="0"/>
                      <w:i w:val="0"/>
                      <w:iCs w:val="0"/>
                      <w:color w:val="auto"/>
                      <w:sz w:val="21"/>
                      <w:szCs w:val="21"/>
                      <w:u w:val="none"/>
                      <w:lang w:val="en-US" w:eastAsia="zh-CN"/>
                    </w:rPr>
                    <w:t>水</w:t>
                  </w:r>
                </w:p>
              </w:tc>
              <w:tc>
                <w:tcPr>
                  <w:tcW w:w="697" w:type="pct"/>
                  <w:tcBorders>
                    <w:top w:val="single" w:color="000000" w:sz="4" w:space="0"/>
                    <w:left w:val="single" w:color="000000" w:sz="4" w:space="0"/>
                    <w:bottom w:val="single" w:color="000000" w:sz="4" w:space="0"/>
                    <w:right w:val="single" w:color="000000" w:sz="4" w:space="0"/>
                  </w:tcBorders>
                  <w:noWrap w:val="0"/>
                  <w:vAlign w:val="center"/>
                </w:tcPr>
                <w:p w14:paraId="1C01951D">
                  <w:pPr>
                    <w:keepNext w:val="0"/>
                    <w:keepLines w:val="0"/>
                    <w:pageBreakBefore w:val="0"/>
                    <w:widowControl/>
                    <w:suppressLineNumbers w:val="0"/>
                    <w:kinsoku/>
                    <w:wordWrap/>
                    <w:overflowPunct/>
                    <w:topLinePunct w:val="0"/>
                    <w:autoSpaceDE/>
                    <w:autoSpaceDN/>
                    <w:bidi w:val="0"/>
                    <w:adjustRightInd/>
                    <w:snapToGrid/>
                    <w:jc w:val="center"/>
                    <w:textAlignment w:val="top"/>
                    <w:rPr>
                      <w:rFonts w:hint="eastAsia" w:ascii="Times New Roman" w:hAnsi="Times New Roman" w:eastAsia="宋体" w:cs="Times New Roman"/>
                      <w:b w:val="0"/>
                      <w:bCs w:val="0"/>
                      <w:i w:val="0"/>
                      <w:iCs w:val="0"/>
                      <w:color w:val="auto"/>
                      <w:kern w:val="0"/>
                      <w:sz w:val="21"/>
                      <w:szCs w:val="21"/>
                      <w:u w:val="none"/>
                      <w:lang w:val="en-US" w:eastAsia="zh-CN" w:bidi="ar"/>
                    </w:rPr>
                  </w:pPr>
                  <w:r>
                    <w:rPr>
                      <w:rFonts w:hint="eastAsia" w:ascii="Times New Roman" w:hAnsi="Times New Roman" w:eastAsia="宋体" w:cs="Times New Roman"/>
                      <w:b w:val="0"/>
                      <w:bCs w:val="0"/>
                      <w:i w:val="0"/>
                      <w:iCs w:val="0"/>
                      <w:color w:val="auto"/>
                      <w:kern w:val="0"/>
                      <w:sz w:val="21"/>
                      <w:szCs w:val="21"/>
                      <w:u w:val="none"/>
                      <w:lang w:val="en-US" w:eastAsia="zh-CN" w:bidi="ar"/>
                    </w:rPr>
                    <w:t>18900</w:t>
                  </w:r>
                </w:p>
              </w:tc>
              <w:tc>
                <w:tcPr>
                  <w:tcW w:w="504" w:type="pct"/>
                  <w:vMerge w:val="continue"/>
                  <w:tcBorders>
                    <w:left w:val="single" w:color="000000" w:sz="4" w:space="0"/>
                    <w:right w:val="single" w:color="000000" w:sz="4" w:space="0"/>
                  </w:tcBorders>
                  <w:noWrap w:val="0"/>
                  <w:vAlign w:val="center"/>
                </w:tcPr>
                <w:p w14:paraId="3AC5698F">
                  <w:pPr>
                    <w:keepNext w:val="0"/>
                    <w:keepLines w:val="0"/>
                    <w:pageBreakBefore w:val="0"/>
                    <w:widowControl/>
                    <w:suppressLineNumbers w:val="0"/>
                    <w:kinsoku/>
                    <w:wordWrap/>
                    <w:overflowPunct/>
                    <w:topLinePunct w:val="0"/>
                    <w:autoSpaceDE/>
                    <w:autoSpaceDN/>
                    <w:bidi w:val="0"/>
                    <w:adjustRightInd/>
                    <w:snapToGrid/>
                    <w:jc w:val="center"/>
                    <w:textAlignment w:val="center"/>
                    <w:rPr>
                      <w:rStyle w:val="66"/>
                      <w:rFonts w:hint="default" w:ascii="Times New Roman" w:hAnsi="Times New Roman" w:cs="Times New Roman"/>
                      <w:b w:val="0"/>
                      <w:bCs w:val="0"/>
                      <w:color w:val="auto"/>
                      <w:sz w:val="21"/>
                      <w:szCs w:val="21"/>
                      <w:lang w:val="en-US" w:eastAsia="zh-CN" w:bidi="ar"/>
                    </w:rPr>
                  </w:pPr>
                </w:p>
              </w:tc>
              <w:tc>
                <w:tcPr>
                  <w:tcW w:w="1228" w:type="pct"/>
                  <w:tcBorders>
                    <w:top w:val="single" w:color="000000" w:sz="4" w:space="0"/>
                    <w:left w:val="single" w:color="000000" w:sz="4" w:space="0"/>
                    <w:bottom w:val="single" w:color="000000" w:sz="4" w:space="0"/>
                    <w:right w:val="single" w:color="000000" w:sz="4" w:space="0"/>
                  </w:tcBorders>
                  <w:noWrap w:val="0"/>
                  <w:vAlign w:val="center"/>
                </w:tcPr>
                <w:p w14:paraId="30746CE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i w:val="0"/>
                      <w:iCs w:val="0"/>
                      <w:color w:val="auto"/>
                      <w:sz w:val="21"/>
                      <w:szCs w:val="21"/>
                      <w:u w:val="none"/>
                      <w:lang w:val="en-US" w:eastAsia="zh-CN"/>
                    </w:rPr>
                  </w:pPr>
                  <w:r>
                    <w:rPr>
                      <w:rFonts w:hint="eastAsia" w:ascii="Times New Roman" w:hAnsi="Times New Roman" w:eastAsia="宋体" w:cs="Times New Roman"/>
                      <w:b w:val="0"/>
                      <w:bCs w:val="0"/>
                      <w:i w:val="0"/>
                      <w:iCs w:val="0"/>
                      <w:color w:val="auto"/>
                      <w:sz w:val="21"/>
                      <w:szCs w:val="21"/>
                      <w:u w:val="none"/>
                      <w:lang w:val="en-US" w:eastAsia="zh-CN"/>
                    </w:rPr>
                    <w:t>洗选用水损耗</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026FC549">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b w:val="0"/>
                      <w:bCs w:val="0"/>
                      <w:i w:val="0"/>
                      <w:iCs w:val="0"/>
                      <w:color w:val="auto"/>
                      <w:kern w:val="0"/>
                      <w:sz w:val="21"/>
                      <w:szCs w:val="21"/>
                      <w:u w:val="none"/>
                      <w:lang w:val="en-US" w:eastAsia="zh-CN" w:bidi="ar"/>
                    </w:rPr>
                  </w:pPr>
                  <w:r>
                    <w:rPr>
                      <w:rFonts w:hint="eastAsia" w:ascii="Times New Roman" w:hAnsi="Times New Roman" w:eastAsia="宋体" w:cs="Times New Roman"/>
                      <w:b w:val="0"/>
                      <w:bCs w:val="0"/>
                      <w:i w:val="0"/>
                      <w:iCs w:val="0"/>
                      <w:color w:val="auto"/>
                      <w:kern w:val="0"/>
                      <w:sz w:val="21"/>
                      <w:szCs w:val="21"/>
                      <w:u w:val="none"/>
                      <w:lang w:val="en-US" w:eastAsia="zh-CN" w:bidi="ar"/>
                    </w:rPr>
                    <w:t>900</w:t>
                  </w:r>
                </w:p>
              </w:tc>
            </w:tr>
            <w:tr w14:paraId="6A1B49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553" w:type="pct"/>
                  <w:vMerge w:val="continue"/>
                  <w:tcBorders>
                    <w:left w:val="single" w:color="000000" w:sz="4" w:space="0"/>
                    <w:right w:val="single" w:color="000000" w:sz="4" w:space="0"/>
                  </w:tcBorders>
                  <w:noWrap w:val="0"/>
                  <w:vAlign w:val="center"/>
                </w:tcPr>
                <w:p w14:paraId="3DDC8ED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i w:val="0"/>
                      <w:iCs w:val="0"/>
                      <w:color w:val="auto"/>
                      <w:kern w:val="0"/>
                      <w:sz w:val="21"/>
                      <w:szCs w:val="21"/>
                      <w:u w:val="none"/>
                      <w:lang w:val="en-US" w:eastAsia="zh-CN" w:bidi="ar"/>
                    </w:rPr>
                  </w:pPr>
                </w:p>
              </w:tc>
              <w:tc>
                <w:tcPr>
                  <w:tcW w:w="1200" w:type="pct"/>
                  <w:tcBorders>
                    <w:top w:val="single" w:color="000000" w:sz="4" w:space="0"/>
                    <w:left w:val="single" w:color="000000" w:sz="4" w:space="0"/>
                    <w:bottom w:val="single" w:color="000000" w:sz="4" w:space="0"/>
                    <w:right w:val="single" w:color="000000" w:sz="4" w:space="0"/>
                  </w:tcBorders>
                  <w:noWrap w:val="0"/>
                  <w:vAlign w:val="center"/>
                </w:tcPr>
                <w:p w14:paraId="1247F08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i w:val="0"/>
                      <w:iCs w:val="0"/>
                      <w:color w:val="auto"/>
                      <w:sz w:val="21"/>
                      <w:szCs w:val="21"/>
                      <w:u w:val="none"/>
                      <w:lang w:val="en-US" w:eastAsia="zh-CN"/>
                    </w:rPr>
                  </w:pPr>
                  <w:r>
                    <w:rPr>
                      <w:rStyle w:val="66"/>
                      <w:rFonts w:hint="default" w:ascii="Times New Roman" w:hAnsi="Times New Roman" w:cs="Times New Roman"/>
                      <w:b w:val="0"/>
                      <w:bCs w:val="0"/>
                      <w:color w:val="auto"/>
                      <w:sz w:val="21"/>
                      <w:szCs w:val="21"/>
                      <w:lang w:val="en-US" w:eastAsia="zh-CN" w:bidi="ar"/>
                    </w:rPr>
                    <w:t>原料煤泥携带水</w:t>
                  </w:r>
                </w:p>
              </w:tc>
              <w:tc>
                <w:tcPr>
                  <w:tcW w:w="697" w:type="pct"/>
                  <w:tcBorders>
                    <w:top w:val="single" w:color="000000" w:sz="4" w:space="0"/>
                    <w:left w:val="single" w:color="000000" w:sz="4" w:space="0"/>
                    <w:bottom w:val="single" w:color="000000" w:sz="4" w:space="0"/>
                    <w:right w:val="single" w:color="000000" w:sz="4" w:space="0"/>
                  </w:tcBorders>
                  <w:noWrap w:val="0"/>
                  <w:vAlign w:val="center"/>
                </w:tcPr>
                <w:p w14:paraId="1C2F3DEA">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b w:val="0"/>
                      <w:bCs w:val="0"/>
                      <w:i w:val="0"/>
                      <w:iCs w:val="0"/>
                      <w:color w:val="auto"/>
                      <w:kern w:val="0"/>
                      <w:sz w:val="21"/>
                      <w:szCs w:val="21"/>
                      <w:u w:val="none"/>
                      <w:lang w:val="en-US" w:eastAsia="zh-CN" w:bidi="ar"/>
                    </w:rPr>
                  </w:pPr>
                  <w:r>
                    <w:rPr>
                      <w:rFonts w:hint="default" w:ascii="Times New Roman" w:hAnsi="Times New Roman" w:eastAsia="宋体" w:cs="Times New Roman"/>
                      <w:b w:val="0"/>
                      <w:bCs w:val="0"/>
                      <w:i w:val="0"/>
                      <w:iCs w:val="0"/>
                      <w:color w:val="auto"/>
                      <w:kern w:val="0"/>
                      <w:sz w:val="21"/>
                      <w:szCs w:val="21"/>
                      <w:u w:val="none"/>
                      <w:lang w:val="en-US" w:eastAsia="zh-CN" w:bidi="ar"/>
                    </w:rPr>
                    <w:t>56400</w:t>
                  </w:r>
                </w:p>
              </w:tc>
              <w:tc>
                <w:tcPr>
                  <w:tcW w:w="504" w:type="pct"/>
                  <w:vMerge w:val="continue"/>
                  <w:tcBorders>
                    <w:left w:val="single" w:color="000000" w:sz="4" w:space="0"/>
                    <w:right w:val="single" w:color="000000" w:sz="4" w:space="0"/>
                  </w:tcBorders>
                  <w:noWrap w:val="0"/>
                  <w:vAlign w:val="center"/>
                </w:tcPr>
                <w:p w14:paraId="4C6B8D8D">
                  <w:pPr>
                    <w:keepNext w:val="0"/>
                    <w:keepLines w:val="0"/>
                    <w:pageBreakBefore w:val="0"/>
                    <w:widowControl/>
                    <w:suppressLineNumbers w:val="0"/>
                    <w:kinsoku/>
                    <w:wordWrap/>
                    <w:overflowPunct/>
                    <w:topLinePunct w:val="0"/>
                    <w:autoSpaceDE/>
                    <w:autoSpaceDN/>
                    <w:bidi w:val="0"/>
                    <w:adjustRightInd/>
                    <w:snapToGrid/>
                    <w:jc w:val="center"/>
                    <w:textAlignment w:val="center"/>
                    <w:rPr>
                      <w:rStyle w:val="66"/>
                      <w:rFonts w:hint="default" w:ascii="Times New Roman" w:hAnsi="Times New Roman" w:cs="Times New Roman"/>
                      <w:b w:val="0"/>
                      <w:bCs w:val="0"/>
                      <w:color w:val="auto"/>
                      <w:sz w:val="21"/>
                      <w:szCs w:val="21"/>
                      <w:lang w:val="en-US" w:eastAsia="zh-CN" w:bidi="ar"/>
                    </w:rPr>
                  </w:pPr>
                </w:p>
              </w:tc>
              <w:tc>
                <w:tcPr>
                  <w:tcW w:w="1228" w:type="pct"/>
                  <w:tcBorders>
                    <w:top w:val="single" w:color="000000" w:sz="4" w:space="0"/>
                    <w:left w:val="single" w:color="000000" w:sz="4" w:space="0"/>
                    <w:bottom w:val="single" w:color="000000" w:sz="4" w:space="0"/>
                    <w:right w:val="single" w:color="000000" w:sz="4" w:space="0"/>
                  </w:tcBorders>
                  <w:noWrap w:val="0"/>
                  <w:vAlign w:val="center"/>
                </w:tcPr>
                <w:p w14:paraId="27B99A1F">
                  <w:pPr>
                    <w:keepNext w:val="0"/>
                    <w:keepLines w:val="0"/>
                    <w:pageBreakBefore w:val="0"/>
                    <w:widowControl/>
                    <w:suppressLineNumbers w:val="0"/>
                    <w:kinsoku/>
                    <w:wordWrap/>
                    <w:overflowPunct/>
                    <w:topLinePunct w:val="0"/>
                    <w:autoSpaceDE/>
                    <w:autoSpaceDN/>
                    <w:bidi w:val="0"/>
                    <w:adjustRightInd/>
                    <w:snapToGrid/>
                    <w:jc w:val="center"/>
                    <w:textAlignment w:val="center"/>
                    <w:rPr>
                      <w:rStyle w:val="66"/>
                      <w:rFonts w:hint="default" w:ascii="Times New Roman" w:hAnsi="Times New Roman" w:cs="Times New Roman"/>
                      <w:b w:val="0"/>
                      <w:bCs w:val="0"/>
                      <w:color w:val="auto"/>
                      <w:sz w:val="21"/>
                      <w:szCs w:val="21"/>
                      <w:lang w:val="en-US" w:eastAsia="zh-CN" w:bidi="ar"/>
                    </w:rPr>
                  </w:pPr>
                  <w:r>
                    <w:rPr>
                      <w:rStyle w:val="66"/>
                      <w:rFonts w:hint="default" w:ascii="Times New Roman" w:hAnsi="Times New Roman" w:cs="Times New Roman"/>
                      <w:b w:val="0"/>
                      <w:bCs w:val="0"/>
                      <w:color w:val="auto"/>
                      <w:sz w:val="21"/>
                      <w:szCs w:val="21"/>
                      <w:lang w:val="en-US" w:eastAsia="zh-CN" w:bidi="ar"/>
                    </w:rPr>
                    <w:t>精煤、中煤带走</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3F7F6334">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b w:val="0"/>
                      <w:bCs w:val="0"/>
                      <w:i w:val="0"/>
                      <w:iCs w:val="0"/>
                      <w:color w:val="auto"/>
                      <w:kern w:val="0"/>
                      <w:sz w:val="21"/>
                      <w:szCs w:val="21"/>
                      <w:u w:val="none"/>
                      <w:lang w:val="en-US" w:eastAsia="zh-CN" w:bidi="ar"/>
                    </w:rPr>
                  </w:pPr>
                  <w:r>
                    <w:rPr>
                      <w:rFonts w:hint="eastAsia" w:ascii="Times New Roman" w:hAnsi="Times New Roman" w:eastAsia="宋体" w:cs="Times New Roman"/>
                      <w:b w:val="0"/>
                      <w:bCs w:val="0"/>
                      <w:i w:val="0"/>
                      <w:iCs w:val="0"/>
                      <w:color w:val="auto"/>
                      <w:kern w:val="0"/>
                      <w:sz w:val="21"/>
                      <w:szCs w:val="21"/>
                      <w:u w:val="none"/>
                      <w:lang w:val="en-US" w:eastAsia="zh-CN" w:bidi="ar"/>
                    </w:rPr>
                    <w:t>15010</w:t>
                  </w:r>
                </w:p>
              </w:tc>
            </w:tr>
            <w:tr w14:paraId="4AAB4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553" w:type="pct"/>
                  <w:vMerge w:val="continue"/>
                  <w:tcBorders>
                    <w:left w:val="single" w:color="000000" w:sz="4" w:space="0"/>
                    <w:right w:val="single" w:color="000000" w:sz="4" w:space="0"/>
                  </w:tcBorders>
                  <w:noWrap w:val="0"/>
                  <w:vAlign w:val="center"/>
                </w:tcPr>
                <w:p w14:paraId="77DDF6E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i w:val="0"/>
                      <w:iCs w:val="0"/>
                      <w:color w:val="auto"/>
                      <w:kern w:val="0"/>
                      <w:sz w:val="21"/>
                      <w:szCs w:val="21"/>
                      <w:u w:val="none"/>
                      <w:lang w:val="en-US" w:eastAsia="zh-CN" w:bidi="ar"/>
                    </w:rPr>
                  </w:pPr>
                </w:p>
              </w:tc>
              <w:tc>
                <w:tcPr>
                  <w:tcW w:w="1200" w:type="pct"/>
                  <w:tcBorders>
                    <w:top w:val="single" w:color="000000" w:sz="4" w:space="0"/>
                    <w:left w:val="single" w:color="000000" w:sz="4" w:space="0"/>
                    <w:bottom w:val="single" w:color="000000" w:sz="4" w:space="0"/>
                    <w:right w:val="single" w:color="000000" w:sz="4" w:space="0"/>
                  </w:tcBorders>
                  <w:noWrap w:val="0"/>
                  <w:vAlign w:val="center"/>
                </w:tcPr>
                <w:p w14:paraId="58CF7C4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imes New Roman" w:hAnsi="Times New Roman" w:eastAsia="宋体" w:cs="Times New Roman"/>
                      <w:b w:val="0"/>
                      <w:bCs w:val="0"/>
                      <w:i w:val="0"/>
                      <w:iCs w:val="0"/>
                      <w:color w:val="auto"/>
                      <w:sz w:val="21"/>
                      <w:szCs w:val="21"/>
                      <w:u w:val="none"/>
                      <w:lang w:val="en-US" w:eastAsia="zh-CN"/>
                    </w:rPr>
                  </w:pPr>
                  <w:r>
                    <w:rPr>
                      <w:rFonts w:hint="eastAsia" w:ascii="Times New Roman" w:hAnsi="Times New Roman" w:eastAsia="宋体" w:cs="Times New Roman"/>
                      <w:b w:val="0"/>
                      <w:bCs w:val="0"/>
                      <w:i w:val="0"/>
                      <w:iCs w:val="0"/>
                      <w:color w:val="auto"/>
                      <w:sz w:val="21"/>
                      <w:szCs w:val="21"/>
                      <w:u w:val="none"/>
                      <w:lang w:val="en-US" w:eastAsia="zh-CN"/>
                    </w:rPr>
                    <w:t>/</w:t>
                  </w:r>
                </w:p>
              </w:tc>
              <w:tc>
                <w:tcPr>
                  <w:tcW w:w="697" w:type="pct"/>
                  <w:tcBorders>
                    <w:top w:val="single" w:color="000000" w:sz="4" w:space="0"/>
                    <w:left w:val="single" w:color="000000" w:sz="4" w:space="0"/>
                    <w:bottom w:val="single" w:color="000000" w:sz="4" w:space="0"/>
                    <w:right w:val="single" w:color="000000" w:sz="4" w:space="0"/>
                  </w:tcBorders>
                  <w:noWrap w:val="0"/>
                  <w:vAlign w:val="center"/>
                </w:tcPr>
                <w:p w14:paraId="04B40AAF">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b w:val="0"/>
                      <w:bCs w:val="0"/>
                      <w:i w:val="0"/>
                      <w:iCs w:val="0"/>
                      <w:color w:val="auto"/>
                      <w:kern w:val="0"/>
                      <w:sz w:val="21"/>
                      <w:szCs w:val="21"/>
                      <w:u w:val="none"/>
                      <w:lang w:val="en-US" w:eastAsia="zh-CN" w:bidi="ar"/>
                    </w:rPr>
                  </w:pPr>
                  <w:r>
                    <w:rPr>
                      <w:rFonts w:hint="eastAsia" w:ascii="Times New Roman" w:hAnsi="Times New Roman" w:eastAsia="宋体" w:cs="Times New Roman"/>
                      <w:b w:val="0"/>
                      <w:bCs w:val="0"/>
                      <w:i w:val="0"/>
                      <w:iCs w:val="0"/>
                      <w:color w:val="auto"/>
                      <w:sz w:val="21"/>
                      <w:szCs w:val="21"/>
                      <w:u w:val="none"/>
                      <w:lang w:val="en-US" w:eastAsia="zh-CN"/>
                    </w:rPr>
                    <w:t>/</w:t>
                  </w:r>
                </w:p>
              </w:tc>
              <w:tc>
                <w:tcPr>
                  <w:tcW w:w="504" w:type="pct"/>
                  <w:vMerge w:val="continue"/>
                  <w:tcBorders>
                    <w:left w:val="single" w:color="000000" w:sz="4" w:space="0"/>
                    <w:right w:val="single" w:color="000000" w:sz="4" w:space="0"/>
                  </w:tcBorders>
                  <w:noWrap w:val="0"/>
                  <w:vAlign w:val="center"/>
                </w:tcPr>
                <w:p w14:paraId="440A1352">
                  <w:pPr>
                    <w:keepNext w:val="0"/>
                    <w:keepLines w:val="0"/>
                    <w:pageBreakBefore w:val="0"/>
                    <w:widowControl/>
                    <w:suppressLineNumbers w:val="0"/>
                    <w:kinsoku/>
                    <w:wordWrap/>
                    <w:overflowPunct/>
                    <w:topLinePunct w:val="0"/>
                    <w:autoSpaceDE/>
                    <w:autoSpaceDN/>
                    <w:bidi w:val="0"/>
                    <w:adjustRightInd/>
                    <w:snapToGrid/>
                    <w:jc w:val="center"/>
                    <w:textAlignment w:val="center"/>
                    <w:rPr>
                      <w:rStyle w:val="66"/>
                      <w:rFonts w:hint="default" w:ascii="Times New Roman" w:hAnsi="Times New Roman" w:cs="Times New Roman"/>
                      <w:b w:val="0"/>
                      <w:bCs w:val="0"/>
                      <w:color w:val="auto"/>
                      <w:sz w:val="21"/>
                      <w:szCs w:val="21"/>
                      <w:lang w:val="en-US" w:eastAsia="zh-CN" w:bidi="ar"/>
                    </w:rPr>
                  </w:pPr>
                </w:p>
              </w:tc>
              <w:tc>
                <w:tcPr>
                  <w:tcW w:w="1228" w:type="pct"/>
                  <w:tcBorders>
                    <w:top w:val="single" w:color="000000" w:sz="4" w:space="0"/>
                    <w:left w:val="single" w:color="000000" w:sz="4" w:space="0"/>
                    <w:bottom w:val="single" w:color="000000" w:sz="4" w:space="0"/>
                    <w:right w:val="single" w:color="000000" w:sz="4" w:space="0"/>
                  </w:tcBorders>
                  <w:noWrap w:val="0"/>
                  <w:vAlign w:val="center"/>
                </w:tcPr>
                <w:p w14:paraId="5642370F">
                  <w:pPr>
                    <w:keepNext w:val="0"/>
                    <w:keepLines w:val="0"/>
                    <w:pageBreakBefore w:val="0"/>
                    <w:widowControl/>
                    <w:suppressLineNumbers w:val="0"/>
                    <w:kinsoku/>
                    <w:wordWrap/>
                    <w:overflowPunct/>
                    <w:topLinePunct w:val="0"/>
                    <w:autoSpaceDE/>
                    <w:autoSpaceDN/>
                    <w:bidi w:val="0"/>
                    <w:adjustRightInd/>
                    <w:snapToGrid/>
                    <w:jc w:val="center"/>
                    <w:textAlignment w:val="center"/>
                    <w:rPr>
                      <w:rStyle w:val="66"/>
                      <w:rFonts w:hint="default" w:ascii="Times New Roman" w:hAnsi="Times New Roman" w:cs="Times New Roman"/>
                      <w:b w:val="0"/>
                      <w:bCs w:val="0"/>
                      <w:color w:val="auto"/>
                      <w:sz w:val="21"/>
                      <w:szCs w:val="21"/>
                      <w:lang w:val="en-US" w:eastAsia="zh-CN" w:bidi="ar"/>
                    </w:rPr>
                  </w:pPr>
                  <w:r>
                    <w:rPr>
                      <w:rStyle w:val="66"/>
                      <w:rFonts w:hint="default" w:ascii="Times New Roman" w:hAnsi="Times New Roman" w:cs="Times New Roman"/>
                      <w:b w:val="0"/>
                      <w:bCs w:val="0"/>
                      <w:color w:val="auto"/>
                      <w:sz w:val="21"/>
                      <w:szCs w:val="21"/>
                      <w:lang w:val="en-US" w:eastAsia="zh-CN" w:bidi="ar"/>
                    </w:rPr>
                    <w:t>尾煤泥带走</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4FA9F98D">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b w:val="0"/>
                      <w:bCs w:val="0"/>
                      <w:i w:val="0"/>
                      <w:iCs w:val="0"/>
                      <w:color w:val="auto"/>
                      <w:kern w:val="0"/>
                      <w:sz w:val="21"/>
                      <w:szCs w:val="21"/>
                      <w:u w:val="none"/>
                      <w:lang w:val="en-US" w:eastAsia="zh-CN" w:bidi="ar"/>
                    </w:rPr>
                  </w:pPr>
                  <w:r>
                    <w:rPr>
                      <w:rFonts w:hint="eastAsia" w:ascii="Times New Roman" w:hAnsi="Times New Roman" w:eastAsia="宋体" w:cs="Times New Roman"/>
                      <w:color w:val="auto"/>
                      <w:sz w:val="21"/>
                      <w:szCs w:val="21"/>
                      <w:lang w:val="en-US" w:eastAsia="zh-CN"/>
                    </w:rPr>
                    <w:t>59390</w:t>
                  </w:r>
                </w:p>
              </w:tc>
            </w:tr>
            <w:tr w14:paraId="11F5CD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553" w:type="pct"/>
                  <w:vMerge w:val="continue"/>
                  <w:tcBorders>
                    <w:left w:val="single" w:color="000000" w:sz="4" w:space="0"/>
                    <w:right w:val="single" w:color="000000" w:sz="4" w:space="0"/>
                  </w:tcBorders>
                  <w:noWrap w:val="0"/>
                  <w:vAlign w:val="center"/>
                </w:tcPr>
                <w:p w14:paraId="6C164F15">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b w:val="0"/>
                      <w:bCs w:val="0"/>
                      <w:i w:val="0"/>
                      <w:iCs w:val="0"/>
                      <w:color w:val="auto"/>
                      <w:sz w:val="21"/>
                      <w:szCs w:val="21"/>
                      <w:u w:val="none"/>
                    </w:rPr>
                  </w:pPr>
                </w:p>
              </w:tc>
              <w:tc>
                <w:tcPr>
                  <w:tcW w:w="1200" w:type="pct"/>
                  <w:tcBorders>
                    <w:top w:val="single" w:color="000000" w:sz="4" w:space="0"/>
                    <w:left w:val="single" w:color="000000" w:sz="4" w:space="0"/>
                    <w:bottom w:val="single" w:color="000000" w:sz="4" w:space="0"/>
                    <w:right w:val="single" w:color="000000" w:sz="4" w:space="0"/>
                  </w:tcBorders>
                  <w:noWrap w:val="0"/>
                  <w:vAlign w:val="center"/>
                </w:tcPr>
                <w:p w14:paraId="07B8F0D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Times New Roman" w:hAnsi="Times New Roman" w:eastAsia="宋体" w:cs="Times New Roman"/>
                      <w:b w:val="0"/>
                      <w:bCs w:val="0"/>
                      <w:i w:val="0"/>
                      <w:iCs w:val="0"/>
                      <w:color w:val="auto"/>
                      <w:sz w:val="21"/>
                      <w:szCs w:val="21"/>
                      <w:u w:val="none"/>
                      <w:lang w:val="en-US" w:eastAsia="zh-CN"/>
                    </w:rPr>
                  </w:pPr>
                  <w:r>
                    <w:rPr>
                      <w:rFonts w:hint="eastAsia" w:ascii="Times New Roman" w:hAnsi="Times New Roman" w:eastAsia="宋体" w:cs="Times New Roman"/>
                      <w:b w:val="0"/>
                      <w:bCs w:val="0"/>
                      <w:i w:val="0"/>
                      <w:iCs w:val="0"/>
                      <w:color w:val="auto"/>
                      <w:sz w:val="21"/>
                      <w:szCs w:val="21"/>
                      <w:u w:val="none"/>
                      <w:lang w:val="en-US" w:eastAsia="zh-CN"/>
                    </w:rPr>
                    <w:t>/</w:t>
                  </w:r>
                </w:p>
              </w:tc>
              <w:tc>
                <w:tcPr>
                  <w:tcW w:w="697" w:type="pct"/>
                  <w:tcBorders>
                    <w:top w:val="single" w:color="000000" w:sz="4" w:space="0"/>
                    <w:left w:val="single" w:color="000000" w:sz="4" w:space="0"/>
                    <w:bottom w:val="single" w:color="000000" w:sz="4" w:space="0"/>
                    <w:right w:val="single" w:color="000000" w:sz="4" w:space="0"/>
                  </w:tcBorders>
                  <w:noWrap w:val="0"/>
                  <w:vAlign w:val="center"/>
                </w:tcPr>
                <w:p w14:paraId="294449A1">
                  <w:pPr>
                    <w:keepNext w:val="0"/>
                    <w:keepLines w:val="0"/>
                    <w:pageBreakBefore w:val="0"/>
                    <w:widowControl/>
                    <w:suppressLineNumbers w:val="0"/>
                    <w:kinsoku/>
                    <w:wordWrap/>
                    <w:overflowPunct/>
                    <w:topLinePunct w:val="0"/>
                    <w:autoSpaceDE/>
                    <w:autoSpaceDN/>
                    <w:bidi w:val="0"/>
                    <w:adjustRightInd/>
                    <w:snapToGrid/>
                    <w:jc w:val="center"/>
                    <w:textAlignment w:val="top"/>
                    <w:rPr>
                      <w:rFonts w:hint="eastAsia" w:ascii="Times New Roman" w:hAnsi="Times New Roman" w:eastAsia="宋体" w:cs="Times New Roman"/>
                      <w:b w:val="0"/>
                      <w:bCs w:val="0"/>
                      <w:i w:val="0"/>
                      <w:iCs w:val="0"/>
                      <w:color w:val="auto"/>
                      <w:sz w:val="21"/>
                      <w:szCs w:val="21"/>
                      <w:u w:val="none"/>
                      <w:lang w:val="en-US" w:eastAsia="zh-CN"/>
                    </w:rPr>
                  </w:pPr>
                  <w:r>
                    <w:rPr>
                      <w:rFonts w:hint="eastAsia" w:ascii="Times New Roman" w:hAnsi="Times New Roman" w:eastAsia="宋体" w:cs="Times New Roman"/>
                      <w:b w:val="0"/>
                      <w:bCs w:val="0"/>
                      <w:i w:val="0"/>
                      <w:iCs w:val="0"/>
                      <w:color w:val="auto"/>
                      <w:sz w:val="21"/>
                      <w:szCs w:val="21"/>
                      <w:u w:val="none"/>
                      <w:lang w:val="en-US" w:eastAsia="zh-CN"/>
                    </w:rPr>
                    <w:t>/</w:t>
                  </w:r>
                </w:p>
              </w:tc>
              <w:tc>
                <w:tcPr>
                  <w:tcW w:w="504" w:type="pct"/>
                  <w:vMerge w:val="continue"/>
                  <w:tcBorders>
                    <w:left w:val="single" w:color="000000" w:sz="4" w:space="0"/>
                    <w:right w:val="single" w:color="000000" w:sz="4" w:space="0"/>
                  </w:tcBorders>
                  <w:noWrap w:val="0"/>
                  <w:vAlign w:val="center"/>
                </w:tcPr>
                <w:p w14:paraId="70C235CB">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b w:val="0"/>
                      <w:bCs w:val="0"/>
                      <w:i w:val="0"/>
                      <w:iCs w:val="0"/>
                      <w:color w:val="auto"/>
                      <w:sz w:val="21"/>
                      <w:szCs w:val="21"/>
                      <w:u w:val="none"/>
                    </w:rPr>
                  </w:pPr>
                </w:p>
              </w:tc>
              <w:tc>
                <w:tcPr>
                  <w:tcW w:w="1228" w:type="pct"/>
                  <w:tcBorders>
                    <w:top w:val="single" w:color="000000" w:sz="4" w:space="0"/>
                    <w:left w:val="single" w:color="000000" w:sz="4" w:space="0"/>
                    <w:bottom w:val="single" w:color="000000" w:sz="4" w:space="0"/>
                    <w:right w:val="single" w:color="000000" w:sz="4" w:space="0"/>
                  </w:tcBorders>
                  <w:noWrap w:val="0"/>
                  <w:vAlign w:val="center"/>
                </w:tcPr>
                <w:p w14:paraId="3E22980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i w:val="0"/>
                      <w:iCs w:val="0"/>
                      <w:color w:val="auto"/>
                      <w:sz w:val="21"/>
                      <w:szCs w:val="21"/>
                      <w:u w:val="none"/>
                    </w:rPr>
                  </w:pPr>
                  <w:r>
                    <w:rPr>
                      <w:rStyle w:val="66"/>
                      <w:rFonts w:hint="eastAsia" w:ascii="Times New Roman" w:hAnsi="Times New Roman" w:cs="Times New Roman"/>
                      <w:b w:val="0"/>
                      <w:bCs w:val="0"/>
                      <w:color w:val="auto"/>
                      <w:sz w:val="21"/>
                      <w:szCs w:val="21"/>
                      <w:lang w:val="en-US" w:eastAsia="zh-CN" w:bidi="ar"/>
                    </w:rPr>
                    <w:t>生活用水损耗</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593FC76A">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b w:val="0"/>
                      <w:bCs w:val="0"/>
                      <w:i w:val="0"/>
                      <w:iCs w:val="0"/>
                      <w:color w:val="auto"/>
                      <w:sz w:val="21"/>
                      <w:szCs w:val="21"/>
                      <w:u w:val="none"/>
                      <w:lang w:val="en-US"/>
                    </w:rPr>
                  </w:pPr>
                  <w:r>
                    <w:rPr>
                      <w:rFonts w:hint="eastAsia" w:ascii="Times New Roman" w:hAnsi="Times New Roman" w:eastAsia="宋体" w:cs="Times New Roman"/>
                      <w:b w:val="0"/>
                      <w:bCs w:val="0"/>
                      <w:i w:val="0"/>
                      <w:iCs w:val="0"/>
                      <w:color w:val="auto"/>
                      <w:kern w:val="0"/>
                      <w:sz w:val="21"/>
                      <w:szCs w:val="21"/>
                      <w:u w:val="none"/>
                      <w:lang w:val="en-US" w:eastAsia="zh-CN" w:bidi="ar"/>
                    </w:rPr>
                    <w:t>144</w:t>
                  </w:r>
                </w:p>
              </w:tc>
            </w:tr>
            <w:tr w14:paraId="210EE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553" w:type="pct"/>
                  <w:vMerge w:val="continue"/>
                  <w:tcBorders>
                    <w:left w:val="single" w:color="000000" w:sz="4" w:space="0"/>
                    <w:right w:val="single" w:color="000000" w:sz="4" w:space="0"/>
                  </w:tcBorders>
                  <w:noWrap w:val="0"/>
                  <w:vAlign w:val="center"/>
                </w:tcPr>
                <w:p w14:paraId="7BBA0105">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b w:val="0"/>
                      <w:bCs w:val="0"/>
                      <w:i w:val="0"/>
                      <w:iCs w:val="0"/>
                      <w:color w:val="auto"/>
                      <w:sz w:val="21"/>
                      <w:szCs w:val="21"/>
                      <w:u w:val="none"/>
                    </w:rPr>
                  </w:pPr>
                </w:p>
              </w:tc>
              <w:tc>
                <w:tcPr>
                  <w:tcW w:w="1200" w:type="pct"/>
                  <w:tcBorders>
                    <w:top w:val="single" w:color="000000" w:sz="4" w:space="0"/>
                    <w:left w:val="single" w:color="000000" w:sz="4" w:space="0"/>
                    <w:bottom w:val="single" w:color="000000" w:sz="4" w:space="0"/>
                    <w:right w:val="single" w:color="000000" w:sz="4" w:space="0"/>
                  </w:tcBorders>
                  <w:noWrap w:val="0"/>
                  <w:vAlign w:val="center"/>
                </w:tcPr>
                <w:p w14:paraId="58A28308">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b w:val="0"/>
                      <w:bCs w:val="0"/>
                      <w:i w:val="0"/>
                      <w:iCs w:val="0"/>
                      <w:color w:val="auto"/>
                      <w:kern w:val="0"/>
                      <w:sz w:val="21"/>
                      <w:szCs w:val="21"/>
                      <w:u w:val="none"/>
                      <w:lang w:val="en-US" w:eastAsia="zh-CN" w:bidi="ar"/>
                    </w:rPr>
                  </w:pPr>
                  <w:r>
                    <w:rPr>
                      <w:rFonts w:hint="eastAsia" w:ascii="Times New Roman" w:hAnsi="Times New Roman" w:eastAsia="宋体" w:cs="Times New Roman"/>
                      <w:b w:val="0"/>
                      <w:bCs w:val="0"/>
                      <w:i w:val="0"/>
                      <w:iCs w:val="0"/>
                      <w:color w:val="auto"/>
                      <w:kern w:val="0"/>
                      <w:sz w:val="21"/>
                      <w:szCs w:val="21"/>
                      <w:u w:val="none"/>
                      <w:lang w:val="en-US" w:eastAsia="zh-CN" w:bidi="ar"/>
                    </w:rPr>
                    <w:t>合计</w:t>
                  </w:r>
                </w:p>
              </w:tc>
              <w:tc>
                <w:tcPr>
                  <w:tcW w:w="697" w:type="pct"/>
                  <w:tcBorders>
                    <w:top w:val="single" w:color="000000" w:sz="4" w:space="0"/>
                    <w:left w:val="single" w:color="000000" w:sz="4" w:space="0"/>
                    <w:bottom w:val="single" w:color="000000" w:sz="4" w:space="0"/>
                    <w:right w:val="single" w:color="000000" w:sz="4" w:space="0"/>
                  </w:tcBorders>
                  <w:noWrap w:val="0"/>
                  <w:vAlign w:val="center"/>
                </w:tcPr>
                <w:p w14:paraId="4F89494F">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b w:val="0"/>
                      <w:bCs w:val="0"/>
                      <w:i w:val="0"/>
                      <w:iCs w:val="0"/>
                      <w:color w:val="auto"/>
                      <w:kern w:val="0"/>
                      <w:sz w:val="21"/>
                      <w:szCs w:val="21"/>
                      <w:u w:val="none"/>
                      <w:lang w:val="en-US" w:eastAsia="zh-CN" w:bidi="ar"/>
                    </w:rPr>
                  </w:pPr>
                  <w:r>
                    <w:rPr>
                      <w:rFonts w:hint="eastAsia" w:ascii="Times New Roman" w:hAnsi="Times New Roman" w:eastAsia="宋体" w:cs="Times New Roman"/>
                      <w:b w:val="0"/>
                      <w:bCs w:val="0"/>
                      <w:i w:val="0"/>
                      <w:iCs w:val="0"/>
                      <w:color w:val="auto"/>
                      <w:kern w:val="0"/>
                      <w:sz w:val="21"/>
                      <w:szCs w:val="21"/>
                      <w:u w:val="none"/>
                      <w:lang w:val="en-US" w:eastAsia="zh-CN" w:bidi="ar"/>
                    </w:rPr>
                    <w:t>82689.</w:t>
                  </w:r>
                  <w:r>
                    <w:rPr>
                      <w:rFonts w:hint="eastAsia" w:cs="Times New Roman"/>
                      <w:b w:val="0"/>
                      <w:bCs w:val="0"/>
                      <w:i w:val="0"/>
                      <w:iCs w:val="0"/>
                      <w:color w:val="auto"/>
                      <w:kern w:val="0"/>
                      <w:sz w:val="21"/>
                      <w:szCs w:val="21"/>
                      <w:u w:val="none"/>
                      <w:lang w:val="en-US" w:eastAsia="zh-CN" w:bidi="ar"/>
                    </w:rPr>
                    <w:t>79</w:t>
                  </w:r>
                </w:p>
              </w:tc>
              <w:tc>
                <w:tcPr>
                  <w:tcW w:w="504" w:type="pct"/>
                  <w:vMerge w:val="continue"/>
                  <w:tcBorders>
                    <w:left w:val="single" w:color="000000" w:sz="4" w:space="0"/>
                    <w:right w:val="single" w:color="000000" w:sz="4" w:space="0"/>
                  </w:tcBorders>
                  <w:noWrap w:val="0"/>
                  <w:vAlign w:val="center"/>
                </w:tcPr>
                <w:p w14:paraId="13028AC2">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b w:val="0"/>
                      <w:bCs w:val="0"/>
                      <w:i w:val="0"/>
                      <w:iCs w:val="0"/>
                      <w:color w:val="auto"/>
                      <w:sz w:val="21"/>
                      <w:szCs w:val="21"/>
                      <w:u w:val="none"/>
                    </w:rPr>
                  </w:pPr>
                </w:p>
              </w:tc>
              <w:tc>
                <w:tcPr>
                  <w:tcW w:w="1228" w:type="pct"/>
                  <w:tcBorders>
                    <w:top w:val="single" w:color="000000" w:sz="4" w:space="0"/>
                    <w:left w:val="single" w:color="000000" w:sz="4" w:space="0"/>
                    <w:bottom w:val="single" w:color="000000" w:sz="4" w:space="0"/>
                    <w:right w:val="single" w:color="000000" w:sz="4" w:space="0"/>
                  </w:tcBorders>
                  <w:noWrap w:val="0"/>
                  <w:vAlign w:val="center"/>
                </w:tcPr>
                <w:p w14:paraId="4A2B0A21">
                  <w:pPr>
                    <w:keepNext w:val="0"/>
                    <w:keepLines w:val="0"/>
                    <w:pageBreakBefore w:val="0"/>
                    <w:widowControl/>
                    <w:suppressLineNumbers w:val="0"/>
                    <w:kinsoku/>
                    <w:wordWrap/>
                    <w:overflowPunct/>
                    <w:topLinePunct w:val="0"/>
                    <w:autoSpaceDE/>
                    <w:autoSpaceDN/>
                    <w:bidi w:val="0"/>
                    <w:adjustRightInd/>
                    <w:snapToGrid/>
                    <w:jc w:val="center"/>
                    <w:textAlignment w:val="center"/>
                    <w:rPr>
                      <w:rStyle w:val="66"/>
                      <w:rFonts w:hint="eastAsia" w:ascii="Times New Roman" w:hAnsi="Times New Roman" w:cs="Times New Roman"/>
                      <w:b w:val="0"/>
                      <w:bCs w:val="0"/>
                      <w:color w:val="auto"/>
                      <w:sz w:val="21"/>
                      <w:szCs w:val="21"/>
                      <w:lang w:val="en-US" w:eastAsia="zh-CN" w:bidi="ar"/>
                    </w:rPr>
                  </w:pPr>
                  <w:r>
                    <w:rPr>
                      <w:rStyle w:val="66"/>
                      <w:rFonts w:hint="eastAsia" w:ascii="Times New Roman" w:hAnsi="Times New Roman" w:cs="Times New Roman"/>
                      <w:b w:val="0"/>
                      <w:bCs w:val="0"/>
                      <w:color w:val="auto"/>
                      <w:sz w:val="21"/>
                      <w:szCs w:val="21"/>
                      <w:lang w:val="en-US" w:eastAsia="zh-CN" w:bidi="ar"/>
                    </w:rPr>
                    <w:t>合计</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3F9A08A1">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b w:val="0"/>
                      <w:bCs w:val="0"/>
                      <w:i w:val="0"/>
                      <w:iCs w:val="0"/>
                      <w:color w:val="auto"/>
                      <w:kern w:val="0"/>
                      <w:sz w:val="21"/>
                      <w:szCs w:val="21"/>
                      <w:u w:val="none"/>
                      <w:lang w:val="en-US" w:eastAsia="zh-CN" w:bidi="ar"/>
                    </w:rPr>
                  </w:pPr>
                  <w:r>
                    <w:rPr>
                      <w:rFonts w:hint="eastAsia" w:ascii="Times New Roman" w:hAnsi="Times New Roman" w:eastAsia="宋体" w:cs="Times New Roman"/>
                      <w:b w:val="0"/>
                      <w:bCs w:val="0"/>
                      <w:i w:val="0"/>
                      <w:iCs w:val="0"/>
                      <w:color w:val="auto"/>
                      <w:kern w:val="0"/>
                      <w:sz w:val="21"/>
                      <w:szCs w:val="21"/>
                      <w:u w:val="none"/>
                      <w:lang w:val="en-US" w:eastAsia="zh-CN" w:bidi="ar"/>
                    </w:rPr>
                    <w:t>82689.</w:t>
                  </w:r>
                  <w:r>
                    <w:rPr>
                      <w:rFonts w:hint="eastAsia" w:cs="Times New Roman"/>
                      <w:b w:val="0"/>
                      <w:bCs w:val="0"/>
                      <w:i w:val="0"/>
                      <w:iCs w:val="0"/>
                      <w:color w:val="auto"/>
                      <w:kern w:val="0"/>
                      <w:sz w:val="21"/>
                      <w:szCs w:val="21"/>
                      <w:u w:val="none"/>
                      <w:lang w:val="en-US" w:eastAsia="zh-CN" w:bidi="ar"/>
                    </w:rPr>
                    <w:t>79</w:t>
                  </w:r>
                </w:p>
              </w:tc>
            </w:tr>
            <w:tr w14:paraId="32A575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753" w:type="pct"/>
                  <w:gridSpan w:val="2"/>
                  <w:tcBorders>
                    <w:top w:val="single" w:color="000000" w:sz="4" w:space="0"/>
                    <w:left w:val="single" w:color="000000" w:sz="4" w:space="0"/>
                    <w:bottom w:val="single" w:color="000000" w:sz="4" w:space="0"/>
                    <w:right w:val="single" w:color="000000" w:sz="4" w:space="0"/>
                  </w:tcBorders>
                  <w:noWrap w:val="0"/>
                  <w:vAlign w:val="center"/>
                </w:tcPr>
                <w:p w14:paraId="6C923F77">
                  <w:pPr>
                    <w:keepNext w:val="0"/>
                    <w:keepLines w:val="0"/>
                    <w:pageBreakBefore w:val="0"/>
                    <w:widowControl/>
                    <w:suppressLineNumbers w:val="0"/>
                    <w:kinsoku/>
                    <w:wordWrap/>
                    <w:overflowPunct/>
                    <w:topLinePunct w:val="0"/>
                    <w:autoSpaceDE/>
                    <w:autoSpaceDN/>
                    <w:bidi w:val="0"/>
                    <w:adjustRightInd/>
                    <w:snapToGrid/>
                    <w:jc w:val="center"/>
                    <w:textAlignment w:val="center"/>
                    <w:rPr>
                      <w:rStyle w:val="66"/>
                      <w:rFonts w:hint="default" w:ascii="Times New Roman" w:hAnsi="Times New Roman" w:cs="Times New Roman"/>
                      <w:b w:val="0"/>
                      <w:bCs w:val="0"/>
                      <w:color w:val="auto"/>
                      <w:sz w:val="21"/>
                      <w:szCs w:val="21"/>
                      <w:lang w:val="en-US" w:eastAsia="zh-CN" w:bidi="ar"/>
                    </w:rPr>
                  </w:pPr>
                  <w:r>
                    <w:rPr>
                      <w:rStyle w:val="66"/>
                      <w:rFonts w:hint="eastAsia" w:ascii="Times New Roman" w:hAnsi="Times New Roman" w:cs="Times New Roman"/>
                      <w:b w:val="0"/>
                      <w:bCs w:val="0"/>
                      <w:color w:val="auto"/>
                      <w:sz w:val="21"/>
                      <w:szCs w:val="21"/>
                      <w:lang w:val="en-US" w:eastAsia="zh-CN" w:bidi="ar"/>
                    </w:rPr>
                    <w:t>沉淀池循环水</w:t>
                  </w:r>
                </w:p>
              </w:tc>
              <w:tc>
                <w:tcPr>
                  <w:tcW w:w="697" w:type="pct"/>
                  <w:tcBorders>
                    <w:top w:val="single" w:color="000000" w:sz="4" w:space="0"/>
                    <w:left w:val="single" w:color="000000" w:sz="4" w:space="0"/>
                    <w:bottom w:val="single" w:color="000000" w:sz="4" w:space="0"/>
                    <w:right w:val="single" w:color="000000" w:sz="4" w:space="0"/>
                  </w:tcBorders>
                  <w:noWrap w:val="0"/>
                  <w:vAlign w:val="center"/>
                </w:tcPr>
                <w:p w14:paraId="7ECA00DB">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b w:val="0"/>
                      <w:bCs w:val="0"/>
                      <w:i w:val="0"/>
                      <w:iCs w:val="0"/>
                      <w:color w:val="auto"/>
                      <w:kern w:val="0"/>
                      <w:sz w:val="21"/>
                      <w:szCs w:val="21"/>
                      <w:u w:val="none"/>
                      <w:lang w:val="en-US" w:eastAsia="zh-CN" w:bidi="ar"/>
                    </w:rPr>
                  </w:pPr>
                  <w:r>
                    <w:rPr>
                      <w:rFonts w:hint="eastAsia" w:ascii="Times New Roman" w:hAnsi="Times New Roman" w:eastAsia="宋体" w:cs="Times New Roman"/>
                      <w:b w:val="0"/>
                      <w:bCs w:val="0"/>
                      <w:i w:val="0"/>
                      <w:iCs w:val="0"/>
                      <w:color w:val="auto"/>
                      <w:kern w:val="0"/>
                      <w:sz w:val="21"/>
                      <w:szCs w:val="21"/>
                      <w:u w:val="none"/>
                      <w:lang w:val="en-US" w:eastAsia="zh-CN" w:bidi="ar"/>
                    </w:rPr>
                    <w:t>87</w:t>
                  </w:r>
                  <w:r>
                    <w:rPr>
                      <w:rFonts w:hint="eastAsia" w:cs="Times New Roman"/>
                      <w:b w:val="0"/>
                      <w:bCs w:val="0"/>
                      <w:i w:val="0"/>
                      <w:iCs w:val="0"/>
                      <w:color w:val="auto"/>
                      <w:kern w:val="0"/>
                      <w:sz w:val="21"/>
                      <w:szCs w:val="21"/>
                      <w:u w:val="none"/>
                      <w:lang w:val="en-US" w:eastAsia="zh-CN" w:bidi="ar"/>
                    </w:rPr>
                    <w:t>9.17</w:t>
                  </w:r>
                </w:p>
              </w:tc>
              <w:tc>
                <w:tcPr>
                  <w:tcW w:w="1732" w:type="pct"/>
                  <w:gridSpan w:val="2"/>
                  <w:tcBorders>
                    <w:top w:val="single" w:color="000000" w:sz="4" w:space="0"/>
                    <w:left w:val="single" w:color="000000" w:sz="4" w:space="0"/>
                    <w:bottom w:val="single" w:color="000000" w:sz="4" w:space="0"/>
                    <w:right w:val="single" w:color="000000" w:sz="4" w:space="0"/>
                  </w:tcBorders>
                  <w:noWrap w:val="0"/>
                  <w:vAlign w:val="center"/>
                </w:tcPr>
                <w:p w14:paraId="1C822A6E">
                  <w:pPr>
                    <w:keepNext w:val="0"/>
                    <w:keepLines w:val="0"/>
                    <w:pageBreakBefore w:val="0"/>
                    <w:widowControl/>
                    <w:suppressLineNumbers w:val="0"/>
                    <w:kinsoku/>
                    <w:wordWrap/>
                    <w:overflowPunct/>
                    <w:topLinePunct w:val="0"/>
                    <w:autoSpaceDE/>
                    <w:autoSpaceDN/>
                    <w:bidi w:val="0"/>
                    <w:adjustRightInd/>
                    <w:snapToGrid/>
                    <w:jc w:val="center"/>
                    <w:textAlignment w:val="center"/>
                    <w:rPr>
                      <w:rStyle w:val="66"/>
                      <w:rFonts w:hint="default" w:ascii="Times New Roman" w:hAnsi="Times New Roman" w:cs="Times New Roman"/>
                      <w:b w:val="0"/>
                      <w:bCs w:val="0"/>
                      <w:color w:val="auto"/>
                      <w:sz w:val="21"/>
                      <w:szCs w:val="21"/>
                      <w:lang w:val="en-US" w:eastAsia="zh-CN" w:bidi="ar"/>
                    </w:rPr>
                  </w:pPr>
                  <w:r>
                    <w:rPr>
                      <w:rStyle w:val="66"/>
                      <w:rFonts w:hint="eastAsia" w:ascii="Times New Roman" w:hAnsi="Times New Roman" w:cs="Times New Roman"/>
                      <w:b w:val="0"/>
                      <w:bCs w:val="0"/>
                      <w:color w:val="auto"/>
                      <w:sz w:val="21"/>
                      <w:szCs w:val="21"/>
                      <w:lang w:val="en-US" w:eastAsia="zh-CN" w:bidi="ar"/>
                    </w:rPr>
                    <w:t>沉淀池循环水</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4C0654B4">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b w:val="0"/>
                      <w:bCs w:val="0"/>
                      <w:i w:val="0"/>
                      <w:iCs w:val="0"/>
                      <w:color w:val="auto"/>
                      <w:kern w:val="0"/>
                      <w:sz w:val="21"/>
                      <w:szCs w:val="21"/>
                      <w:u w:val="none"/>
                      <w:lang w:val="en-US" w:eastAsia="zh-CN" w:bidi="ar"/>
                    </w:rPr>
                  </w:pPr>
                  <w:r>
                    <w:rPr>
                      <w:rFonts w:hint="eastAsia" w:ascii="Times New Roman" w:hAnsi="Times New Roman" w:eastAsia="宋体" w:cs="Times New Roman"/>
                      <w:b w:val="0"/>
                      <w:bCs w:val="0"/>
                      <w:i w:val="0"/>
                      <w:iCs w:val="0"/>
                      <w:color w:val="auto"/>
                      <w:kern w:val="0"/>
                      <w:sz w:val="21"/>
                      <w:szCs w:val="21"/>
                      <w:u w:val="none"/>
                      <w:lang w:val="en-US" w:eastAsia="zh-CN" w:bidi="ar"/>
                    </w:rPr>
                    <w:t>87</w:t>
                  </w:r>
                  <w:r>
                    <w:rPr>
                      <w:rFonts w:hint="eastAsia" w:cs="Times New Roman"/>
                      <w:b w:val="0"/>
                      <w:bCs w:val="0"/>
                      <w:i w:val="0"/>
                      <w:iCs w:val="0"/>
                      <w:color w:val="auto"/>
                      <w:kern w:val="0"/>
                      <w:sz w:val="21"/>
                      <w:szCs w:val="21"/>
                      <w:u w:val="none"/>
                      <w:lang w:val="en-US" w:eastAsia="zh-CN" w:bidi="ar"/>
                    </w:rPr>
                    <w:t>9.17</w:t>
                  </w:r>
                </w:p>
              </w:tc>
            </w:tr>
            <w:tr w14:paraId="4FC0A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753" w:type="pct"/>
                  <w:gridSpan w:val="2"/>
                  <w:tcBorders>
                    <w:top w:val="single" w:color="000000" w:sz="4" w:space="0"/>
                    <w:left w:val="single" w:color="000000" w:sz="4" w:space="0"/>
                    <w:bottom w:val="single" w:color="000000" w:sz="4" w:space="0"/>
                    <w:right w:val="single" w:color="000000" w:sz="4" w:space="0"/>
                  </w:tcBorders>
                  <w:noWrap w:val="0"/>
                  <w:vAlign w:val="center"/>
                </w:tcPr>
                <w:p w14:paraId="2EAC280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i w:val="0"/>
                      <w:iCs w:val="0"/>
                      <w:color w:val="auto"/>
                      <w:sz w:val="21"/>
                      <w:szCs w:val="21"/>
                      <w:u w:val="none"/>
                      <w:lang w:val="en-US"/>
                    </w:rPr>
                  </w:pPr>
                  <w:r>
                    <w:rPr>
                      <w:rStyle w:val="66"/>
                      <w:rFonts w:hint="default" w:ascii="Times New Roman" w:hAnsi="Times New Roman" w:cs="Times New Roman"/>
                      <w:b w:val="0"/>
                      <w:bCs w:val="0"/>
                      <w:color w:val="auto"/>
                      <w:sz w:val="21"/>
                      <w:szCs w:val="21"/>
                      <w:lang w:val="en-US" w:eastAsia="zh-CN" w:bidi="ar"/>
                    </w:rPr>
                    <w:t>循环水</w:t>
                  </w:r>
                  <w:r>
                    <w:rPr>
                      <w:rStyle w:val="66"/>
                      <w:rFonts w:hint="eastAsia" w:ascii="Times New Roman" w:hAnsi="Times New Roman" w:cs="Times New Roman"/>
                      <w:b w:val="0"/>
                      <w:bCs w:val="0"/>
                      <w:color w:val="auto"/>
                      <w:sz w:val="21"/>
                      <w:szCs w:val="21"/>
                      <w:lang w:val="en-US" w:eastAsia="zh-CN" w:bidi="ar"/>
                    </w:rPr>
                    <w:t>池循环水</w:t>
                  </w:r>
                </w:p>
              </w:tc>
              <w:tc>
                <w:tcPr>
                  <w:tcW w:w="697" w:type="pct"/>
                  <w:tcBorders>
                    <w:top w:val="single" w:color="000000" w:sz="4" w:space="0"/>
                    <w:left w:val="single" w:color="000000" w:sz="4" w:space="0"/>
                    <w:bottom w:val="single" w:color="000000" w:sz="4" w:space="0"/>
                    <w:right w:val="single" w:color="000000" w:sz="4" w:space="0"/>
                  </w:tcBorders>
                  <w:noWrap w:val="0"/>
                  <w:vAlign w:val="center"/>
                </w:tcPr>
                <w:p w14:paraId="4B99017F">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b w:val="0"/>
                      <w:bCs w:val="0"/>
                      <w:i w:val="0"/>
                      <w:iCs w:val="0"/>
                      <w:color w:val="auto"/>
                      <w:sz w:val="21"/>
                      <w:szCs w:val="21"/>
                      <w:u w:val="none"/>
                      <w:lang w:val="en-US"/>
                    </w:rPr>
                  </w:pPr>
                  <w:r>
                    <w:rPr>
                      <w:rFonts w:hint="default" w:ascii="Times New Roman" w:hAnsi="Times New Roman" w:eastAsia="宋体" w:cs="Times New Roman"/>
                      <w:b w:val="0"/>
                      <w:bCs w:val="0"/>
                      <w:i w:val="0"/>
                      <w:iCs w:val="0"/>
                      <w:color w:val="auto"/>
                      <w:kern w:val="0"/>
                      <w:sz w:val="21"/>
                      <w:szCs w:val="21"/>
                      <w:u w:val="none"/>
                      <w:lang w:val="en-US" w:eastAsia="zh-CN" w:bidi="ar"/>
                    </w:rPr>
                    <w:t>486000</w:t>
                  </w:r>
                </w:p>
              </w:tc>
              <w:tc>
                <w:tcPr>
                  <w:tcW w:w="1732" w:type="pct"/>
                  <w:gridSpan w:val="2"/>
                  <w:tcBorders>
                    <w:top w:val="single" w:color="000000" w:sz="4" w:space="0"/>
                    <w:left w:val="single" w:color="000000" w:sz="4" w:space="0"/>
                    <w:bottom w:val="single" w:color="000000" w:sz="4" w:space="0"/>
                    <w:right w:val="single" w:color="000000" w:sz="4" w:space="0"/>
                  </w:tcBorders>
                  <w:noWrap w:val="0"/>
                  <w:vAlign w:val="center"/>
                </w:tcPr>
                <w:p w14:paraId="457AD22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i w:val="0"/>
                      <w:iCs w:val="0"/>
                      <w:color w:val="auto"/>
                      <w:sz w:val="21"/>
                      <w:szCs w:val="21"/>
                      <w:u w:val="none"/>
                    </w:rPr>
                  </w:pPr>
                  <w:r>
                    <w:rPr>
                      <w:rStyle w:val="66"/>
                      <w:rFonts w:hint="default" w:ascii="Times New Roman" w:hAnsi="Times New Roman" w:cs="Times New Roman"/>
                      <w:b w:val="0"/>
                      <w:bCs w:val="0"/>
                      <w:color w:val="auto"/>
                      <w:sz w:val="21"/>
                      <w:szCs w:val="21"/>
                      <w:lang w:val="en-US" w:eastAsia="zh-CN" w:bidi="ar"/>
                    </w:rPr>
                    <w:t>循环水</w:t>
                  </w:r>
                  <w:r>
                    <w:rPr>
                      <w:rStyle w:val="66"/>
                      <w:rFonts w:hint="eastAsia" w:ascii="Times New Roman" w:hAnsi="Times New Roman" w:cs="Times New Roman"/>
                      <w:b w:val="0"/>
                      <w:bCs w:val="0"/>
                      <w:color w:val="auto"/>
                      <w:sz w:val="21"/>
                      <w:szCs w:val="21"/>
                      <w:lang w:val="en-US" w:eastAsia="zh-CN" w:bidi="ar"/>
                    </w:rPr>
                    <w:t>池循环水</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1C72C63C">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b w:val="0"/>
                      <w:bCs w:val="0"/>
                      <w:i w:val="0"/>
                      <w:iCs w:val="0"/>
                      <w:color w:val="auto"/>
                      <w:sz w:val="21"/>
                      <w:szCs w:val="21"/>
                      <w:u w:val="none"/>
                      <w:lang w:val="en-US"/>
                    </w:rPr>
                  </w:pPr>
                  <w:r>
                    <w:rPr>
                      <w:rFonts w:hint="default" w:ascii="Times New Roman" w:hAnsi="Times New Roman" w:eastAsia="宋体" w:cs="Times New Roman"/>
                      <w:b w:val="0"/>
                      <w:bCs w:val="0"/>
                      <w:i w:val="0"/>
                      <w:iCs w:val="0"/>
                      <w:color w:val="auto"/>
                      <w:kern w:val="0"/>
                      <w:sz w:val="21"/>
                      <w:szCs w:val="21"/>
                      <w:u w:val="none"/>
                      <w:lang w:val="en-US" w:eastAsia="zh-CN" w:bidi="ar"/>
                    </w:rPr>
                    <w:t>486000</w:t>
                  </w:r>
                </w:p>
              </w:tc>
            </w:tr>
          </w:tbl>
          <w:p w14:paraId="438F3AC8">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jc w:val="center"/>
              <w:textAlignment w:val="auto"/>
              <w:rPr>
                <w:rFonts w:hint="default" w:ascii="Times New Roman" w:hAnsi="Times New Roman" w:eastAsia="宋体" w:cs="Times New Roman"/>
                <w:b/>
                <w:bCs/>
                <w:color w:val="auto"/>
                <w:sz w:val="21"/>
                <w:szCs w:val="21"/>
                <w:lang w:val="en-US" w:eastAsia="zh-CN"/>
              </w:rPr>
            </w:pPr>
            <w:r>
              <w:drawing>
                <wp:anchor distT="0" distB="0" distL="114300" distR="114300" simplePos="0" relativeHeight="251660288" behindDoc="0" locked="0" layoutInCell="1" allowOverlap="1">
                  <wp:simplePos x="0" y="0"/>
                  <wp:positionH relativeFrom="column">
                    <wp:posOffset>-55880</wp:posOffset>
                  </wp:positionH>
                  <wp:positionV relativeFrom="paragraph">
                    <wp:posOffset>-7340600</wp:posOffset>
                  </wp:positionV>
                  <wp:extent cx="5040630" cy="3815080"/>
                  <wp:effectExtent l="0" t="0" r="7620" b="13970"/>
                  <wp:wrapTopAndBottom/>
                  <wp:docPr id="1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
                          <pic:cNvPicPr>
                            <a:picLocks noChangeAspect="1"/>
                          </pic:cNvPicPr>
                        </pic:nvPicPr>
                        <pic:blipFill>
                          <a:blip r:embed="rId9"/>
                          <a:stretch>
                            <a:fillRect/>
                          </a:stretch>
                        </pic:blipFill>
                        <pic:spPr>
                          <a:xfrm>
                            <a:off x="0" y="0"/>
                            <a:ext cx="5040630" cy="3815080"/>
                          </a:xfrm>
                          <a:prstGeom prst="rect">
                            <a:avLst/>
                          </a:prstGeom>
                          <a:noFill/>
                          <a:ln>
                            <a:noFill/>
                          </a:ln>
                        </pic:spPr>
                      </pic:pic>
                    </a:graphicData>
                  </a:graphic>
                </wp:anchor>
              </w:drawing>
            </w:r>
            <w:r>
              <w:rPr>
                <w:rFonts w:hint="default" w:ascii="Times New Roman" w:hAnsi="Times New Roman" w:eastAsia="宋体" w:cs="Times New Roman"/>
                <w:b/>
                <w:bCs/>
                <w:color w:val="auto"/>
                <w:sz w:val="21"/>
                <w:szCs w:val="21"/>
                <w:lang w:val="en-US" w:eastAsia="zh-CN"/>
              </w:rPr>
              <w:t>图2-1 水平衡图</w:t>
            </w:r>
          </w:p>
          <w:p w14:paraId="38A7AC81">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kern w:val="2"/>
                <w:sz w:val="24"/>
                <w:szCs w:val="24"/>
                <w:lang w:val="en-US" w:eastAsia="zh-CN" w:bidi="ar-SA"/>
              </w:rPr>
              <w:t>8、</w:t>
            </w:r>
            <w:r>
              <w:rPr>
                <w:rFonts w:hint="eastAsia" w:ascii="Times New Roman" w:hAnsi="Times New Roman" w:eastAsia="宋体" w:cs="Times New Roman"/>
                <w:color w:val="auto"/>
                <w:sz w:val="24"/>
                <w:szCs w:val="24"/>
                <w:lang w:val="en-US" w:eastAsia="zh-CN"/>
              </w:rPr>
              <w:t>总平面布置</w:t>
            </w:r>
          </w:p>
          <w:p w14:paraId="45F18074">
            <w:pPr>
              <w:pStyle w:val="2"/>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项目地块整体呈南北向矩形，厂区按照生产加工区、煤炭储存区、行政办公生活区进行功能分区，厂区生产区主入口设置于厂区西侧中部，作为原料、成品物料运输的主要车流通道。</w:t>
            </w:r>
          </w:p>
          <w:p w14:paraId="7A691350">
            <w:pPr>
              <w:pStyle w:val="2"/>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厂区自北向南依次布置消防水池及泵房、主车间（洗煤厂房）、一期煤棚、二期煤棚、三期煤棚；行政办公楼布置于厂区西南侧地块南端；厂区内斜线网格区域为厂区道路、预留空地、绿化及管线敷设用地。</w:t>
            </w:r>
          </w:p>
          <w:p w14:paraId="763229D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48" w:leftChars="23" w:right="0" w:rightChars="0" w:firstLine="480" w:firstLineChars="200"/>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9、环保投资</w:t>
            </w:r>
          </w:p>
          <w:p w14:paraId="190A216A">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bCs/>
                <w:kern w:val="2"/>
                <w:sz w:val="21"/>
                <w:szCs w:val="21"/>
                <w:lang w:val="en-US" w:eastAsia="zh-CN" w:bidi="ar-SA"/>
              </w:rPr>
            </w:pPr>
            <w:r>
              <w:rPr>
                <w:rFonts w:hint="default" w:ascii="Times New Roman" w:hAnsi="Times New Roman" w:eastAsia="宋体" w:cs="Times New Roman"/>
                <w:kern w:val="2"/>
                <w:sz w:val="24"/>
                <w:szCs w:val="24"/>
                <w:lang w:val="en-US" w:eastAsia="zh-CN" w:bidi="ar-SA"/>
              </w:rPr>
              <w:t>本项目总投资</w:t>
            </w:r>
            <w:r>
              <w:rPr>
                <w:rFonts w:hint="eastAsia" w:ascii="Times New Roman" w:hAnsi="Times New Roman" w:eastAsia="宋体" w:cs="Times New Roman"/>
                <w:kern w:val="2"/>
                <w:sz w:val="24"/>
                <w:szCs w:val="24"/>
                <w:lang w:val="en-US" w:eastAsia="zh-CN" w:bidi="ar-SA"/>
              </w:rPr>
              <w:t>5000</w:t>
            </w:r>
            <w:r>
              <w:rPr>
                <w:rFonts w:hint="default" w:ascii="Times New Roman" w:hAnsi="Times New Roman" w:eastAsia="宋体" w:cs="Times New Roman"/>
                <w:kern w:val="2"/>
                <w:sz w:val="24"/>
                <w:szCs w:val="24"/>
                <w:lang w:val="en-US" w:eastAsia="zh-CN" w:bidi="ar-SA"/>
              </w:rPr>
              <w:t>万元，环保投资</w:t>
            </w:r>
            <w:r>
              <w:rPr>
                <w:rFonts w:hint="eastAsia" w:ascii="Times New Roman" w:hAnsi="Times New Roman" w:eastAsia="宋体" w:cs="Times New Roman"/>
                <w:kern w:val="2"/>
                <w:sz w:val="24"/>
                <w:szCs w:val="24"/>
                <w:lang w:val="en-US" w:eastAsia="zh-CN" w:bidi="ar-SA"/>
              </w:rPr>
              <w:t>118</w:t>
            </w:r>
            <w:r>
              <w:rPr>
                <w:rFonts w:hint="default" w:ascii="Times New Roman" w:hAnsi="Times New Roman" w:eastAsia="宋体" w:cs="Times New Roman"/>
                <w:kern w:val="2"/>
                <w:sz w:val="24"/>
                <w:szCs w:val="24"/>
                <w:lang w:val="en-US" w:eastAsia="zh-CN" w:bidi="ar-SA"/>
              </w:rPr>
              <w:t>万元，占总投资的</w:t>
            </w:r>
            <w:r>
              <w:rPr>
                <w:rFonts w:hint="eastAsia" w:ascii="Times New Roman" w:hAnsi="Times New Roman" w:eastAsia="宋体" w:cs="Times New Roman"/>
                <w:kern w:val="2"/>
                <w:sz w:val="24"/>
                <w:szCs w:val="24"/>
                <w:lang w:val="en-US" w:eastAsia="zh-CN" w:bidi="ar-SA"/>
              </w:rPr>
              <w:t>2.36</w:t>
            </w:r>
            <w:r>
              <w:rPr>
                <w:rFonts w:hint="default" w:ascii="Times New Roman" w:hAnsi="Times New Roman" w:eastAsia="宋体" w:cs="Times New Roman"/>
                <w:kern w:val="2"/>
                <w:sz w:val="24"/>
                <w:szCs w:val="24"/>
                <w:lang w:val="en-US" w:eastAsia="zh-CN" w:bidi="ar-SA"/>
              </w:rPr>
              <w:t>％。</w:t>
            </w:r>
          </w:p>
          <w:p w14:paraId="23487AA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Lines="0" w:beforeAutospacing="0" w:after="0" w:afterLines="0" w:afterAutospacing="0" w:line="440" w:lineRule="exact"/>
              <w:ind w:left="0" w:right="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kern w:val="2"/>
                <w:sz w:val="21"/>
                <w:szCs w:val="21"/>
                <w:lang w:val="en-US" w:eastAsia="zh-CN" w:bidi="ar-SA"/>
              </w:rPr>
              <w:t>表2-</w:t>
            </w:r>
            <w:r>
              <w:rPr>
                <w:rFonts w:hint="eastAsia" w:cs="Times New Roman"/>
                <w:b/>
                <w:bCs/>
                <w:kern w:val="2"/>
                <w:sz w:val="21"/>
                <w:szCs w:val="21"/>
                <w:lang w:val="en-US" w:eastAsia="zh-CN" w:bidi="ar-SA"/>
              </w:rPr>
              <w:t>10</w:t>
            </w:r>
            <w:r>
              <w:rPr>
                <w:rFonts w:hint="default" w:ascii="Times New Roman" w:hAnsi="Times New Roman" w:eastAsia="宋体" w:cs="Times New Roman"/>
                <w:b/>
                <w:bCs/>
                <w:kern w:val="2"/>
                <w:sz w:val="21"/>
                <w:szCs w:val="21"/>
                <w:lang w:val="en-US" w:eastAsia="zh-CN" w:bidi="ar-SA"/>
              </w:rPr>
              <w:t xml:space="preserve"> </w:t>
            </w:r>
            <w:r>
              <w:rPr>
                <w:rFonts w:hint="default" w:ascii="Times New Roman" w:hAnsi="Times New Roman" w:eastAsia="宋体" w:cs="Times New Roman"/>
                <w:b/>
                <w:bCs/>
                <w:color w:val="auto"/>
                <w:sz w:val="21"/>
                <w:szCs w:val="21"/>
              </w:rPr>
              <w:t xml:space="preserve"> 项目环保投资估算表</w:t>
            </w:r>
          </w:p>
          <w:tbl>
            <w:tblPr>
              <w:tblStyle w:val="25"/>
              <w:tblW w:w="7952" w:type="dxa"/>
              <w:tblInd w:w="-2" w:type="dxa"/>
              <w:tblBorders>
                <w:top w:val="single" w:color="auto" w:sz="8" w:space="0"/>
                <w:left w:val="none" w:color="auto" w:sz="6" w:space="0"/>
                <w:bottom w:val="single" w:color="auto" w:sz="8" w:space="0"/>
                <w:right w:val="none" w:color="auto" w:sz="6" w:space="0"/>
                <w:insideH w:val="single" w:color="auto" w:sz="4" w:space="0"/>
                <w:insideV w:val="single" w:color="auto" w:sz="4" w:space="0"/>
              </w:tblBorders>
              <w:tblLayout w:type="fixed"/>
              <w:tblCellMar>
                <w:top w:w="0" w:type="dxa"/>
                <w:left w:w="0" w:type="dxa"/>
                <w:bottom w:w="0" w:type="dxa"/>
                <w:right w:w="0" w:type="dxa"/>
              </w:tblCellMar>
            </w:tblPr>
            <w:tblGrid>
              <w:gridCol w:w="359"/>
              <w:gridCol w:w="947"/>
              <w:gridCol w:w="5488"/>
              <w:gridCol w:w="1158"/>
            </w:tblGrid>
            <w:tr w14:paraId="0119D4E8">
              <w:tblPrEx>
                <w:tblBorders>
                  <w:top w:val="single" w:color="auto" w:sz="8" w:space="0"/>
                  <w:left w:val="none" w:color="auto" w:sz="6" w:space="0"/>
                  <w:bottom w:val="single" w:color="auto" w:sz="8" w:space="0"/>
                  <w:right w:val="none" w:color="auto" w:sz="6"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306" w:type="dxa"/>
                  <w:gridSpan w:val="2"/>
                  <w:tcBorders>
                    <w:top w:val="single" w:color="auto" w:sz="4" w:space="0"/>
                    <w:left w:val="single" w:color="auto" w:sz="0" w:space="0"/>
                    <w:bottom w:val="single" w:color="auto" w:sz="4" w:space="0"/>
                    <w:right w:val="single" w:color="auto" w:sz="4" w:space="0"/>
                  </w:tcBorders>
                  <w:noWrap w:val="0"/>
                  <w:vAlign w:val="center"/>
                </w:tcPr>
                <w:p w14:paraId="119EE5C5">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kern w:val="2"/>
                      <w:sz w:val="21"/>
                      <w:szCs w:val="21"/>
                    </w:rPr>
                  </w:pPr>
                  <w:r>
                    <w:rPr>
                      <w:rFonts w:hint="default" w:ascii="Times New Roman" w:hAnsi="Times New Roman" w:eastAsia="宋体" w:cs="Times New Roman"/>
                      <w:b w:val="0"/>
                      <w:bCs/>
                      <w:kern w:val="2"/>
                      <w:sz w:val="21"/>
                      <w:szCs w:val="21"/>
                      <w:lang w:val="en-US" w:eastAsia="zh-CN" w:bidi="ar"/>
                    </w:rPr>
                    <w:t>工程内容</w:t>
                  </w:r>
                </w:p>
              </w:tc>
              <w:tc>
                <w:tcPr>
                  <w:tcW w:w="5488" w:type="dxa"/>
                  <w:tcBorders>
                    <w:top w:val="single" w:color="auto" w:sz="4" w:space="0"/>
                    <w:left w:val="single" w:color="auto" w:sz="4" w:space="0"/>
                    <w:bottom w:val="single" w:color="auto" w:sz="4" w:space="0"/>
                    <w:right w:val="single" w:color="auto" w:sz="4" w:space="0"/>
                  </w:tcBorders>
                  <w:noWrap w:val="0"/>
                  <w:vAlign w:val="center"/>
                </w:tcPr>
                <w:p w14:paraId="31FC95A6">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kern w:val="2"/>
                      <w:sz w:val="21"/>
                      <w:szCs w:val="21"/>
                    </w:rPr>
                  </w:pPr>
                  <w:r>
                    <w:rPr>
                      <w:rFonts w:hint="default" w:ascii="Times New Roman" w:hAnsi="Times New Roman" w:eastAsia="宋体" w:cs="Times New Roman"/>
                      <w:b w:val="0"/>
                      <w:bCs/>
                      <w:kern w:val="2"/>
                      <w:sz w:val="21"/>
                      <w:szCs w:val="21"/>
                      <w:lang w:val="en-US" w:eastAsia="zh-CN" w:bidi="ar"/>
                    </w:rPr>
                    <w:t>治理措施</w:t>
                  </w:r>
                </w:p>
              </w:tc>
              <w:tc>
                <w:tcPr>
                  <w:tcW w:w="1158" w:type="dxa"/>
                  <w:tcBorders>
                    <w:top w:val="single" w:color="auto" w:sz="4" w:space="0"/>
                    <w:left w:val="single" w:color="auto" w:sz="4" w:space="0"/>
                    <w:bottom w:val="single" w:color="auto" w:sz="4" w:space="0"/>
                    <w:right w:val="single" w:color="auto" w:sz="4" w:space="0"/>
                  </w:tcBorders>
                  <w:noWrap w:val="0"/>
                  <w:vAlign w:val="center"/>
                </w:tcPr>
                <w:p w14:paraId="1D3529B7">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kern w:val="2"/>
                      <w:sz w:val="21"/>
                      <w:szCs w:val="21"/>
                    </w:rPr>
                  </w:pPr>
                  <w:r>
                    <w:rPr>
                      <w:rFonts w:hint="default" w:ascii="Times New Roman" w:hAnsi="Times New Roman" w:eastAsia="宋体" w:cs="Times New Roman"/>
                      <w:b w:val="0"/>
                      <w:bCs/>
                      <w:kern w:val="2"/>
                      <w:sz w:val="21"/>
                      <w:szCs w:val="21"/>
                      <w:lang w:val="en-US" w:eastAsia="zh-CN" w:bidi="ar"/>
                    </w:rPr>
                    <w:t>环保投资（万元）</w:t>
                  </w:r>
                </w:p>
              </w:tc>
            </w:tr>
            <w:tr w14:paraId="07586C94">
              <w:tblPrEx>
                <w:tblBorders>
                  <w:top w:val="single" w:color="auto" w:sz="8" w:space="0"/>
                  <w:left w:val="none" w:color="auto" w:sz="6" w:space="0"/>
                  <w:bottom w:val="single" w:color="auto" w:sz="8" w:space="0"/>
                  <w:right w:val="none" w:color="auto" w:sz="6"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59" w:type="dxa"/>
                  <w:vMerge w:val="restart"/>
                  <w:tcBorders>
                    <w:top w:val="single" w:color="auto" w:sz="4" w:space="0"/>
                    <w:left w:val="single" w:color="auto" w:sz="4" w:space="0"/>
                    <w:right w:val="single" w:color="auto" w:sz="4" w:space="0"/>
                  </w:tcBorders>
                  <w:noWrap w:val="0"/>
                  <w:vAlign w:val="center"/>
                </w:tcPr>
                <w:p w14:paraId="365985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sz w:val="21"/>
                      <w:szCs w:val="21"/>
                      <w:lang w:val="en-US" w:eastAsia="zh-CN"/>
                    </w:rPr>
                  </w:pPr>
                  <w:r>
                    <w:rPr>
                      <w:rFonts w:hint="default" w:ascii="Times New Roman" w:hAnsi="Times New Roman" w:cs="Times New Roman"/>
                      <w:color w:val="000000"/>
                      <w:sz w:val="21"/>
                      <w:szCs w:val="21"/>
                      <w:lang w:val="en-US" w:eastAsia="zh-CN"/>
                    </w:rPr>
                    <w:t>施工期</w:t>
                  </w:r>
                </w:p>
              </w:tc>
              <w:tc>
                <w:tcPr>
                  <w:tcW w:w="947" w:type="dxa"/>
                  <w:tcBorders>
                    <w:top w:val="single" w:color="auto" w:sz="4" w:space="0"/>
                    <w:left w:val="single" w:color="auto" w:sz="4" w:space="0"/>
                    <w:bottom w:val="single" w:color="auto" w:sz="4" w:space="0"/>
                    <w:right w:val="single" w:color="auto" w:sz="4" w:space="0"/>
                  </w:tcBorders>
                  <w:noWrap w:val="0"/>
                  <w:vAlign w:val="center"/>
                </w:tcPr>
                <w:p w14:paraId="28C94E34">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right="0" w:firstLine="0" w:firstLineChars="0"/>
                    <w:jc w:val="center"/>
                    <w:textAlignment w:val="auto"/>
                    <w:rPr>
                      <w:rFonts w:hint="default" w:ascii="Times New Roman" w:hAnsi="Times New Roman" w:eastAsia="宋体" w:cs="Times New Roman"/>
                      <w:b w:val="0"/>
                      <w:bCs/>
                      <w:color w:val="000000"/>
                      <w:kern w:val="0"/>
                      <w:sz w:val="21"/>
                      <w:szCs w:val="21"/>
                    </w:rPr>
                  </w:pPr>
                  <w:r>
                    <w:rPr>
                      <w:rFonts w:hint="default" w:ascii="Times New Roman" w:hAnsi="Times New Roman" w:eastAsia="宋体" w:cs="Times New Roman"/>
                      <w:b w:val="0"/>
                      <w:bCs/>
                      <w:color w:val="000000"/>
                      <w:kern w:val="2"/>
                      <w:sz w:val="21"/>
                      <w:szCs w:val="21"/>
                      <w:lang w:val="en-US" w:eastAsia="zh-CN" w:bidi="ar"/>
                    </w:rPr>
                    <w:t>固废</w:t>
                  </w:r>
                </w:p>
              </w:tc>
              <w:tc>
                <w:tcPr>
                  <w:tcW w:w="5488" w:type="dxa"/>
                  <w:tcBorders>
                    <w:top w:val="single" w:color="auto" w:sz="4" w:space="0"/>
                    <w:left w:val="single" w:color="auto" w:sz="4" w:space="0"/>
                    <w:bottom w:val="single" w:color="auto" w:sz="4" w:space="0"/>
                    <w:right w:val="single" w:color="auto" w:sz="4" w:space="0"/>
                  </w:tcBorders>
                  <w:noWrap w:val="0"/>
                  <w:vAlign w:val="center"/>
                </w:tcPr>
                <w:p w14:paraId="6EE73956">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right="0" w:firstLine="0" w:firstLineChars="0"/>
                    <w:jc w:val="center"/>
                    <w:textAlignment w:val="auto"/>
                    <w:rPr>
                      <w:rFonts w:hint="default" w:ascii="Times New Roman" w:hAnsi="Times New Roman" w:eastAsia="宋体" w:cs="Times New Roman"/>
                      <w:b w:val="0"/>
                      <w:bCs/>
                      <w:color w:val="000000"/>
                      <w:kern w:val="0"/>
                      <w:sz w:val="21"/>
                      <w:szCs w:val="21"/>
                      <w:lang w:val="en-US"/>
                    </w:rPr>
                  </w:pPr>
                  <w:r>
                    <w:rPr>
                      <w:rFonts w:hint="default" w:ascii="Times New Roman" w:hAnsi="Times New Roman" w:eastAsia="宋体" w:cs="Times New Roman"/>
                      <w:b w:val="0"/>
                      <w:bCs/>
                      <w:color w:val="000000"/>
                      <w:kern w:val="2"/>
                      <w:sz w:val="21"/>
                      <w:szCs w:val="21"/>
                      <w:lang w:val="en-US" w:eastAsia="zh-CN" w:bidi="ar"/>
                    </w:rPr>
                    <w:t>废包装物、生活垃圾交由环卫部门统一处理</w:t>
                  </w:r>
                </w:p>
              </w:tc>
              <w:tc>
                <w:tcPr>
                  <w:tcW w:w="1158" w:type="dxa"/>
                  <w:tcBorders>
                    <w:top w:val="single" w:color="auto" w:sz="4" w:space="0"/>
                    <w:left w:val="single" w:color="auto" w:sz="4" w:space="0"/>
                    <w:bottom w:val="single" w:color="auto" w:sz="4" w:space="0"/>
                    <w:right w:val="single" w:color="auto" w:sz="4" w:space="0"/>
                  </w:tcBorders>
                  <w:noWrap w:val="0"/>
                  <w:vAlign w:val="center"/>
                </w:tcPr>
                <w:p w14:paraId="79D2985E">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color w:val="000000"/>
                      <w:kern w:val="2"/>
                      <w:sz w:val="21"/>
                      <w:szCs w:val="21"/>
                    </w:rPr>
                  </w:pPr>
                  <w:r>
                    <w:rPr>
                      <w:rFonts w:hint="eastAsia" w:ascii="Times New Roman" w:hAnsi="Times New Roman" w:eastAsia="宋体" w:cs="Times New Roman"/>
                      <w:b w:val="0"/>
                      <w:bCs/>
                      <w:color w:val="000000"/>
                      <w:kern w:val="2"/>
                      <w:sz w:val="21"/>
                      <w:szCs w:val="21"/>
                      <w:lang w:val="en-US" w:eastAsia="zh-CN" w:bidi="ar"/>
                    </w:rPr>
                    <w:t>4</w:t>
                  </w:r>
                </w:p>
              </w:tc>
            </w:tr>
            <w:tr w14:paraId="121FFE18">
              <w:tblPrEx>
                <w:tblBorders>
                  <w:top w:val="single" w:color="auto" w:sz="8" w:space="0"/>
                  <w:left w:val="none" w:color="auto" w:sz="6" w:space="0"/>
                  <w:bottom w:val="single" w:color="auto" w:sz="8" w:space="0"/>
                  <w:right w:val="none" w:color="auto" w:sz="6"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59" w:type="dxa"/>
                  <w:vMerge w:val="continue"/>
                  <w:tcBorders>
                    <w:left w:val="single" w:color="auto" w:sz="4" w:space="0"/>
                    <w:right w:val="single" w:color="auto" w:sz="4" w:space="0"/>
                  </w:tcBorders>
                  <w:noWrap w:val="0"/>
                  <w:vAlign w:val="center"/>
                </w:tcPr>
                <w:p w14:paraId="511B5D96">
                  <w:pPr>
                    <w:keepNext w:val="0"/>
                    <w:keepLines w:val="0"/>
                    <w:pageBreakBefore w:val="0"/>
                    <w:widowControl w:val="0"/>
                    <w:suppressLineNumbers w:val="0"/>
                    <w:kinsoku/>
                    <w:wordWrap/>
                    <w:overflowPunct/>
                    <w:topLinePunct w:val="0"/>
                    <w:autoSpaceDN/>
                    <w:bidi w:val="0"/>
                    <w:spacing w:before="0" w:beforeAutospacing="0" w:after="0" w:afterAutospacing="0"/>
                    <w:ind w:left="0" w:right="0"/>
                    <w:jc w:val="center"/>
                    <w:textAlignment w:val="auto"/>
                    <w:rPr>
                      <w:rFonts w:hint="default" w:ascii="Times New Roman" w:hAnsi="Times New Roman" w:cs="Times New Roman"/>
                      <w:color w:val="000000"/>
                      <w:sz w:val="21"/>
                      <w:szCs w:val="21"/>
                    </w:rPr>
                  </w:pPr>
                </w:p>
              </w:tc>
              <w:tc>
                <w:tcPr>
                  <w:tcW w:w="947" w:type="dxa"/>
                  <w:tcBorders>
                    <w:top w:val="single" w:color="auto" w:sz="4" w:space="0"/>
                    <w:left w:val="single" w:color="auto" w:sz="4" w:space="0"/>
                    <w:bottom w:val="single" w:color="auto" w:sz="4" w:space="0"/>
                    <w:right w:val="single" w:color="auto" w:sz="4" w:space="0"/>
                  </w:tcBorders>
                  <w:noWrap w:val="0"/>
                  <w:vAlign w:val="center"/>
                </w:tcPr>
                <w:p w14:paraId="00249A0D">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right="0" w:firstLine="0" w:firstLineChars="0"/>
                    <w:jc w:val="center"/>
                    <w:textAlignment w:val="auto"/>
                    <w:rPr>
                      <w:rFonts w:hint="default" w:ascii="Times New Roman" w:hAnsi="Times New Roman" w:eastAsia="宋体" w:cs="Times New Roman"/>
                      <w:b w:val="0"/>
                      <w:bCs/>
                      <w:color w:val="000000"/>
                      <w:kern w:val="0"/>
                      <w:sz w:val="21"/>
                      <w:szCs w:val="21"/>
                    </w:rPr>
                  </w:pPr>
                  <w:r>
                    <w:rPr>
                      <w:rFonts w:hint="default" w:ascii="Times New Roman" w:hAnsi="Times New Roman" w:eastAsia="宋体" w:cs="Times New Roman"/>
                      <w:b w:val="0"/>
                      <w:bCs/>
                      <w:color w:val="000000"/>
                      <w:kern w:val="2"/>
                      <w:sz w:val="21"/>
                      <w:szCs w:val="21"/>
                      <w:lang w:val="en-US" w:eastAsia="zh-CN" w:bidi="ar"/>
                    </w:rPr>
                    <w:t>噪声</w:t>
                  </w:r>
                </w:p>
              </w:tc>
              <w:tc>
                <w:tcPr>
                  <w:tcW w:w="5488" w:type="dxa"/>
                  <w:tcBorders>
                    <w:top w:val="single" w:color="auto" w:sz="4" w:space="0"/>
                    <w:left w:val="single" w:color="auto" w:sz="4" w:space="0"/>
                    <w:bottom w:val="single" w:color="auto" w:sz="4" w:space="0"/>
                    <w:right w:val="single" w:color="auto" w:sz="4" w:space="0"/>
                  </w:tcBorders>
                  <w:noWrap w:val="0"/>
                  <w:vAlign w:val="center"/>
                </w:tcPr>
                <w:p w14:paraId="374DD696">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right="0" w:firstLine="0" w:firstLineChars="0"/>
                    <w:jc w:val="center"/>
                    <w:textAlignment w:val="auto"/>
                    <w:rPr>
                      <w:rFonts w:hint="default" w:ascii="Times New Roman" w:hAnsi="Times New Roman" w:eastAsia="宋体" w:cs="Times New Roman"/>
                      <w:b w:val="0"/>
                      <w:bCs/>
                      <w:color w:val="000000"/>
                      <w:kern w:val="0"/>
                      <w:sz w:val="21"/>
                      <w:szCs w:val="21"/>
                    </w:rPr>
                  </w:pPr>
                  <w:r>
                    <w:rPr>
                      <w:rFonts w:hint="default" w:ascii="Times New Roman" w:hAnsi="Times New Roman" w:eastAsia="宋体" w:cs="Times New Roman"/>
                      <w:b w:val="0"/>
                      <w:bCs/>
                      <w:color w:val="000000"/>
                      <w:kern w:val="2"/>
                      <w:sz w:val="21"/>
                      <w:szCs w:val="21"/>
                      <w:lang w:val="en-US" w:eastAsia="zh-CN" w:bidi="ar"/>
                    </w:rPr>
                    <w:t>选用低噪声设备，定期维护机械和车辆</w:t>
                  </w:r>
                </w:p>
              </w:tc>
              <w:tc>
                <w:tcPr>
                  <w:tcW w:w="1158" w:type="dxa"/>
                  <w:tcBorders>
                    <w:top w:val="single" w:color="auto" w:sz="4" w:space="0"/>
                    <w:left w:val="single" w:color="auto" w:sz="4" w:space="0"/>
                    <w:bottom w:val="single" w:color="auto" w:sz="4" w:space="0"/>
                    <w:right w:val="single" w:color="auto" w:sz="4" w:space="0"/>
                  </w:tcBorders>
                  <w:noWrap w:val="0"/>
                  <w:vAlign w:val="center"/>
                </w:tcPr>
                <w:p w14:paraId="37F88349">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color w:val="000000"/>
                      <w:kern w:val="2"/>
                      <w:sz w:val="21"/>
                      <w:szCs w:val="21"/>
                    </w:rPr>
                  </w:pPr>
                  <w:r>
                    <w:rPr>
                      <w:rFonts w:hint="eastAsia" w:ascii="Times New Roman" w:hAnsi="Times New Roman" w:eastAsia="宋体" w:cs="Times New Roman"/>
                      <w:b w:val="0"/>
                      <w:bCs/>
                      <w:color w:val="000000"/>
                      <w:kern w:val="2"/>
                      <w:sz w:val="21"/>
                      <w:szCs w:val="21"/>
                      <w:lang w:val="en-US" w:eastAsia="zh-CN" w:bidi="ar"/>
                    </w:rPr>
                    <w:t>6</w:t>
                  </w:r>
                </w:p>
              </w:tc>
            </w:tr>
            <w:tr w14:paraId="41274F7F">
              <w:tblPrEx>
                <w:tblBorders>
                  <w:top w:val="single" w:color="auto" w:sz="8" w:space="0"/>
                  <w:left w:val="none" w:color="auto" w:sz="6" w:space="0"/>
                  <w:bottom w:val="single" w:color="auto" w:sz="8" w:space="0"/>
                  <w:right w:val="none" w:color="auto" w:sz="6"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59" w:type="dxa"/>
                  <w:vMerge w:val="continue"/>
                  <w:tcBorders>
                    <w:left w:val="single" w:color="auto" w:sz="4" w:space="0"/>
                    <w:right w:val="single" w:color="auto" w:sz="4" w:space="0"/>
                  </w:tcBorders>
                  <w:noWrap w:val="0"/>
                  <w:vAlign w:val="center"/>
                </w:tcPr>
                <w:p w14:paraId="3CC03CE1">
                  <w:pPr>
                    <w:keepNext w:val="0"/>
                    <w:keepLines w:val="0"/>
                    <w:pageBreakBefore w:val="0"/>
                    <w:widowControl w:val="0"/>
                    <w:suppressLineNumbers w:val="0"/>
                    <w:kinsoku/>
                    <w:wordWrap/>
                    <w:overflowPunct/>
                    <w:topLinePunct w:val="0"/>
                    <w:autoSpaceDN/>
                    <w:bidi w:val="0"/>
                    <w:spacing w:before="0" w:beforeAutospacing="0" w:after="0" w:afterAutospacing="0"/>
                    <w:ind w:left="0" w:right="0"/>
                    <w:jc w:val="center"/>
                    <w:textAlignment w:val="auto"/>
                    <w:rPr>
                      <w:rFonts w:hint="default" w:ascii="Times New Roman" w:hAnsi="Times New Roman" w:cs="Times New Roman"/>
                      <w:color w:val="000000"/>
                      <w:sz w:val="21"/>
                      <w:szCs w:val="21"/>
                    </w:rPr>
                  </w:pPr>
                </w:p>
              </w:tc>
              <w:tc>
                <w:tcPr>
                  <w:tcW w:w="947" w:type="dxa"/>
                  <w:tcBorders>
                    <w:top w:val="single" w:color="auto" w:sz="4" w:space="0"/>
                    <w:left w:val="single" w:color="auto" w:sz="4" w:space="0"/>
                    <w:bottom w:val="single" w:color="auto" w:sz="4" w:space="0"/>
                    <w:right w:val="single" w:color="auto" w:sz="4" w:space="0"/>
                  </w:tcBorders>
                  <w:noWrap w:val="0"/>
                  <w:vAlign w:val="center"/>
                </w:tcPr>
                <w:p w14:paraId="416B77D2">
                  <w:pPr>
                    <w:keepNext w:val="0"/>
                    <w:keepLines w:val="0"/>
                    <w:pageBreakBefore w:val="0"/>
                    <w:widowControl w:val="0"/>
                    <w:kinsoku/>
                    <w:wordWrap/>
                    <w:overflowPunct/>
                    <w:topLinePunct w:val="0"/>
                    <w:autoSpaceDN/>
                    <w:bidi w:val="0"/>
                    <w:jc w:val="center"/>
                    <w:textAlignment w:val="auto"/>
                    <w:rPr>
                      <w:rFonts w:hint="default" w:ascii="Times New Roman" w:hAnsi="Times New Roman" w:eastAsia="宋体" w:cs="Times New Roman"/>
                      <w:b w:val="0"/>
                      <w:bCs/>
                      <w:color w:val="000000"/>
                      <w:kern w:val="2"/>
                      <w:sz w:val="21"/>
                      <w:szCs w:val="21"/>
                      <w:lang w:val="en-US" w:eastAsia="zh-CN" w:bidi="ar"/>
                    </w:rPr>
                  </w:pPr>
                  <w:r>
                    <w:rPr>
                      <w:rFonts w:hint="default" w:ascii="Times New Roman" w:hAnsi="Times New Roman" w:cs="Times New Roman"/>
                      <w:sz w:val="21"/>
                      <w:szCs w:val="21"/>
                      <w:vertAlign w:val="baseline"/>
                      <w:lang w:val="en-US" w:eastAsia="zh-CN"/>
                    </w:rPr>
                    <w:t>废气</w:t>
                  </w:r>
                </w:p>
              </w:tc>
              <w:tc>
                <w:tcPr>
                  <w:tcW w:w="5488" w:type="dxa"/>
                  <w:tcBorders>
                    <w:top w:val="single" w:color="auto" w:sz="4" w:space="0"/>
                    <w:left w:val="single" w:color="auto" w:sz="4" w:space="0"/>
                    <w:bottom w:val="single" w:color="auto" w:sz="4" w:space="0"/>
                    <w:right w:val="single" w:color="auto" w:sz="4" w:space="0"/>
                  </w:tcBorders>
                  <w:noWrap w:val="0"/>
                  <w:vAlign w:val="center"/>
                </w:tcPr>
                <w:p w14:paraId="2289A5EE">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color w:val="000000"/>
                      <w:kern w:val="2"/>
                      <w:sz w:val="21"/>
                      <w:szCs w:val="21"/>
                      <w:lang w:val="en-US" w:eastAsia="zh-CN" w:bidi="ar"/>
                    </w:rPr>
                  </w:pPr>
                  <w:r>
                    <w:rPr>
                      <w:rFonts w:hint="default" w:ascii="Times New Roman" w:hAnsi="Times New Roman" w:eastAsia="宋体" w:cs="Times New Roman"/>
                      <w:b w:val="0"/>
                      <w:bCs/>
                      <w:color w:val="000000"/>
                      <w:kern w:val="2"/>
                      <w:sz w:val="21"/>
                      <w:szCs w:val="21"/>
                      <w:lang w:val="en-US" w:eastAsia="zh-CN" w:bidi="ar"/>
                    </w:rPr>
                    <w:t>施工现场设置硬质围挡，裸露土方全覆盖防尘网，场内道路定时洒水抑尘</w:t>
                  </w:r>
                </w:p>
              </w:tc>
              <w:tc>
                <w:tcPr>
                  <w:tcW w:w="1158" w:type="dxa"/>
                  <w:tcBorders>
                    <w:top w:val="single" w:color="auto" w:sz="4" w:space="0"/>
                    <w:left w:val="single" w:color="auto" w:sz="4" w:space="0"/>
                    <w:bottom w:val="single" w:color="auto" w:sz="4" w:space="0"/>
                    <w:right w:val="single" w:color="auto" w:sz="4" w:space="0"/>
                  </w:tcBorders>
                  <w:noWrap w:val="0"/>
                  <w:vAlign w:val="center"/>
                </w:tcPr>
                <w:p w14:paraId="5F98B4B9">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color w:val="000000"/>
                      <w:kern w:val="2"/>
                      <w:sz w:val="21"/>
                      <w:szCs w:val="21"/>
                      <w:lang w:val="en-US" w:eastAsia="zh-CN" w:bidi="ar"/>
                    </w:rPr>
                  </w:pPr>
                  <w:r>
                    <w:rPr>
                      <w:rFonts w:hint="eastAsia" w:ascii="Times New Roman" w:hAnsi="Times New Roman" w:eastAsia="宋体" w:cs="Times New Roman"/>
                      <w:b w:val="0"/>
                      <w:bCs/>
                      <w:color w:val="000000"/>
                      <w:kern w:val="2"/>
                      <w:sz w:val="21"/>
                      <w:szCs w:val="21"/>
                      <w:lang w:val="en-US" w:eastAsia="zh-CN" w:bidi="ar"/>
                    </w:rPr>
                    <w:t>6</w:t>
                  </w:r>
                </w:p>
              </w:tc>
            </w:tr>
            <w:tr w14:paraId="582A63E4">
              <w:tblPrEx>
                <w:tblBorders>
                  <w:top w:val="single" w:color="auto" w:sz="8" w:space="0"/>
                  <w:left w:val="none" w:color="auto" w:sz="6" w:space="0"/>
                  <w:bottom w:val="single" w:color="auto" w:sz="8" w:space="0"/>
                  <w:right w:val="none" w:color="auto" w:sz="6"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59" w:type="dxa"/>
                  <w:vMerge w:val="continue"/>
                  <w:tcBorders>
                    <w:left w:val="single" w:color="auto" w:sz="4" w:space="0"/>
                    <w:bottom w:val="single" w:color="auto" w:sz="4" w:space="0"/>
                    <w:right w:val="single" w:color="auto" w:sz="4" w:space="0"/>
                  </w:tcBorders>
                  <w:noWrap w:val="0"/>
                  <w:vAlign w:val="center"/>
                </w:tcPr>
                <w:p w14:paraId="7FBFA1D0">
                  <w:pPr>
                    <w:keepNext w:val="0"/>
                    <w:keepLines w:val="0"/>
                    <w:pageBreakBefore w:val="0"/>
                    <w:widowControl w:val="0"/>
                    <w:suppressLineNumbers w:val="0"/>
                    <w:kinsoku/>
                    <w:wordWrap/>
                    <w:overflowPunct/>
                    <w:topLinePunct w:val="0"/>
                    <w:autoSpaceDN/>
                    <w:bidi w:val="0"/>
                    <w:spacing w:before="0" w:beforeAutospacing="0" w:after="0" w:afterAutospacing="0"/>
                    <w:ind w:left="0" w:right="0"/>
                    <w:jc w:val="center"/>
                    <w:textAlignment w:val="auto"/>
                    <w:rPr>
                      <w:rFonts w:hint="default" w:ascii="Times New Roman" w:hAnsi="Times New Roman" w:cs="Times New Roman"/>
                      <w:color w:val="000000"/>
                      <w:sz w:val="21"/>
                      <w:szCs w:val="21"/>
                    </w:rPr>
                  </w:pPr>
                </w:p>
              </w:tc>
              <w:tc>
                <w:tcPr>
                  <w:tcW w:w="947" w:type="dxa"/>
                  <w:tcBorders>
                    <w:top w:val="single" w:color="auto" w:sz="4" w:space="0"/>
                    <w:left w:val="single" w:color="auto" w:sz="4" w:space="0"/>
                    <w:bottom w:val="single" w:color="auto" w:sz="4" w:space="0"/>
                    <w:right w:val="single" w:color="auto" w:sz="4" w:space="0"/>
                  </w:tcBorders>
                  <w:noWrap w:val="0"/>
                  <w:vAlign w:val="center"/>
                </w:tcPr>
                <w:p w14:paraId="46673FB3">
                  <w:pPr>
                    <w:keepNext w:val="0"/>
                    <w:keepLines w:val="0"/>
                    <w:pageBreakBefore w:val="0"/>
                    <w:widowControl w:val="0"/>
                    <w:kinsoku/>
                    <w:wordWrap/>
                    <w:overflowPunct/>
                    <w:topLinePunct w:val="0"/>
                    <w:autoSpaceDN/>
                    <w:bidi w:val="0"/>
                    <w:jc w:val="center"/>
                    <w:textAlignment w:val="auto"/>
                    <w:rPr>
                      <w:rFonts w:hint="default" w:ascii="Times New Roman" w:hAnsi="Times New Roman" w:eastAsia="宋体" w:cs="Times New Roman"/>
                      <w:b w:val="0"/>
                      <w:bCs/>
                      <w:color w:val="000000"/>
                      <w:kern w:val="2"/>
                      <w:sz w:val="21"/>
                      <w:szCs w:val="21"/>
                      <w:lang w:val="en-US" w:eastAsia="zh-CN" w:bidi="ar"/>
                    </w:rPr>
                  </w:pPr>
                  <w:r>
                    <w:rPr>
                      <w:rFonts w:hint="default" w:ascii="Times New Roman" w:hAnsi="Times New Roman" w:cs="Times New Roman"/>
                      <w:sz w:val="21"/>
                      <w:szCs w:val="21"/>
                      <w:vertAlign w:val="baseline"/>
                      <w:lang w:val="en-US" w:eastAsia="zh-CN"/>
                    </w:rPr>
                    <w:t>废水</w:t>
                  </w:r>
                </w:p>
              </w:tc>
              <w:tc>
                <w:tcPr>
                  <w:tcW w:w="5488" w:type="dxa"/>
                  <w:tcBorders>
                    <w:top w:val="single" w:color="auto" w:sz="4" w:space="0"/>
                    <w:left w:val="single" w:color="auto" w:sz="4" w:space="0"/>
                    <w:bottom w:val="single" w:color="auto" w:sz="4" w:space="0"/>
                    <w:right w:val="single" w:color="auto" w:sz="4" w:space="0"/>
                  </w:tcBorders>
                  <w:noWrap w:val="0"/>
                  <w:vAlign w:val="center"/>
                </w:tcPr>
                <w:p w14:paraId="526C8517">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color w:val="000000"/>
                      <w:kern w:val="2"/>
                      <w:sz w:val="21"/>
                      <w:szCs w:val="21"/>
                      <w:lang w:val="en-US" w:eastAsia="zh-CN" w:bidi="ar"/>
                    </w:rPr>
                  </w:pPr>
                  <w:r>
                    <w:rPr>
                      <w:rFonts w:hint="default" w:ascii="Times New Roman" w:hAnsi="Times New Roman" w:eastAsia="宋体" w:cs="Times New Roman"/>
                      <w:b w:val="0"/>
                      <w:bCs/>
                      <w:color w:val="000000"/>
                      <w:kern w:val="2"/>
                      <w:sz w:val="21"/>
                      <w:szCs w:val="21"/>
                      <w:lang w:val="en-US" w:eastAsia="zh-CN" w:bidi="ar"/>
                    </w:rPr>
                    <w:t>设临时沉淀池，施工结束后拆除、平整</w:t>
                  </w:r>
                </w:p>
              </w:tc>
              <w:tc>
                <w:tcPr>
                  <w:tcW w:w="1158" w:type="dxa"/>
                  <w:tcBorders>
                    <w:top w:val="single" w:color="auto" w:sz="4" w:space="0"/>
                    <w:left w:val="single" w:color="auto" w:sz="4" w:space="0"/>
                    <w:bottom w:val="single" w:color="auto" w:sz="4" w:space="0"/>
                    <w:right w:val="single" w:color="auto" w:sz="4" w:space="0"/>
                  </w:tcBorders>
                  <w:noWrap w:val="0"/>
                  <w:vAlign w:val="center"/>
                </w:tcPr>
                <w:p w14:paraId="748BB711">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color w:val="000000"/>
                      <w:kern w:val="2"/>
                      <w:sz w:val="21"/>
                      <w:szCs w:val="21"/>
                      <w:lang w:val="en-US" w:eastAsia="zh-CN" w:bidi="ar"/>
                    </w:rPr>
                  </w:pPr>
                  <w:r>
                    <w:rPr>
                      <w:rFonts w:hint="eastAsia" w:ascii="Times New Roman" w:hAnsi="Times New Roman" w:eastAsia="宋体" w:cs="Times New Roman"/>
                      <w:b w:val="0"/>
                      <w:bCs/>
                      <w:color w:val="000000"/>
                      <w:kern w:val="2"/>
                      <w:sz w:val="21"/>
                      <w:szCs w:val="21"/>
                      <w:lang w:val="en-US" w:eastAsia="zh-CN" w:bidi="ar"/>
                    </w:rPr>
                    <w:t>4</w:t>
                  </w:r>
                </w:p>
              </w:tc>
            </w:tr>
            <w:tr w14:paraId="40A67CBB">
              <w:tblPrEx>
                <w:tblBorders>
                  <w:top w:val="single" w:color="auto" w:sz="8" w:space="0"/>
                  <w:left w:val="none" w:color="auto" w:sz="6" w:space="0"/>
                  <w:bottom w:val="single" w:color="auto" w:sz="8" w:space="0"/>
                  <w:right w:val="none" w:color="auto" w:sz="6"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59" w:type="dxa"/>
                  <w:vMerge w:val="restart"/>
                  <w:tcBorders>
                    <w:left w:val="single" w:color="auto" w:sz="4" w:space="0"/>
                    <w:right w:val="single" w:color="auto" w:sz="4" w:space="0"/>
                  </w:tcBorders>
                  <w:noWrap w:val="0"/>
                  <w:vAlign w:val="center"/>
                </w:tcPr>
                <w:p w14:paraId="3FA4B679">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kern w:val="2"/>
                      <w:sz w:val="21"/>
                      <w:szCs w:val="21"/>
                    </w:rPr>
                  </w:pPr>
                  <w:r>
                    <w:rPr>
                      <w:rFonts w:hint="default" w:ascii="Times New Roman" w:hAnsi="Times New Roman" w:eastAsia="宋体" w:cs="Times New Roman"/>
                      <w:b w:val="0"/>
                      <w:bCs/>
                      <w:kern w:val="2"/>
                      <w:sz w:val="21"/>
                      <w:szCs w:val="21"/>
                      <w:lang w:val="en-US" w:eastAsia="zh-CN" w:bidi="ar"/>
                    </w:rPr>
                    <w:t>营运期</w:t>
                  </w:r>
                </w:p>
              </w:tc>
              <w:tc>
                <w:tcPr>
                  <w:tcW w:w="7593" w:type="dxa"/>
                  <w:gridSpan w:val="3"/>
                  <w:tcBorders>
                    <w:top w:val="single" w:color="auto" w:sz="4" w:space="0"/>
                    <w:left w:val="single" w:color="auto" w:sz="4" w:space="0"/>
                    <w:bottom w:val="single" w:color="auto" w:sz="4" w:space="0"/>
                    <w:right w:val="single" w:color="auto" w:sz="4" w:space="0"/>
                  </w:tcBorders>
                  <w:noWrap w:val="0"/>
                  <w:vAlign w:val="center"/>
                </w:tcPr>
                <w:p w14:paraId="0E9282FA">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textAlignment w:val="auto"/>
                    <w:rPr>
                      <w:rFonts w:hint="eastAsia" w:ascii="Times New Roman" w:hAnsi="Times New Roman" w:eastAsia="宋体" w:cs="Times New Roman"/>
                      <w:b w:val="0"/>
                      <w:bCs/>
                      <w:color w:val="000000"/>
                      <w:kern w:val="2"/>
                      <w:sz w:val="21"/>
                      <w:szCs w:val="21"/>
                      <w:lang w:val="en-US" w:eastAsia="zh-CN" w:bidi="ar"/>
                    </w:rPr>
                  </w:pPr>
                  <w:r>
                    <w:rPr>
                      <w:rFonts w:hint="eastAsia" w:ascii="Times New Roman" w:hAnsi="Times New Roman" w:eastAsia="宋体" w:cs="Times New Roman"/>
                      <w:b w:val="0"/>
                      <w:bCs/>
                      <w:color w:val="000000"/>
                      <w:kern w:val="2"/>
                      <w:sz w:val="21"/>
                      <w:szCs w:val="21"/>
                      <w:lang w:val="en-US" w:eastAsia="zh-CN" w:bidi="ar"/>
                    </w:rPr>
                    <w:t>一期</w:t>
                  </w:r>
                </w:p>
              </w:tc>
            </w:tr>
            <w:tr w14:paraId="37B243A9">
              <w:tblPrEx>
                <w:tblBorders>
                  <w:top w:val="single" w:color="auto" w:sz="8" w:space="0"/>
                  <w:left w:val="none" w:color="auto" w:sz="6" w:space="0"/>
                  <w:bottom w:val="single" w:color="auto" w:sz="8" w:space="0"/>
                  <w:right w:val="none" w:color="auto" w:sz="6"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59" w:type="dxa"/>
                  <w:vMerge w:val="continue"/>
                  <w:tcBorders>
                    <w:left w:val="single" w:color="auto" w:sz="4" w:space="0"/>
                    <w:right w:val="single" w:color="auto" w:sz="4" w:space="0"/>
                  </w:tcBorders>
                  <w:noWrap w:val="0"/>
                  <w:vAlign w:val="center"/>
                </w:tcPr>
                <w:p w14:paraId="0E2C0012">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kern w:val="2"/>
                      <w:sz w:val="21"/>
                      <w:szCs w:val="21"/>
                    </w:rPr>
                  </w:pPr>
                </w:p>
              </w:tc>
              <w:tc>
                <w:tcPr>
                  <w:tcW w:w="947" w:type="dxa"/>
                  <w:vMerge w:val="restart"/>
                  <w:tcBorders>
                    <w:top w:val="single" w:color="auto" w:sz="4" w:space="0"/>
                    <w:left w:val="single" w:color="auto" w:sz="4" w:space="0"/>
                    <w:right w:val="single" w:color="auto" w:sz="4" w:space="0"/>
                  </w:tcBorders>
                  <w:noWrap w:val="0"/>
                  <w:vAlign w:val="center"/>
                </w:tcPr>
                <w:p w14:paraId="3B4F3F4B">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kern w:val="2"/>
                      <w:sz w:val="21"/>
                      <w:szCs w:val="21"/>
                    </w:rPr>
                  </w:pPr>
                  <w:r>
                    <w:rPr>
                      <w:rFonts w:hint="default" w:ascii="Times New Roman" w:hAnsi="Times New Roman" w:eastAsia="宋体" w:cs="Times New Roman"/>
                      <w:b w:val="0"/>
                      <w:bCs/>
                      <w:kern w:val="2"/>
                      <w:sz w:val="21"/>
                      <w:szCs w:val="21"/>
                      <w:lang w:val="en-US" w:eastAsia="zh-CN" w:bidi="ar"/>
                    </w:rPr>
                    <w:t>废气</w:t>
                  </w:r>
                </w:p>
              </w:tc>
              <w:tc>
                <w:tcPr>
                  <w:tcW w:w="5488" w:type="dxa"/>
                  <w:tcBorders>
                    <w:top w:val="single" w:color="auto" w:sz="4" w:space="0"/>
                    <w:left w:val="single" w:color="auto" w:sz="4" w:space="0"/>
                    <w:bottom w:val="single" w:color="auto" w:sz="4" w:space="0"/>
                    <w:right w:val="single" w:color="auto" w:sz="4" w:space="0"/>
                  </w:tcBorders>
                  <w:noWrap w:val="0"/>
                  <w:vAlign w:val="center"/>
                </w:tcPr>
                <w:p w14:paraId="2F5EEA46">
                  <w:pPr>
                    <w:keepNext w:val="0"/>
                    <w:keepLines w:val="0"/>
                    <w:pageBreakBefore w:val="0"/>
                    <w:widowControl w:val="0"/>
                    <w:suppressLineNumbers w:val="0"/>
                    <w:kinsoku/>
                    <w:wordWrap/>
                    <w:overflowPunct/>
                    <w:topLinePunct w:val="0"/>
                    <w:autoSpaceDE w:val="0"/>
                    <w:autoSpaceDN/>
                    <w:bidi w:val="0"/>
                    <w:snapToGrid w:val="0"/>
                    <w:spacing w:before="0" w:beforeAutospacing="0" w:after="0" w:afterAutospacing="0"/>
                    <w:ind w:left="0" w:leftChars="0" w:right="0" w:rightChars="0" w:firstLine="0" w:firstLineChars="0"/>
                    <w:jc w:val="center"/>
                    <w:textAlignment w:val="auto"/>
                    <w:rPr>
                      <w:rFonts w:hint="default" w:ascii="Times New Roman" w:hAnsi="Times New Roman" w:cs="Times New Roman"/>
                      <w:kern w:val="0"/>
                      <w:sz w:val="21"/>
                      <w:szCs w:val="21"/>
                      <w:lang w:val="en-US" w:eastAsia="zh-CN" w:bidi="ar"/>
                    </w:rPr>
                  </w:pPr>
                  <w:r>
                    <w:rPr>
                      <w:rFonts w:hint="eastAsia" w:ascii="Times New Roman" w:hAnsi="Times New Roman" w:cs="Times New Roman"/>
                      <w:spacing w:val="-4"/>
                      <w:sz w:val="21"/>
                      <w:szCs w:val="21"/>
                      <w:lang w:val="en-US" w:eastAsia="zh-CN"/>
                    </w:rPr>
                    <w:t>一期煤棚</w:t>
                  </w:r>
                  <w:r>
                    <w:rPr>
                      <w:rFonts w:hint="default" w:ascii="Times New Roman" w:hAnsi="Times New Roman" w:cs="Times New Roman"/>
                      <w:sz w:val="21"/>
                      <w:szCs w:val="21"/>
                      <w:lang w:val="en-US" w:eastAsia="zh-CN"/>
                    </w:rPr>
                    <w:t>安装喷淋装置</w:t>
                  </w:r>
                </w:p>
              </w:tc>
              <w:tc>
                <w:tcPr>
                  <w:tcW w:w="1158" w:type="dxa"/>
                  <w:tcBorders>
                    <w:top w:val="single" w:color="auto" w:sz="4" w:space="0"/>
                    <w:left w:val="single" w:color="auto" w:sz="4" w:space="0"/>
                    <w:bottom w:val="single" w:color="auto" w:sz="4" w:space="0"/>
                    <w:right w:val="single" w:color="auto" w:sz="4" w:space="0"/>
                  </w:tcBorders>
                  <w:noWrap w:val="0"/>
                  <w:vAlign w:val="center"/>
                </w:tcPr>
                <w:p w14:paraId="73B55345">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kern w:val="2"/>
                      <w:sz w:val="21"/>
                      <w:szCs w:val="21"/>
                      <w:lang w:val="en-US" w:eastAsia="zh-CN" w:bidi="ar"/>
                    </w:rPr>
                  </w:pPr>
                  <w:r>
                    <w:rPr>
                      <w:rFonts w:hint="eastAsia" w:ascii="Times New Roman" w:hAnsi="Times New Roman" w:eastAsia="宋体" w:cs="Times New Roman"/>
                      <w:b w:val="0"/>
                      <w:bCs/>
                      <w:kern w:val="2"/>
                      <w:sz w:val="21"/>
                      <w:szCs w:val="21"/>
                      <w:lang w:val="en-US" w:eastAsia="zh-CN" w:bidi="ar"/>
                    </w:rPr>
                    <w:t>3</w:t>
                  </w:r>
                </w:p>
              </w:tc>
            </w:tr>
            <w:tr w14:paraId="5B4CBA63">
              <w:tblPrEx>
                <w:tblBorders>
                  <w:top w:val="single" w:color="auto" w:sz="8" w:space="0"/>
                  <w:left w:val="none" w:color="auto" w:sz="6" w:space="0"/>
                  <w:bottom w:val="single" w:color="auto" w:sz="8" w:space="0"/>
                  <w:right w:val="none" w:color="auto" w:sz="6"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59" w:type="dxa"/>
                  <w:vMerge w:val="continue"/>
                  <w:tcBorders>
                    <w:left w:val="single" w:color="auto" w:sz="4" w:space="0"/>
                    <w:right w:val="single" w:color="auto" w:sz="4" w:space="0"/>
                  </w:tcBorders>
                  <w:noWrap w:val="0"/>
                  <w:vAlign w:val="center"/>
                </w:tcPr>
                <w:p w14:paraId="4F73C85D">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kern w:val="2"/>
                      <w:sz w:val="21"/>
                      <w:szCs w:val="21"/>
                    </w:rPr>
                  </w:pPr>
                </w:p>
              </w:tc>
              <w:tc>
                <w:tcPr>
                  <w:tcW w:w="947" w:type="dxa"/>
                  <w:vMerge w:val="continue"/>
                  <w:tcBorders>
                    <w:left w:val="single" w:color="auto" w:sz="4" w:space="0"/>
                    <w:right w:val="single" w:color="auto" w:sz="4" w:space="0"/>
                  </w:tcBorders>
                  <w:noWrap w:val="0"/>
                  <w:vAlign w:val="center"/>
                </w:tcPr>
                <w:p w14:paraId="6F3FBD49">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kern w:val="2"/>
                      <w:sz w:val="21"/>
                      <w:szCs w:val="21"/>
                    </w:rPr>
                  </w:pPr>
                </w:p>
              </w:tc>
              <w:tc>
                <w:tcPr>
                  <w:tcW w:w="5488" w:type="dxa"/>
                  <w:tcBorders>
                    <w:top w:val="single" w:color="auto" w:sz="4" w:space="0"/>
                    <w:left w:val="single" w:color="auto" w:sz="4" w:space="0"/>
                    <w:bottom w:val="single" w:color="auto" w:sz="4" w:space="0"/>
                    <w:right w:val="single" w:color="auto" w:sz="4" w:space="0"/>
                  </w:tcBorders>
                  <w:noWrap w:val="0"/>
                  <w:vAlign w:val="center"/>
                </w:tcPr>
                <w:p w14:paraId="66D63734">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kern w:val="2"/>
                      <w:sz w:val="21"/>
                      <w:szCs w:val="21"/>
                      <w:lang w:val="en-US"/>
                    </w:rPr>
                  </w:pPr>
                  <w:r>
                    <w:rPr>
                      <w:rFonts w:hint="default" w:ascii="Times New Roman" w:hAnsi="Times New Roman" w:cs="Times New Roman"/>
                      <w:sz w:val="21"/>
                      <w:szCs w:val="21"/>
                      <w:lang w:val="en-US" w:eastAsia="zh-CN"/>
                    </w:rPr>
                    <w:t>货车限速，苫布遮盖；场区道路硬化，定期洒水、清扫；进出车辆清洗车身</w:t>
                  </w:r>
                </w:p>
              </w:tc>
              <w:tc>
                <w:tcPr>
                  <w:tcW w:w="1158" w:type="dxa"/>
                  <w:tcBorders>
                    <w:top w:val="single" w:color="auto" w:sz="4" w:space="0"/>
                    <w:left w:val="single" w:color="auto" w:sz="4" w:space="0"/>
                    <w:bottom w:val="single" w:color="auto" w:sz="4" w:space="0"/>
                    <w:right w:val="single" w:color="auto" w:sz="4" w:space="0"/>
                  </w:tcBorders>
                  <w:noWrap w:val="0"/>
                  <w:vAlign w:val="center"/>
                </w:tcPr>
                <w:p w14:paraId="11ABD813">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kern w:val="2"/>
                      <w:sz w:val="21"/>
                      <w:szCs w:val="21"/>
                    </w:rPr>
                  </w:pPr>
                  <w:r>
                    <w:rPr>
                      <w:rFonts w:hint="eastAsia" w:ascii="Times New Roman" w:hAnsi="Times New Roman" w:eastAsia="宋体" w:cs="Times New Roman"/>
                      <w:b w:val="0"/>
                      <w:bCs/>
                      <w:kern w:val="2"/>
                      <w:sz w:val="21"/>
                      <w:szCs w:val="21"/>
                      <w:lang w:val="en-US" w:eastAsia="zh-CN" w:bidi="ar"/>
                    </w:rPr>
                    <w:t>5</w:t>
                  </w:r>
                </w:p>
              </w:tc>
            </w:tr>
            <w:tr w14:paraId="04A41450">
              <w:tblPrEx>
                <w:tblBorders>
                  <w:top w:val="single" w:color="auto" w:sz="8" w:space="0"/>
                  <w:left w:val="none" w:color="auto" w:sz="6" w:space="0"/>
                  <w:bottom w:val="single" w:color="auto" w:sz="8" w:space="0"/>
                  <w:right w:val="none" w:color="auto" w:sz="6"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59" w:type="dxa"/>
                  <w:vMerge w:val="continue"/>
                  <w:tcBorders>
                    <w:left w:val="single" w:color="auto" w:sz="4" w:space="0"/>
                    <w:right w:val="single" w:color="auto" w:sz="4" w:space="0"/>
                  </w:tcBorders>
                  <w:noWrap w:val="0"/>
                  <w:vAlign w:val="center"/>
                </w:tcPr>
                <w:p w14:paraId="64073E6A">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kern w:val="2"/>
                      <w:sz w:val="21"/>
                      <w:szCs w:val="21"/>
                    </w:rPr>
                  </w:pPr>
                </w:p>
              </w:tc>
              <w:tc>
                <w:tcPr>
                  <w:tcW w:w="947" w:type="dxa"/>
                  <w:vMerge w:val="continue"/>
                  <w:tcBorders>
                    <w:left w:val="single" w:color="auto" w:sz="4" w:space="0"/>
                    <w:right w:val="single" w:color="auto" w:sz="4" w:space="0"/>
                  </w:tcBorders>
                  <w:noWrap w:val="0"/>
                  <w:vAlign w:val="center"/>
                </w:tcPr>
                <w:p w14:paraId="6237102D">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kern w:val="2"/>
                      <w:sz w:val="21"/>
                      <w:szCs w:val="21"/>
                    </w:rPr>
                  </w:pPr>
                </w:p>
              </w:tc>
              <w:tc>
                <w:tcPr>
                  <w:tcW w:w="5488" w:type="dxa"/>
                  <w:tcBorders>
                    <w:top w:val="single" w:color="auto" w:sz="4" w:space="0"/>
                    <w:left w:val="single" w:color="auto" w:sz="4" w:space="0"/>
                    <w:bottom w:val="single" w:color="auto" w:sz="4" w:space="0"/>
                    <w:right w:val="single" w:color="auto" w:sz="4" w:space="0"/>
                  </w:tcBorders>
                  <w:noWrap w:val="0"/>
                  <w:vAlign w:val="center"/>
                </w:tcPr>
                <w:p w14:paraId="25D196C7">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cs="Times New Roman"/>
                      <w:sz w:val="21"/>
                      <w:szCs w:val="21"/>
                      <w:lang w:val="en-US" w:eastAsia="zh-CN"/>
                    </w:rPr>
                  </w:pPr>
                  <w:r>
                    <w:rPr>
                      <w:rFonts w:hint="default" w:ascii="Times New Roman" w:hAnsi="Times New Roman" w:eastAsia="宋体" w:cs="Times New Roman"/>
                      <w:kern w:val="2"/>
                      <w:sz w:val="21"/>
                      <w:szCs w:val="21"/>
                      <w:lang w:val="en-US" w:eastAsia="zh-CN" w:bidi="ar-SA"/>
                    </w:rPr>
                    <w:t>物料运转、转载</w:t>
                  </w:r>
                  <w:r>
                    <w:rPr>
                      <w:rFonts w:hint="eastAsia" w:ascii="Times New Roman" w:hAnsi="Times New Roman" w:eastAsia="宋体" w:cs="Times New Roman"/>
                      <w:kern w:val="2"/>
                      <w:sz w:val="21"/>
                      <w:szCs w:val="21"/>
                      <w:lang w:val="en-US" w:eastAsia="zh-CN" w:bidi="ar-SA"/>
                    </w:rPr>
                    <w:t>过程中采用封闭廊道，喷雾除尘的方式减少粉尘量</w:t>
                  </w:r>
                </w:p>
              </w:tc>
              <w:tc>
                <w:tcPr>
                  <w:tcW w:w="1158" w:type="dxa"/>
                  <w:tcBorders>
                    <w:top w:val="single" w:color="auto" w:sz="4" w:space="0"/>
                    <w:left w:val="single" w:color="auto" w:sz="4" w:space="0"/>
                    <w:bottom w:val="single" w:color="auto" w:sz="4" w:space="0"/>
                    <w:right w:val="single" w:color="auto" w:sz="4" w:space="0"/>
                  </w:tcBorders>
                  <w:noWrap w:val="0"/>
                  <w:vAlign w:val="center"/>
                </w:tcPr>
                <w:p w14:paraId="2EB123CC">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kern w:val="2"/>
                      <w:sz w:val="21"/>
                      <w:szCs w:val="21"/>
                      <w:lang w:val="en-US" w:eastAsia="zh-CN" w:bidi="ar"/>
                    </w:rPr>
                  </w:pPr>
                  <w:r>
                    <w:rPr>
                      <w:rFonts w:hint="eastAsia" w:ascii="Times New Roman" w:hAnsi="Times New Roman" w:eastAsia="宋体" w:cs="Times New Roman"/>
                      <w:b w:val="0"/>
                      <w:bCs/>
                      <w:kern w:val="2"/>
                      <w:sz w:val="21"/>
                      <w:szCs w:val="21"/>
                      <w:lang w:val="en-US" w:eastAsia="zh-CN" w:bidi="ar"/>
                    </w:rPr>
                    <w:t>3</w:t>
                  </w:r>
                </w:p>
              </w:tc>
            </w:tr>
            <w:tr w14:paraId="3E5A3959">
              <w:tblPrEx>
                <w:tblBorders>
                  <w:top w:val="single" w:color="auto" w:sz="8" w:space="0"/>
                  <w:left w:val="none" w:color="auto" w:sz="6" w:space="0"/>
                  <w:bottom w:val="single" w:color="auto" w:sz="8" w:space="0"/>
                  <w:right w:val="none" w:color="auto" w:sz="6"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59" w:type="dxa"/>
                  <w:vMerge w:val="continue"/>
                  <w:tcBorders>
                    <w:left w:val="single" w:color="auto" w:sz="4" w:space="0"/>
                    <w:right w:val="single" w:color="auto" w:sz="4" w:space="0"/>
                  </w:tcBorders>
                  <w:noWrap w:val="0"/>
                  <w:vAlign w:val="center"/>
                </w:tcPr>
                <w:p w14:paraId="313EED65">
                  <w:pPr>
                    <w:keepNext w:val="0"/>
                    <w:keepLines w:val="0"/>
                    <w:pageBreakBefore w:val="0"/>
                    <w:widowControl w:val="0"/>
                    <w:suppressLineNumbers w:val="0"/>
                    <w:kinsoku/>
                    <w:wordWrap/>
                    <w:overflowPunct/>
                    <w:topLinePunct w:val="0"/>
                    <w:autoSpaceDN/>
                    <w:bidi w:val="0"/>
                    <w:spacing w:before="0" w:beforeAutospacing="0" w:after="0" w:afterAutospacing="0"/>
                    <w:ind w:left="0" w:right="0"/>
                    <w:jc w:val="center"/>
                    <w:textAlignment w:val="auto"/>
                    <w:rPr>
                      <w:rFonts w:hint="default" w:ascii="Times New Roman" w:hAnsi="Times New Roman" w:cs="Times New Roman"/>
                      <w:sz w:val="21"/>
                      <w:szCs w:val="21"/>
                    </w:rPr>
                  </w:pPr>
                </w:p>
              </w:tc>
              <w:tc>
                <w:tcPr>
                  <w:tcW w:w="947" w:type="dxa"/>
                  <w:vMerge w:val="restart"/>
                  <w:tcBorders>
                    <w:top w:val="single" w:color="auto" w:sz="4" w:space="0"/>
                    <w:left w:val="single" w:color="auto" w:sz="4" w:space="0"/>
                    <w:right w:val="single" w:color="auto" w:sz="4" w:space="0"/>
                  </w:tcBorders>
                  <w:noWrap w:val="0"/>
                  <w:vAlign w:val="center"/>
                </w:tcPr>
                <w:p w14:paraId="019E45E7">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kern w:val="2"/>
                      <w:sz w:val="21"/>
                      <w:szCs w:val="21"/>
                    </w:rPr>
                  </w:pPr>
                  <w:r>
                    <w:rPr>
                      <w:rFonts w:hint="default" w:ascii="Times New Roman" w:hAnsi="Times New Roman" w:eastAsia="宋体" w:cs="Times New Roman"/>
                      <w:b w:val="0"/>
                      <w:bCs/>
                      <w:kern w:val="2"/>
                      <w:sz w:val="21"/>
                      <w:szCs w:val="21"/>
                      <w:lang w:val="en-US" w:eastAsia="zh-CN" w:bidi="ar"/>
                    </w:rPr>
                    <w:t>废水</w:t>
                  </w:r>
                </w:p>
              </w:tc>
              <w:tc>
                <w:tcPr>
                  <w:tcW w:w="5488" w:type="dxa"/>
                  <w:tcBorders>
                    <w:top w:val="single" w:color="auto" w:sz="4" w:space="0"/>
                    <w:left w:val="single" w:color="auto" w:sz="4" w:space="0"/>
                    <w:bottom w:val="single" w:color="auto" w:sz="4" w:space="0"/>
                    <w:right w:val="single" w:color="auto" w:sz="4" w:space="0"/>
                  </w:tcBorders>
                  <w:noWrap w:val="0"/>
                  <w:vAlign w:val="center"/>
                </w:tcPr>
                <w:p w14:paraId="4ED94B4A">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kern w:val="2"/>
                      <w:sz w:val="21"/>
                      <w:szCs w:val="21"/>
                      <w:vertAlign w:val="baseline"/>
                      <w:lang w:val="en-US" w:eastAsia="zh-CN"/>
                    </w:rPr>
                  </w:pPr>
                  <w:r>
                    <w:rPr>
                      <w:rFonts w:hint="default" w:ascii="Times New Roman" w:hAnsi="Times New Roman" w:eastAsia="宋体" w:cs="Times New Roman"/>
                      <w:b w:val="0"/>
                      <w:bCs/>
                      <w:kern w:val="2"/>
                      <w:sz w:val="21"/>
                      <w:szCs w:val="21"/>
                      <w:lang w:val="en-US" w:eastAsia="zh-CN"/>
                    </w:rPr>
                    <w:t>办公生活区设置</w:t>
                  </w:r>
                  <w:r>
                    <w:rPr>
                      <w:rFonts w:hint="eastAsia" w:ascii="Times New Roman" w:hAnsi="Times New Roman" w:eastAsia="宋体" w:cs="Times New Roman"/>
                      <w:b w:val="0"/>
                      <w:bCs/>
                      <w:kern w:val="2"/>
                      <w:sz w:val="21"/>
                      <w:szCs w:val="21"/>
                      <w:lang w:val="en-US" w:eastAsia="zh-CN"/>
                    </w:rPr>
                    <w:t>一体化污水处理设施</w:t>
                  </w:r>
                  <w:r>
                    <w:rPr>
                      <w:rFonts w:hint="eastAsia" w:ascii="Times New Roman" w:hAnsi="Times New Roman" w:cs="Times New Roman"/>
                      <w:b w:val="0"/>
                      <w:bCs/>
                      <w:kern w:val="2"/>
                      <w:sz w:val="21"/>
                      <w:szCs w:val="21"/>
                      <w:lang w:val="en-US" w:eastAsia="zh-CN"/>
                    </w:rPr>
                    <w:t>、生活污水暂存池</w:t>
                  </w:r>
                </w:p>
              </w:tc>
              <w:tc>
                <w:tcPr>
                  <w:tcW w:w="1158" w:type="dxa"/>
                  <w:tcBorders>
                    <w:top w:val="single" w:color="auto" w:sz="4" w:space="0"/>
                    <w:left w:val="single" w:color="auto" w:sz="4" w:space="0"/>
                    <w:right w:val="single" w:color="auto" w:sz="4" w:space="0"/>
                  </w:tcBorders>
                  <w:noWrap w:val="0"/>
                  <w:vAlign w:val="center"/>
                </w:tcPr>
                <w:p w14:paraId="3B54A5B7">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kern w:val="2"/>
                      <w:sz w:val="21"/>
                      <w:szCs w:val="21"/>
                      <w:lang w:val="en-US" w:eastAsia="zh-CN"/>
                    </w:rPr>
                  </w:pPr>
                  <w:r>
                    <w:rPr>
                      <w:rFonts w:hint="eastAsia" w:ascii="Times New Roman" w:hAnsi="Times New Roman" w:eastAsia="宋体" w:cs="Times New Roman"/>
                      <w:b w:val="0"/>
                      <w:bCs/>
                      <w:kern w:val="2"/>
                      <w:sz w:val="21"/>
                      <w:szCs w:val="21"/>
                      <w:lang w:val="en-US" w:eastAsia="zh-CN"/>
                    </w:rPr>
                    <w:t>12</w:t>
                  </w:r>
                </w:p>
              </w:tc>
            </w:tr>
            <w:tr w14:paraId="6D2C180C">
              <w:tblPrEx>
                <w:tblBorders>
                  <w:top w:val="single" w:color="auto" w:sz="8" w:space="0"/>
                  <w:left w:val="none" w:color="auto" w:sz="6" w:space="0"/>
                  <w:bottom w:val="single" w:color="auto" w:sz="8" w:space="0"/>
                  <w:right w:val="none" w:color="auto" w:sz="6"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59" w:type="dxa"/>
                  <w:vMerge w:val="continue"/>
                  <w:tcBorders>
                    <w:left w:val="single" w:color="auto" w:sz="4" w:space="0"/>
                    <w:right w:val="single" w:color="auto" w:sz="4" w:space="0"/>
                  </w:tcBorders>
                  <w:noWrap w:val="0"/>
                  <w:vAlign w:val="center"/>
                </w:tcPr>
                <w:p w14:paraId="61D069E8">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cs="Times New Roman"/>
                      <w:sz w:val="21"/>
                      <w:szCs w:val="21"/>
                    </w:rPr>
                  </w:pPr>
                </w:p>
              </w:tc>
              <w:tc>
                <w:tcPr>
                  <w:tcW w:w="947" w:type="dxa"/>
                  <w:vMerge w:val="continue"/>
                  <w:tcBorders>
                    <w:left w:val="single" w:color="auto" w:sz="4" w:space="0"/>
                    <w:right w:val="single" w:color="auto" w:sz="4" w:space="0"/>
                  </w:tcBorders>
                  <w:noWrap w:val="0"/>
                  <w:vAlign w:val="center"/>
                </w:tcPr>
                <w:p w14:paraId="552980DC">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cs="Times New Roman"/>
                      <w:sz w:val="21"/>
                      <w:szCs w:val="21"/>
                    </w:rPr>
                  </w:pPr>
                </w:p>
              </w:tc>
              <w:tc>
                <w:tcPr>
                  <w:tcW w:w="5488" w:type="dxa"/>
                  <w:tcBorders>
                    <w:top w:val="single" w:color="auto" w:sz="4" w:space="0"/>
                    <w:left w:val="single" w:color="auto" w:sz="4" w:space="0"/>
                    <w:bottom w:val="single" w:color="auto" w:sz="4" w:space="0"/>
                    <w:right w:val="single" w:color="auto" w:sz="4" w:space="0"/>
                  </w:tcBorders>
                  <w:noWrap w:val="0"/>
                  <w:vAlign w:val="center"/>
                </w:tcPr>
                <w:p w14:paraId="2E2F5658">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kern w:val="2"/>
                      <w:sz w:val="21"/>
                      <w:szCs w:val="21"/>
                      <w:lang w:val="en-US" w:eastAsia="zh-CN"/>
                    </w:rPr>
                  </w:pPr>
                  <w:r>
                    <w:rPr>
                      <w:rFonts w:hint="default" w:ascii="Times New Roman" w:hAnsi="Times New Roman" w:eastAsia="宋体" w:cs="Times New Roman"/>
                      <w:b w:val="0"/>
                      <w:bCs/>
                      <w:kern w:val="2"/>
                      <w:sz w:val="21"/>
                      <w:szCs w:val="21"/>
                      <w:lang w:val="en-US" w:eastAsia="zh-CN"/>
                    </w:rPr>
                    <w:t>洗车平台处设置20m</w:t>
                  </w:r>
                  <w:r>
                    <w:rPr>
                      <w:rFonts w:hint="default" w:ascii="Times New Roman" w:hAnsi="Times New Roman" w:eastAsia="宋体" w:cs="Times New Roman"/>
                      <w:b w:val="0"/>
                      <w:bCs/>
                      <w:kern w:val="2"/>
                      <w:sz w:val="21"/>
                      <w:szCs w:val="21"/>
                      <w:vertAlign w:val="superscript"/>
                      <w:lang w:val="en-US" w:eastAsia="zh-CN"/>
                    </w:rPr>
                    <w:t>3</w:t>
                  </w:r>
                  <w:r>
                    <w:rPr>
                      <w:rFonts w:hint="default" w:ascii="Times New Roman" w:hAnsi="Times New Roman" w:eastAsia="宋体" w:cs="Times New Roman"/>
                      <w:b w:val="0"/>
                      <w:bCs/>
                      <w:kern w:val="2"/>
                      <w:sz w:val="21"/>
                      <w:szCs w:val="21"/>
                      <w:vertAlign w:val="baseline"/>
                      <w:lang w:val="en-US" w:eastAsia="zh-CN"/>
                    </w:rPr>
                    <w:t>沉淀池一座</w:t>
                  </w:r>
                </w:p>
              </w:tc>
              <w:tc>
                <w:tcPr>
                  <w:tcW w:w="1158" w:type="dxa"/>
                  <w:tcBorders>
                    <w:left w:val="single" w:color="auto" w:sz="4" w:space="0"/>
                    <w:bottom w:val="single" w:color="auto" w:sz="4" w:space="0"/>
                    <w:right w:val="single" w:color="auto" w:sz="4" w:space="0"/>
                  </w:tcBorders>
                  <w:noWrap w:val="0"/>
                  <w:vAlign w:val="center"/>
                </w:tcPr>
                <w:p w14:paraId="2B9CD31C">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kern w:val="2"/>
                      <w:sz w:val="21"/>
                      <w:szCs w:val="21"/>
                      <w:lang w:val="en-US" w:eastAsia="zh-CN"/>
                    </w:rPr>
                  </w:pPr>
                  <w:r>
                    <w:rPr>
                      <w:rFonts w:hint="eastAsia" w:ascii="Times New Roman" w:hAnsi="Times New Roman" w:eastAsia="宋体" w:cs="Times New Roman"/>
                      <w:b w:val="0"/>
                      <w:bCs/>
                      <w:kern w:val="2"/>
                      <w:sz w:val="21"/>
                      <w:szCs w:val="21"/>
                      <w:lang w:val="en-US" w:eastAsia="zh-CN"/>
                    </w:rPr>
                    <w:t>6</w:t>
                  </w:r>
                </w:p>
              </w:tc>
            </w:tr>
            <w:tr w14:paraId="6D344883">
              <w:tblPrEx>
                <w:tblBorders>
                  <w:top w:val="single" w:color="auto" w:sz="8" w:space="0"/>
                  <w:left w:val="none" w:color="auto" w:sz="6" w:space="0"/>
                  <w:bottom w:val="single" w:color="auto" w:sz="8" w:space="0"/>
                  <w:right w:val="none" w:color="auto" w:sz="6"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59" w:type="dxa"/>
                  <w:vMerge w:val="continue"/>
                  <w:tcBorders>
                    <w:left w:val="single" w:color="auto" w:sz="4" w:space="0"/>
                    <w:right w:val="single" w:color="auto" w:sz="4" w:space="0"/>
                  </w:tcBorders>
                  <w:noWrap w:val="0"/>
                  <w:vAlign w:val="center"/>
                </w:tcPr>
                <w:p w14:paraId="345DD233">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cs="Times New Roman"/>
                      <w:sz w:val="21"/>
                      <w:szCs w:val="21"/>
                    </w:rPr>
                  </w:pPr>
                </w:p>
              </w:tc>
              <w:tc>
                <w:tcPr>
                  <w:tcW w:w="947" w:type="dxa"/>
                  <w:vMerge w:val="continue"/>
                  <w:tcBorders>
                    <w:left w:val="single" w:color="auto" w:sz="4" w:space="0"/>
                    <w:bottom w:val="single" w:color="auto" w:sz="4" w:space="0"/>
                    <w:right w:val="single" w:color="auto" w:sz="4" w:space="0"/>
                  </w:tcBorders>
                  <w:noWrap w:val="0"/>
                  <w:vAlign w:val="center"/>
                </w:tcPr>
                <w:p w14:paraId="168884D1">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cs="Times New Roman"/>
                      <w:sz w:val="21"/>
                      <w:szCs w:val="21"/>
                    </w:rPr>
                  </w:pPr>
                </w:p>
              </w:tc>
              <w:tc>
                <w:tcPr>
                  <w:tcW w:w="5488" w:type="dxa"/>
                  <w:tcBorders>
                    <w:top w:val="single" w:color="auto" w:sz="4" w:space="0"/>
                    <w:left w:val="single" w:color="auto" w:sz="4" w:space="0"/>
                    <w:bottom w:val="single" w:color="auto" w:sz="4" w:space="0"/>
                    <w:right w:val="single" w:color="auto" w:sz="4" w:space="0"/>
                  </w:tcBorders>
                  <w:noWrap w:val="0"/>
                  <w:vAlign w:val="center"/>
                </w:tcPr>
                <w:p w14:paraId="524B004D">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kern w:val="2"/>
                      <w:sz w:val="21"/>
                      <w:szCs w:val="21"/>
                      <w:lang w:val="en-US" w:eastAsia="zh-CN"/>
                    </w:rPr>
                  </w:pPr>
                  <w:r>
                    <w:rPr>
                      <w:rFonts w:hint="default" w:ascii="Times New Roman" w:hAnsi="Times New Roman" w:eastAsia="宋体" w:cs="Times New Roman"/>
                      <w:b w:val="0"/>
                      <w:bCs/>
                      <w:kern w:val="2"/>
                      <w:sz w:val="21"/>
                      <w:szCs w:val="21"/>
                      <w:lang w:val="en-US" w:eastAsia="zh-CN"/>
                    </w:rPr>
                    <w:t>洗选厂房内设置循环水池、事故水池</w:t>
                  </w:r>
                </w:p>
              </w:tc>
              <w:tc>
                <w:tcPr>
                  <w:tcW w:w="1158" w:type="dxa"/>
                  <w:tcBorders>
                    <w:left w:val="single" w:color="auto" w:sz="4" w:space="0"/>
                    <w:bottom w:val="single" w:color="auto" w:sz="4" w:space="0"/>
                    <w:right w:val="single" w:color="auto" w:sz="4" w:space="0"/>
                  </w:tcBorders>
                  <w:noWrap w:val="0"/>
                  <w:vAlign w:val="center"/>
                </w:tcPr>
                <w:p w14:paraId="06202A73">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kern w:val="2"/>
                      <w:sz w:val="21"/>
                      <w:szCs w:val="21"/>
                      <w:lang w:val="en-US" w:eastAsia="zh-CN"/>
                    </w:rPr>
                  </w:pPr>
                  <w:r>
                    <w:rPr>
                      <w:rFonts w:hint="eastAsia" w:ascii="Times New Roman" w:hAnsi="Times New Roman" w:eastAsia="宋体" w:cs="Times New Roman"/>
                      <w:b w:val="0"/>
                      <w:bCs/>
                      <w:kern w:val="2"/>
                      <w:sz w:val="21"/>
                      <w:szCs w:val="21"/>
                      <w:lang w:val="en-US" w:eastAsia="zh-CN"/>
                    </w:rPr>
                    <w:t>8</w:t>
                  </w:r>
                </w:p>
              </w:tc>
            </w:tr>
            <w:tr w14:paraId="66CE1CEE">
              <w:tblPrEx>
                <w:tblBorders>
                  <w:top w:val="single" w:color="auto" w:sz="8" w:space="0"/>
                  <w:left w:val="none" w:color="auto" w:sz="6" w:space="0"/>
                  <w:bottom w:val="single" w:color="auto" w:sz="8" w:space="0"/>
                  <w:right w:val="none" w:color="auto" w:sz="6"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59" w:type="dxa"/>
                  <w:vMerge w:val="continue"/>
                  <w:tcBorders>
                    <w:left w:val="single" w:color="auto" w:sz="4" w:space="0"/>
                    <w:right w:val="single" w:color="auto" w:sz="4" w:space="0"/>
                  </w:tcBorders>
                  <w:noWrap w:val="0"/>
                  <w:vAlign w:val="center"/>
                </w:tcPr>
                <w:p w14:paraId="2E67A075">
                  <w:pPr>
                    <w:keepNext w:val="0"/>
                    <w:keepLines w:val="0"/>
                    <w:pageBreakBefore w:val="0"/>
                    <w:widowControl w:val="0"/>
                    <w:suppressLineNumbers w:val="0"/>
                    <w:kinsoku/>
                    <w:wordWrap/>
                    <w:overflowPunct/>
                    <w:topLinePunct w:val="0"/>
                    <w:autoSpaceDN/>
                    <w:bidi w:val="0"/>
                    <w:spacing w:before="0" w:beforeAutospacing="0" w:after="0" w:afterAutospacing="0"/>
                    <w:ind w:left="0" w:right="0"/>
                    <w:jc w:val="center"/>
                    <w:textAlignment w:val="auto"/>
                    <w:rPr>
                      <w:rFonts w:hint="default" w:ascii="Times New Roman" w:hAnsi="Times New Roman" w:cs="Times New Roman"/>
                      <w:sz w:val="21"/>
                      <w:szCs w:val="21"/>
                    </w:rPr>
                  </w:pPr>
                </w:p>
              </w:tc>
              <w:tc>
                <w:tcPr>
                  <w:tcW w:w="947" w:type="dxa"/>
                  <w:vMerge w:val="restart"/>
                  <w:tcBorders>
                    <w:top w:val="single" w:color="auto" w:sz="4" w:space="0"/>
                    <w:left w:val="single" w:color="auto" w:sz="4" w:space="0"/>
                    <w:right w:val="single" w:color="auto" w:sz="4" w:space="0"/>
                  </w:tcBorders>
                  <w:noWrap w:val="0"/>
                  <w:vAlign w:val="center"/>
                </w:tcPr>
                <w:p w14:paraId="79B55A0D">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kern w:val="2"/>
                      <w:sz w:val="21"/>
                      <w:szCs w:val="21"/>
                    </w:rPr>
                  </w:pPr>
                  <w:r>
                    <w:rPr>
                      <w:rFonts w:hint="default" w:ascii="Times New Roman" w:hAnsi="Times New Roman" w:eastAsia="宋体" w:cs="Times New Roman"/>
                      <w:b w:val="0"/>
                      <w:bCs/>
                      <w:kern w:val="2"/>
                      <w:sz w:val="21"/>
                      <w:szCs w:val="21"/>
                      <w:lang w:val="en-US" w:eastAsia="zh-CN" w:bidi="ar"/>
                    </w:rPr>
                    <w:t>固体废物处置</w:t>
                  </w:r>
                </w:p>
              </w:tc>
              <w:tc>
                <w:tcPr>
                  <w:tcW w:w="5488" w:type="dxa"/>
                  <w:tcBorders>
                    <w:top w:val="single" w:color="auto" w:sz="4" w:space="0"/>
                    <w:left w:val="single" w:color="auto" w:sz="4" w:space="0"/>
                    <w:bottom w:val="single" w:color="auto" w:sz="4" w:space="0"/>
                    <w:right w:val="single" w:color="auto" w:sz="4" w:space="0"/>
                  </w:tcBorders>
                  <w:noWrap w:val="0"/>
                  <w:vAlign w:val="center"/>
                </w:tcPr>
                <w:p w14:paraId="0AB9259D">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kern w:val="2"/>
                      <w:sz w:val="21"/>
                      <w:szCs w:val="21"/>
                      <w:lang w:val="en-US" w:eastAsia="zh-CN"/>
                    </w:rPr>
                  </w:pPr>
                  <w:r>
                    <w:rPr>
                      <w:rFonts w:hint="default" w:ascii="Times New Roman" w:hAnsi="Times New Roman" w:eastAsia="宋体" w:cs="Times New Roman"/>
                      <w:b w:val="0"/>
                      <w:bCs/>
                      <w:kern w:val="2"/>
                      <w:sz w:val="21"/>
                      <w:szCs w:val="21"/>
                      <w:lang w:val="en-US" w:eastAsia="zh-CN"/>
                    </w:rPr>
                    <w:t>在厂内设置垃圾箱收集后由环卫部门统一清运</w:t>
                  </w:r>
                </w:p>
              </w:tc>
              <w:tc>
                <w:tcPr>
                  <w:tcW w:w="1158" w:type="dxa"/>
                  <w:tcBorders>
                    <w:top w:val="single" w:color="auto" w:sz="4" w:space="0"/>
                    <w:left w:val="single" w:color="auto" w:sz="4" w:space="0"/>
                    <w:bottom w:val="single" w:color="auto" w:sz="4" w:space="0"/>
                    <w:right w:val="single" w:color="auto" w:sz="4" w:space="0"/>
                  </w:tcBorders>
                  <w:noWrap w:val="0"/>
                  <w:vAlign w:val="center"/>
                </w:tcPr>
                <w:p w14:paraId="5CF77A43">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kern w:val="2"/>
                      <w:sz w:val="21"/>
                      <w:szCs w:val="21"/>
                      <w:lang w:val="en-US"/>
                    </w:rPr>
                  </w:pPr>
                  <w:r>
                    <w:rPr>
                      <w:rFonts w:hint="eastAsia" w:ascii="Times New Roman" w:hAnsi="Times New Roman" w:eastAsia="宋体" w:cs="Times New Roman"/>
                      <w:b w:val="0"/>
                      <w:bCs/>
                      <w:kern w:val="2"/>
                      <w:sz w:val="21"/>
                      <w:szCs w:val="21"/>
                      <w:lang w:val="en-US" w:eastAsia="zh-CN" w:bidi="ar"/>
                    </w:rPr>
                    <w:t>4</w:t>
                  </w:r>
                </w:p>
              </w:tc>
            </w:tr>
            <w:tr w14:paraId="1306A218">
              <w:tblPrEx>
                <w:tblBorders>
                  <w:top w:val="single" w:color="auto" w:sz="8" w:space="0"/>
                  <w:left w:val="none" w:color="auto" w:sz="6" w:space="0"/>
                  <w:bottom w:val="single" w:color="auto" w:sz="8" w:space="0"/>
                  <w:right w:val="none" w:color="auto" w:sz="6"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59" w:type="dxa"/>
                  <w:vMerge w:val="continue"/>
                  <w:tcBorders>
                    <w:left w:val="single" w:color="auto" w:sz="4" w:space="0"/>
                    <w:right w:val="single" w:color="auto" w:sz="4" w:space="0"/>
                  </w:tcBorders>
                  <w:noWrap w:val="0"/>
                  <w:vAlign w:val="center"/>
                </w:tcPr>
                <w:p w14:paraId="589F9B21">
                  <w:pPr>
                    <w:keepNext w:val="0"/>
                    <w:keepLines w:val="0"/>
                    <w:pageBreakBefore w:val="0"/>
                    <w:widowControl w:val="0"/>
                    <w:suppressLineNumbers w:val="0"/>
                    <w:kinsoku/>
                    <w:wordWrap/>
                    <w:overflowPunct/>
                    <w:topLinePunct w:val="0"/>
                    <w:autoSpaceDN/>
                    <w:bidi w:val="0"/>
                    <w:spacing w:before="0" w:beforeAutospacing="0" w:after="0" w:afterAutospacing="0"/>
                    <w:ind w:left="0" w:right="0"/>
                    <w:jc w:val="center"/>
                    <w:textAlignment w:val="auto"/>
                    <w:rPr>
                      <w:rFonts w:hint="default" w:ascii="Times New Roman" w:hAnsi="Times New Roman" w:cs="Times New Roman"/>
                      <w:sz w:val="21"/>
                      <w:szCs w:val="21"/>
                    </w:rPr>
                  </w:pPr>
                </w:p>
              </w:tc>
              <w:tc>
                <w:tcPr>
                  <w:tcW w:w="947" w:type="dxa"/>
                  <w:vMerge w:val="continue"/>
                  <w:tcBorders>
                    <w:left w:val="single" w:color="auto" w:sz="4" w:space="0"/>
                    <w:right w:val="single" w:color="auto" w:sz="4" w:space="0"/>
                  </w:tcBorders>
                  <w:noWrap w:val="0"/>
                  <w:vAlign w:val="center"/>
                </w:tcPr>
                <w:p w14:paraId="76C9C1D0">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kern w:val="2"/>
                      <w:sz w:val="21"/>
                      <w:szCs w:val="21"/>
                      <w:lang w:val="en-US" w:eastAsia="zh-CN" w:bidi="ar"/>
                    </w:rPr>
                  </w:pPr>
                </w:p>
              </w:tc>
              <w:tc>
                <w:tcPr>
                  <w:tcW w:w="5488" w:type="dxa"/>
                  <w:tcBorders>
                    <w:top w:val="single" w:color="auto" w:sz="4" w:space="0"/>
                    <w:left w:val="single" w:color="auto" w:sz="4" w:space="0"/>
                    <w:bottom w:val="single" w:color="auto" w:sz="4" w:space="0"/>
                    <w:right w:val="single" w:color="auto" w:sz="4" w:space="0"/>
                  </w:tcBorders>
                  <w:noWrap w:val="0"/>
                  <w:vAlign w:val="center"/>
                </w:tcPr>
                <w:p w14:paraId="00FE5FD2">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kern w:val="2"/>
                      <w:sz w:val="21"/>
                      <w:szCs w:val="21"/>
                      <w:lang w:val="en-US" w:eastAsia="zh-CN"/>
                    </w:rPr>
                  </w:pPr>
                  <w:r>
                    <w:rPr>
                      <w:rFonts w:hint="default" w:ascii="Times New Roman" w:hAnsi="Times New Roman" w:cs="Times New Roman"/>
                      <w:spacing w:val="-4"/>
                      <w:sz w:val="21"/>
                      <w:szCs w:val="21"/>
                      <w:lang w:val="en-US" w:eastAsia="zh-CN"/>
                    </w:rPr>
                    <w:t>原料棚设置20m</w:t>
                  </w:r>
                  <w:r>
                    <w:rPr>
                      <w:rFonts w:hint="default" w:ascii="Times New Roman" w:hAnsi="Times New Roman" w:cs="Times New Roman"/>
                      <w:spacing w:val="-4"/>
                      <w:sz w:val="21"/>
                      <w:szCs w:val="21"/>
                      <w:vertAlign w:val="superscript"/>
                      <w:lang w:val="en-US" w:eastAsia="zh-CN"/>
                    </w:rPr>
                    <w:t>2</w:t>
                  </w:r>
                  <w:r>
                    <w:rPr>
                      <w:rFonts w:hint="eastAsia" w:ascii="Times New Roman" w:hAnsi="Times New Roman" w:cs="Times New Roman"/>
                      <w:spacing w:val="-4"/>
                      <w:sz w:val="21"/>
                      <w:szCs w:val="21"/>
                      <w:vertAlign w:val="baseline"/>
                      <w:lang w:val="en-US" w:eastAsia="zh-CN"/>
                    </w:rPr>
                    <w:t>一般固废暂存区</w:t>
                  </w:r>
                  <w:r>
                    <w:rPr>
                      <w:rFonts w:hint="default" w:ascii="Times New Roman" w:hAnsi="Times New Roman" w:cs="Times New Roman"/>
                      <w:spacing w:val="-4"/>
                      <w:sz w:val="21"/>
                      <w:szCs w:val="21"/>
                      <w:lang w:val="en-US" w:eastAsia="zh-CN"/>
                    </w:rPr>
                    <w:t>堆放储存煤泥杂质</w:t>
                  </w:r>
                </w:p>
              </w:tc>
              <w:tc>
                <w:tcPr>
                  <w:tcW w:w="1158" w:type="dxa"/>
                  <w:tcBorders>
                    <w:top w:val="single" w:color="auto" w:sz="4" w:space="0"/>
                    <w:left w:val="single" w:color="auto" w:sz="4" w:space="0"/>
                    <w:bottom w:val="single" w:color="auto" w:sz="4" w:space="0"/>
                    <w:right w:val="single" w:color="auto" w:sz="4" w:space="0"/>
                  </w:tcBorders>
                  <w:noWrap w:val="0"/>
                  <w:vAlign w:val="center"/>
                </w:tcPr>
                <w:p w14:paraId="4A91E494">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kern w:val="2"/>
                      <w:sz w:val="21"/>
                      <w:szCs w:val="21"/>
                      <w:lang w:val="en-US" w:eastAsia="zh-CN" w:bidi="ar"/>
                    </w:rPr>
                  </w:pPr>
                  <w:r>
                    <w:rPr>
                      <w:rFonts w:hint="eastAsia" w:ascii="Times New Roman" w:hAnsi="Times New Roman" w:eastAsia="宋体" w:cs="Times New Roman"/>
                      <w:b w:val="0"/>
                      <w:bCs/>
                      <w:kern w:val="2"/>
                      <w:sz w:val="21"/>
                      <w:szCs w:val="21"/>
                      <w:lang w:val="en-US" w:eastAsia="zh-CN" w:bidi="ar"/>
                    </w:rPr>
                    <w:t>6</w:t>
                  </w:r>
                </w:p>
              </w:tc>
            </w:tr>
            <w:tr w14:paraId="053E256C">
              <w:tblPrEx>
                <w:tblBorders>
                  <w:top w:val="single" w:color="auto" w:sz="8" w:space="0"/>
                  <w:left w:val="none" w:color="auto" w:sz="6" w:space="0"/>
                  <w:bottom w:val="single" w:color="auto" w:sz="8" w:space="0"/>
                  <w:right w:val="none" w:color="auto" w:sz="6"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59" w:type="dxa"/>
                  <w:vMerge w:val="continue"/>
                  <w:tcBorders>
                    <w:left w:val="single" w:color="auto" w:sz="4" w:space="0"/>
                    <w:right w:val="single" w:color="auto" w:sz="4" w:space="0"/>
                  </w:tcBorders>
                  <w:noWrap w:val="0"/>
                  <w:vAlign w:val="center"/>
                </w:tcPr>
                <w:p w14:paraId="57DCD483">
                  <w:pPr>
                    <w:keepNext w:val="0"/>
                    <w:keepLines w:val="0"/>
                    <w:pageBreakBefore w:val="0"/>
                    <w:widowControl w:val="0"/>
                    <w:suppressLineNumbers w:val="0"/>
                    <w:kinsoku/>
                    <w:wordWrap/>
                    <w:overflowPunct/>
                    <w:topLinePunct w:val="0"/>
                    <w:autoSpaceDN/>
                    <w:bidi w:val="0"/>
                    <w:spacing w:before="0" w:beforeAutospacing="0" w:after="0" w:afterAutospacing="0"/>
                    <w:ind w:left="0" w:right="0"/>
                    <w:jc w:val="center"/>
                    <w:textAlignment w:val="auto"/>
                    <w:rPr>
                      <w:rFonts w:hint="default" w:ascii="Times New Roman" w:hAnsi="Times New Roman" w:cs="Times New Roman"/>
                      <w:sz w:val="21"/>
                      <w:szCs w:val="21"/>
                    </w:rPr>
                  </w:pPr>
                </w:p>
              </w:tc>
              <w:tc>
                <w:tcPr>
                  <w:tcW w:w="947" w:type="dxa"/>
                  <w:vMerge w:val="continue"/>
                  <w:tcBorders>
                    <w:left w:val="single" w:color="auto" w:sz="4" w:space="0"/>
                    <w:bottom w:val="single" w:color="auto" w:sz="4" w:space="0"/>
                    <w:right w:val="single" w:color="auto" w:sz="4" w:space="0"/>
                  </w:tcBorders>
                  <w:noWrap w:val="0"/>
                  <w:vAlign w:val="center"/>
                </w:tcPr>
                <w:p w14:paraId="4A251215">
                  <w:pPr>
                    <w:keepNext w:val="0"/>
                    <w:keepLines w:val="0"/>
                    <w:pageBreakBefore w:val="0"/>
                    <w:widowControl w:val="0"/>
                    <w:suppressLineNumbers w:val="0"/>
                    <w:kinsoku/>
                    <w:wordWrap/>
                    <w:overflowPunct/>
                    <w:topLinePunct w:val="0"/>
                    <w:autoSpaceDN/>
                    <w:bidi w:val="0"/>
                    <w:spacing w:before="0" w:beforeAutospacing="0" w:after="0" w:afterAutospacing="0"/>
                    <w:ind w:left="0" w:right="0"/>
                    <w:jc w:val="center"/>
                    <w:textAlignment w:val="auto"/>
                    <w:rPr>
                      <w:rFonts w:hint="default" w:ascii="Times New Roman" w:hAnsi="Times New Roman" w:cs="Times New Roman"/>
                      <w:sz w:val="21"/>
                      <w:szCs w:val="21"/>
                    </w:rPr>
                  </w:pPr>
                </w:p>
              </w:tc>
              <w:tc>
                <w:tcPr>
                  <w:tcW w:w="5488" w:type="dxa"/>
                  <w:tcBorders>
                    <w:top w:val="single" w:color="auto" w:sz="4" w:space="0"/>
                    <w:left w:val="single" w:color="auto" w:sz="4" w:space="0"/>
                    <w:bottom w:val="single" w:color="auto" w:sz="4" w:space="0"/>
                    <w:right w:val="single" w:color="auto" w:sz="4" w:space="0"/>
                  </w:tcBorders>
                  <w:noWrap w:val="0"/>
                  <w:vAlign w:val="center"/>
                </w:tcPr>
                <w:p w14:paraId="3BA20C94">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kern w:val="2"/>
                      <w:sz w:val="21"/>
                      <w:szCs w:val="21"/>
                      <w:lang w:val="en-US" w:eastAsia="zh-CN"/>
                    </w:rPr>
                  </w:pPr>
                  <w:r>
                    <w:rPr>
                      <w:rFonts w:hint="default" w:ascii="Times New Roman" w:hAnsi="Times New Roman" w:eastAsia="宋体" w:cs="Times New Roman"/>
                      <w:b w:val="0"/>
                      <w:bCs/>
                      <w:kern w:val="2"/>
                      <w:sz w:val="21"/>
                      <w:szCs w:val="21"/>
                      <w:lang w:val="en-US" w:eastAsia="zh-CN"/>
                    </w:rPr>
                    <w:t>设置危废贮存点</w:t>
                  </w:r>
                </w:p>
              </w:tc>
              <w:tc>
                <w:tcPr>
                  <w:tcW w:w="1158" w:type="dxa"/>
                  <w:tcBorders>
                    <w:top w:val="single" w:color="auto" w:sz="4" w:space="0"/>
                    <w:left w:val="single" w:color="auto" w:sz="4" w:space="0"/>
                    <w:bottom w:val="single" w:color="auto" w:sz="4" w:space="0"/>
                    <w:right w:val="single" w:color="auto" w:sz="4" w:space="0"/>
                  </w:tcBorders>
                  <w:noWrap w:val="0"/>
                  <w:vAlign w:val="center"/>
                </w:tcPr>
                <w:p w14:paraId="22B75B52">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cs="Times New Roman"/>
                      <w:b w:val="0"/>
                      <w:bCs/>
                      <w:kern w:val="2"/>
                      <w:sz w:val="21"/>
                      <w:szCs w:val="21"/>
                      <w:lang w:val="en-US" w:eastAsia="zh-CN" w:bidi="ar"/>
                    </w:rPr>
                  </w:pPr>
                  <w:r>
                    <w:rPr>
                      <w:rFonts w:hint="eastAsia" w:ascii="Times New Roman" w:hAnsi="Times New Roman" w:cs="Times New Roman"/>
                      <w:b w:val="0"/>
                      <w:bCs/>
                      <w:kern w:val="2"/>
                      <w:sz w:val="21"/>
                      <w:szCs w:val="21"/>
                      <w:lang w:val="en-US" w:eastAsia="zh-CN" w:bidi="ar"/>
                    </w:rPr>
                    <w:t>8</w:t>
                  </w:r>
                </w:p>
              </w:tc>
            </w:tr>
            <w:tr w14:paraId="78FDADEA">
              <w:tblPrEx>
                <w:tblBorders>
                  <w:top w:val="single" w:color="auto" w:sz="8" w:space="0"/>
                  <w:left w:val="none" w:color="auto" w:sz="6" w:space="0"/>
                  <w:bottom w:val="single" w:color="auto" w:sz="8" w:space="0"/>
                  <w:right w:val="none" w:color="auto" w:sz="6"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59" w:type="dxa"/>
                  <w:vMerge w:val="continue"/>
                  <w:tcBorders>
                    <w:left w:val="single" w:color="auto" w:sz="4" w:space="0"/>
                    <w:right w:val="single" w:color="auto" w:sz="4" w:space="0"/>
                  </w:tcBorders>
                  <w:noWrap w:val="0"/>
                  <w:vAlign w:val="center"/>
                </w:tcPr>
                <w:p w14:paraId="4670FE04">
                  <w:pPr>
                    <w:keepNext w:val="0"/>
                    <w:keepLines w:val="0"/>
                    <w:pageBreakBefore w:val="0"/>
                    <w:widowControl w:val="0"/>
                    <w:suppressLineNumbers w:val="0"/>
                    <w:kinsoku/>
                    <w:wordWrap/>
                    <w:overflowPunct/>
                    <w:topLinePunct w:val="0"/>
                    <w:autoSpaceDN/>
                    <w:bidi w:val="0"/>
                    <w:spacing w:before="0" w:beforeAutospacing="0" w:after="0" w:afterAutospacing="0"/>
                    <w:ind w:left="0" w:right="0"/>
                    <w:jc w:val="center"/>
                    <w:textAlignment w:val="auto"/>
                    <w:rPr>
                      <w:rFonts w:hint="default" w:ascii="Times New Roman" w:hAnsi="Times New Roman" w:cs="Times New Roman"/>
                      <w:sz w:val="21"/>
                      <w:szCs w:val="21"/>
                    </w:rPr>
                  </w:pPr>
                </w:p>
              </w:tc>
              <w:tc>
                <w:tcPr>
                  <w:tcW w:w="947" w:type="dxa"/>
                  <w:tcBorders>
                    <w:top w:val="single" w:color="auto" w:sz="4" w:space="0"/>
                    <w:left w:val="single" w:color="auto" w:sz="4" w:space="0"/>
                    <w:bottom w:val="single" w:color="auto" w:sz="4" w:space="0"/>
                    <w:right w:val="single" w:color="auto" w:sz="4" w:space="0"/>
                  </w:tcBorders>
                  <w:noWrap w:val="0"/>
                  <w:vAlign w:val="center"/>
                </w:tcPr>
                <w:p w14:paraId="175DBDE2">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kern w:val="2"/>
                      <w:sz w:val="21"/>
                      <w:szCs w:val="21"/>
                    </w:rPr>
                  </w:pPr>
                  <w:r>
                    <w:rPr>
                      <w:rFonts w:hint="default" w:ascii="Times New Roman" w:hAnsi="Times New Roman" w:eastAsia="宋体" w:cs="Times New Roman"/>
                      <w:b w:val="0"/>
                      <w:bCs/>
                      <w:kern w:val="2"/>
                      <w:sz w:val="21"/>
                      <w:szCs w:val="21"/>
                      <w:lang w:val="en-US" w:eastAsia="zh-CN" w:bidi="ar"/>
                    </w:rPr>
                    <w:t>噪声管理</w:t>
                  </w:r>
                </w:p>
              </w:tc>
              <w:tc>
                <w:tcPr>
                  <w:tcW w:w="5488" w:type="dxa"/>
                  <w:tcBorders>
                    <w:top w:val="single" w:color="auto" w:sz="4" w:space="0"/>
                    <w:left w:val="single" w:color="auto" w:sz="4" w:space="0"/>
                    <w:bottom w:val="single" w:color="auto" w:sz="4" w:space="0"/>
                    <w:right w:val="single" w:color="auto" w:sz="4" w:space="0"/>
                  </w:tcBorders>
                  <w:noWrap w:val="0"/>
                  <w:vAlign w:val="center"/>
                </w:tcPr>
                <w:p w14:paraId="3DB7BBC5">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kern w:val="2"/>
                      <w:sz w:val="21"/>
                      <w:szCs w:val="21"/>
                    </w:rPr>
                  </w:pPr>
                  <w:r>
                    <w:rPr>
                      <w:rFonts w:hint="default" w:ascii="Times New Roman" w:hAnsi="Times New Roman" w:eastAsia="宋体" w:cs="Times New Roman"/>
                      <w:bCs/>
                      <w:kern w:val="2"/>
                      <w:sz w:val="21"/>
                      <w:szCs w:val="21"/>
                      <w:lang w:val="en-US" w:eastAsia="zh-CN" w:bidi="ar"/>
                    </w:rPr>
                    <w:t>选用低噪声设备，通过基础减震、厂房屏蔽、距离衰减等隔音措施</w:t>
                  </w:r>
                </w:p>
              </w:tc>
              <w:tc>
                <w:tcPr>
                  <w:tcW w:w="1158" w:type="dxa"/>
                  <w:tcBorders>
                    <w:top w:val="single" w:color="auto" w:sz="4" w:space="0"/>
                    <w:left w:val="single" w:color="auto" w:sz="4" w:space="0"/>
                    <w:bottom w:val="single" w:color="auto" w:sz="4" w:space="0"/>
                    <w:right w:val="single" w:color="auto" w:sz="4" w:space="0"/>
                  </w:tcBorders>
                  <w:noWrap w:val="0"/>
                  <w:vAlign w:val="center"/>
                </w:tcPr>
                <w:p w14:paraId="1A6F7F38">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kern w:val="2"/>
                      <w:sz w:val="21"/>
                      <w:szCs w:val="21"/>
                    </w:rPr>
                  </w:pPr>
                  <w:r>
                    <w:rPr>
                      <w:rFonts w:hint="eastAsia" w:ascii="Times New Roman" w:hAnsi="Times New Roman" w:eastAsia="宋体" w:cs="Times New Roman"/>
                      <w:b w:val="0"/>
                      <w:bCs/>
                      <w:kern w:val="2"/>
                      <w:sz w:val="21"/>
                      <w:szCs w:val="21"/>
                      <w:lang w:val="en-US" w:eastAsia="zh-CN" w:bidi="ar"/>
                    </w:rPr>
                    <w:t>2</w:t>
                  </w:r>
                </w:p>
              </w:tc>
            </w:tr>
            <w:tr w14:paraId="69230442">
              <w:tblPrEx>
                <w:tblBorders>
                  <w:top w:val="single" w:color="auto" w:sz="8" w:space="0"/>
                  <w:left w:val="none" w:color="auto" w:sz="6" w:space="0"/>
                  <w:bottom w:val="single" w:color="auto" w:sz="8" w:space="0"/>
                  <w:right w:val="none" w:color="auto" w:sz="6"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59" w:type="dxa"/>
                  <w:vMerge w:val="continue"/>
                  <w:tcBorders>
                    <w:left w:val="single" w:color="auto" w:sz="4" w:space="0"/>
                    <w:right w:val="single" w:color="auto" w:sz="4" w:space="0"/>
                  </w:tcBorders>
                  <w:noWrap w:val="0"/>
                  <w:vAlign w:val="center"/>
                </w:tcPr>
                <w:p w14:paraId="2939F32C">
                  <w:pPr>
                    <w:keepNext w:val="0"/>
                    <w:keepLines w:val="0"/>
                    <w:pageBreakBefore w:val="0"/>
                    <w:widowControl w:val="0"/>
                    <w:suppressLineNumbers w:val="0"/>
                    <w:kinsoku/>
                    <w:wordWrap/>
                    <w:overflowPunct/>
                    <w:topLinePunct w:val="0"/>
                    <w:autoSpaceDN/>
                    <w:bidi w:val="0"/>
                    <w:spacing w:before="0" w:beforeAutospacing="0" w:after="0" w:afterAutospacing="0"/>
                    <w:ind w:left="0" w:right="0"/>
                    <w:jc w:val="center"/>
                    <w:textAlignment w:val="auto"/>
                    <w:rPr>
                      <w:rFonts w:hint="default" w:ascii="Times New Roman" w:hAnsi="Times New Roman" w:cs="Times New Roman"/>
                      <w:sz w:val="21"/>
                      <w:szCs w:val="21"/>
                    </w:rPr>
                  </w:pPr>
                </w:p>
              </w:tc>
              <w:tc>
                <w:tcPr>
                  <w:tcW w:w="947" w:type="dxa"/>
                  <w:tcBorders>
                    <w:top w:val="single" w:color="auto" w:sz="4" w:space="0"/>
                    <w:left w:val="single" w:color="auto" w:sz="4" w:space="0"/>
                    <w:bottom w:val="single" w:color="auto" w:sz="4" w:space="0"/>
                    <w:right w:val="single" w:color="auto" w:sz="4" w:space="0"/>
                  </w:tcBorders>
                  <w:noWrap w:val="0"/>
                  <w:vAlign w:val="center"/>
                </w:tcPr>
                <w:p w14:paraId="0B016975">
                  <w:pPr>
                    <w:keepNext w:val="0"/>
                    <w:keepLines w:val="0"/>
                    <w:pageBreakBefore w:val="0"/>
                    <w:widowControl w:val="0"/>
                    <w:suppressLineNumbers w:val="0"/>
                    <w:kinsoku/>
                    <w:wordWrap/>
                    <w:overflowPunct/>
                    <w:topLinePunct w:val="0"/>
                    <w:autoSpaceDE w:val="0"/>
                    <w:autoSpaceDN/>
                    <w:bidi w:val="0"/>
                    <w:snapToGrid w:val="0"/>
                    <w:spacing w:before="0" w:beforeAutospacing="0" w:after="0" w:afterAutospacing="0"/>
                    <w:ind w:left="0" w:leftChars="0" w:right="0" w:firstLine="0" w:firstLineChars="0"/>
                    <w:jc w:val="center"/>
                    <w:textAlignment w:val="auto"/>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lang w:val="en-US" w:eastAsia="zh-CN" w:bidi="ar"/>
                    </w:rPr>
                    <w:t>防渗</w:t>
                  </w:r>
                </w:p>
              </w:tc>
              <w:tc>
                <w:tcPr>
                  <w:tcW w:w="5488" w:type="dxa"/>
                  <w:tcBorders>
                    <w:top w:val="single" w:color="auto" w:sz="4" w:space="0"/>
                    <w:left w:val="single" w:color="auto" w:sz="4" w:space="0"/>
                    <w:bottom w:val="single" w:color="auto" w:sz="4" w:space="0"/>
                    <w:right w:val="single" w:color="auto" w:sz="4" w:space="0"/>
                  </w:tcBorders>
                  <w:noWrap w:val="0"/>
                  <w:vAlign w:val="center"/>
                </w:tcPr>
                <w:p w14:paraId="21AE462C">
                  <w:pPr>
                    <w:keepNext w:val="0"/>
                    <w:keepLines w:val="0"/>
                    <w:pageBreakBefore w:val="0"/>
                    <w:widowControl w:val="0"/>
                    <w:suppressLineNumbers w:val="0"/>
                    <w:kinsoku/>
                    <w:wordWrap/>
                    <w:overflowPunct/>
                    <w:topLinePunct w:val="0"/>
                    <w:autoSpaceDE w:val="0"/>
                    <w:autoSpaceDN/>
                    <w:bidi w:val="0"/>
                    <w:snapToGrid w:val="0"/>
                    <w:spacing w:before="0" w:beforeAutospacing="0" w:after="0" w:afterAutospacing="0"/>
                    <w:ind w:left="0" w:leftChars="0" w:right="0" w:firstLine="0" w:firstLineChars="0"/>
                    <w:jc w:val="center"/>
                    <w:textAlignment w:val="auto"/>
                    <w:rPr>
                      <w:rFonts w:hint="default" w:ascii="Times New Roman" w:hAnsi="Times New Roman" w:eastAsia="宋体" w:cs="Times New Roman"/>
                      <w:bCs/>
                      <w:kern w:val="2"/>
                      <w:sz w:val="21"/>
                      <w:szCs w:val="21"/>
                      <w:lang w:val="en-US"/>
                    </w:rPr>
                  </w:pPr>
                  <w:r>
                    <w:rPr>
                      <w:rFonts w:hint="default" w:ascii="Times New Roman" w:hAnsi="Times New Roman" w:eastAsia="宋体" w:cs="Times New Roman"/>
                      <w:bCs/>
                      <w:kern w:val="2"/>
                      <w:sz w:val="21"/>
                      <w:szCs w:val="21"/>
                      <w:lang w:val="en-US" w:eastAsia="zh-CN" w:bidi="ar"/>
                    </w:rPr>
                    <w:t>进行分区防渗</w:t>
                  </w:r>
                </w:p>
              </w:tc>
              <w:tc>
                <w:tcPr>
                  <w:tcW w:w="1158" w:type="dxa"/>
                  <w:tcBorders>
                    <w:top w:val="single" w:color="auto" w:sz="4" w:space="0"/>
                    <w:left w:val="single" w:color="auto" w:sz="4" w:space="0"/>
                    <w:bottom w:val="single" w:color="auto" w:sz="4" w:space="0"/>
                    <w:right w:val="single" w:color="auto" w:sz="4" w:space="0"/>
                  </w:tcBorders>
                  <w:noWrap w:val="0"/>
                  <w:vAlign w:val="center"/>
                </w:tcPr>
                <w:p w14:paraId="5300AA25">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kern w:val="2"/>
                      <w:sz w:val="21"/>
                      <w:szCs w:val="21"/>
                    </w:rPr>
                  </w:pPr>
                  <w:r>
                    <w:rPr>
                      <w:rFonts w:hint="eastAsia" w:ascii="Times New Roman" w:hAnsi="Times New Roman" w:cs="Times New Roman"/>
                      <w:b w:val="0"/>
                      <w:bCs/>
                      <w:kern w:val="2"/>
                      <w:sz w:val="21"/>
                      <w:szCs w:val="21"/>
                      <w:lang w:val="en-US" w:eastAsia="zh-CN" w:bidi="ar"/>
                    </w:rPr>
                    <w:t>4</w:t>
                  </w:r>
                </w:p>
              </w:tc>
            </w:tr>
            <w:tr w14:paraId="7C23597A">
              <w:tblPrEx>
                <w:tblBorders>
                  <w:top w:val="single" w:color="auto" w:sz="8" w:space="0"/>
                  <w:left w:val="none" w:color="auto" w:sz="6" w:space="0"/>
                  <w:bottom w:val="single" w:color="auto" w:sz="8" w:space="0"/>
                  <w:right w:val="none" w:color="auto" w:sz="6"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59" w:type="dxa"/>
                  <w:vMerge w:val="continue"/>
                  <w:tcBorders>
                    <w:left w:val="single" w:color="auto" w:sz="4" w:space="0"/>
                    <w:right w:val="single" w:color="auto" w:sz="4" w:space="0"/>
                  </w:tcBorders>
                  <w:noWrap w:val="0"/>
                  <w:vAlign w:val="center"/>
                </w:tcPr>
                <w:p w14:paraId="70AF84F0">
                  <w:pPr>
                    <w:keepNext w:val="0"/>
                    <w:keepLines w:val="0"/>
                    <w:pageBreakBefore w:val="0"/>
                    <w:widowControl w:val="0"/>
                    <w:suppressLineNumbers w:val="0"/>
                    <w:kinsoku/>
                    <w:wordWrap/>
                    <w:overflowPunct/>
                    <w:topLinePunct w:val="0"/>
                    <w:autoSpaceDN/>
                    <w:bidi w:val="0"/>
                    <w:spacing w:before="0" w:beforeAutospacing="0" w:after="0" w:afterAutospacing="0"/>
                    <w:ind w:left="0" w:right="0"/>
                    <w:jc w:val="center"/>
                    <w:textAlignment w:val="auto"/>
                    <w:rPr>
                      <w:rFonts w:hint="default" w:ascii="Times New Roman" w:hAnsi="Times New Roman" w:cs="Times New Roman"/>
                      <w:sz w:val="21"/>
                      <w:szCs w:val="21"/>
                    </w:rPr>
                  </w:pPr>
                </w:p>
              </w:tc>
              <w:tc>
                <w:tcPr>
                  <w:tcW w:w="7593" w:type="dxa"/>
                  <w:gridSpan w:val="3"/>
                  <w:tcBorders>
                    <w:top w:val="single" w:color="auto" w:sz="4" w:space="0"/>
                    <w:left w:val="single" w:color="auto" w:sz="4" w:space="0"/>
                    <w:bottom w:val="single" w:color="auto" w:sz="4" w:space="0"/>
                    <w:right w:val="single" w:color="auto" w:sz="4" w:space="0"/>
                  </w:tcBorders>
                  <w:noWrap w:val="0"/>
                  <w:vAlign w:val="center"/>
                </w:tcPr>
                <w:p w14:paraId="0DF77162">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textAlignment w:val="auto"/>
                    <w:rPr>
                      <w:rFonts w:hint="eastAsia" w:ascii="Times New Roman" w:hAnsi="Times New Roman" w:cs="Times New Roman"/>
                      <w:b w:val="0"/>
                      <w:bCs/>
                      <w:kern w:val="2"/>
                      <w:sz w:val="21"/>
                      <w:szCs w:val="21"/>
                      <w:lang w:val="en-US" w:eastAsia="zh-CN" w:bidi="ar"/>
                    </w:rPr>
                  </w:pPr>
                  <w:r>
                    <w:rPr>
                      <w:rFonts w:hint="eastAsia" w:ascii="Times New Roman" w:hAnsi="Times New Roman" w:eastAsia="宋体" w:cs="Times New Roman"/>
                      <w:bCs/>
                      <w:kern w:val="2"/>
                      <w:sz w:val="21"/>
                      <w:szCs w:val="21"/>
                      <w:lang w:val="en-US" w:eastAsia="zh-CN" w:bidi="ar"/>
                    </w:rPr>
                    <w:t>二期</w:t>
                  </w:r>
                </w:p>
              </w:tc>
            </w:tr>
            <w:tr w14:paraId="658F0679">
              <w:tblPrEx>
                <w:tblBorders>
                  <w:top w:val="single" w:color="auto" w:sz="8" w:space="0"/>
                  <w:left w:val="none" w:color="auto" w:sz="6" w:space="0"/>
                  <w:bottom w:val="single" w:color="auto" w:sz="8" w:space="0"/>
                  <w:right w:val="none" w:color="auto" w:sz="6"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59" w:type="dxa"/>
                  <w:vMerge w:val="continue"/>
                  <w:tcBorders>
                    <w:left w:val="single" w:color="auto" w:sz="4" w:space="0"/>
                    <w:right w:val="single" w:color="auto" w:sz="4" w:space="0"/>
                  </w:tcBorders>
                  <w:noWrap w:val="0"/>
                  <w:vAlign w:val="center"/>
                </w:tcPr>
                <w:p w14:paraId="05485771">
                  <w:pPr>
                    <w:keepNext w:val="0"/>
                    <w:keepLines w:val="0"/>
                    <w:pageBreakBefore w:val="0"/>
                    <w:widowControl w:val="0"/>
                    <w:suppressLineNumbers w:val="0"/>
                    <w:kinsoku/>
                    <w:wordWrap/>
                    <w:overflowPunct/>
                    <w:topLinePunct w:val="0"/>
                    <w:autoSpaceDN/>
                    <w:bidi w:val="0"/>
                    <w:spacing w:before="0" w:beforeAutospacing="0" w:after="0" w:afterAutospacing="0"/>
                    <w:ind w:left="0" w:right="0"/>
                    <w:jc w:val="center"/>
                    <w:textAlignment w:val="auto"/>
                    <w:rPr>
                      <w:rFonts w:hint="default" w:ascii="Times New Roman" w:hAnsi="Times New Roman" w:cs="Times New Roman"/>
                      <w:sz w:val="21"/>
                      <w:szCs w:val="21"/>
                    </w:rPr>
                  </w:pPr>
                </w:p>
              </w:tc>
              <w:tc>
                <w:tcPr>
                  <w:tcW w:w="947" w:type="dxa"/>
                  <w:vMerge w:val="restart"/>
                  <w:tcBorders>
                    <w:top w:val="single" w:color="auto" w:sz="4" w:space="0"/>
                    <w:left w:val="single" w:color="auto" w:sz="4" w:space="0"/>
                    <w:right w:val="single" w:color="auto" w:sz="4" w:space="0"/>
                  </w:tcBorders>
                  <w:noWrap w:val="0"/>
                  <w:vAlign w:val="center"/>
                </w:tcPr>
                <w:p w14:paraId="43DFEACF">
                  <w:pPr>
                    <w:keepNext w:val="0"/>
                    <w:keepLines w:val="0"/>
                    <w:pageBreakBefore w:val="0"/>
                    <w:widowControl w:val="0"/>
                    <w:suppressLineNumbers w:val="0"/>
                    <w:kinsoku/>
                    <w:wordWrap/>
                    <w:overflowPunct/>
                    <w:topLinePunct w:val="0"/>
                    <w:autoSpaceDE w:val="0"/>
                    <w:autoSpaceDN/>
                    <w:bidi w:val="0"/>
                    <w:snapToGrid w:val="0"/>
                    <w:spacing w:before="0" w:beforeAutospacing="0" w:after="0" w:afterAutospacing="0"/>
                    <w:ind w:left="0" w:leftChars="0" w:right="0" w:firstLine="0" w:firstLineChars="0"/>
                    <w:jc w:val="center"/>
                    <w:textAlignment w:val="auto"/>
                    <w:rPr>
                      <w:rFonts w:hint="default" w:ascii="Times New Roman" w:hAnsi="Times New Roman" w:eastAsia="宋体" w:cs="Times New Roman"/>
                      <w:kern w:val="2"/>
                      <w:sz w:val="21"/>
                      <w:szCs w:val="21"/>
                      <w:lang w:val="en-US" w:eastAsia="zh-CN" w:bidi="ar"/>
                    </w:rPr>
                  </w:pPr>
                  <w:r>
                    <w:rPr>
                      <w:rFonts w:hint="default" w:ascii="Times New Roman" w:hAnsi="Times New Roman" w:eastAsia="宋体" w:cs="Times New Roman"/>
                      <w:b w:val="0"/>
                      <w:bCs/>
                      <w:kern w:val="2"/>
                      <w:sz w:val="21"/>
                      <w:szCs w:val="21"/>
                      <w:lang w:val="en-US" w:eastAsia="zh-CN" w:bidi="ar"/>
                    </w:rPr>
                    <w:t>废气</w:t>
                  </w:r>
                </w:p>
              </w:tc>
              <w:tc>
                <w:tcPr>
                  <w:tcW w:w="5488" w:type="dxa"/>
                  <w:tcBorders>
                    <w:top w:val="single" w:color="auto" w:sz="4" w:space="0"/>
                    <w:left w:val="single" w:color="auto" w:sz="4" w:space="0"/>
                    <w:bottom w:val="single" w:color="auto" w:sz="4" w:space="0"/>
                    <w:right w:val="single" w:color="auto" w:sz="4" w:space="0"/>
                  </w:tcBorders>
                  <w:noWrap w:val="0"/>
                  <w:vAlign w:val="center"/>
                </w:tcPr>
                <w:p w14:paraId="0E728C36">
                  <w:pPr>
                    <w:keepNext w:val="0"/>
                    <w:keepLines w:val="0"/>
                    <w:pageBreakBefore w:val="0"/>
                    <w:widowControl w:val="0"/>
                    <w:suppressLineNumbers w:val="0"/>
                    <w:kinsoku/>
                    <w:wordWrap/>
                    <w:overflowPunct/>
                    <w:topLinePunct w:val="0"/>
                    <w:autoSpaceDE w:val="0"/>
                    <w:autoSpaceDN/>
                    <w:bidi w:val="0"/>
                    <w:snapToGrid w:val="0"/>
                    <w:spacing w:before="0" w:beforeAutospacing="0" w:after="0" w:afterAutospacing="0"/>
                    <w:ind w:left="0" w:leftChars="0" w:right="0" w:firstLine="0" w:firstLineChars="0"/>
                    <w:jc w:val="center"/>
                    <w:textAlignment w:val="auto"/>
                    <w:rPr>
                      <w:rFonts w:hint="default" w:ascii="Times New Roman" w:hAnsi="Times New Roman" w:eastAsia="宋体" w:cs="Times New Roman"/>
                      <w:bCs/>
                      <w:kern w:val="2"/>
                      <w:sz w:val="21"/>
                      <w:szCs w:val="21"/>
                      <w:lang w:val="en-US" w:eastAsia="zh-CN" w:bidi="ar"/>
                    </w:rPr>
                  </w:pPr>
                  <w:r>
                    <w:rPr>
                      <w:rFonts w:hint="eastAsia" w:ascii="Times New Roman" w:hAnsi="Times New Roman" w:cs="Times New Roman"/>
                      <w:spacing w:val="-4"/>
                      <w:sz w:val="21"/>
                      <w:szCs w:val="21"/>
                      <w:lang w:val="en-US" w:eastAsia="zh-CN"/>
                    </w:rPr>
                    <w:t>二期煤棚</w:t>
                  </w:r>
                  <w:r>
                    <w:rPr>
                      <w:rFonts w:hint="default" w:ascii="Times New Roman" w:hAnsi="Times New Roman" w:cs="Times New Roman"/>
                      <w:sz w:val="21"/>
                      <w:szCs w:val="21"/>
                      <w:lang w:val="en-US" w:eastAsia="zh-CN"/>
                    </w:rPr>
                    <w:t>安装喷淋装置</w:t>
                  </w:r>
                </w:p>
              </w:tc>
              <w:tc>
                <w:tcPr>
                  <w:tcW w:w="1158" w:type="dxa"/>
                  <w:tcBorders>
                    <w:top w:val="single" w:color="auto" w:sz="4" w:space="0"/>
                    <w:left w:val="single" w:color="auto" w:sz="4" w:space="0"/>
                    <w:bottom w:val="single" w:color="auto" w:sz="4" w:space="0"/>
                    <w:right w:val="single" w:color="auto" w:sz="4" w:space="0"/>
                  </w:tcBorders>
                  <w:noWrap w:val="0"/>
                  <w:vAlign w:val="center"/>
                </w:tcPr>
                <w:p w14:paraId="72CDB3E0">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cs="Times New Roman"/>
                      <w:b w:val="0"/>
                      <w:bCs/>
                      <w:kern w:val="2"/>
                      <w:sz w:val="21"/>
                      <w:szCs w:val="21"/>
                      <w:lang w:val="en-US" w:eastAsia="zh-CN" w:bidi="ar"/>
                    </w:rPr>
                  </w:pPr>
                  <w:r>
                    <w:rPr>
                      <w:rFonts w:hint="eastAsia" w:ascii="Times New Roman" w:hAnsi="Times New Roman" w:cs="Times New Roman"/>
                      <w:b w:val="0"/>
                      <w:bCs/>
                      <w:kern w:val="2"/>
                      <w:sz w:val="21"/>
                      <w:szCs w:val="21"/>
                      <w:lang w:val="en-US" w:eastAsia="zh-CN" w:bidi="ar"/>
                    </w:rPr>
                    <w:t>4</w:t>
                  </w:r>
                </w:p>
              </w:tc>
            </w:tr>
            <w:tr w14:paraId="4CA80D7B">
              <w:tblPrEx>
                <w:tblBorders>
                  <w:top w:val="single" w:color="auto" w:sz="8" w:space="0"/>
                  <w:left w:val="none" w:color="auto" w:sz="6" w:space="0"/>
                  <w:bottom w:val="single" w:color="auto" w:sz="8" w:space="0"/>
                  <w:right w:val="none" w:color="auto" w:sz="6"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59" w:type="dxa"/>
                  <w:vMerge w:val="continue"/>
                  <w:tcBorders>
                    <w:left w:val="single" w:color="auto" w:sz="4" w:space="0"/>
                    <w:right w:val="single" w:color="auto" w:sz="4" w:space="0"/>
                  </w:tcBorders>
                  <w:noWrap w:val="0"/>
                  <w:vAlign w:val="center"/>
                </w:tcPr>
                <w:p w14:paraId="08D639A1">
                  <w:pPr>
                    <w:keepNext w:val="0"/>
                    <w:keepLines w:val="0"/>
                    <w:pageBreakBefore w:val="0"/>
                    <w:widowControl w:val="0"/>
                    <w:suppressLineNumbers w:val="0"/>
                    <w:kinsoku/>
                    <w:wordWrap/>
                    <w:overflowPunct/>
                    <w:topLinePunct w:val="0"/>
                    <w:autoSpaceDN/>
                    <w:bidi w:val="0"/>
                    <w:spacing w:before="0" w:beforeAutospacing="0" w:after="0" w:afterAutospacing="0"/>
                    <w:ind w:left="0" w:right="0"/>
                    <w:jc w:val="center"/>
                    <w:textAlignment w:val="auto"/>
                    <w:rPr>
                      <w:rFonts w:hint="default" w:ascii="Times New Roman" w:hAnsi="Times New Roman" w:cs="Times New Roman"/>
                      <w:sz w:val="21"/>
                      <w:szCs w:val="21"/>
                    </w:rPr>
                  </w:pPr>
                </w:p>
              </w:tc>
              <w:tc>
                <w:tcPr>
                  <w:tcW w:w="947" w:type="dxa"/>
                  <w:vMerge w:val="continue"/>
                  <w:tcBorders>
                    <w:left w:val="single" w:color="auto" w:sz="4" w:space="0"/>
                    <w:bottom w:val="single" w:color="auto" w:sz="4" w:space="0"/>
                    <w:right w:val="single" w:color="auto" w:sz="4" w:space="0"/>
                  </w:tcBorders>
                  <w:noWrap w:val="0"/>
                  <w:vAlign w:val="center"/>
                </w:tcPr>
                <w:p w14:paraId="2A94D477">
                  <w:pPr>
                    <w:keepNext w:val="0"/>
                    <w:keepLines w:val="0"/>
                    <w:pageBreakBefore w:val="0"/>
                    <w:widowControl w:val="0"/>
                    <w:suppressLineNumbers w:val="0"/>
                    <w:kinsoku/>
                    <w:wordWrap/>
                    <w:overflowPunct/>
                    <w:topLinePunct w:val="0"/>
                    <w:autoSpaceDE w:val="0"/>
                    <w:autoSpaceDN/>
                    <w:bidi w:val="0"/>
                    <w:snapToGrid w:val="0"/>
                    <w:spacing w:before="0" w:beforeAutospacing="0" w:after="0" w:afterAutospacing="0"/>
                    <w:ind w:left="0" w:leftChars="0" w:right="0" w:firstLine="0" w:firstLineChars="0"/>
                    <w:jc w:val="center"/>
                    <w:textAlignment w:val="auto"/>
                    <w:rPr>
                      <w:rFonts w:hint="default" w:ascii="Times New Roman" w:hAnsi="Times New Roman" w:eastAsia="宋体" w:cs="Times New Roman"/>
                      <w:kern w:val="2"/>
                      <w:sz w:val="21"/>
                      <w:szCs w:val="21"/>
                      <w:lang w:val="en-US" w:eastAsia="zh-CN" w:bidi="ar"/>
                    </w:rPr>
                  </w:pPr>
                </w:p>
              </w:tc>
              <w:tc>
                <w:tcPr>
                  <w:tcW w:w="5488" w:type="dxa"/>
                  <w:tcBorders>
                    <w:top w:val="single" w:color="auto" w:sz="4" w:space="0"/>
                    <w:left w:val="single" w:color="auto" w:sz="4" w:space="0"/>
                    <w:bottom w:val="single" w:color="auto" w:sz="4" w:space="0"/>
                    <w:right w:val="single" w:color="auto" w:sz="4" w:space="0"/>
                  </w:tcBorders>
                  <w:noWrap w:val="0"/>
                  <w:vAlign w:val="center"/>
                </w:tcPr>
                <w:p w14:paraId="4B53C8C7">
                  <w:pPr>
                    <w:keepNext w:val="0"/>
                    <w:keepLines w:val="0"/>
                    <w:pageBreakBefore w:val="0"/>
                    <w:widowControl w:val="0"/>
                    <w:suppressLineNumbers w:val="0"/>
                    <w:kinsoku/>
                    <w:wordWrap/>
                    <w:overflowPunct/>
                    <w:topLinePunct w:val="0"/>
                    <w:autoSpaceDE w:val="0"/>
                    <w:autoSpaceDN/>
                    <w:bidi w:val="0"/>
                    <w:snapToGrid w:val="0"/>
                    <w:spacing w:before="0" w:beforeAutospacing="0" w:after="0" w:afterAutospacing="0"/>
                    <w:ind w:left="0" w:leftChars="0" w:right="0" w:firstLine="0" w:firstLineChars="0"/>
                    <w:jc w:val="center"/>
                    <w:textAlignment w:val="auto"/>
                    <w:rPr>
                      <w:rFonts w:hint="default" w:ascii="Times New Roman" w:hAnsi="Times New Roman" w:eastAsia="宋体" w:cs="Times New Roman"/>
                      <w:bCs/>
                      <w:kern w:val="2"/>
                      <w:sz w:val="21"/>
                      <w:szCs w:val="21"/>
                      <w:lang w:val="en-US" w:eastAsia="zh-CN" w:bidi="ar"/>
                    </w:rPr>
                  </w:pPr>
                  <w:r>
                    <w:rPr>
                      <w:rFonts w:hint="eastAsia" w:cs="Times New Roman"/>
                      <w:kern w:val="2"/>
                      <w:sz w:val="21"/>
                      <w:szCs w:val="21"/>
                      <w:lang w:val="en-US" w:eastAsia="zh-CN" w:bidi="ar-SA"/>
                    </w:rPr>
                    <w:t>物</w:t>
                  </w:r>
                  <w:r>
                    <w:rPr>
                      <w:rFonts w:hint="default" w:ascii="Times New Roman" w:hAnsi="Times New Roman" w:eastAsia="宋体" w:cs="Times New Roman"/>
                      <w:kern w:val="2"/>
                      <w:sz w:val="21"/>
                      <w:szCs w:val="21"/>
                      <w:lang w:val="en-US" w:eastAsia="zh-CN" w:bidi="ar-SA"/>
                    </w:rPr>
                    <w:t>料运转、转载</w:t>
                  </w:r>
                  <w:r>
                    <w:rPr>
                      <w:rFonts w:hint="eastAsia" w:ascii="Times New Roman" w:hAnsi="Times New Roman" w:eastAsia="宋体" w:cs="Times New Roman"/>
                      <w:kern w:val="2"/>
                      <w:sz w:val="21"/>
                      <w:szCs w:val="21"/>
                      <w:lang w:val="en-US" w:eastAsia="zh-CN" w:bidi="ar-SA"/>
                    </w:rPr>
                    <w:t>过程中采用封闭廊道，喷雾除尘的方式减少粉尘量。</w:t>
                  </w:r>
                </w:p>
              </w:tc>
              <w:tc>
                <w:tcPr>
                  <w:tcW w:w="1158" w:type="dxa"/>
                  <w:tcBorders>
                    <w:top w:val="single" w:color="auto" w:sz="4" w:space="0"/>
                    <w:left w:val="single" w:color="auto" w:sz="4" w:space="0"/>
                    <w:bottom w:val="single" w:color="auto" w:sz="4" w:space="0"/>
                    <w:right w:val="single" w:color="auto" w:sz="4" w:space="0"/>
                  </w:tcBorders>
                  <w:noWrap w:val="0"/>
                  <w:vAlign w:val="center"/>
                </w:tcPr>
                <w:p w14:paraId="130A6E88">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cs="Times New Roman"/>
                      <w:b w:val="0"/>
                      <w:bCs/>
                      <w:kern w:val="2"/>
                      <w:sz w:val="21"/>
                      <w:szCs w:val="21"/>
                      <w:lang w:val="en-US" w:eastAsia="zh-CN" w:bidi="ar"/>
                    </w:rPr>
                  </w:pPr>
                  <w:r>
                    <w:rPr>
                      <w:rFonts w:hint="eastAsia" w:ascii="Times New Roman" w:hAnsi="Times New Roman" w:cs="Times New Roman"/>
                      <w:b w:val="0"/>
                      <w:bCs/>
                      <w:kern w:val="2"/>
                      <w:sz w:val="21"/>
                      <w:szCs w:val="21"/>
                      <w:lang w:val="en-US" w:eastAsia="zh-CN" w:bidi="ar"/>
                    </w:rPr>
                    <w:t>3</w:t>
                  </w:r>
                </w:p>
              </w:tc>
            </w:tr>
            <w:tr w14:paraId="5CF4B098">
              <w:tblPrEx>
                <w:tblBorders>
                  <w:top w:val="single" w:color="auto" w:sz="8" w:space="0"/>
                  <w:left w:val="none" w:color="auto" w:sz="6" w:space="0"/>
                  <w:bottom w:val="single" w:color="auto" w:sz="8" w:space="0"/>
                  <w:right w:val="none" w:color="auto" w:sz="6"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59" w:type="dxa"/>
                  <w:vMerge w:val="continue"/>
                  <w:tcBorders>
                    <w:left w:val="single" w:color="auto" w:sz="4" w:space="0"/>
                    <w:right w:val="single" w:color="auto" w:sz="4" w:space="0"/>
                  </w:tcBorders>
                  <w:noWrap w:val="0"/>
                  <w:vAlign w:val="center"/>
                </w:tcPr>
                <w:p w14:paraId="4C4F9121">
                  <w:pPr>
                    <w:keepNext w:val="0"/>
                    <w:keepLines w:val="0"/>
                    <w:pageBreakBefore w:val="0"/>
                    <w:widowControl w:val="0"/>
                    <w:suppressLineNumbers w:val="0"/>
                    <w:kinsoku/>
                    <w:wordWrap/>
                    <w:overflowPunct/>
                    <w:topLinePunct w:val="0"/>
                    <w:autoSpaceDN/>
                    <w:bidi w:val="0"/>
                    <w:spacing w:before="0" w:beforeAutospacing="0" w:after="0" w:afterAutospacing="0"/>
                    <w:ind w:left="0" w:right="0"/>
                    <w:jc w:val="center"/>
                    <w:textAlignment w:val="auto"/>
                    <w:rPr>
                      <w:rFonts w:hint="default" w:ascii="Times New Roman" w:hAnsi="Times New Roman" w:cs="Times New Roman"/>
                      <w:sz w:val="21"/>
                      <w:szCs w:val="21"/>
                    </w:rPr>
                  </w:pPr>
                </w:p>
              </w:tc>
              <w:tc>
                <w:tcPr>
                  <w:tcW w:w="947" w:type="dxa"/>
                  <w:tcBorders>
                    <w:top w:val="single" w:color="auto" w:sz="4" w:space="0"/>
                    <w:left w:val="single" w:color="auto" w:sz="4" w:space="0"/>
                    <w:bottom w:val="single" w:color="auto" w:sz="4" w:space="0"/>
                    <w:right w:val="single" w:color="auto" w:sz="4" w:space="0"/>
                  </w:tcBorders>
                  <w:noWrap w:val="0"/>
                  <w:vAlign w:val="center"/>
                </w:tcPr>
                <w:p w14:paraId="3A1D1C5E">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kern w:val="2"/>
                      <w:sz w:val="21"/>
                      <w:szCs w:val="21"/>
                      <w:lang w:val="en-US" w:eastAsia="zh-CN" w:bidi="ar"/>
                    </w:rPr>
                  </w:pPr>
                  <w:r>
                    <w:rPr>
                      <w:rFonts w:hint="default" w:ascii="Times New Roman" w:hAnsi="Times New Roman" w:eastAsia="宋体" w:cs="Times New Roman"/>
                      <w:b w:val="0"/>
                      <w:bCs/>
                      <w:kern w:val="2"/>
                      <w:sz w:val="21"/>
                      <w:szCs w:val="21"/>
                      <w:lang w:val="en-US" w:eastAsia="zh-CN" w:bidi="ar"/>
                    </w:rPr>
                    <w:t>噪声管理</w:t>
                  </w:r>
                </w:p>
              </w:tc>
              <w:tc>
                <w:tcPr>
                  <w:tcW w:w="5488" w:type="dxa"/>
                  <w:tcBorders>
                    <w:top w:val="single" w:color="auto" w:sz="4" w:space="0"/>
                    <w:left w:val="single" w:color="auto" w:sz="4" w:space="0"/>
                    <w:bottom w:val="single" w:color="auto" w:sz="4" w:space="0"/>
                    <w:right w:val="single" w:color="auto" w:sz="4" w:space="0"/>
                  </w:tcBorders>
                  <w:noWrap w:val="0"/>
                  <w:vAlign w:val="center"/>
                </w:tcPr>
                <w:p w14:paraId="052E06DE">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Cs/>
                      <w:kern w:val="2"/>
                      <w:sz w:val="21"/>
                      <w:szCs w:val="21"/>
                      <w:lang w:val="en-US" w:eastAsia="zh-CN" w:bidi="ar"/>
                    </w:rPr>
                  </w:pPr>
                  <w:r>
                    <w:rPr>
                      <w:rFonts w:hint="default" w:ascii="Times New Roman" w:hAnsi="Times New Roman" w:eastAsia="宋体" w:cs="Times New Roman"/>
                      <w:bCs/>
                      <w:kern w:val="2"/>
                      <w:sz w:val="21"/>
                      <w:szCs w:val="21"/>
                      <w:lang w:val="en-US" w:eastAsia="zh-CN" w:bidi="ar"/>
                    </w:rPr>
                    <w:t>选用低噪声设备，通过基础减震、厂房屏蔽、距离衰减等隔音措施</w:t>
                  </w:r>
                </w:p>
              </w:tc>
              <w:tc>
                <w:tcPr>
                  <w:tcW w:w="1158" w:type="dxa"/>
                  <w:tcBorders>
                    <w:top w:val="single" w:color="auto" w:sz="4" w:space="0"/>
                    <w:left w:val="single" w:color="auto" w:sz="4" w:space="0"/>
                    <w:bottom w:val="single" w:color="auto" w:sz="4" w:space="0"/>
                    <w:right w:val="single" w:color="auto" w:sz="4" w:space="0"/>
                  </w:tcBorders>
                  <w:noWrap w:val="0"/>
                  <w:vAlign w:val="center"/>
                </w:tcPr>
                <w:p w14:paraId="7C24576A">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cs="Times New Roman"/>
                      <w:b w:val="0"/>
                      <w:bCs/>
                      <w:kern w:val="2"/>
                      <w:sz w:val="21"/>
                      <w:szCs w:val="21"/>
                      <w:lang w:val="en-US" w:eastAsia="zh-CN" w:bidi="ar"/>
                    </w:rPr>
                  </w:pPr>
                  <w:r>
                    <w:rPr>
                      <w:rFonts w:hint="eastAsia" w:ascii="Times New Roman" w:hAnsi="Times New Roman" w:cs="Times New Roman"/>
                      <w:b w:val="0"/>
                      <w:bCs/>
                      <w:kern w:val="2"/>
                      <w:sz w:val="21"/>
                      <w:szCs w:val="21"/>
                      <w:lang w:val="en-US" w:eastAsia="zh-CN" w:bidi="ar"/>
                    </w:rPr>
                    <w:t>2</w:t>
                  </w:r>
                </w:p>
              </w:tc>
            </w:tr>
            <w:tr w14:paraId="7AF3B193">
              <w:tblPrEx>
                <w:tblBorders>
                  <w:top w:val="single" w:color="auto" w:sz="8" w:space="0"/>
                  <w:left w:val="none" w:color="auto" w:sz="6" w:space="0"/>
                  <w:bottom w:val="single" w:color="auto" w:sz="8" w:space="0"/>
                  <w:right w:val="none" w:color="auto" w:sz="6"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59" w:type="dxa"/>
                  <w:vMerge w:val="continue"/>
                  <w:tcBorders>
                    <w:left w:val="single" w:color="auto" w:sz="4" w:space="0"/>
                    <w:right w:val="single" w:color="auto" w:sz="4" w:space="0"/>
                  </w:tcBorders>
                  <w:noWrap w:val="0"/>
                  <w:vAlign w:val="center"/>
                </w:tcPr>
                <w:p w14:paraId="7E4C448E">
                  <w:pPr>
                    <w:keepNext w:val="0"/>
                    <w:keepLines w:val="0"/>
                    <w:pageBreakBefore w:val="0"/>
                    <w:widowControl w:val="0"/>
                    <w:suppressLineNumbers w:val="0"/>
                    <w:kinsoku/>
                    <w:wordWrap/>
                    <w:overflowPunct/>
                    <w:topLinePunct w:val="0"/>
                    <w:autoSpaceDN/>
                    <w:bidi w:val="0"/>
                    <w:spacing w:before="0" w:beforeAutospacing="0" w:after="0" w:afterAutospacing="0"/>
                    <w:ind w:left="0" w:right="0"/>
                    <w:jc w:val="center"/>
                    <w:textAlignment w:val="auto"/>
                    <w:rPr>
                      <w:rFonts w:hint="default" w:ascii="Times New Roman" w:hAnsi="Times New Roman" w:cs="Times New Roman"/>
                      <w:sz w:val="21"/>
                      <w:szCs w:val="21"/>
                    </w:rPr>
                  </w:pPr>
                </w:p>
              </w:tc>
              <w:tc>
                <w:tcPr>
                  <w:tcW w:w="947" w:type="dxa"/>
                  <w:tcBorders>
                    <w:top w:val="single" w:color="auto" w:sz="4" w:space="0"/>
                    <w:left w:val="single" w:color="auto" w:sz="4" w:space="0"/>
                    <w:bottom w:val="single" w:color="auto" w:sz="4" w:space="0"/>
                    <w:right w:val="single" w:color="auto" w:sz="4" w:space="0"/>
                  </w:tcBorders>
                  <w:noWrap w:val="0"/>
                  <w:vAlign w:val="center"/>
                </w:tcPr>
                <w:p w14:paraId="629DEA06">
                  <w:pPr>
                    <w:keepNext w:val="0"/>
                    <w:keepLines w:val="0"/>
                    <w:pageBreakBefore w:val="0"/>
                    <w:widowControl w:val="0"/>
                    <w:suppressLineNumbers w:val="0"/>
                    <w:kinsoku/>
                    <w:wordWrap/>
                    <w:overflowPunct/>
                    <w:topLinePunct w:val="0"/>
                    <w:autoSpaceDE w:val="0"/>
                    <w:autoSpaceDN/>
                    <w:bidi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kern w:val="2"/>
                      <w:sz w:val="21"/>
                      <w:szCs w:val="21"/>
                      <w:lang w:val="en-US" w:eastAsia="zh-CN" w:bidi="ar"/>
                    </w:rPr>
                  </w:pPr>
                  <w:r>
                    <w:rPr>
                      <w:rFonts w:hint="default" w:ascii="Times New Roman" w:hAnsi="Times New Roman" w:eastAsia="宋体" w:cs="Times New Roman"/>
                      <w:kern w:val="2"/>
                      <w:sz w:val="21"/>
                      <w:szCs w:val="21"/>
                      <w:lang w:val="en-US" w:eastAsia="zh-CN" w:bidi="ar"/>
                    </w:rPr>
                    <w:t>防渗</w:t>
                  </w:r>
                </w:p>
              </w:tc>
              <w:tc>
                <w:tcPr>
                  <w:tcW w:w="5488" w:type="dxa"/>
                  <w:tcBorders>
                    <w:top w:val="single" w:color="auto" w:sz="4" w:space="0"/>
                    <w:left w:val="single" w:color="auto" w:sz="4" w:space="0"/>
                    <w:bottom w:val="single" w:color="auto" w:sz="4" w:space="0"/>
                    <w:right w:val="single" w:color="auto" w:sz="4" w:space="0"/>
                  </w:tcBorders>
                  <w:noWrap w:val="0"/>
                  <w:vAlign w:val="center"/>
                </w:tcPr>
                <w:p w14:paraId="59437CBF">
                  <w:pPr>
                    <w:keepNext w:val="0"/>
                    <w:keepLines w:val="0"/>
                    <w:pageBreakBefore w:val="0"/>
                    <w:widowControl w:val="0"/>
                    <w:suppressLineNumbers w:val="0"/>
                    <w:kinsoku/>
                    <w:wordWrap/>
                    <w:overflowPunct/>
                    <w:topLinePunct w:val="0"/>
                    <w:autoSpaceDE w:val="0"/>
                    <w:autoSpaceDN/>
                    <w:bidi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Cs/>
                      <w:kern w:val="2"/>
                      <w:sz w:val="21"/>
                      <w:szCs w:val="21"/>
                      <w:lang w:val="en-US" w:eastAsia="zh-CN" w:bidi="ar"/>
                    </w:rPr>
                  </w:pPr>
                  <w:r>
                    <w:rPr>
                      <w:rFonts w:hint="default" w:ascii="Times New Roman" w:hAnsi="Times New Roman" w:eastAsia="宋体" w:cs="Times New Roman"/>
                      <w:bCs/>
                      <w:kern w:val="2"/>
                      <w:sz w:val="21"/>
                      <w:szCs w:val="21"/>
                      <w:lang w:val="en-US" w:eastAsia="zh-CN" w:bidi="ar"/>
                    </w:rPr>
                    <w:t>进行分区防渗</w:t>
                  </w:r>
                </w:p>
              </w:tc>
              <w:tc>
                <w:tcPr>
                  <w:tcW w:w="1158" w:type="dxa"/>
                  <w:tcBorders>
                    <w:top w:val="single" w:color="auto" w:sz="4" w:space="0"/>
                    <w:left w:val="single" w:color="auto" w:sz="4" w:space="0"/>
                    <w:bottom w:val="single" w:color="auto" w:sz="4" w:space="0"/>
                    <w:right w:val="single" w:color="auto" w:sz="4" w:space="0"/>
                  </w:tcBorders>
                  <w:noWrap w:val="0"/>
                  <w:vAlign w:val="center"/>
                </w:tcPr>
                <w:p w14:paraId="5995D7EE">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cs="Times New Roman"/>
                      <w:b w:val="0"/>
                      <w:bCs/>
                      <w:kern w:val="2"/>
                      <w:sz w:val="21"/>
                      <w:szCs w:val="21"/>
                      <w:lang w:val="en-US" w:eastAsia="zh-CN" w:bidi="ar"/>
                    </w:rPr>
                  </w:pPr>
                  <w:r>
                    <w:rPr>
                      <w:rFonts w:hint="eastAsia" w:ascii="Times New Roman" w:hAnsi="Times New Roman" w:cs="Times New Roman"/>
                      <w:b w:val="0"/>
                      <w:bCs/>
                      <w:kern w:val="2"/>
                      <w:sz w:val="21"/>
                      <w:szCs w:val="21"/>
                      <w:lang w:val="en-US" w:eastAsia="zh-CN" w:bidi="ar"/>
                    </w:rPr>
                    <w:t>4</w:t>
                  </w:r>
                </w:p>
              </w:tc>
            </w:tr>
            <w:tr w14:paraId="302B4AD5">
              <w:tblPrEx>
                <w:tblBorders>
                  <w:top w:val="single" w:color="auto" w:sz="8" w:space="0"/>
                  <w:left w:val="none" w:color="auto" w:sz="6" w:space="0"/>
                  <w:bottom w:val="single" w:color="auto" w:sz="8" w:space="0"/>
                  <w:right w:val="none" w:color="auto" w:sz="6"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59" w:type="dxa"/>
                  <w:vMerge w:val="continue"/>
                  <w:tcBorders>
                    <w:left w:val="single" w:color="auto" w:sz="4" w:space="0"/>
                    <w:right w:val="single" w:color="auto" w:sz="4" w:space="0"/>
                  </w:tcBorders>
                  <w:noWrap w:val="0"/>
                  <w:vAlign w:val="center"/>
                </w:tcPr>
                <w:p w14:paraId="2BAF1FFC">
                  <w:pPr>
                    <w:keepNext w:val="0"/>
                    <w:keepLines w:val="0"/>
                    <w:pageBreakBefore w:val="0"/>
                    <w:widowControl w:val="0"/>
                    <w:suppressLineNumbers w:val="0"/>
                    <w:kinsoku/>
                    <w:wordWrap/>
                    <w:overflowPunct/>
                    <w:topLinePunct w:val="0"/>
                    <w:autoSpaceDN/>
                    <w:bidi w:val="0"/>
                    <w:spacing w:before="0" w:beforeAutospacing="0" w:after="0" w:afterAutospacing="0"/>
                    <w:ind w:left="0" w:right="0"/>
                    <w:jc w:val="center"/>
                    <w:textAlignment w:val="auto"/>
                    <w:rPr>
                      <w:rFonts w:hint="default" w:ascii="Times New Roman" w:hAnsi="Times New Roman" w:cs="Times New Roman"/>
                      <w:sz w:val="21"/>
                      <w:szCs w:val="21"/>
                    </w:rPr>
                  </w:pPr>
                </w:p>
              </w:tc>
              <w:tc>
                <w:tcPr>
                  <w:tcW w:w="7593" w:type="dxa"/>
                  <w:gridSpan w:val="3"/>
                  <w:tcBorders>
                    <w:top w:val="single" w:color="auto" w:sz="4" w:space="0"/>
                    <w:left w:val="single" w:color="auto" w:sz="4" w:space="0"/>
                    <w:bottom w:val="single" w:color="auto" w:sz="4" w:space="0"/>
                    <w:right w:val="single" w:color="auto" w:sz="4" w:space="0"/>
                  </w:tcBorders>
                  <w:noWrap w:val="0"/>
                  <w:vAlign w:val="center"/>
                </w:tcPr>
                <w:p w14:paraId="65A8084B">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textAlignment w:val="auto"/>
                    <w:rPr>
                      <w:rFonts w:hint="eastAsia" w:ascii="Times New Roman" w:hAnsi="Times New Roman" w:cs="Times New Roman"/>
                      <w:b w:val="0"/>
                      <w:bCs/>
                      <w:kern w:val="2"/>
                      <w:sz w:val="21"/>
                      <w:szCs w:val="21"/>
                      <w:lang w:val="en-US" w:eastAsia="zh-CN" w:bidi="ar"/>
                    </w:rPr>
                  </w:pPr>
                  <w:r>
                    <w:rPr>
                      <w:rFonts w:hint="eastAsia" w:ascii="Times New Roman" w:hAnsi="Times New Roman" w:eastAsia="宋体" w:cs="Times New Roman"/>
                      <w:bCs/>
                      <w:kern w:val="2"/>
                      <w:sz w:val="21"/>
                      <w:szCs w:val="21"/>
                      <w:lang w:val="en-US" w:eastAsia="zh-CN" w:bidi="ar"/>
                    </w:rPr>
                    <w:t>三期</w:t>
                  </w:r>
                </w:p>
              </w:tc>
            </w:tr>
            <w:tr w14:paraId="772D8C88">
              <w:tblPrEx>
                <w:tblBorders>
                  <w:top w:val="single" w:color="auto" w:sz="8" w:space="0"/>
                  <w:left w:val="none" w:color="auto" w:sz="6" w:space="0"/>
                  <w:bottom w:val="single" w:color="auto" w:sz="8" w:space="0"/>
                  <w:right w:val="none" w:color="auto" w:sz="6"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59" w:type="dxa"/>
                  <w:vMerge w:val="continue"/>
                  <w:tcBorders>
                    <w:left w:val="single" w:color="auto" w:sz="4" w:space="0"/>
                    <w:right w:val="single" w:color="auto" w:sz="4" w:space="0"/>
                  </w:tcBorders>
                  <w:noWrap w:val="0"/>
                  <w:vAlign w:val="center"/>
                </w:tcPr>
                <w:p w14:paraId="1763A724">
                  <w:pPr>
                    <w:keepNext w:val="0"/>
                    <w:keepLines w:val="0"/>
                    <w:pageBreakBefore w:val="0"/>
                    <w:widowControl w:val="0"/>
                    <w:suppressLineNumbers w:val="0"/>
                    <w:kinsoku/>
                    <w:wordWrap/>
                    <w:overflowPunct/>
                    <w:topLinePunct w:val="0"/>
                    <w:autoSpaceDN/>
                    <w:bidi w:val="0"/>
                    <w:spacing w:before="0" w:beforeAutospacing="0" w:after="0" w:afterAutospacing="0"/>
                    <w:ind w:left="0" w:right="0"/>
                    <w:jc w:val="center"/>
                    <w:textAlignment w:val="auto"/>
                    <w:rPr>
                      <w:rFonts w:hint="default" w:ascii="Times New Roman" w:hAnsi="Times New Roman" w:cs="Times New Roman"/>
                      <w:sz w:val="21"/>
                      <w:szCs w:val="21"/>
                    </w:rPr>
                  </w:pPr>
                </w:p>
              </w:tc>
              <w:tc>
                <w:tcPr>
                  <w:tcW w:w="947" w:type="dxa"/>
                  <w:tcBorders>
                    <w:top w:val="single" w:color="auto" w:sz="4" w:space="0"/>
                    <w:left w:val="single" w:color="auto" w:sz="4" w:space="0"/>
                    <w:bottom w:val="single" w:color="auto" w:sz="4" w:space="0"/>
                    <w:right w:val="single" w:color="auto" w:sz="4" w:space="0"/>
                  </w:tcBorders>
                  <w:noWrap w:val="0"/>
                  <w:vAlign w:val="center"/>
                </w:tcPr>
                <w:p w14:paraId="7AE3430D">
                  <w:pPr>
                    <w:keepNext w:val="0"/>
                    <w:keepLines w:val="0"/>
                    <w:pageBreakBefore w:val="0"/>
                    <w:widowControl w:val="0"/>
                    <w:suppressLineNumbers w:val="0"/>
                    <w:kinsoku/>
                    <w:wordWrap/>
                    <w:overflowPunct/>
                    <w:topLinePunct w:val="0"/>
                    <w:autoSpaceDE w:val="0"/>
                    <w:autoSpaceDN/>
                    <w:bidi w:val="0"/>
                    <w:snapToGrid w:val="0"/>
                    <w:spacing w:before="0" w:beforeAutospacing="0" w:after="0" w:afterAutospacing="0"/>
                    <w:ind w:left="0" w:leftChars="0" w:right="0" w:firstLine="0" w:firstLineChars="0"/>
                    <w:jc w:val="center"/>
                    <w:textAlignment w:val="auto"/>
                    <w:rPr>
                      <w:rFonts w:hint="default" w:ascii="Times New Roman" w:hAnsi="Times New Roman" w:eastAsia="宋体" w:cs="Times New Roman"/>
                      <w:kern w:val="2"/>
                      <w:sz w:val="21"/>
                      <w:szCs w:val="21"/>
                      <w:lang w:val="en-US" w:eastAsia="zh-CN" w:bidi="ar"/>
                    </w:rPr>
                  </w:pPr>
                  <w:r>
                    <w:rPr>
                      <w:rFonts w:hint="default" w:ascii="Times New Roman" w:hAnsi="Times New Roman" w:eastAsia="宋体" w:cs="Times New Roman"/>
                      <w:b w:val="0"/>
                      <w:bCs/>
                      <w:kern w:val="2"/>
                      <w:sz w:val="21"/>
                      <w:szCs w:val="21"/>
                      <w:lang w:val="en-US" w:eastAsia="zh-CN" w:bidi="ar"/>
                    </w:rPr>
                    <w:t>废气</w:t>
                  </w:r>
                </w:p>
              </w:tc>
              <w:tc>
                <w:tcPr>
                  <w:tcW w:w="5488" w:type="dxa"/>
                  <w:tcBorders>
                    <w:top w:val="single" w:color="auto" w:sz="4" w:space="0"/>
                    <w:left w:val="single" w:color="auto" w:sz="4" w:space="0"/>
                    <w:bottom w:val="single" w:color="auto" w:sz="4" w:space="0"/>
                    <w:right w:val="single" w:color="auto" w:sz="4" w:space="0"/>
                  </w:tcBorders>
                  <w:noWrap w:val="0"/>
                  <w:vAlign w:val="center"/>
                </w:tcPr>
                <w:p w14:paraId="261DD621">
                  <w:pPr>
                    <w:keepNext w:val="0"/>
                    <w:keepLines w:val="0"/>
                    <w:pageBreakBefore w:val="0"/>
                    <w:widowControl w:val="0"/>
                    <w:suppressLineNumbers w:val="0"/>
                    <w:kinsoku/>
                    <w:wordWrap/>
                    <w:overflowPunct/>
                    <w:topLinePunct w:val="0"/>
                    <w:autoSpaceDE w:val="0"/>
                    <w:autoSpaceDN/>
                    <w:bidi w:val="0"/>
                    <w:snapToGrid w:val="0"/>
                    <w:spacing w:before="0" w:beforeAutospacing="0" w:after="0" w:afterAutospacing="0"/>
                    <w:ind w:left="0" w:leftChars="0" w:right="0" w:firstLine="0" w:firstLineChars="0"/>
                    <w:jc w:val="center"/>
                    <w:textAlignment w:val="auto"/>
                    <w:rPr>
                      <w:rFonts w:hint="default" w:ascii="Times New Roman" w:hAnsi="Times New Roman" w:eastAsia="宋体" w:cs="Times New Roman"/>
                      <w:bCs/>
                      <w:kern w:val="2"/>
                      <w:sz w:val="21"/>
                      <w:szCs w:val="21"/>
                      <w:lang w:val="en-US" w:eastAsia="zh-CN" w:bidi="ar"/>
                    </w:rPr>
                  </w:pPr>
                  <w:r>
                    <w:rPr>
                      <w:rFonts w:hint="eastAsia" w:ascii="Times New Roman" w:hAnsi="Times New Roman" w:cs="Times New Roman"/>
                      <w:spacing w:val="-4"/>
                      <w:sz w:val="21"/>
                      <w:szCs w:val="21"/>
                      <w:lang w:val="en-US" w:eastAsia="zh-CN"/>
                    </w:rPr>
                    <w:t>三期煤棚</w:t>
                  </w:r>
                  <w:r>
                    <w:rPr>
                      <w:rFonts w:hint="default" w:ascii="Times New Roman" w:hAnsi="Times New Roman" w:cs="Times New Roman"/>
                      <w:sz w:val="21"/>
                      <w:szCs w:val="21"/>
                      <w:lang w:val="en-US" w:eastAsia="zh-CN"/>
                    </w:rPr>
                    <w:t>安装喷淋装置</w:t>
                  </w:r>
                </w:p>
              </w:tc>
              <w:tc>
                <w:tcPr>
                  <w:tcW w:w="1158" w:type="dxa"/>
                  <w:tcBorders>
                    <w:top w:val="single" w:color="auto" w:sz="4" w:space="0"/>
                    <w:left w:val="single" w:color="auto" w:sz="4" w:space="0"/>
                    <w:bottom w:val="single" w:color="auto" w:sz="4" w:space="0"/>
                    <w:right w:val="single" w:color="auto" w:sz="4" w:space="0"/>
                  </w:tcBorders>
                  <w:noWrap w:val="0"/>
                  <w:vAlign w:val="center"/>
                </w:tcPr>
                <w:p w14:paraId="5E9D5C96">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cs="Times New Roman"/>
                      <w:b w:val="0"/>
                      <w:bCs/>
                      <w:kern w:val="2"/>
                      <w:sz w:val="21"/>
                      <w:szCs w:val="21"/>
                      <w:lang w:val="en-US" w:eastAsia="zh-CN" w:bidi="ar"/>
                    </w:rPr>
                  </w:pPr>
                  <w:r>
                    <w:rPr>
                      <w:rFonts w:hint="eastAsia" w:ascii="Times New Roman" w:hAnsi="Times New Roman" w:cs="Times New Roman"/>
                      <w:b w:val="0"/>
                      <w:bCs/>
                      <w:kern w:val="2"/>
                      <w:sz w:val="21"/>
                      <w:szCs w:val="21"/>
                      <w:lang w:val="en-US" w:eastAsia="zh-CN" w:bidi="ar"/>
                    </w:rPr>
                    <w:t>4</w:t>
                  </w:r>
                </w:p>
              </w:tc>
            </w:tr>
            <w:tr w14:paraId="1E3B7A42">
              <w:tblPrEx>
                <w:tblBorders>
                  <w:top w:val="single" w:color="auto" w:sz="8" w:space="0"/>
                  <w:left w:val="none" w:color="auto" w:sz="6" w:space="0"/>
                  <w:bottom w:val="single" w:color="auto" w:sz="8" w:space="0"/>
                  <w:right w:val="none" w:color="auto" w:sz="6"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59" w:type="dxa"/>
                  <w:vMerge w:val="continue"/>
                  <w:tcBorders>
                    <w:left w:val="single" w:color="auto" w:sz="4" w:space="0"/>
                    <w:right w:val="single" w:color="auto" w:sz="4" w:space="0"/>
                  </w:tcBorders>
                  <w:noWrap w:val="0"/>
                  <w:vAlign w:val="center"/>
                </w:tcPr>
                <w:p w14:paraId="263E97FC">
                  <w:pPr>
                    <w:keepNext w:val="0"/>
                    <w:keepLines w:val="0"/>
                    <w:pageBreakBefore w:val="0"/>
                    <w:widowControl w:val="0"/>
                    <w:suppressLineNumbers w:val="0"/>
                    <w:kinsoku/>
                    <w:wordWrap/>
                    <w:overflowPunct/>
                    <w:topLinePunct w:val="0"/>
                    <w:autoSpaceDN/>
                    <w:bidi w:val="0"/>
                    <w:spacing w:before="0" w:beforeAutospacing="0" w:after="0" w:afterAutospacing="0"/>
                    <w:ind w:left="0" w:right="0"/>
                    <w:jc w:val="center"/>
                    <w:textAlignment w:val="auto"/>
                    <w:rPr>
                      <w:rFonts w:hint="default" w:ascii="Times New Roman" w:hAnsi="Times New Roman" w:cs="Times New Roman"/>
                      <w:sz w:val="21"/>
                      <w:szCs w:val="21"/>
                    </w:rPr>
                  </w:pPr>
                </w:p>
              </w:tc>
              <w:tc>
                <w:tcPr>
                  <w:tcW w:w="947" w:type="dxa"/>
                  <w:tcBorders>
                    <w:top w:val="single" w:color="auto" w:sz="4" w:space="0"/>
                    <w:left w:val="single" w:color="auto" w:sz="4" w:space="0"/>
                    <w:bottom w:val="single" w:color="auto" w:sz="4" w:space="0"/>
                    <w:right w:val="single" w:color="auto" w:sz="4" w:space="0"/>
                  </w:tcBorders>
                  <w:noWrap w:val="0"/>
                  <w:vAlign w:val="center"/>
                </w:tcPr>
                <w:p w14:paraId="2C93C12B">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kern w:val="2"/>
                      <w:sz w:val="21"/>
                      <w:szCs w:val="21"/>
                      <w:lang w:val="en-US" w:eastAsia="zh-CN" w:bidi="ar"/>
                    </w:rPr>
                  </w:pPr>
                  <w:r>
                    <w:rPr>
                      <w:rFonts w:hint="default" w:ascii="Times New Roman" w:hAnsi="Times New Roman" w:eastAsia="宋体" w:cs="Times New Roman"/>
                      <w:b w:val="0"/>
                      <w:bCs/>
                      <w:kern w:val="2"/>
                      <w:sz w:val="21"/>
                      <w:szCs w:val="21"/>
                      <w:lang w:val="en-US" w:eastAsia="zh-CN" w:bidi="ar"/>
                    </w:rPr>
                    <w:t>噪声管理</w:t>
                  </w:r>
                </w:p>
              </w:tc>
              <w:tc>
                <w:tcPr>
                  <w:tcW w:w="5488" w:type="dxa"/>
                  <w:tcBorders>
                    <w:top w:val="single" w:color="auto" w:sz="4" w:space="0"/>
                    <w:left w:val="single" w:color="auto" w:sz="4" w:space="0"/>
                    <w:bottom w:val="single" w:color="auto" w:sz="4" w:space="0"/>
                    <w:right w:val="single" w:color="auto" w:sz="4" w:space="0"/>
                  </w:tcBorders>
                  <w:noWrap w:val="0"/>
                  <w:vAlign w:val="center"/>
                </w:tcPr>
                <w:p w14:paraId="3DF19B32">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Cs/>
                      <w:kern w:val="2"/>
                      <w:sz w:val="21"/>
                      <w:szCs w:val="21"/>
                      <w:lang w:val="en-US" w:eastAsia="zh-CN" w:bidi="ar"/>
                    </w:rPr>
                  </w:pPr>
                  <w:r>
                    <w:rPr>
                      <w:rFonts w:hint="default" w:ascii="Times New Roman" w:hAnsi="Times New Roman" w:eastAsia="宋体" w:cs="Times New Roman"/>
                      <w:bCs/>
                      <w:kern w:val="2"/>
                      <w:sz w:val="21"/>
                      <w:szCs w:val="21"/>
                      <w:lang w:val="en-US" w:eastAsia="zh-CN" w:bidi="ar"/>
                    </w:rPr>
                    <w:t>选用低噪声设备，通过基础减震、厂房屏蔽、距离衰减等隔音措施</w:t>
                  </w:r>
                </w:p>
              </w:tc>
              <w:tc>
                <w:tcPr>
                  <w:tcW w:w="1158" w:type="dxa"/>
                  <w:tcBorders>
                    <w:top w:val="single" w:color="auto" w:sz="4" w:space="0"/>
                    <w:left w:val="single" w:color="auto" w:sz="4" w:space="0"/>
                    <w:bottom w:val="single" w:color="auto" w:sz="4" w:space="0"/>
                    <w:right w:val="single" w:color="auto" w:sz="4" w:space="0"/>
                  </w:tcBorders>
                  <w:noWrap w:val="0"/>
                  <w:vAlign w:val="center"/>
                </w:tcPr>
                <w:p w14:paraId="01374A38">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cs="Times New Roman"/>
                      <w:b w:val="0"/>
                      <w:bCs/>
                      <w:kern w:val="2"/>
                      <w:sz w:val="21"/>
                      <w:szCs w:val="21"/>
                      <w:lang w:val="en-US" w:eastAsia="zh-CN" w:bidi="ar"/>
                    </w:rPr>
                  </w:pPr>
                  <w:r>
                    <w:rPr>
                      <w:rFonts w:hint="eastAsia" w:ascii="Times New Roman" w:hAnsi="Times New Roman" w:cs="Times New Roman"/>
                      <w:b w:val="0"/>
                      <w:bCs/>
                      <w:kern w:val="2"/>
                      <w:sz w:val="21"/>
                      <w:szCs w:val="21"/>
                      <w:lang w:val="en-US" w:eastAsia="zh-CN" w:bidi="ar"/>
                    </w:rPr>
                    <w:t>2</w:t>
                  </w:r>
                </w:p>
              </w:tc>
            </w:tr>
            <w:tr w14:paraId="5B2610C9">
              <w:tblPrEx>
                <w:tblBorders>
                  <w:top w:val="single" w:color="auto" w:sz="8" w:space="0"/>
                  <w:left w:val="none" w:color="auto" w:sz="6" w:space="0"/>
                  <w:bottom w:val="single" w:color="auto" w:sz="8" w:space="0"/>
                  <w:right w:val="none" w:color="auto" w:sz="6"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59" w:type="dxa"/>
                  <w:vMerge w:val="continue"/>
                  <w:tcBorders>
                    <w:left w:val="single" w:color="auto" w:sz="4" w:space="0"/>
                    <w:right w:val="single" w:color="auto" w:sz="4" w:space="0"/>
                  </w:tcBorders>
                  <w:noWrap w:val="0"/>
                  <w:vAlign w:val="center"/>
                </w:tcPr>
                <w:p w14:paraId="1A83D11C">
                  <w:pPr>
                    <w:keepNext w:val="0"/>
                    <w:keepLines w:val="0"/>
                    <w:pageBreakBefore w:val="0"/>
                    <w:widowControl w:val="0"/>
                    <w:suppressLineNumbers w:val="0"/>
                    <w:kinsoku/>
                    <w:wordWrap/>
                    <w:overflowPunct/>
                    <w:topLinePunct w:val="0"/>
                    <w:autoSpaceDN/>
                    <w:bidi w:val="0"/>
                    <w:spacing w:before="0" w:beforeAutospacing="0" w:after="0" w:afterAutospacing="0"/>
                    <w:ind w:left="0" w:right="0"/>
                    <w:jc w:val="center"/>
                    <w:textAlignment w:val="auto"/>
                    <w:rPr>
                      <w:rFonts w:hint="default" w:ascii="Times New Roman" w:hAnsi="Times New Roman" w:cs="Times New Roman"/>
                      <w:sz w:val="21"/>
                      <w:szCs w:val="21"/>
                    </w:rPr>
                  </w:pPr>
                </w:p>
              </w:tc>
              <w:tc>
                <w:tcPr>
                  <w:tcW w:w="947" w:type="dxa"/>
                  <w:tcBorders>
                    <w:top w:val="single" w:color="auto" w:sz="4" w:space="0"/>
                    <w:left w:val="single" w:color="auto" w:sz="4" w:space="0"/>
                    <w:bottom w:val="single" w:color="auto" w:sz="4" w:space="0"/>
                    <w:right w:val="single" w:color="auto" w:sz="4" w:space="0"/>
                  </w:tcBorders>
                  <w:noWrap w:val="0"/>
                  <w:vAlign w:val="center"/>
                </w:tcPr>
                <w:p w14:paraId="74F8574D">
                  <w:pPr>
                    <w:keepNext w:val="0"/>
                    <w:keepLines w:val="0"/>
                    <w:pageBreakBefore w:val="0"/>
                    <w:widowControl w:val="0"/>
                    <w:suppressLineNumbers w:val="0"/>
                    <w:kinsoku/>
                    <w:wordWrap/>
                    <w:overflowPunct/>
                    <w:topLinePunct w:val="0"/>
                    <w:autoSpaceDE w:val="0"/>
                    <w:autoSpaceDN/>
                    <w:bidi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kern w:val="2"/>
                      <w:sz w:val="21"/>
                      <w:szCs w:val="21"/>
                      <w:lang w:val="en-US" w:eastAsia="zh-CN" w:bidi="ar"/>
                    </w:rPr>
                  </w:pPr>
                  <w:r>
                    <w:rPr>
                      <w:rFonts w:hint="default" w:ascii="Times New Roman" w:hAnsi="Times New Roman" w:eastAsia="宋体" w:cs="Times New Roman"/>
                      <w:kern w:val="2"/>
                      <w:sz w:val="21"/>
                      <w:szCs w:val="21"/>
                      <w:lang w:val="en-US" w:eastAsia="zh-CN" w:bidi="ar"/>
                    </w:rPr>
                    <w:t>防渗</w:t>
                  </w:r>
                </w:p>
              </w:tc>
              <w:tc>
                <w:tcPr>
                  <w:tcW w:w="5488" w:type="dxa"/>
                  <w:tcBorders>
                    <w:top w:val="single" w:color="auto" w:sz="4" w:space="0"/>
                    <w:left w:val="single" w:color="auto" w:sz="4" w:space="0"/>
                    <w:bottom w:val="single" w:color="auto" w:sz="4" w:space="0"/>
                    <w:right w:val="single" w:color="auto" w:sz="4" w:space="0"/>
                  </w:tcBorders>
                  <w:noWrap w:val="0"/>
                  <w:vAlign w:val="center"/>
                </w:tcPr>
                <w:p w14:paraId="417264E4">
                  <w:pPr>
                    <w:keepNext w:val="0"/>
                    <w:keepLines w:val="0"/>
                    <w:pageBreakBefore w:val="0"/>
                    <w:widowControl w:val="0"/>
                    <w:suppressLineNumbers w:val="0"/>
                    <w:kinsoku/>
                    <w:wordWrap/>
                    <w:overflowPunct/>
                    <w:topLinePunct w:val="0"/>
                    <w:autoSpaceDE w:val="0"/>
                    <w:autoSpaceDN/>
                    <w:bidi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Cs/>
                      <w:kern w:val="2"/>
                      <w:sz w:val="21"/>
                      <w:szCs w:val="21"/>
                      <w:lang w:val="en-US" w:eastAsia="zh-CN" w:bidi="ar"/>
                    </w:rPr>
                  </w:pPr>
                  <w:r>
                    <w:rPr>
                      <w:rFonts w:hint="default" w:ascii="Times New Roman" w:hAnsi="Times New Roman" w:eastAsia="宋体" w:cs="Times New Roman"/>
                      <w:bCs/>
                      <w:kern w:val="2"/>
                      <w:sz w:val="21"/>
                      <w:szCs w:val="21"/>
                      <w:lang w:val="en-US" w:eastAsia="zh-CN" w:bidi="ar"/>
                    </w:rPr>
                    <w:t>进行分区防渗</w:t>
                  </w:r>
                </w:p>
              </w:tc>
              <w:tc>
                <w:tcPr>
                  <w:tcW w:w="1158" w:type="dxa"/>
                  <w:tcBorders>
                    <w:top w:val="single" w:color="auto" w:sz="4" w:space="0"/>
                    <w:left w:val="single" w:color="auto" w:sz="4" w:space="0"/>
                    <w:bottom w:val="single" w:color="auto" w:sz="4" w:space="0"/>
                    <w:right w:val="single" w:color="auto" w:sz="4" w:space="0"/>
                  </w:tcBorders>
                  <w:noWrap w:val="0"/>
                  <w:vAlign w:val="center"/>
                </w:tcPr>
                <w:p w14:paraId="6FA6529C">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cs="Times New Roman"/>
                      <w:b w:val="0"/>
                      <w:bCs/>
                      <w:kern w:val="2"/>
                      <w:sz w:val="21"/>
                      <w:szCs w:val="21"/>
                      <w:lang w:val="en-US" w:eastAsia="zh-CN" w:bidi="ar"/>
                    </w:rPr>
                  </w:pPr>
                  <w:r>
                    <w:rPr>
                      <w:rFonts w:hint="eastAsia" w:ascii="Times New Roman" w:hAnsi="Times New Roman" w:cs="Times New Roman"/>
                      <w:b w:val="0"/>
                      <w:bCs/>
                      <w:kern w:val="2"/>
                      <w:sz w:val="21"/>
                      <w:szCs w:val="21"/>
                      <w:lang w:val="en-US" w:eastAsia="zh-CN" w:bidi="ar"/>
                    </w:rPr>
                    <w:t>6</w:t>
                  </w:r>
                </w:p>
              </w:tc>
            </w:tr>
            <w:tr w14:paraId="5BE2DF0F">
              <w:tblPrEx>
                <w:tblBorders>
                  <w:top w:val="single" w:color="auto" w:sz="8" w:space="0"/>
                  <w:left w:val="none" w:color="auto" w:sz="6" w:space="0"/>
                  <w:bottom w:val="single" w:color="auto" w:sz="8" w:space="0"/>
                  <w:right w:val="none" w:color="auto" w:sz="6"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59" w:type="dxa"/>
                  <w:vMerge w:val="continue"/>
                  <w:tcBorders>
                    <w:left w:val="single" w:color="auto" w:sz="4" w:space="0"/>
                    <w:right w:val="single" w:color="auto" w:sz="4" w:space="0"/>
                  </w:tcBorders>
                  <w:noWrap w:val="0"/>
                  <w:vAlign w:val="center"/>
                </w:tcPr>
                <w:p w14:paraId="2446E750">
                  <w:pPr>
                    <w:keepNext w:val="0"/>
                    <w:keepLines w:val="0"/>
                    <w:pageBreakBefore w:val="0"/>
                    <w:widowControl w:val="0"/>
                    <w:suppressLineNumbers w:val="0"/>
                    <w:kinsoku/>
                    <w:wordWrap/>
                    <w:overflowPunct/>
                    <w:topLinePunct w:val="0"/>
                    <w:autoSpaceDN/>
                    <w:bidi w:val="0"/>
                    <w:spacing w:before="0" w:beforeAutospacing="0" w:after="0" w:afterAutospacing="0"/>
                    <w:ind w:left="0" w:right="0"/>
                    <w:jc w:val="center"/>
                    <w:textAlignment w:val="auto"/>
                    <w:rPr>
                      <w:rFonts w:hint="default" w:ascii="Times New Roman" w:hAnsi="Times New Roman" w:cs="Times New Roman"/>
                      <w:sz w:val="21"/>
                      <w:szCs w:val="21"/>
                    </w:rPr>
                  </w:pPr>
                </w:p>
              </w:tc>
              <w:tc>
                <w:tcPr>
                  <w:tcW w:w="6435" w:type="dxa"/>
                  <w:gridSpan w:val="2"/>
                  <w:tcBorders>
                    <w:top w:val="single" w:color="auto" w:sz="4" w:space="0"/>
                    <w:left w:val="single" w:color="auto" w:sz="4" w:space="0"/>
                    <w:bottom w:val="single" w:color="auto" w:sz="4" w:space="0"/>
                    <w:right w:val="single" w:color="auto" w:sz="4" w:space="0"/>
                  </w:tcBorders>
                  <w:noWrap w:val="0"/>
                  <w:vAlign w:val="center"/>
                </w:tcPr>
                <w:p w14:paraId="213163DF">
                  <w:pPr>
                    <w:keepNext w:val="0"/>
                    <w:keepLines w:val="0"/>
                    <w:pageBreakBefore w:val="0"/>
                    <w:widowControl w:val="0"/>
                    <w:suppressLineNumbers w:val="0"/>
                    <w:kinsoku/>
                    <w:wordWrap/>
                    <w:overflowPunct/>
                    <w:topLinePunct w:val="0"/>
                    <w:autoSpaceDE w:val="0"/>
                    <w:autoSpaceDN/>
                    <w:bidi w:val="0"/>
                    <w:snapToGrid w:val="0"/>
                    <w:spacing w:before="0" w:beforeAutospacing="0" w:after="0" w:afterAutospacing="0"/>
                    <w:ind w:left="0" w:leftChars="0" w:right="0" w:firstLine="0" w:firstLineChars="0"/>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2"/>
                      <w:sz w:val="21"/>
                      <w:szCs w:val="21"/>
                      <w:lang w:val="en-US" w:eastAsia="zh-CN" w:bidi="ar"/>
                    </w:rPr>
                    <w:t>环保设施运行维护管理费用，环境管理与监测费用</w:t>
                  </w:r>
                </w:p>
              </w:tc>
              <w:tc>
                <w:tcPr>
                  <w:tcW w:w="1158" w:type="dxa"/>
                  <w:tcBorders>
                    <w:top w:val="single" w:color="auto" w:sz="4" w:space="0"/>
                    <w:left w:val="single" w:color="auto" w:sz="4" w:space="0"/>
                    <w:bottom w:val="single" w:color="auto" w:sz="4" w:space="0"/>
                    <w:right w:val="single" w:color="auto" w:sz="4" w:space="0"/>
                  </w:tcBorders>
                  <w:noWrap w:val="0"/>
                  <w:vAlign w:val="center"/>
                </w:tcPr>
                <w:p w14:paraId="6BD26177">
                  <w:pPr>
                    <w:keepNext w:val="0"/>
                    <w:keepLines w:val="0"/>
                    <w:pageBreakBefore w:val="0"/>
                    <w:widowControl w:val="0"/>
                    <w:suppressLineNumbers w:val="0"/>
                    <w:kinsoku/>
                    <w:wordWrap/>
                    <w:overflowPunct/>
                    <w:topLinePunct w:val="0"/>
                    <w:autoSpaceDE w:val="0"/>
                    <w:autoSpaceDN/>
                    <w:bidi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kern w:val="2"/>
                      <w:sz w:val="21"/>
                      <w:szCs w:val="21"/>
                    </w:rPr>
                  </w:pPr>
                  <w:r>
                    <w:rPr>
                      <w:rFonts w:hint="eastAsia" w:ascii="Times New Roman" w:hAnsi="Times New Roman" w:eastAsia="宋体" w:cs="Times New Roman"/>
                      <w:kern w:val="2"/>
                      <w:sz w:val="21"/>
                      <w:szCs w:val="21"/>
                      <w:lang w:val="en-US" w:eastAsia="zh-CN" w:bidi="ar"/>
                    </w:rPr>
                    <w:t>12</w:t>
                  </w:r>
                </w:p>
              </w:tc>
            </w:tr>
            <w:tr w14:paraId="397038C8">
              <w:tblPrEx>
                <w:tblBorders>
                  <w:top w:val="single" w:color="auto" w:sz="8" w:space="0"/>
                  <w:left w:val="none" w:color="auto" w:sz="6" w:space="0"/>
                  <w:bottom w:val="single" w:color="auto" w:sz="8" w:space="0"/>
                  <w:right w:val="none" w:color="auto" w:sz="6"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6794" w:type="dxa"/>
                  <w:gridSpan w:val="3"/>
                  <w:tcBorders>
                    <w:left w:val="single" w:color="auto" w:sz="4" w:space="0"/>
                    <w:bottom w:val="single" w:color="auto" w:sz="4" w:space="0"/>
                    <w:right w:val="single" w:color="auto" w:sz="4" w:space="0"/>
                  </w:tcBorders>
                  <w:noWrap w:val="0"/>
                  <w:vAlign w:val="center"/>
                </w:tcPr>
                <w:p w14:paraId="0F17C275">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kern w:val="2"/>
                      <w:sz w:val="21"/>
                      <w:szCs w:val="21"/>
                      <w:lang w:val="en-US" w:eastAsia="zh-CN" w:bidi="ar"/>
                    </w:rPr>
                  </w:pPr>
                  <w:r>
                    <w:rPr>
                      <w:rFonts w:hint="eastAsia" w:ascii="Times New Roman" w:hAnsi="Times New Roman" w:eastAsia="宋体" w:cs="Times New Roman"/>
                      <w:b w:val="0"/>
                      <w:bCs/>
                      <w:kern w:val="2"/>
                      <w:sz w:val="21"/>
                      <w:szCs w:val="21"/>
                      <w:lang w:val="en-US" w:eastAsia="zh-CN" w:bidi="ar"/>
                    </w:rPr>
                    <w:t>合计</w:t>
                  </w:r>
                </w:p>
              </w:tc>
              <w:tc>
                <w:tcPr>
                  <w:tcW w:w="1158" w:type="dxa"/>
                  <w:tcBorders>
                    <w:top w:val="single" w:color="auto" w:sz="4" w:space="0"/>
                    <w:left w:val="single" w:color="auto" w:sz="4" w:space="0"/>
                    <w:bottom w:val="single" w:color="auto" w:sz="4" w:space="0"/>
                    <w:right w:val="single" w:color="auto" w:sz="4" w:space="0"/>
                  </w:tcBorders>
                  <w:noWrap w:val="0"/>
                  <w:vAlign w:val="center"/>
                </w:tcPr>
                <w:p w14:paraId="231E9DFF">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cs="Times New Roman"/>
                      <w:b w:val="0"/>
                      <w:bCs/>
                      <w:kern w:val="2"/>
                      <w:sz w:val="21"/>
                      <w:szCs w:val="21"/>
                      <w:lang w:val="en-US" w:eastAsia="zh-CN"/>
                    </w:rPr>
                  </w:pPr>
                  <w:r>
                    <w:rPr>
                      <w:rFonts w:hint="eastAsia" w:ascii="Times New Roman" w:hAnsi="Times New Roman" w:cs="Times New Roman"/>
                      <w:b w:val="0"/>
                      <w:bCs/>
                      <w:kern w:val="2"/>
                      <w:sz w:val="21"/>
                      <w:szCs w:val="21"/>
                      <w:lang w:val="en-US" w:eastAsia="zh-CN"/>
                    </w:rPr>
                    <w:t>118</w:t>
                  </w:r>
                </w:p>
              </w:tc>
            </w:tr>
          </w:tbl>
          <w:p w14:paraId="75219604">
            <w:pPr>
              <w:widowControl w:val="0"/>
              <w:numPr>
                <w:ilvl w:val="0"/>
                <w:numId w:val="0"/>
              </w:numPr>
              <w:adjustRightInd w:val="0"/>
              <w:snapToGrid w:val="0"/>
              <w:spacing w:line="360" w:lineRule="auto"/>
              <w:jc w:val="both"/>
              <w:rPr>
                <w:rFonts w:hint="default" w:ascii="宋体" w:hAnsi="宋体" w:cs="宋体"/>
                <w:bCs/>
                <w:sz w:val="24"/>
                <w:szCs w:val="24"/>
                <w:lang w:val="en-US" w:eastAsia="zh-CN"/>
              </w:rPr>
            </w:pPr>
          </w:p>
        </w:tc>
      </w:tr>
      <w:tr w14:paraId="6E7887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989" w:hRule="atLeast"/>
          <w:jc w:val="center"/>
        </w:trPr>
        <w:tc>
          <w:tcPr>
            <w:tcW w:w="823" w:type="dxa"/>
            <w:noWrap w:val="0"/>
            <w:vAlign w:val="center"/>
          </w:tcPr>
          <w:p w14:paraId="489C73A1">
            <w:pPr>
              <w:pStyle w:val="21"/>
              <w:adjustRightInd w:val="0"/>
              <w:snapToGrid w:val="0"/>
              <w:spacing w:before="0" w:beforeAutospacing="0" w:after="0" w:afterAutospacing="0"/>
              <w:jc w:val="center"/>
              <w:rPr>
                <w:rFonts w:cs="宋体"/>
                <w:sz w:val="21"/>
                <w:szCs w:val="21"/>
              </w:rPr>
            </w:pPr>
            <w:r>
              <w:rPr>
                <w:rFonts w:hint="default" w:ascii="Times New Roman" w:hAnsi="Times New Roman" w:cs="Times New Roman"/>
                <w:sz w:val="24"/>
                <w:szCs w:val="24"/>
              </w:rPr>
              <w:t>工艺流程和产排污环节</w:t>
            </w:r>
          </w:p>
        </w:tc>
        <w:tc>
          <w:tcPr>
            <w:tcW w:w="8161" w:type="dxa"/>
            <w:noWrap w:val="0"/>
            <w:vAlign w:val="top"/>
          </w:tcPr>
          <w:p w14:paraId="73919854">
            <w:pPr>
              <w:keepNext w:val="0"/>
              <w:keepLines w:val="0"/>
              <w:pageBreakBefore w:val="0"/>
              <w:widowControl w:val="0"/>
              <w:kinsoku/>
              <w:wordWrap/>
              <w:overflowPunct/>
              <w:topLinePunct w:val="0"/>
              <w:autoSpaceDE/>
              <w:autoSpaceDN/>
              <w:bidi w:val="0"/>
              <w:adjustRightInd/>
              <w:snapToGrid w:val="0"/>
              <w:spacing w:line="440" w:lineRule="exact"/>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1、施工期工艺流程简述及产污环节分析</w:t>
            </w:r>
          </w:p>
          <w:p w14:paraId="602724FE">
            <w:pPr>
              <w:keepNext w:val="0"/>
              <w:keepLines w:val="0"/>
              <w:pageBreakBefore w:val="0"/>
              <w:widowControl w:val="0"/>
              <w:kinsoku/>
              <w:wordWrap/>
              <w:overflowPunct/>
              <w:topLinePunct w:val="0"/>
              <w:autoSpaceDE/>
              <w:autoSpaceDN/>
              <w:bidi w:val="0"/>
              <w:adjustRightInd/>
              <w:snapToGrid w:val="0"/>
              <w:spacing w:line="440" w:lineRule="exact"/>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项目建设期对环境的影响主要表现为：施工扬尘、施工废水、施工机械噪声、施工固废以及施工队伍的生活排污。施工期工艺和产污环节详见图2-2。</w:t>
            </w:r>
          </w:p>
          <w:p w14:paraId="3A135D3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auto"/>
              </w:rPr>
            </w:pPr>
            <w:r>
              <w:rPr>
                <w:color w:val="auto"/>
              </w:rPr>
              <w:object>
                <v:shape id="_x0000_i1025" o:spt="75" type="#_x0000_t75" style="height:107.8pt;width:339pt;" o:ole="t" filled="f" o:preferrelative="t" stroked="f" coordsize="21600,21600">
                  <v:path/>
                  <v:fill on="f" focussize="0,0"/>
                  <v:stroke on="f"/>
                  <v:imagedata r:id="rId11" o:title=""/>
                  <o:lock v:ext="edit" aspectratio="f"/>
                  <w10:wrap type="none"/>
                  <w10:anchorlock/>
                </v:shape>
                <o:OLEObject Type="Embed" ProgID="Visio.Drawing.15" ShapeID="_x0000_i1025" DrawAspect="Content" ObjectID="_1468075725" r:id="rId10">
                  <o:LockedField>false</o:LockedField>
                </o:OLEObject>
              </w:object>
            </w:r>
          </w:p>
          <w:p w14:paraId="0A741F39">
            <w:pPr>
              <w:keepNext w:val="0"/>
              <w:keepLines w:val="0"/>
              <w:pageBreakBefore w:val="0"/>
              <w:widowControl w:val="0"/>
              <w:kinsoku/>
              <w:wordWrap/>
              <w:overflowPunct/>
              <w:topLinePunct w:val="0"/>
              <w:autoSpaceDE/>
              <w:autoSpaceDN/>
              <w:bidi w:val="0"/>
              <w:adjustRightInd/>
              <w:snapToGrid w:val="0"/>
              <w:spacing w:line="440" w:lineRule="exact"/>
              <w:jc w:val="center"/>
              <w:textAlignment w:val="auto"/>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图2-2   施工期主要流程及产污环节图</w:t>
            </w:r>
          </w:p>
          <w:p w14:paraId="6BCE1950">
            <w:pPr>
              <w:pStyle w:val="3"/>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Cs/>
                <w:kern w:val="2"/>
                <w:sz w:val="24"/>
                <w:szCs w:val="24"/>
                <w:lang w:val="en-US" w:eastAsia="zh-CN" w:bidi="ar-SA"/>
              </w:rPr>
            </w:pPr>
            <w:r>
              <w:rPr>
                <w:rFonts w:hint="default" w:ascii="Times New Roman" w:hAnsi="Times New Roman" w:eastAsia="宋体" w:cs="Times New Roman"/>
                <w:bCs/>
                <w:spacing w:val="0"/>
                <w:kern w:val="2"/>
                <w:sz w:val="24"/>
                <w:szCs w:val="24"/>
                <w:lang w:val="en-US" w:eastAsia="zh-CN" w:bidi="ar-SA"/>
              </w:rPr>
              <w:t>2、</w:t>
            </w:r>
            <w:r>
              <w:rPr>
                <w:rFonts w:hint="default" w:ascii="Times New Roman" w:hAnsi="Times New Roman" w:eastAsia="宋体" w:cs="Times New Roman"/>
                <w:bCs/>
                <w:kern w:val="2"/>
                <w:sz w:val="24"/>
                <w:szCs w:val="24"/>
                <w:lang w:val="en-US" w:eastAsia="zh-CN" w:bidi="ar-SA"/>
              </w:rPr>
              <w:t>运营期工艺流程</w:t>
            </w:r>
          </w:p>
          <w:p w14:paraId="289C1B9D">
            <w:pPr>
              <w:pStyle w:val="3"/>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Cs/>
                <w:spacing w:val="0"/>
                <w:kern w:val="2"/>
                <w:sz w:val="24"/>
                <w:szCs w:val="24"/>
                <w:lang w:val="en-US" w:eastAsia="zh-CN" w:bidi="ar-SA"/>
              </w:rPr>
            </w:pPr>
            <w:r>
              <w:rPr>
                <w:rFonts w:hint="default" w:ascii="Times New Roman" w:hAnsi="Times New Roman" w:eastAsia="宋体" w:cs="Times New Roman"/>
                <w:bCs/>
                <w:spacing w:val="0"/>
                <w:kern w:val="2"/>
                <w:sz w:val="24"/>
                <w:szCs w:val="24"/>
                <w:lang w:val="en-US" w:eastAsia="zh-CN" w:bidi="ar-SA"/>
              </w:rPr>
              <w:t>洗煤泥生产线工艺流程如下：</w:t>
            </w:r>
          </w:p>
          <w:p w14:paraId="0650A8C8">
            <w:pPr>
              <w:pStyle w:val="4"/>
              <w:jc w:val="center"/>
              <w:rPr>
                <w:rFonts w:hint="default"/>
                <w:b/>
                <w:bCs/>
                <w:lang w:val="en-US" w:eastAsia="zh-CN"/>
              </w:rPr>
            </w:pPr>
            <w:r>
              <w:drawing>
                <wp:anchor distT="0" distB="0" distL="114300" distR="114300" simplePos="0" relativeHeight="251659264" behindDoc="0" locked="0" layoutInCell="1" allowOverlap="1">
                  <wp:simplePos x="0" y="0"/>
                  <wp:positionH relativeFrom="column">
                    <wp:posOffset>266700</wp:posOffset>
                  </wp:positionH>
                  <wp:positionV relativeFrom="paragraph">
                    <wp:posOffset>38100</wp:posOffset>
                  </wp:positionV>
                  <wp:extent cx="5038725" cy="2440305"/>
                  <wp:effectExtent l="0" t="0" r="9525" b="17145"/>
                  <wp:wrapTopAndBottom/>
                  <wp:docPr id="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pic:cNvPicPr>
                            <a:picLocks noChangeAspect="1"/>
                          </pic:cNvPicPr>
                        </pic:nvPicPr>
                        <pic:blipFill>
                          <a:blip r:embed="rId12"/>
                          <a:stretch>
                            <a:fillRect/>
                          </a:stretch>
                        </pic:blipFill>
                        <pic:spPr>
                          <a:xfrm>
                            <a:off x="0" y="0"/>
                            <a:ext cx="5038725" cy="2440305"/>
                          </a:xfrm>
                          <a:prstGeom prst="rect">
                            <a:avLst/>
                          </a:prstGeom>
                          <a:noFill/>
                          <a:ln>
                            <a:noFill/>
                          </a:ln>
                        </pic:spPr>
                      </pic:pic>
                    </a:graphicData>
                  </a:graphic>
                </wp:anchor>
              </w:drawing>
            </w:r>
            <w:r>
              <w:rPr>
                <w:rFonts w:hint="eastAsia"/>
                <w:b/>
                <w:bCs/>
                <w:lang w:val="en-US" w:eastAsia="zh-CN"/>
              </w:rPr>
              <w:t>图2-3  运营期工艺流程图</w:t>
            </w:r>
          </w:p>
          <w:p w14:paraId="141FAED7">
            <w:pPr>
              <w:pStyle w:val="4"/>
              <w:keepNext w:val="0"/>
              <w:keepLines w:val="0"/>
              <w:pageBreakBefore w:val="0"/>
              <w:widowControl w:val="0"/>
              <w:kinsoku/>
              <w:wordWrap/>
              <w:overflowPunct/>
              <w:topLinePunct w:val="0"/>
              <w:autoSpaceDE/>
              <w:autoSpaceDN/>
              <w:bidi w:val="0"/>
              <w:adjustRightInd/>
              <w:snapToGrid w:val="0"/>
              <w:spacing w:before="0" w:after="0" w:line="440" w:lineRule="exact"/>
              <w:ind w:right="0" w:firstLine="480" w:firstLineChars="200"/>
              <w:textAlignment w:val="auto"/>
              <w:rPr>
                <w:rFonts w:hint="default" w:ascii="Times New Roman" w:hAnsi="Times New Roman" w:eastAsia="宋体" w:cs="Times New Roman"/>
                <w:bCs/>
                <w:spacing w:val="0"/>
                <w:kern w:val="2"/>
                <w:sz w:val="24"/>
                <w:szCs w:val="24"/>
                <w:lang w:val="en-US" w:eastAsia="zh-CN" w:bidi="ar-SA"/>
              </w:rPr>
            </w:pPr>
            <w:r>
              <w:rPr>
                <w:rFonts w:hint="default" w:ascii="Times New Roman" w:hAnsi="Times New Roman" w:eastAsia="宋体" w:cs="Times New Roman"/>
                <w:bCs/>
                <w:spacing w:val="0"/>
                <w:kern w:val="2"/>
                <w:sz w:val="24"/>
                <w:szCs w:val="24"/>
                <w:lang w:val="en-US" w:eastAsia="zh-CN" w:bidi="ar-SA"/>
              </w:rPr>
              <w:t>工艺流程描述：</w:t>
            </w:r>
          </w:p>
          <w:p w14:paraId="744F75FB">
            <w:pPr>
              <w:pStyle w:val="4"/>
              <w:keepNext w:val="0"/>
              <w:keepLines w:val="0"/>
              <w:pageBreakBefore w:val="0"/>
              <w:widowControl w:val="0"/>
              <w:kinsoku/>
              <w:wordWrap/>
              <w:overflowPunct/>
              <w:topLinePunct w:val="0"/>
              <w:autoSpaceDE/>
              <w:autoSpaceDN/>
              <w:bidi w:val="0"/>
              <w:adjustRightInd/>
              <w:snapToGrid w:val="0"/>
              <w:spacing w:before="0" w:after="0" w:line="440" w:lineRule="exact"/>
              <w:ind w:right="0" w:firstLine="480" w:firstLineChars="200"/>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 1 \* GB3 \* MERGEFORMAT </w:instrText>
            </w:r>
            <w:r>
              <w:rPr>
                <w:rFonts w:hint="default" w:ascii="Times New Roman" w:hAnsi="Times New Roman" w:cs="Times New Roman"/>
                <w:sz w:val="24"/>
                <w:szCs w:val="24"/>
                <w:lang w:val="en-US" w:eastAsia="zh-CN"/>
              </w:rPr>
              <w:fldChar w:fldCharType="separate"/>
            </w:r>
            <w:r>
              <w:t>①</w:t>
            </w:r>
            <w:r>
              <w:rPr>
                <w:rFonts w:hint="default" w:ascii="Times New Roman" w:hAnsi="Times New Roman" w:cs="Times New Roman"/>
                <w:sz w:val="24"/>
                <w:szCs w:val="24"/>
                <w:lang w:val="en-US" w:eastAsia="zh-CN"/>
              </w:rPr>
              <w:fldChar w:fldCharType="end"/>
            </w:r>
            <w:r>
              <w:rPr>
                <w:rFonts w:hint="default" w:ascii="Times New Roman" w:hAnsi="Times New Roman" w:cs="Times New Roman"/>
                <w:sz w:val="24"/>
                <w:szCs w:val="24"/>
                <w:lang w:val="en-US" w:eastAsia="zh-CN"/>
              </w:rPr>
              <w:t>煤泥稀释调配</w:t>
            </w:r>
          </w:p>
          <w:p w14:paraId="525C979F">
            <w:pPr>
              <w:pStyle w:val="4"/>
              <w:keepNext w:val="0"/>
              <w:keepLines w:val="0"/>
              <w:pageBreakBefore w:val="0"/>
              <w:widowControl w:val="0"/>
              <w:kinsoku/>
              <w:wordWrap/>
              <w:overflowPunct/>
              <w:topLinePunct w:val="0"/>
              <w:autoSpaceDE/>
              <w:autoSpaceDN/>
              <w:bidi w:val="0"/>
              <w:adjustRightInd/>
              <w:snapToGrid w:val="0"/>
              <w:spacing w:before="0" w:after="0" w:line="440" w:lineRule="exact"/>
              <w:ind w:right="0" w:firstLine="480" w:firstLineChars="200"/>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原料煤泥输送至稀释池，池顶设置自动打浆水枪、手动水炮，利用车间循环回用清水高压冲水、搅拌打散煤泥，调配成流动性合格的煤泥矿浆；调配完成后的矿浆经由泵体输送至除杂脱水筛。</w:t>
            </w:r>
          </w:p>
          <w:p w14:paraId="1827C2CD">
            <w:pPr>
              <w:pStyle w:val="4"/>
              <w:keepNext w:val="0"/>
              <w:keepLines w:val="0"/>
              <w:pageBreakBefore w:val="0"/>
              <w:widowControl w:val="0"/>
              <w:kinsoku/>
              <w:wordWrap/>
              <w:overflowPunct/>
              <w:topLinePunct w:val="0"/>
              <w:autoSpaceDE/>
              <w:autoSpaceDN/>
              <w:bidi w:val="0"/>
              <w:adjustRightInd/>
              <w:snapToGrid w:val="0"/>
              <w:spacing w:before="0" w:after="0" w:line="440" w:lineRule="exact"/>
              <w:ind w:right="0" w:firstLine="480" w:firstLineChars="200"/>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 2 \* GB3 \* MERGEFORMAT </w:instrText>
            </w:r>
            <w:r>
              <w:rPr>
                <w:rFonts w:hint="default" w:ascii="Times New Roman" w:hAnsi="Times New Roman" w:cs="Times New Roman"/>
                <w:sz w:val="24"/>
                <w:szCs w:val="24"/>
                <w:lang w:val="en-US" w:eastAsia="zh-CN"/>
              </w:rPr>
              <w:fldChar w:fldCharType="separate"/>
            </w:r>
            <w:r>
              <w:t>②</w:t>
            </w:r>
            <w:r>
              <w:rPr>
                <w:rFonts w:hint="default" w:ascii="Times New Roman" w:hAnsi="Times New Roman" w:cs="Times New Roman"/>
                <w:sz w:val="24"/>
                <w:szCs w:val="24"/>
                <w:lang w:val="en-US" w:eastAsia="zh-CN"/>
              </w:rPr>
              <w:fldChar w:fldCharType="end"/>
            </w:r>
            <w:r>
              <w:rPr>
                <w:rFonts w:hint="default" w:ascii="Times New Roman" w:hAnsi="Times New Roman" w:cs="Times New Roman"/>
                <w:sz w:val="24"/>
                <w:szCs w:val="24"/>
                <w:lang w:val="en-US" w:eastAsia="zh-CN"/>
              </w:rPr>
              <w:t>除杂筛分</w:t>
            </w:r>
          </w:p>
          <w:p w14:paraId="0ABC2E0F">
            <w:pPr>
              <w:pStyle w:val="4"/>
              <w:keepNext w:val="0"/>
              <w:keepLines w:val="0"/>
              <w:pageBreakBefore w:val="0"/>
              <w:widowControl w:val="0"/>
              <w:kinsoku/>
              <w:wordWrap/>
              <w:overflowPunct/>
              <w:topLinePunct w:val="0"/>
              <w:autoSpaceDE/>
              <w:autoSpaceDN/>
              <w:bidi w:val="0"/>
              <w:adjustRightInd/>
              <w:snapToGrid w:val="0"/>
              <w:spacing w:before="0" w:after="0" w:line="440" w:lineRule="exact"/>
              <w:ind w:right="0" w:firstLine="480" w:firstLineChars="200"/>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矿浆送入除杂脱水筛开展筛分作业；筛上截</w:t>
            </w:r>
            <w:r>
              <w:rPr>
                <w:rFonts w:hint="default" w:ascii="Times New Roman" w:hAnsi="Times New Roman" w:eastAsia="宋体" w:cs="Times New Roman"/>
                <w:sz w:val="24"/>
                <w:szCs w:val="24"/>
                <w:lang w:val="en-US" w:eastAsia="zh-CN"/>
              </w:rPr>
              <w:t>留石块、木屑、塑料、铁丝等</w:t>
            </w:r>
            <w:r>
              <w:rPr>
                <w:rFonts w:hint="default" w:ascii="Times New Roman" w:hAnsi="Times New Roman" w:cs="Times New Roman"/>
                <w:sz w:val="24"/>
                <w:szCs w:val="24"/>
                <w:lang w:val="en-US" w:eastAsia="zh-CN"/>
              </w:rPr>
              <w:t>固体杂质，作为一般固废</w:t>
            </w:r>
            <w:r>
              <w:rPr>
                <w:rFonts w:hint="eastAsia" w:ascii="Times New Roman" w:hAnsi="Times New Roman" w:cs="Times New Roman"/>
                <w:sz w:val="24"/>
                <w:szCs w:val="24"/>
                <w:lang w:val="en-US" w:eastAsia="zh-CN"/>
              </w:rPr>
              <w:t>交由环卫部门</w:t>
            </w:r>
            <w:r>
              <w:rPr>
                <w:rFonts w:hint="default" w:ascii="Times New Roman" w:hAnsi="Times New Roman" w:cs="Times New Roman"/>
                <w:sz w:val="24"/>
                <w:szCs w:val="24"/>
                <w:lang w:val="en-US" w:eastAsia="zh-CN"/>
              </w:rPr>
              <w:t>处置；筛下合格煤泥水进入脱泥筛进行分级处理。</w:t>
            </w:r>
          </w:p>
          <w:p w14:paraId="34C1F346">
            <w:pPr>
              <w:pStyle w:val="4"/>
              <w:keepNext w:val="0"/>
              <w:keepLines w:val="0"/>
              <w:pageBreakBefore w:val="0"/>
              <w:widowControl w:val="0"/>
              <w:kinsoku/>
              <w:wordWrap/>
              <w:overflowPunct/>
              <w:topLinePunct w:val="0"/>
              <w:autoSpaceDE/>
              <w:autoSpaceDN/>
              <w:bidi w:val="0"/>
              <w:adjustRightInd/>
              <w:snapToGrid w:val="0"/>
              <w:spacing w:before="0" w:after="0" w:line="440" w:lineRule="exact"/>
              <w:ind w:right="0" w:firstLine="480" w:firstLineChars="200"/>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 3 \* GB3 \* MERGEFORMAT </w:instrText>
            </w:r>
            <w:r>
              <w:rPr>
                <w:rFonts w:hint="default" w:ascii="Times New Roman" w:hAnsi="Times New Roman" w:cs="Times New Roman"/>
                <w:sz w:val="24"/>
                <w:szCs w:val="24"/>
                <w:lang w:val="en-US" w:eastAsia="zh-CN"/>
              </w:rPr>
              <w:fldChar w:fldCharType="separate"/>
            </w:r>
            <w:r>
              <w:t>③</w:t>
            </w:r>
            <w:r>
              <w:rPr>
                <w:rFonts w:hint="default" w:ascii="Times New Roman" w:hAnsi="Times New Roman" w:cs="Times New Roman"/>
                <w:sz w:val="24"/>
                <w:szCs w:val="24"/>
                <w:lang w:val="en-US" w:eastAsia="zh-CN"/>
              </w:rPr>
              <w:fldChar w:fldCharType="end"/>
            </w:r>
            <w:r>
              <w:rPr>
                <w:rFonts w:hint="default" w:ascii="Times New Roman" w:hAnsi="Times New Roman" w:cs="Times New Roman"/>
                <w:sz w:val="24"/>
                <w:szCs w:val="24"/>
                <w:lang w:val="en-US" w:eastAsia="zh-CN"/>
              </w:rPr>
              <w:t>粗颗粒螺旋分选</w:t>
            </w:r>
          </w:p>
          <w:p w14:paraId="35ADBE12">
            <w:pPr>
              <w:pStyle w:val="4"/>
              <w:keepNext w:val="0"/>
              <w:keepLines w:val="0"/>
              <w:pageBreakBefore w:val="0"/>
              <w:widowControl w:val="0"/>
              <w:kinsoku/>
              <w:wordWrap/>
              <w:overflowPunct/>
              <w:topLinePunct w:val="0"/>
              <w:autoSpaceDE/>
              <w:autoSpaceDN/>
              <w:bidi w:val="0"/>
              <w:adjustRightInd/>
              <w:snapToGrid w:val="0"/>
              <w:spacing w:before="0" w:after="0" w:line="440" w:lineRule="exact"/>
              <w:ind w:right="0" w:firstLine="480" w:firstLineChars="200"/>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脱泥筛完成粗细颗粒分级：筛上粗颗粒煤泥经由旋流器组分级后送入LL1500螺旋分离机（螺旋溜槽）进行重力分选；分选后的物料分别进入粗颗粒精煤脱水筛、螺中脱水筛、螺矸脱水筛脱水，脱水之后得到粗颗粒精煤、中煤；粗精煤、中煤作为副产品外售。</w:t>
            </w:r>
          </w:p>
          <w:p w14:paraId="2BF17854">
            <w:pPr>
              <w:pStyle w:val="4"/>
              <w:keepNext w:val="0"/>
              <w:keepLines w:val="0"/>
              <w:pageBreakBefore w:val="0"/>
              <w:widowControl w:val="0"/>
              <w:kinsoku/>
              <w:wordWrap/>
              <w:overflowPunct/>
              <w:topLinePunct w:val="0"/>
              <w:autoSpaceDE/>
              <w:autoSpaceDN/>
              <w:bidi w:val="0"/>
              <w:adjustRightInd/>
              <w:snapToGrid w:val="0"/>
              <w:spacing w:before="0" w:after="0" w:line="440" w:lineRule="exact"/>
              <w:ind w:right="0" w:firstLine="480" w:firstLineChars="200"/>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 4 \* GB3 \* MERGEFORMAT </w:instrText>
            </w:r>
            <w:r>
              <w:rPr>
                <w:rFonts w:hint="default" w:ascii="Times New Roman" w:hAnsi="Times New Roman" w:cs="Times New Roman"/>
                <w:sz w:val="24"/>
                <w:szCs w:val="24"/>
                <w:lang w:val="en-US" w:eastAsia="zh-CN"/>
              </w:rPr>
              <w:fldChar w:fldCharType="separate"/>
            </w:r>
            <w:r>
              <w:t>④</w:t>
            </w:r>
            <w:r>
              <w:rPr>
                <w:rFonts w:hint="default" w:ascii="Times New Roman" w:hAnsi="Times New Roman" w:cs="Times New Roman"/>
                <w:sz w:val="24"/>
                <w:szCs w:val="24"/>
                <w:lang w:val="en-US" w:eastAsia="zh-CN"/>
              </w:rPr>
              <w:fldChar w:fldCharType="end"/>
            </w:r>
            <w:r>
              <w:rPr>
                <w:rFonts w:hint="default" w:ascii="Times New Roman" w:hAnsi="Times New Roman" w:cs="Times New Roman"/>
                <w:sz w:val="24"/>
                <w:szCs w:val="24"/>
                <w:lang w:val="en-US" w:eastAsia="zh-CN"/>
              </w:rPr>
              <w:t>细颗粒浮选预处理</w:t>
            </w:r>
          </w:p>
          <w:p w14:paraId="4BDFD7B7">
            <w:pPr>
              <w:pStyle w:val="4"/>
              <w:keepNext w:val="0"/>
              <w:keepLines w:val="0"/>
              <w:pageBreakBefore w:val="0"/>
              <w:widowControl w:val="0"/>
              <w:kinsoku/>
              <w:wordWrap/>
              <w:overflowPunct/>
              <w:topLinePunct w:val="0"/>
              <w:autoSpaceDE/>
              <w:autoSpaceDN/>
              <w:bidi w:val="0"/>
              <w:adjustRightInd/>
              <w:snapToGrid w:val="0"/>
              <w:spacing w:before="0" w:after="0" w:line="440" w:lineRule="exact"/>
              <w:ind w:right="0" w:firstLine="480" w:firstLineChars="200"/>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脱泥筛筛下细颗粒煤泥水，泵入XY‑2.5矿浆预处理器</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lang w:val="en-US" w:eastAsia="zh-CN"/>
              </w:rPr>
              <w:t>投加浮选捕收剂、起泡剂，充分搅拌调配矿浆药剂环境，调配完毕输送多级浮选机组。</w:t>
            </w:r>
          </w:p>
          <w:p w14:paraId="6CE34582">
            <w:pPr>
              <w:pStyle w:val="4"/>
              <w:keepNext w:val="0"/>
              <w:keepLines w:val="0"/>
              <w:pageBreakBefore w:val="0"/>
              <w:widowControl w:val="0"/>
              <w:kinsoku/>
              <w:wordWrap/>
              <w:overflowPunct/>
              <w:topLinePunct w:val="0"/>
              <w:autoSpaceDE/>
              <w:autoSpaceDN/>
              <w:bidi w:val="0"/>
              <w:adjustRightInd/>
              <w:snapToGrid w:val="0"/>
              <w:spacing w:before="0" w:after="0" w:line="440" w:lineRule="exact"/>
              <w:ind w:right="0" w:firstLine="480" w:firstLineChars="200"/>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 5 \* GB3 \* MERGEFORMAT </w:instrText>
            </w:r>
            <w:r>
              <w:rPr>
                <w:rFonts w:hint="default" w:ascii="Times New Roman" w:hAnsi="Times New Roman" w:cs="Times New Roman"/>
                <w:sz w:val="24"/>
                <w:szCs w:val="24"/>
                <w:lang w:val="en-US" w:eastAsia="zh-CN"/>
              </w:rPr>
              <w:fldChar w:fldCharType="separate"/>
            </w:r>
            <w:r>
              <w:t>⑤</w:t>
            </w:r>
            <w:r>
              <w:rPr>
                <w:rFonts w:hint="default" w:ascii="Times New Roman" w:hAnsi="Times New Roman" w:cs="Times New Roman"/>
                <w:sz w:val="24"/>
                <w:szCs w:val="24"/>
                <w:lang w:val="en-US" w:eastAsia="zh-CN"/>
              </w:rPr>
              <w:fldChar w:fldCharType="end"/>
            </w:r>
            <w:r>
              <w:rPr>
                <w:rFonts w:hint="default" w:ascii="Times New Roman" w:hAnsi="Times New Roman" w:cs="Times New Roman"/>
                <w:sz w:val="24"/>
                <w:szCs w:val="24"/>
                <w:lang w:val="en-US" w:eastAsia="zh-CN"/>
              </w:rPr>
              <w:t>多级浮选分选</w:t>
            </w:r>
          </w:p>
          <w:p w14:paraId="1775522E">
            <w:pPr>
              <w:pStyle w:val="4"/>
              <w:keepNext w:val="0"/>
              <w:keepLines w:val="0"/>
              <w:pageBreakBefore w:val="0"/>
              <w:widowControl w:val="0"/>
              <w:kinsoku/>
              <w:wordWrap/>
              <w:overflowPunct/>
              <w:topLinePunct w:val="0"/>
              <w:autoSpaceDE/>
              <w:autoSpaceDN/>
              <w:bidi w:val="0"/>
              <w:adjustRightInd/>
              <w:snapToGrid w:val="0"/>
              <w:spacing w:before="0" w:after="0" w:line="440" w:lineRule="exact"/>
              <w:ind w:right="0" w:firstLine="480" w:firstLineChars="200"/>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项目配置多台XJM系列机械搅拌式浮选机串联分选：一级浮选机产出浮选精矿，依次进入下级浮选机多次精选；浮选尾矿逐级输送，最末端浮选尾矿全部排入浓缩池；浮选精选后的高浓度精矿浆、中煤矿浆，分别泵入浮选精煤压滤机、中煤压滤机脱水；压滤脱水后得到成品精煤、副产中煤，对外销售。</w:t>
            </w:r>
          </w:p>
          <w:p w14:paraId="3E2DB022">
            <w:pPr>
              <w:pStyle w:val="4"/>
              <w:keepNext w:val="0"/>
              <w:keepLines w:val="0"/>
              <w:pageBreakBefore w:val="0"/>
              <w:widowControl w:val="0"/>
              <w:kinsoku/>
              <w:wordWrap/>
              <w:overflowPunct/>
              <w:topLinePunct w:val="0"/>
              <w:autoSpaceDE/>
              <w:autoSpaceDN/>
              <w:bidi w:val="0"/>
              <w:adjustRightInd/>
              <w:snapToGrid w:val="0"/>
              <w:spacing w:before="0" w:after="0" w:line="440" w:lineRule="exact"/>
              <w:ind w:right="0" w:firstLine="480" w:firstLineChars="200"/>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 6 \* GB3 \* MERGEFORMAT </w:instrText>
            </w:r>
            <w:r>
              <w:rPr>
                <w:rFonts w:hint="default" w:ascii="Times New Roman" w:hAnsi="Times New Roman" w:cs="Times New Roman"/>
                <w:sz w:val="24"/>
                <w:szCs w:val="24"/>
                <w:lang w:val="en-US" w:eastAsia="zh-CN"/>
              </w:rPr>
              <w:fldChar w:fldCharType="separate"/>
            </w:r>
            <w:r>
              <w:t>⑥</w:t>
            </w:r>
            <w:r>
              <w:rPr>
                <w:rFonts w:hint="default" w:ascii="Times New Roman" w:hAnsi="Times New Roman" w:cs="Times New Roman"/>
                <w:sz w:val="24"/>
                <w:szCs w:val="24"/>
                <w:lang w:val="en-US" w:eastAsia="zh-CN"/>
              </w:rPr>
              <w:fldChar w:fldCharType="end"/>
            </w:r>
            <w:r>
              <w:rPr>
                <w:rFonts w:hint="default" w:ascii="Times New Roman" w:hAnsi="Times New Roman" w:cs="Times New Roman"/>
                <w:sz w:val="24"/>
                <w:szCs w:val="24"/>
                <w:lang w:val="en-US" w:eastAsia="zh-CN"/>
              </w:rPr>
              <w:t>尾矿浓缩‑尾煤压滤</w:t>
            </w:r>
          </w:p>
          <w:p w14:paraId="5F86A83B">
            <w:pPr>
              <w:pStyle w:val="4"/>
              <w:keepNext w:val="0"/>
              <w:keepLines w:val="0"/>
              <w:pageBreakBefore w:val="0"/>
              <w:widowControl w:val="0"/>
              <w:kinsoku/>
              <w:wordWrap/>
              <w:overflowPunct/>
              <w:topLinePunct w:val="0"/>
              <w:autoSpaceDE/>
              <w:autoSpaceDN/>
              <w:bidi w:val="0"/>
              <w:adjustRightInd/>
              <w:snapToGrid w:val="0"/>
              <w:spacing w:before="0" w:after="0" w:line="440" w:lineRule="exact"/>
              <w:ind w:right="0" w:firstLine="480" w:firstLineChars="200"/>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全部浮选尾矿自流进入浓缩池重力沉降：上层澄清生产废水溢流进入循环水池，经由离心清水泵加压，输送回到稀释池，用作煤泥打浆、稀释用水，生产废水闭环循环，正常工况无生产废水外排；浓缩池底部沉淀的高浓度尾矿矿浆，通过耙式装置收集，泵送至尾煤压滤机脱水，脱水之后产出尾煤泥（</w:t>
            </w:r>
            <w:r>
              <w:rPr>
                <w:rFonts w:hint="eastAsia" w:ascii="Times New Roman" w:hAnsi="Times New Roman" w:cs="Times New Roman"/>
                <w:sz w:val="24"/>
                <w:szCs w:val="24"/>
                <w:lang w:val="en-US" w:eastAsia="zh-CN"/>
              </w:rPr>
              <w:t>外售，综合利用</w:t>
            </w:r>
            <w:r>
              <w:rPr>
                <w:rFonts w:hint="default" w:ascii="Times New Roman" w:hAnsi="Times New Roman" w:cs="Times New Roman"/>
                <w:sz w:val="24"/>
                <w:szCs w:val="24"/>
                <w:lang w:val="en-US" w:eastAsia="zh-CN"/>
              </w:rPr>
              <w:t>）。</w:t>
            </w:r>
          </w:p>
          <w:p w14:paraId="21004A29">
            <w:pPr>
              <w:pStyle w:val="4"/>
              <w:keepNext w:val="0"/>
              <w:keepLines w:val="0"/>
              <w:pageBreakBefore w:val="0"/>
              <w:widowControl w:val="0"/>
              <w:kinsoku/>
              <w:wordWrap/>
              <w:overflowPunct/>
              <w:topLinePunct w:val="0"/>
              <w:autoSpaceDE/>
              <w:autoSpaceDN/>
              <w:bidi w:val="0"/>
              <w:adjustRightInd/>
              <w:snapToGrid w:val="0"/>
              <w:spacing w:before="0" w:after="0" w:line="440" w:lineRule="exact"/>
              <w:ind w:right="0" w:firstLine="480" w:firstLineChars="200"/>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 7 \* GB3 \* MERGEFORMAT </w:instrText>
            </w:r>
            <w:r>
              <w:rPr>
                <w:rFonts w:hint="default" w:ascii="Times New Roman" w:hAnsi="Times New Roman" w:cs="Times New Roman"/>
                <w:sz w:val="24"/>
                <w:szCs w:val="24"/>
                <w:lang w:val="en-US" w:eastAsia="zh-CN"/>
              </w:rPr>
              <w:fldChar w:fldCharType="separate"/>
            </w:r>
            <w:r>
              <w:t>⑦</w:t>
            </w:r>
            <w:r>
              <w:rPr>
                <w:rFonts w:hint="default" w:ascii="Times New Roman" w:hAnsi="Times New Roman" w:cs="Times New Roman"/>
                <w:sz w:val="24"/>
                <w:szCs w:val="24"/>
                <w:lang w:val="en-US" w:eastAsia="zh-CN"/>
              </w:rPr>
              <w:fldChar w:fldCharType="end"/>
            </w:r>
            <w:r>
              <w:rPr>
                <w:rFonts w:hint="default" w:ascii="Times New Roman" w:hAnsi="Times New Roman" w:cs="Times New Roman"/>
                <w:sz w:val="24"/>
                <w:szCs w:val="24"/>
                <w:lang w:val="en-US" w:eastAsia="zh-CN"/>
              </w:rPr>
              <w:t>配套辅助工序</w:t>
            </w:r>
          </w:p>
          <w:p w14:paraId="524CD954">
            <w:pPr>
              <w:pStyle w:val="4"/>
              <w:keepNext w:val="0"/>
              <w:keepLines w:val="0"/>
              <w:pageBreakBefore w:val="0"/>
              <w:widowControl w:val="0"/>
              <w:kinsoku/>
              <w:wordWrap/>
              <w:overflowPunct/>
              <w:topLinePunct w:val="0"/>
              <w:autoSpaceDE/>
              <w:autoSpaceDN/>
              <w:bidi w:val="0"/>
              <w:adjustRightInd/>
              <w:snapToGrid w:val="0"/>
              <w:spacing w:before="0" w:after="0" w:line="440" w:lineRule="exact"/>
              <w:ind w:right="0" w:firstLine="480" w:firstLineChars="200"/>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cs="Times New Roman"/>
                <w:sz w:val="24"/>
                <w:szCs w:val="24"/>
                <w:lang w:val="en-US" w:eastAsia="zh-CN"/>
              </w:rPr>
              <w:t>筛分设备、螺旋分选机、浮选机、各类泵体、空压机、储气瓶、电控系统为整套生产线提供动力；车间设备地面冲洗水、跑冒滴漏矿浆全部汇入稀释池进入水循环系统</w:t>
            </w:r>
            <w:r>
              <w:rPr>
                <w:rFonts w:hint="default" w:ascii="Times New Roman" w:hAnsi="Times New Roman" w:eastAsia="宋体" w:cs="Times New Roman"/>
                <w:sz w:val="24"/>
                <w:szCs w:val="24"/>
                <w:lang w:val="en-US" w:eastAsia="zh-CN"/>
              </w:rPr>
              <w:t>；煤泥除杂筛分杂质为一般工业</w:t>
            </w:r>
            <w:r>
              <w:rPr>
                <w:rFonts w:hint="default" w:ascii="Times New Roman" w:hAnsi="Times New Roman" w:cs="Times New Roman"/>
                <w:sz w:val="24"/>
                <w:szCs w:val="24"/>
                <w:lang w:val="en-US" w:eastAsia="zh-CN"/>
              </w:rPr>
              <w:t>固废；设备检修产生废机油属于危险废物，单独收集委托资质单位处置</w:t>
            </w:r>
            <w:r>
              <w:rPr>
                <w:rFonts w:hint="eastAsia" w:ascii="Times New Roman" w:hAnsi="Times New Roman" w:cs="Times New Roman"/>
                <w:sz w:val="24"/>
                <w:szCs w:val="24"/>
                <w:lang w:val="en-US" w:eastAsia="zh-CN"/>
              </w:rPr>
              <w:t>。</w:t>
            </w:r>
          </w:p>
          <w:p w14:paraId="1A1EB57A">
            <w:pPr>
              <w:pStyle w:val="3"/>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80" w:firstLineChars="200"/>
              <w:textAlignment w:val="auto"/>
              <w:rPr>
                <w:rFonts w:hint="default" w:ascii="Times New Roman" w:hAnsi="Times New Roman" w:cs="Times New Roman"/>
                <w:sz w:val="24"/>
                <w:szCs w:val="24"/>
                <w:lang w:val="en-US" w:eastAsia="zh-CN"/>
              </w:rPr>
            </w:pPr>
            <w:r>
              <w:rPr>
                <w:rFonts w:hint="default" w:ascii="Times New Roman" w:hAnsi="Times New Roman" w:cs="Times New Roman"/>
                <w:spacing w:val="0"/>
                <w:kern w:val="2"/>
                <w:sz w:val="24"/>
                <w:szCs w:val="24"/>
                <w:lang w:val="en-US" w:eastAsia="zh-CN" w:bidi="ar-SA"/>
              </w:rPr>
              <w:t>3、</w:t>
            </w:r>
            <w:r>
              <w:rPr>
                <w:rFonts w:hint="default" w:ascii="Times New Roman" w:hAnsi="Times New Roman" w:cs="Times New Roman"/>
                <w:sz w:val="24"/>
                <w:szCs w:val="24"/>
                <w:lang w:val="en-US" w:eastAsia="zh-CN"/>
              </w:rPr>
              <w:t>本项目污染产污环节及污染因子</w:t>
            </w:r>
          </w:p>
          <w:p w14:paraId="062DDD47">
            <w:pPr>
              <w:pStyle w:val="3"/>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80" w:firstLineChars="200"/>
              <w:textAlignment w:val="auto"/>
              <w:rPr>
                <w:rFonts w:hint="default" w:ascii="Times New Roman" w:hAnsi="Times New Roman" w:cs="Times New Roman"/>
                <w:lang w:val="en-US" w:eastAsia="zh-CN"/>
              </w:rPr>
            </w:pPr>
            <w:r>
              <w:rPr>
                <w:rFonts w:hint="default" w:ascii="Times New Roman" w:hAnsi="Times New Roman" w:cs="Times New Roman"/>
                <w:sz w:val="24"/>
                <w:szCs w:val="24"/>
                <w:lang w:val="en-US" w:eastAsia="zh-CN"/>
              </w:rPr>
              <w:t>本项目污染产污环节及污染因子见下表。</w:t>
            </w:r>
          </w:p>
          <w:p w14:paraId="145D38AD">
            <w:pPr>
              <w:pStyle w:val="4"/>
              <w:keepNext w:val="0"/>
              <w:keepLines w:val="0"/>
              <w:pageBreakBefore w:val="0"/>
              <w:widowControl w:val="0"/>
              <w:kinsoku/>
              <w:wordWrap/>
              <w:overflowPunct/>
              <w:topLinePunct w:val="0"/>
              <w:autoSpaceDE/>
              <w:autoSpaceDN/>
              <w:bidi w:val="0"/>
              <w:adjustRightInd/>
              <w:snapToGrid w:val="0"/>
              <w:spacing w:before="0" w:after="0" w:line="440" w:lineRule="exact"/>
              <w:ind w:right="0" w:firstLine="0"/>
              <w:jc w:val="center"/>
              <w:textAlignment w:val="auto"/>
              <w:rPr>
                <w:rFonts w:hint="default"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表2-</w:t>
            </w:r>
            <w:r>
              <w:rPr>
                <w:rFonts w:hint="eastAsia" w:ascii="Times New Roman" w:hAnsi="Times New Roman" w:cs="Times New Roman"/>
                <w:b/>
                <w:bCs/>
                <w:sz w:val="21"/>
                <w:szCs w:val="21"/>
                <w:lang w:val="en-US" w:eastAsia="zh-CN"/>
              </w:rPr>
              <w:t>1</w:t>
            </w:r>
            <w:r>
              <w:rPr>
                <w:rFonts w:hint="eastAsia" w:cs="Times New Roman"/>
                <w:b/>
                <w:bCs/>
                <w:sz w:val="21"/>
                <w:szCs w:val="21"/>
                <w:lang w:val="en-US" w:eastAsia="zh-CN"/>
              </w:rPr>
              <w:t>1</w:t>
            </w:r>
            <w:r>
              <w:rPr>
                <w:rFonts w:hint="default" w:ascii="Times New Roman" w:hAnsi="Times New Roman" w:cs="Times New Roman"/>
                <w:b/>
                <w:bCs/>
                <w:sz w:val="21"/>
                <w:szCs w:val="21"/>
                <w:lang w:val="en-US" w:eastAsia="zh-CN"/>
              </w:rPr>
              <w:t xml:space="preserve"> 本项目污染产污环节及污染因子一览表</w:t>
            </w:r>
          </w:p>
          <w:tbl>
            <w:tblPr>
              <w:tblStyle w:val="26"/>
              <w:tblW w:w="79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3"/>
              <w:gridCol w:w="1071"/>
              <w:gridCol w:w="850"/>
              <w:gridCol w:w="1579"/>
              <w:gridCol w:w="3972"/>
            </w:tblGrid>
            <w:tr w14:paraId="26E9A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73" w:type="dxa"/>
                  <w:noWrap w:val="0"/>
                  <w:vAlign w:val="center"/>
                </w:tcPr>
                <w:p w14:paraId="1BBE6DA7">
                  <w:pPr>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时期</w:t>
                  </w:r>
                </w:p>
              </w:tc>
              <w:tc>
                <w:tcPr>
                  <w:tcW w:w="1071" w:type="dxa"/>
                  <w:noWrap w:val="0"/>
                  <w:vAlign w:val="center"/>
                </w:tcPr>
                <w:p w14:paraId="0AD6DF4A">
                  <w:pPr>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产污环节</w:t>
                  </w:r>
                </w:p>
              </w:tc>
              <w:tc>
                <w:tcPr>
                  <w:tcW w:w="850" w:type="dxa"/>
                  <w:noWrap w:val="0"/>
                  <w:vAlign w:val="center"/>
                </w:tcPr>
                <w:p w14:paraId="3386AE13">
                  <w:pPr>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污染类型</w:t>
                  </w:r>
                </w:p>
              </w:tc>
              <w:tc>
                <w:tcPr>
                  <w:tcW w:w="1579" w:type="dxa"/>
                  <w:noWrap w:val="0"/>
                  <w:vAlign w:val="center"/>
                </w:tcPr>
                <w:p w14:paraId="044B4653">
                  <w:pPr>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污染物</w:t>
                  </w:r>
                </w:p>
              </w:tc>
              <w:tc>
                <w:tcPr>
                  <w:tcW w:w="3972" w:type="dxa"/>
                  <w:noWrap w:val="0"/>
                  <w:vAlign w:val="center"/>
                </w:tcPr>
                <w:p w14:paraId="6024B5C4">
                  <w:pPr>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处理措施</w:t>
                  </w:r>
                </w:p>
              </w:tc>
            </w:tr>
            <w:tr w14:paraId="5801B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73" w:type="dxa"/>
                  <w:vMerge w:val="restart"/>
                  <w:noWrap w:val="0"/>
                  <w:vAlign w:val="center"/>
                </w:tcPr>
                <w:p w14:paraId="021BFB67">
                  <w:pPr>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施工期</w:t>
                  </w:r>
                </w:p>
              </w:tc>
              <w:tc>
                <w:tcPr>
                  <w:tcW w:w="1071" w:type="dxa"/>
                  <w:noWrap w:val="0"/>
                  <w:vAlign w:val="center"/>
                </w:tcPr>
                <w:p w14:paraId="16D8D9D7">
                  <w:pPr>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场地平整</w:t>
                  </w:r>
                </w:p>
              </w:tc>
              <w:tc>
                <w:tcPr>
                  <w:tcW w:w="850" w:type="dxa"/>
                  <w:noWrap w:val="0"/>
                  <w:vAlign w:val="center"/>
                </w:tcPr>
                <w:p w14:paraId="0A2D2757">
                  <w:pPr>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废气</w:t>
                  </w:r>
                </w:p>
              </w:tc>
              <w:tc>
                <w:tcPr>
                  <w:tcW w:w="1579" w:type="dxa"/>
                  <w:noWrap w:val="0"/>
                  <w:vAlign w:val="center"/>
                </w:tcPr>
                <w:p w14:paraId="335E55DC">
                  <w:pPr>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颗粒物</w:t>
                  </w:r>
                </w:p>
              </w:tc>
              <w:tc>
                <w:tcPr>
                  <w:tcW w:w="3972" w:type="dxa"/>
                  <w:noWrap w:val="0"/>
                  <w:vAlign w:val="center"/>
                </w:tcPr>
                <w:p w14:paraId="7440E3BA">
                  <w:pPr>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围挡、覆盖、洒水</w:t>
                  </w:r>
                </w:p>
              </w:tc>
            </w:tr>
            <w:tr w14:paraId="004B3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73" w:type="dxa"/>
                  <w:vMerge w:val="continue"/>
                  <w:noWrap w:val="0"/>
                  <w:vAlign w:val="center"/>
                </w:tcPr>
                <w:p w14:paraId="247708B0">
                  <w:pPr>
                    <w:jc w:val="center"/>
                    <w:rPr>
                      <w:rFonts w:hint="default" w:ascii="Times New Roman" w:hAnsi="Times New Roman" w:cs="Times New Roman"/>
                      <w:sz w:val="21"/>
                      <w:szCs w:val="21"/>
                      <w:vertAlign w:val="baseline"/>
                      <w:lang w:val="en-US" w:eastAsia="zh-CN"/>
                    </w:rPr>
                  </w:pPr>
                </w:p>
              </w:tc>
              <w:tc>
                <w:tcPr>
                  <w:tcW w:w="1071" w:type="dxa"/>
                  <w:noWrap w:val="0"/>
                  <w:vAlign w:val="center"/>
                </w:tcPr>
                <w:p w14:paraId="5145E19B">
                  <w:pPr>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基础建设</w:t>
                  </w:r>
                </w:p>
              </w:tc>
              <w:tc>
                <w:tcPr>
                  <w:tcW w:w="850" w:type="dxa"/>
                  <w:noWrap w:val="0"/>
                  <w:vAlign w:val="center"/>
                </w:tcPr>
                <w:p w14:paraId="01A5C0AD">
                  <w:pPr>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废水</w:t>
                  </w:r>
                </w:p>
              </w:tc>
              <w:tc>
                <w:tcPr>
                  <w:tcW w:w="1579" w:type="dxa"/>
                  <w:noWrap w:val="0"/>
                  <w:vAlign w:val="center"/>
                </w:tcPr>
                <w:p w14:paraId="7FEF0412">
                  <w:pPr>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SS</w:t>
                  </w:r>
                </w:p>
              </w:tc>
              <w:tc>
                <w:tcPr>
                  <w:tcW w:w="3972" w:type="dxa"/>
                  <w:noWrap w:val="0"/>
                  <w:vAlign w:val="center"/>
                </w:tcPr>
                <w:p w14:paraId="34960722">
                  <w:pPr>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设置沉淀池，施工结束进行平整恢复</w:t>
                  </w:r>
                </w:p>
              </w:tc>
            </w:tr>
            <w:tr w14:paraId="7253F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73" w:type="dxa"/>
                  <w:vMerge w:val="continue"/>
                  <w:noWrap w:val="0"/>
                  <w:vAlign w:val="center"/>
                </w:tcPr>
                <w:p w14:paraId="5624DECE">
                  <w:pPr>
                    <w:jc w:val="center"/>
                    <w:rPr>
                      <w:rFonts w:hint="default" w:ascii="Times New Roman" w:hAnsi="Times New Roman" w:cs="Times New Roman"/>
                      <w:sz w:val="21"/>
                      <w:szCs w:val="21"/>
                      <w:vertAlign w:val="baseline"/>
                      <w:lang w:val="en-US" w:eastAsia="zh-CN"/>
                    </w:rPr>
                  </w:pPr>
                </w:p>
              </w:tc>
              <w:tc>
                <w:tcPr>
                  <w:tcW w:w="1071" w:type="dxa"/>
                  <w:noWrap w:val="0"/>
                  <w:vAlign w:val="center"/>
                </w:tcPr>
                <w:p w14:paraId="34AB9C72">
                  <w:pPr>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设备安装</w:t>
                  </w:r>
                </w:p>
              </w:tc>
              <w:tc>
                <w:tcPr>
                  <w:tcW w:w="850" w:type="dxa"/>
                  <w:noWrap w:val="0"/>
                  <w:vAlign w:val="center"/>
                </w:tcPr>
                <w:p w14:paraId="7A869728">
                  <w:pPr>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噪声</w:t>
                  </w:r>
                </w:p>
              </w:tc>
              <w:tc>
                <w:tcPr>
                  <w:tcW w:w="1579" w:type="dxa"/>
                  <w:noWrap w:val="0"/>
                  <w:vAlign w:val="center"/>
                </w:tcPr>
                <w:p w14:paraId="66AB8F94">
                  <w:pPr>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设备、车辆噪声</w:t>
                  </w:r>
                </w:p>
              </w:tc>
              <w:tc>
                <w:tcPr>
                  <w:tcW w:w="3972" w:type="dxa"/>
                  <w:noWrap w:val="0"/>
                  <w:vAlign w:val="center"/>
                </w:tcPr>
                <w:p w14:paraId="66EF2590">
                  <w:pPr>
                    <w:jc w:val="center"/>
                    <w:rPr>
                      <w:rFonts w:hint="default" w:ascii="Times New Roman" w:hAnsi="Times New Roman" w:cs="Times New Roman"/>
                      <w:sz w:val="21"/>
                      <w:szCs w:val="21"/>
                      <w:vertAlign w:val="baseline"/>
                      <w:lang w:val="en-US" w:eastAsia="zh-CN"/>
                    </w:rPr>
                  </w:pPr>
                  <w:r>
                    <w:rPr>
                      <w:rFonts w:hint="default" w:ascii="Times New Roman" w:hAnsi="Times New Roman" w:eastAsia="宋体" w:cs="Times New Roman"/>
                      <w:b w:val="0"/>
                      <w:bCs/>
                      <w:color w:val="000000"/>
                      <w:kern w:val="2"/>
                      <w:sz w:val="21"/>
                      <w:szCs w:val="21"/>
                      <w:lang w:val="en-US" w:eastAsia="zh-CN" w:bidi="ar"/>
                    </w:rPr>
                    <w:t>选用低噪声设备，定期维护机械和车辆</w:t>
                  </w:r>
                </w:p>
              </w:tc>
            </w:tr>
            <w:tr w14:paraId="148FF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73" w:type="dxa"/>
                  <w:vMerge w:val="continue"/>
                  <w:noWrap w:val="0"/>
                  <w:vAlign w:val="center"/>
                </w:tcPr>
                <w:p w14:paraId="5CD2ACAD">
                  <w:pPr>
                    <w:jc w:val="center"/>
                    <w:rPr>
                      <w:rFonts w:hint="default" w:ascii="Times New Roman" w:hAnsi="Times New Roman" w:cs="Times New Roman"/>
                      <w:sz w:val="21"/>
                      <w:szCs w:val="21"/>
                      <w:vertAlign w:val="baseline"/>
                      <w:lang w:val="en-US" w:eastAsia="zh-CN"/>
                    </w:rPr>
                  </w:pPr>
                </w:p>
              </w:tc>
              <w:tc>
                <w:tcPr>
                  <w:tcW w:w="1071" w:type="dxa"/>
                  <w:noWrap w:val="0"/>
                  <w:vAlign w:val="center"/>
                </w:tcPr>
                <w:p w14:paraId="0C114D2B">
                  <w:pPr>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调试</w:t>
                  </w:r>
                </w:p>
              </w:tc>
              <w:tc>
                <w:tcPr>
                  <w:tcW w:w="850" w:type="dxa"/>
                  <w:noWrap w:val="0"/>
                  <w:vAlign w:val="center"/>
                </w:tcPr>
                <w:p w14:paraId="3B03D298">
                  <w:pPr>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固废</w:t>
                  </w:r>
                </w:p>
              </w:tc>
              <w:tc>
                <w:tcPr>
                  <w:tcW w:w="1579" w:type="dxa"/>
                  <w:noWrap w:val="0"/>
                  <w:vAlign w:val="center"/>
                </w:tcPr>
                <w:p w14:paraId="288C3BEE">
                  <w:pPr>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废包装物、生活垃圾</w:t>
                  </w:r>
                </w:p>
              </w:tc>
              <w:tc>
                <w:tcPr>
                  <w:tcW w:w="3972" w:type="dxa"/>
                  <w:noWrap w:val="0"/>
                  <w:vAlign w:val="center"/>
                </w:tcPr>
                <w:p w14:paraId="62C5E49B">
                  <w:pPr>
                    <w:jc w:val="center"/>
                    <w:rPr>
                      <w:rFonts w:hint="default" w:ascii="Times New Roman" w:hAnsi="Times New Roman" w:cs="Times New Roman"/>
                      <w:sz w:val="21"/>
                      <w:szCs w:val="21"/>
                      <w:vertAlign w:val="baseline"/>
                      <w:lang w:val="en-US" w:eastAsia="zh-CN"/>
                    </w:rPr>
                  </w:pPr>
                  <w:r>
                    <w:rPr>
                      <w:rFonts w:hint="default" w:ascii="Times New Roman" w:hAnsi="Times New Roman" w:eastAsia="宋体" w:cs="Times New Roman"/>
                      <w:b w:val="0"/>
                      <w:bCs/>
                      <w:color w:val="000000"/>
                      <w:kern w:val="2"/>
                      <w:sz w:val="21"/>
                      <w:szCs w:val="21"/>
                      <w:lang w:val="en-US" w:eastAsia="zh-CN" w:bidi="ar"/>
                    </w:rPr>
                    <w:t>废包装物、生活垃圾交由环卫部门统一处理</w:t>
                  </w:r>
                </w:p>
              </w:tc>
            </w:tr>
            <w:tr w14:paraId="13C8E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473" w:type="dxa"/>
                  <w:vMerge w:val="restart"/>
                  <w:noWrap w:val="0"/>
                  <w:vAlign w:val="center"/>
                </w:tcPr>
                <w:p w14:paraId="417FDE54">
                  <w:pPr>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运营期</w:t>
                  </w:r>
                </w:p>
              </w:tc>
              <w:tc>
                <w:tcPr>
                  <w:tcW w:w="1071" w:type="dxa"/>
                  <w:noWrap w:val="0"/>
                  <w:vAlign w:val="center"/>
                </w:tcPr>
                <w:p w14:paraId="24AD8A5D">
                  <w:pPr>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设备维修</w:t>
                  </w:r>
                </w:p>
              </w:tc>
              <w:tc>
                <w:tcPr>
                  <w:tcW w:w="850" w:type="dxa"/>
                  <w:noWrap w:val="0"/>
                  <w:vAlign w:val="center"/>
                </w:tcPr>
                <w:p w14:paraId="586B0203">
                  <w:pPr>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固废</w:t>
                  </w:r>
                </w:p>
              </w:tc>
              <w:tc>
                <w:tcPr>
                  <w:tcW w:w="1579" w:type="dxa"/>
                  <w:noWrap w:val="0"/>
                  <w:vAlign w:val="center"/>
                </w:tcPr>
                <w:p w14:paraId="16CDF0F3">
                  <w:pPr>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废机油</w:t>
                  </w:r>
                </w:p>
              </w:tc>
              <w:tc>
                <w:tcPr>
                  <w:tcW w:w="3972" w:type="dxa"/>
                  <w:noWrap w:val="0"/>
                  <w:vAlign w:val="center"/>
                </w:tcPr>
                <w:p w14:paraId="00F5C77A">
                  <w:pPr>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危废贮存点暂存，交由有资质的单位处置</w:t>
                  </w:r>
                </w:p>
              </w:tc>
            </w:tr>
            <w:tr w14:paraId="52F13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73" w:type="dxa"/>
                  <w:vMerge w:val="continue"/>
                  <w:noWrap w:val="0"/>
                  <w:vAlign w:val="center"/>
                </w:tcPr>
                <w:p w14:paraId="7375ACD8">
                  <w:pPr>
                    <w:jc w:val="center"/>
                    <w:rPr>
                      <w:rFonts w:hint="default" w:ascii="Times New Roman" w:hAnsi="Times New Roman" w:cs="Times New Roman"/>
                      <w:sz w:val="21"/>
                      <w:szCs w:val="21"/>
                      <w:vertAlign w:val="baseline"/>
                      <w:lang w:val="en-US" w:eastAsia="zh-CN"/>
                    </w:rPr>
                  </w:pPr>
                </w:p>
              </w:tc>
              <w:tc>
                <w:tcPr>
                  <w:tcW w:w="1071" w:type="dxa"/>
                  <w:noWrap w:val="0"/>
                  <w:vAlign w:val="center"/>
                </w:tcPr>
                <w:p w14:paraId="78518F4A">
                  <w:pPr>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浮选药剂</w:t>
                  </w:r>
                </w:p>
              </w:tc>
              <w:tc>
                <w:tcPr>
                  <w:tcW w:w="850" w:type="dxa"/>
                  <w:noWrap w:val="0"/>
                  <w:vAlign w:val="center"/>
                </w:tcPr>
                <w:p w14:paraId="2A8A0832">
                  <w:pPr>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固废</w:t>
                  </w:r>
                </w:p>
              </w:tc>
              <w:tc>
                <w:tcPr>
                  <w:tcW w:w="1579" w:type="dxa"/>
                  <w:noWrap w:val="0"/>
                  <w:vAlign w:val="center"/>
                </w:tcPr>
                <w:p w14:paraId="7DAC0C59">
                  <w:pPr>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废包装袋</w:t>
                  </w:r>
                </w:p>
              </w:tc>
              <w:tc>
                <w:tcPr>
                  <w:tcW w:w="3972" w:type="dxa"/>
                  <w:noWrap w:val="0"/>
                  <w:vAlign w:val="center"/>
                </w:tcPr>
                <w:p w14:paraId="7662F42D">
                  <w:pPr>
                    <w:jc w:val="center"/>
                    <w:rPr>
                      <w:rFonts w:hint="default" w:ascii="Times New Roman" w:hAnsi="Times New Roman" w:eastAsia="宋体" w:cs="Times New Roman"/>
                      <w:bCs/>
                      <w:kern w:val="2"/>
                      <w:sz w:val="21"/>
                      <w:szCs w:val="21"/>
                      <w:lang w:val="en-US" w:eastAsia="zh-CN" w:bidi="ar"/>
                    </w:rPr>
                  </w:pPr>
                  <w:r>
                    <w:rPr>
                      <w:rFonts w:hint="default" w:ascii="Times New Roman" w:hAnsi="Times New Roman" w:cs="Times New Roman"/>
                      <w:sz w:val="21"/>
                      <w:szCs w:val="21"/>
                      <w:vertAlign w:val="baseline"/>
                      <w:lang w:val="en-US" w:eastAsia="zh-CN"/>
                    </w:rPr>
                    <w:t>危废贮存点暂存，交由有资质的单位处置</w:t>
                  </w:r>
                </w:p>
              </w:tc>
            </w:tr>
            <w:tr w14:paraId="082A8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73" w:type="dxa"/>
                  <w:vMerge w:val="continue"/>
                  <w:noWrap w:val="0"/>
                  <w:vAlign w:val="center"/>
                </w:tcPr>
                <w:p w14:paraId="174C1B13">
                  <w:pPr>
                    <w:jc w:val="center"/>
                    <w:rPr>
                      <w:rFonts w:hint="default" w:ascii="Times New Roman" w:hAnsi="Times New Roman" w:cs="Times New Roman"/>
                      <w:sz w:val="21"/>
                      <w:szCs w:val="21"/>
                      <w:vertAlign w:val="baseline"/>
                      <w:lang w:val="en-US" w:eastAsia="zh-CN"/>
                    </w:rPr>
                  </w:pPr>
                </w:p>
              </w:tc>
              <w:tc>
                <w:tcPr>
                  <w:tcW w:w="1071" w:type="dxa"/>
                  <w:vMerge w:val="restart"/>
                  <w:noWrap w:val="0"/>
                  <w:vAlign w:val="center"/>
                </w:tcPr>
                <w:p w14:paraId="5D4CEEC2">
                  <w:pPr>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生产生活</w:t>
                  </w:r>
                </w:p>
              </w:tc>
              <w:tc>
                <w:tcPr>
                  <w:tcW w:w="850" w:type="dxa"/>
                  <w:noWrap w:val="0"/>
                  <w:vAlign w:val="center"/>
                </w:tcPr>
                <w:p w14:paraId="14401325">
                  <w:pPr>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固废</w:t>
                  </w:r>
                </w:p>
              </w:tc>
              <w:tc>
                <w:tcPr>
                  <w:tcW w:w="1579" w:type="dxa"/>
                  <w:noWrap w:val="0"/>
                  <w:vAlign w:val="center"/>
                </w:tcPr>
                <w:p w14:paraId="2383E2B9">
                  <w:pPr>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生活垃圾</w:t>
                  </w:r>
                </w:p>
              </w:tc>
              <w:tc>
                <w:tcPr>
                  <w:tcW w:w="3972" w:type="dxa"/>
                  <w:noWrap w:val="0"/>
                  <w:vAlign w:val="center"/>
                </w:tcPr>
                <w:p w14:paraId="47A9330E">
                  <w:pPr>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由环卫部门统一处理</w:t>
                  </w:r>
                </w:p>
              </w:tc>
            </w:tr>
            <w:tr w14:paraId="68D96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73" w:type="dxa"/>
                  <w:vMerge w:val="continue"/>
                  <w:noWrap w:val="0"/>
                  <w:vAlign w:val="center"/>
                </w:tcPr>
                <w:p w14:paraId="78067014">
                  <w:pPr>
                    <w:jc w:val="center"/>
                    <w:rPr>
                      <w:rFonts w:hint="default" w:ascii="Times New Roman" w:hAnsi="Times New Roman" w:cs="Times New Roman"/>
                      <w:sz w:val="21"/>
                      <w:szCs w:val="21"/>
                      <w:vertAlign w:val="baseline"/>
                      <w:lang w:val="en-US" w:eastAsia="zh-CN"/>
                    </w:rPr>
                  </w:pPr>
                </w:p>
              </w:tc>
              <w:tc>
                <w:tcPr>
                  <w:tcW w:w="1071" w:type="dxa"/>
                  <w:vMerge w:val="continue"/>
                  <w:noWrap w:val="0"/>
                  <w:vAlign w:val="center"/>
                </w:tcPr>
                <w:p w14:paraId="0EC1BB02">
                  <w:pPr>
                    <w:jc w:val="center"/>
                    <w:rPr>
                      <w:rFonts w:hint="default" w:ascii="Times New Roman" w:hAnsi="Times New Roman" w:cs="Times New Roman"/>
                      <w:sz w:val="21"/>
                      <w:szCs w:val="21"/>
                      <w:vertAlign w:val="baseline"/>
                      <w:lang w:val="en-US" w:eastAsia="zh-CN"/>
                    </w:rPr>
                  </w:pPr>
                </w:p>
              </w:tc>
              <w:tc>
                <w:tcPr>
                  <w:tcW w:w="850" w:type="dxa"/>
                  <w:noWrap w:val="0"/>
                  <w:vAlign w:val="center"/>
                </w:tcPr>
                <w:p w14:paraId="62D3AC10">
                  <w:pPr>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废水</w:t>
                  </w:r>
                </w:p>
              </w:tc>
              <w:tc>
                <w:tcPr>
                  <w:tcW w:w="1579" w:type="dxa"/>
                  <w:noWrap w:val="0"/>
                  <w:vAlign w:val="center"/>
                </w:tcPr>
                <w:p w14:paraId="16B3CC69">
                  <w:pPr>
                    <w:jc w:val="center"/>
                    <w:rPr>
                      <w:rFonts w:hint="default" w:ascii="Times New Roman" w:hAnsi="Times New Roman" w:cs="Times New Roman"/>
                      <w:sz w:val="21"/>
                      <w:szCs w:val="21"/>
                      <w:vertAlign w:val="baseline"/>
                      <w:lang w:val="en-US" w:eastAsia="zh-CN"/>
                    </w:rPr>
                  </w:pPr>
                  <w:r>
                    <w:rPr>
                      <w:rFonts w:hint="default" w:ascii="Times New Roman" w:hAnsi="Times New Roman" w:eastAsia="宋体" w:cs="Times New Roman"/>
                      <w:color w:val="auto"/>
                      <w:kern w:val="2"/>
                      <w:sz w:val="21"/>
                      <w:szCs w:val="21"/>
                      <w:lang w:val="en-US" w:eastAsia="zh-CN" w:bidi="ar-SA"/>
                    </w:rPr>
                    <w:t>CODcr、BOD</w:t>
                  </w:r>
                  <w:r>
                    <w:rPr>
                      <w:rFonts w:hint="default" w:ascii="Times New Roman" w:hAnsi="Times New Roman" w:eastAsia="宋体" w:cs="Times New Roman"/>
                      <w:color w:val="auto"/>
                      <w:kern w:val="2"/>
                      <w:sz w:val="21"/>
                      <w:szCs w:val="21"/>
                      <w:vertAlign w:val="subscript"/>
                      <w:lang w:val="en-US" w:eastAsia="zh-CN" w:bidi="ar-SA"/>
                    </w:rPr>
                    <w:t>5</w:t>
                  </w:r>
                  <w:r>
                    <w:rPr>
                      <w:rFonts w:hint="default" w:ascii="Times New Roman" w:hAnsi="Times New Roman" w:eastAsia="宋体" w:cs="Times New Roman"/>
                      <w:color w:val="auto"/>
                      <w:kern w:val="2"/>
                      <w:sz w:val="21"/>
                      <w:szCs w:val="21"/>
                      <w:lang w:val="en-US" w:eastAsia="zh-CN" w:bidi="ar-SA"/>
                    </w:rPr>
                    <w:t>、SS、NH</w:t>
                  </w:r>
                  <w:r>
                    <w:rPr>
                      <w:rFonts w:hint="default" w:ascii="Times New Roman" w:hAnsi="Times New Roman" w:eastAsia="宋体" w:cs="Times New Roman"/>
                      <w:color w:val="auto"/>
                      <w:kern w:val="2"/>
                      <w:sz w:val="21"/>
                      <w:szCs w:val="21"/>
                      <w:vertAlign w:val="subscript"/>
                      <w:lang w:val="en-US" w:eastAsia="zh-CN" w:bidi="ar-SA"/>
                    </w:rPr>
                    <w:t>3-</w:t>
                  </w:r>
                  <w:r>
                    <w:rPr>
                      <w:rFonts w:hint="default" w:ascii="Times New Roman" w:hAnsi="Times New Roman" w:eastAsia="宋体" w:cs="Times New Roman"/>
                      <w:color w:val="auto"/>
                      <w:kern w:val="2"/>
                      <w:sz w:val="21"/>
                      <w:szCs w:val="21"/>
                      <w:lang w:val="en-US" w:eastAsia="zh-CN" w:bidi="ar-SA"/>
                    </w:rPr>
                    <w:t>N等</w:t>
                  </w:r>
                </w:p>
              </w:tc>
              <w:tc>
                <w:tcPr>
                  <w:tcW w:w="3972" w:type="dxa"/>
                  <w:noWrap w:val="0"/>
                  <w:vAlign w:val="center"/>
                </w:tcPr>
                <w:p w14:paraId="751D8BAC">
                  <w:pPr>
                    <w:jc w:val="center"/>
                    <w:rPr>
                      <w:rFonts w:hint="default" w:ascii="Times New Roman" w:hAnsi="Times New Roman"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生活污水</w:t>
                  </w:r>
                  <w:r>
                    <w:rPr>
                      <w:rFonts w:hint="default" w:ascii="Times New Roman" w:hAnsi="Times New Roman" w:eastAsia="宋体" w:cs="Times New Roman"/>
                      <w:color w:val="000000"/>
                      <w:sz w:val="21"/>
                      <w:szCs w:val="21"/>
                      <w:lang w:val="en-US" w:eastAsia="zh-CN"/>
                    </w:rPr>
                    <w:t>经一体化污水处理设施</w:t>
                  </w:r>
                  <w:r>
                    <w:rPr>
                      <w:rFonts w:hint="eastAsia" w:ascii="Times New Roman" w:hAnsi="Times New Roman" w:eastAsia="宋体" w:cs="Times New Roman"/>
                      <w:color w:val="000000"/>
                      <w:sz w:val="21"/>
                      <w:szCs w:val="21"/>
                      <w:lang w:val="en-US" w:eastAsia="zh-CN"/>
                    </w:rPr>
                    <w:t>（“</w:t>
                  </w:r>
                  <w:r>
                    <w:rPr>
                      <w:rFonts w:hint="default" w:ascii="Times New Roman" w:hAnsi="Times New Roman" w:eastAsia="宋体" w:cs="Times New Roman"/>
                      <w:color w:val="000000"/>
                      <w:sz w:val="21"/>
                      <w:szCs w:val="21"/>
                      <w:lang w:val="en-US" w:eastAsia="zh-CN"/>
                    </w:rPr>
                    <w:t>化粪池+A/O</w:t>
                  </w:r>
                  <w:r>
                    <w:rPr>
                      <w:rFonts w:hint="eastAsia" w:ascii="Times New Roman" w:hAnsi="Times New Roman" w:eastAsia="宋体" w:cs="Times New Roman"/>
                      <w:color w:val="000000"/>
                      <w:sz w:val="21"/>
                      <w:szCs w:val="21"/>
                      <w:lang w:val="en-US" w:eastAsia="zh-CN"/>
                    </w:rPr>
                    <w:t>+</w:t>
                  </w:r>
                  <w:r>
                    <w:rPr>
                      <w:rFonts w:hint="default" w:ascii="Times New Roman" w:hAnsi="Times New Roman" w:eastAsia="宋体" w:cs="Times New Roman"/>
                      <w:color w:val="000000"/>
                      <w:sz w:val="21"/>
                      <w:szCs w:val="21"/>
                      <w:lang w:val="en-US" w:eastAsia="zh-CN"/>
                    </w:rPr>
                    <w:t>沉淀</w:t>
                  </w:r>
                  <w:r>
                    <w:rPr>
                      <w:rFonts w:hint="eastAsia" w:ascii="Times New Roman" w:hAnsi="Times New Roman" w:eastAsia="宋体" w:cs="Times New Roman"/>
                      <w:color w:val="000000"/>
                      <w:sz w:val="21"/>
                      <w:szCs w:val="21"/>
                      <w:lang w:val="en-US" w:eastAsia="zh-CN"/>
                    </w:rPr>
                    <w:t>+消毒</w:t>
                  </w:r>
                  <w:r>
                    <w:rPr>
                      <w:rFonts w:hint="default" w:ascii="Times New Roman" w:hAnsi="Times New Roman" w:eastAsia="宋体" w:cs="Times New Roman"/>
                      <w:color w:val="000000"/>
                      <w:sz w:val="21"/>
                      <w:szCs w:val="21"/>
                      <w:lang w:val="en-US" w:eastAsia="zh-CN"/>
                    </w:rPr>
                    <w:t>一体化</w:t>
                  </w:r>
                  <w:r>
                    <w:rPr>
                      <w:rFonts w:hint="eastAsia" w:ascii="Times New Roman" w:hAnsi="Times New Roman" w:eastAsia="宋体" w:cs="Times New Roman"/>
                      <w:color w:val="000000"/>
                      <w:sz w:val="21"/>
                      <w:szCs w:val="21"/>
                      <w:lang w:val="en-US" w:eastAsia="zh-CN"/>
                    </w:rPr>
                    <w:t>”，</w:t>
                  </w:r>
                  <w:r>
                    <w:rPr>
                      <w:rFonts w:hint="eastAsia" w:ascii="Times New Roman" w:hAnsi="Times New Roman" w:eastAsia="宋体" w:cs="Times New Roman"/>
                      <w:color w:val="auto"/>
                      <w:sz w:val="21"/>
                      <w:szCs w:val="21"/>
                      <w:lang w:val="en-US" w:eastAsia="zh-CN"/>
                    </w:rPr>
                    <w:t>处理规模为5m</w:t>
                  </w:r>
                  <w:r>
                    <w:rPr>
                      <w:rFonts w:hint="eastAsia" w:ascii="Times New Roman" w:hAnsi="Times New Roman" w:eastAsia="宋体" w:cs="Times New Roman"/>
                      <w:color w:val="auto"/>
                      <w:sz w:val="21"/>
                      <w:szCs w:val="21"/>
                      <w:vertAlign w:val="superscript"/>
                      <w:lang w:val="en-US" w:eastAsia="zh-CN"/>
                    </w:rPr>
                    <w:t>3</w:t>
                  </w:r>
                  <w:r>
                    <w:rPr>
                      <w:rFonts w:hint="eastAsia" w:ascii="Times New Roman" w:hAnsi="Times New Roman" w:eastAsia="宋体" w:cs="Times New Roman"/>
                      <w:color w:val="auto"/>
                      <w:sz w:val="21"/>
                      <w:szCs w:val="21"/>
                      <w:lang w:val="en-US" w:eastAsia="zh-CN"/>
                    </w:rPr>
                    <w:t>/d</w:t>
                  </w:r>
                  <w:r>
                    <w:rPr>
                      <w:rFonts w:hint="eastAsia" w:ascii="Times New Roman" w:hAnsi="Times New Roman" w:eastAsia="宋体" w:cs="Times New Roman"/>
                      <w:color w:val="000000"/>
                      <w:sz w:val="21"/>
                      <w:szCs w:val="21"/>
                      <w:lang w:val="en-US" w:eastAsia="zh-CN"/>
                    </w:rPr>
                    <w:t>）</w:t>
                  </w:r>
                  <w:r>
                    <w:rPr>
                      <w:rFonts w:hint="default" w:ascii="Times New Roman" w:hAnsi="Times New Roman" w:eastAsia="宋体" w:cs="Times New Roman"/>
                      <w:color w:val="000000"/>
                      <w:sz w:val="21"/>
                      <w:szCs w:val="21"/>
                      <w:lang w:val="en-US" w:eastAsia="zh-CN"/>
                    </w:rPr>
                    <w:t>处理后，达到《农村生活污水处理排放标准》（DB654275-2019）表2的B级标准，</w:t>
                  </w:r>
                  <w:r>
                    <w:rPr>
                      <w:rFonts w:hint="eastAsia" w:cs="Times New Roman"/>
                      <w:color w:val="000000"/>
                      <w:sz w:val="21"/>
                      <w:szCs w:val="21"/>
                      <w:lang w:val="en-US" w:eastAsia="zh-CN"/>
                    </w:rPr>
                    <w:t>冬储夏灌，</w:t>
                  </w:r>
                  <w:r>
                    <w:rPr>
                      <w:rFonts w:hint="default" w:ascii="Times New Roman" w:hAnsi="Times New Roman" w:eastAsia="宋体" w:cs="Times New Roman"/>
                      <w:color w:val="000000"/>
                      <w:sz w:val="21"/>
                      <w:szCs w:val="21"/>
                      <w:lang w:val="en-US" w:eastAsia="zh-CN"/>
                    </w:rPr>
                    <w:t>用于荒漠灌溉</w:t>
                  </w:r>
                  <w:r>
                    <w:rPr>
                      <w:rFonts w:hint="eastAsia" w:ascii="Times New Roman" w:hAnsi="Times New Roman" w:eastAsia="宋体" w:cs="Times New Roman"/>
                      <w:color w:val="auto"/>
                      <w:sz w:val="21"/>
                      <w:szCs w:val="21"/>
                      <w:highlight w:val="none"/>
                      <w:lang w:val="en-US" w:eastAsia="zh-CN"/>
                    </w:rPr>
                    <w:t>；生产废水循环使用，不外排</w:t>
                  </w:r>
                </w:p>
              </w:tc>
            </w:tr>
            <w:tr w14:paraId="1A94E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73" w:type="dxa"/>
                  <w:vMerge w:val="continue"/>
                  <w:noWrap w:val="0"/>
                  <w:vAlign w:val="center"/>
                </w:tcPr>
                <w:p w14:paraId="09A1772F">
                  <w:pPr>
                    <w:jc w:val="center"/>
                    <w:rPr>
                      <w:rFonts w:hint="default" w:ascii="Times New Roman" w:hAnsi="Times New Roman" w:cs="Times New Roman"/>
                      <w:sz w:val="21"/>
                      <w:szCs w:val="21"/>
                      <w:vertAlign w:val="baseline"/>
                      <w:lang w:val="en-US" w:eastAsia="zh-CN"/>
                    </w:rPr>
                  </w:pPr>
                </w:p>
              </w:tc>
              <w:tc>
                <w:tcPr>
                  <w:tcW w:w="1071" w:type="dxa"/>
                  <w:vMerge w:val="restart"/>
                  <w:noWrap w:val="0"/>
                  <w:vAlign w:val="center"/>
                </w:tcPr>
                <w:p w14:paraId="1A9CA99D">
                  <w:pPr>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洗车平台沉淀池</w:t>
                  </w:r>
                </w:p>
              </w:tc>
              <w:tc>
                <w:tcPr>
                  <w:tcW w:w="850" w:type="dxa"/>
                  <w:noWrap w:val="0"/>
                  <w:vAlign w:val="center"/>
                </w:tcPr>
                <w:p w14:paraId="730417F1">
                  <w:pPr>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固废</w:t>
                  </w:r>
                </w:p>
              </w:tc>
              <w:tc>
                <w:tcPr>
                  <w:tcW w:w="1579" w:type="dxa"/>
                  <w:noWrap w:val="0"/>
                  <w:vAlign w:val="center"/>
                </w:tcPr>
                <w:p w14:paraId="1B5B0227">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沉渣</w:t>
                  </w:r>
                </w:p>
              </w:tc>
              <w:tc>
                <w:tcPr>
                  <w:tcW w:w="3972" w:type="dxa"/>
                  <w:noWrap w:val="0"/>
                  <w:vAlign w:val="center"/>
                </w:tcPr>
                <w:p w14:paraId="221A3546">
                  <w:pPr>
                    <w:jc w:val="center"/>
                    <w:rPr>
                      <w:rFonts w:hint="default" w:ascii="Times New Roman" w:hAnsi="Times New Roman" w:cs="Times New Roman"/>
                      <w:kern w:val="0"/>
                      <w:sz w:val="21"/>
                      <w:szCs w:val="21"/>
                      <w:lang w:val="en-US" w:eastAsia="zh-CN" w:bidi="ar"/>
                    </w:rPr>
                  </w:pPr>
                  <w:r>
                    <w:rPr>
                      <w:rFonts w:hint="default" w:ascii="Times New Roman" w:hAnsi="Times New Roman" w:cs="Times New Roman"/>
                      <w:sz w:val="21"/>
                      <w:szCs w:val="21"/>
                      <w:lang w:val="en-US" w:eastAsia="zh-CN"/>
                    </w:rPr>
                    <w:t>合并作为尾煤，外售至砖厂制砖</w:t>
                  </w:r>
                </w:p>
              </w:tc>
            </w:tr>
            <w:tr w14:paraId="61479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73" w:type="dxa"/>
                  <w:vMerge w:val="continue"/>
                  <w:noWrap w:val="0"/>
                  <w:vAlign w:val="center"/>
                </w:tcPr>
                <w:p w14:paraId="3F2A5A34">
                  <w:pPr>
                    <w:jc w:val="center"/>
                    <w:rPr>
                      <w:rFonts w:hint="default" w:ascii="Times New Roman" w:hAnsi="Times New Roman" w:cs="Times New Roman"/>
                      <w:sz w:val="21"/>
                      <w:szCs w:val="21"/>
                      <w:vertAlign w:val="baseline"/>
                      <w:lang w:val="en-US" w:eastAsia="zh-CN"/>
                    </w:rPr>
                  </w:pPr>
                </w:p>
              </w:tc>
              <w:tc>
                <w:tcPr>
                  <w:tcW w:w="1071" w:type="dxa"/>
                  <w:vMerge w:val="continue"/>
                  <w:noWrap w:val="0"/>
                  <w:vAlign w:val="center"/>
                </w:tcPr>
                <w:p w14:paraId="2A15B0D6">
                  <w:pPr>
                    <w:jc w:val="center"/>
                    <w:rPr>
                      <w:rFonts w:hint="default" w:ascii="Times New Roman" w:hAnsi="Times New Roman" w:cs="Times New Roman"/>
                      <w:sz w:val="21"/>
                      <w:szCs w:val="21"/>
                      <w:vertAlign w:val="baseline"/>
                      <w:lang w:val="en-US" w:eastAsia="zh-CN"/>
                    </w:rPr>
                  </w:pPr>
                </w:p>
              </w:tc>
              <w:tc>
                <w:tcPr>
                  <w:tcW w:w="850" w:type="dxa"/>
                  <w:noWrap w:val="0"/>
                  <w:vAlign w:val="center"/>
                </w:tcPr>
                <w:p w14:paraId="3A0C4B36">
                  <w:pPr>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废水</w:t>
                  </w:r>
                </w:p>
              </w:tc>
              <w:tc>
                <w:tcPr>
                  <w:tcW w:w="1579" w:type="dxa"/>
                  <w:noWrap w:val="0"/>
                  <w:vAlign w:val="center"/>
                </w:tcPr>
                <w:p w14:paraId="65CD1707">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SS</w:t>
                  </w:r>
                </w:p>
              </w:tc>
              <w:tc>
                <w:tcPr>
                  <w:tcW w:w="3972" w:type="dxa"/>
                  <w:noWrap w:val="0"/>
                  <w:vAlign w:val="center"/>
                </w:tcPr>
                <w:p w14:paraId="5D921C8B">
                  <w:pPr>
                    <w:jc w:val="center"/>
                    <w:rPr>
                      <w:rFonts w:hint="default" w:ascii="Times New Roman" w:hAnsi="Times New Roman" w:cs="Times New Roman"/>
                      <w:kern w:val="0"/>
                      <w:sz w:val="21"/>
                      <w:szCs w:val="21"/>
                      <w:lang w:val="en-US" w:eastAsia="zh-CN" w:bidi="ar"/>
                    </w:rPr>
                  </w:pPr>
                  <w:r>
                    <w:rPr>
                      <w:rFonts w:hint="default" w:ascii="Times New Roman" w:hAnsi="Times New Roman" w:cs="Times New Roman"/>
                      <w:kern w:val="0"/>
                      <w:sz w:val="21"/>
                      <w:szCs w:val="21"/>
                      <w:lang w:val="en-US" w:eastAsia="zh-CN" w:bidi="ar"/>
                    </w:rPr>
                    <w:t>循环使用，不外排</w:t>
                  </w:r>
                </w:p>
              </w:tc>
            </w:tr>
            <w:tr w14:paraId="34955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73" w:type="dxa"/>
                  <w:vMerge w:val="continue"/>
                  <w:noWrap w:val="0"/>
                  <w:vAlign w:val="center"/>
                </w:tcPr>
                <w:p w14:paraId="2A89B3CC">
                  <w:pPr>
                    <w:jc w:val="center"/>
                    <w:rPr>
                      <w:rFonts w:hint="default" w:ascii="Times New Roman" w:hAnsi="Times New Roman" w:cs="Times New Roman"/>
                      <w:sz w:val="21"/>
                      <w:szCs w:val="21"/>
                      <w:vertAlign w:val="baseline"/>
                      <w:lang w:val="en-US" w:eastAsia="zh-CN"/>
                    </w:rPr>
                  </w:pPr>
                </w:p>
              </w:tc>
              <w:tc>
                <w:tcPr>
                  <w:tcW w:w="7472" w:type="dxa"/>
                  <w:gridSpan w:val="4"/>
                  <w:noWrap w:val="0"/>
                  <w:vAlign w:val="center"/>
                </w:tcPr>
                <w:p w14:paraId="0E68F34C">
                  <w:pPr>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煤泥洗选生产线</w:t>
                  </w:r>
                </w:p>
              </w:tc>
            </w:tr>
            <w:tr w14:paraId="029B0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73" w:type="dxa"/>
                  <w:vMerge w:val="continue"/>
                  <w:noWrap w:val="0"/>
                  <w:vAlign w:val="center"/>
                </w:tcPr>
                <w:p w14:paraId="0D53CB11">
                  <w:pPr>
                    <w:jc w:val="center"/>
                    <w:rPr>
                      <w:rFonts w:hint="default" w:ascii="Times New Roman" w:hAnsi="Times New Roman" w:cs="Times New Roman"/>
                      <w:sz w:val="21"/>
                      <w:szCs w:val="21"/>
                      <w:vertAlign w:val="baseline"/>
                      <w:lang w:val="en-US" w:eastAsia="zh-CN"/>
                    </w:rPr>
                  </w:pPr>
                </w:p>
              </w:tc>
              <w:tc>
                <w:tcPr>
                  <w:tcW w:w="1071" w:type="dxa"/>
                  <w:noWrap w:val="0"/>
                  <w:vAlign w:val="center"/>
                </w:tcPr>
                <w:p w14:paraId="4E749816">
                  <w:pPr>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pacing w:val="-4"/>
                      <w:sz w:val="21"/>
                      <w:szCs w:val="21"/>
                    </w:rPr>
                    <w:t>大型煤炭储运中心</w:t>
                  </w:r>
                </w:p>
              </w:tc>
              <w:tc>
                <w:tcPr>
                  <w:tcW w:w="850" w:type="dxa"/>
                  <w:noWrap w:val="0"/>
                  <w:vAlign w:val="center"/>
                </w:tcPr>
                <w:p w14:paraId="29071811">
                  <w:pPr>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废气</w:t>
                  </w:r>
                </w:p>
              </w:tc>
              <w:tc>
                <w:tcPr>
                  <w:tcW w:w="1579" w:type="dxa"/>
                  <w:noWrap w:val="0"/>
                  <w:vAlign w:val="center"/>
                </w:tcPr>
                <w:p w14:paraId="2954AE8B">
                  <w:pPr>
                    <w:pStyle w:val="52"/>
                    <w:rPr>
                      <w:rFonts w:hint="default" w:ascii="Times New Roman" w:hAnsi="Times New Roman" w:cs="Times New Roman"/>
                      <w:sz w:val="21"/>
                      <w:szCs w:val="21"/>
                      <w:vertAlign w:val="baseline"/>
                      <w:lang w:val="en-US" w:eastAsia="zh-CN"/>
                    </w:rPr>
                  </w:pPr>
                  <w:r>
                    <w:rPr>
                      <w:rFonts w:hint="default" w:ascii="Times New Roman" w:hAnsi="Times New Roman" w:cs="Times New Roman"/>
                      <w:color w:val="auto"/>
                      <w:sz w:val="21"/>
                      <w:szCs w:val="21"/>
                    </w:rPr>
                    <w:t>颗粒物</w:t>
                  </w:r>
                </w:p>
              </w:tc>
              <w:tc>
                <w:tcPr>
                  <w:tcW w:w="3972" w:type="dxa"/>
                  <w:noWrap w:val="0"/>
                  <w:vAlign w:val="center"/>
                </w:tcPr>
                <w:p w14:paraId="773098D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sz w:val="21"/>
                      <w:szCs w:val="21"/>
                      <w:vertAlign w:val="baseline"/>
                      <w:lang w:val="en-US" w:eastAsia="zh-CN"/>
                    </w:rPr>
                  </w:pPr>
                  <w:r>
                    <w:rPr>
                      <w:rFonts w:hint="default" w:ascii="Times New Roman" w:hAnsi="Times New Roman" w:cs="Times New Roman"/>
                      <w:color w:val="auto"/>
                      <w:sz w:val="21"/>
                      <w:szCs w:val="21"/>
                    </w:rPr>
                    <w:t>全封闭储煤棚，并</w:t>
                  </w:r>
                  <w:r>
                    <w:rPr>
                      <w:rFonts w:hint="default" w:ascii="Times New Roman" w:hAnsi="Times New Roman" w:cs="Times New Roman"/>
                      <w:sz w:val="21"/>
                      <w:szCs w:val="21"/>
                      <w:lang w:val="en-US" w:eastAsia="zh-CN"/>
                    </w:rPr>
                    <w:t>安装喷淋装置</w:t>
                  </w:r>
                </w:p>
              </w:tc>
            </w:tr>
            <w:tr w14:paraId="2A542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73" w:type="dxa"/>
                  <w:vMerge w:val="continue"/>
                  <w:noWrap w:val="0"/>
                  <w:vAlign w:val="center"/>
                </w:tcPr>
                <w:p w14:paraId="438A18DE">
                  <w:pPr>
                    <w:jc w:val="center"/>
                    <w:rPr>
                      <w:rFonts w:hint="default" w:ascii="Times New Roman" w:hAnsi="Times New Roman" w:cs="Times New Roman"/>
                      <w:sz w:val="21"/>
                      <w:szCs w:val="21"/>
                      <w:vertAlign w:val="baseline"/>
                      <w:lang w:val="en-US" w:eastAsia="zh-CN"/>
                    </w:rPr>
                  </w:pPr>
                </w:p>
              </w:tc>
              <w:tc>
                <w:tcPr>
                  <w:tcW w:w="1071" w:type="dxa"/>
                  <w:noWrap w:val="0"/>
                  <w:vAlign w:val="center"/>
                </w:tcPr>
                <w:p w14:paraId="228E896D">
                  <w:pPr>
                    <w:jc w:val="center"/>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lang w:val="en-US" w:eastAsia="zh-CN"/>
                    </w:rPr>
                    <w:t>物料运输</w:t>
                  </w:r>
                </w:p>
              </w:tc>
              <w:tc>
                <w:tcPr>
                  <w:tcW w:w="850" w:type="dxa"/>
                  <w:noWrap w:val="0"/>
                  <w:vAlign w:val="center"/>
                </w:tcPr>
                <w:p w14:paraId="71E14527">
                  <w:pPr>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废气</w:t>
                  </w:r>
                </w:p>
              </w:tc>
              <w:tc>
                <w:tcPr>
                  <w:tcW w:w="1579" w:type="dxa"/>
                  <w:noWrap w:val="0"/>
                  <w:vAlign w:val="center"/>
                </w:tcPr>
                <w:p w14:paraId="599457DE">
                  <w:pPr>
                    <w:pStyle w:val="52"/>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颗粒物</w:t>
                  </w:r>
                </w:p>
              </w:tc>
              <w:tc>
                <w:tcPr>
                  <w:tcW w:w="3972" w:type="dxa"/>
                  <w:noWrap w:val="0"/>
                  <w:vAlign w:val="center"/>
                </w:tcPr>
                <w:p w14:paraId="48F288B5">
                  <w:pPr>
                    <w:jc w:val="center"/>
                    <w:rPr>
                      <w:rFonts w:hint="default" w:ascii="Times New Roman" w:hAnsi="Times New Roman" w:cs="Times New Roman"/>
                      <w:color w:val="auto"/>
                      <w:sz w:val="21"/>
                      <w:szCs w:val="21"/>
                    </w:rPr>
                  </w:pPr>
                  <w:r>
                    <w:rPr>
                      <w:rFonts w:hint="default" w:ascii="Times New Roman" w:hAnsi="Times New Roman" w:cs="Times New Roman"/>
                      <w:sz w:val="21"/>
                      <w:szCs w:val="21"/>
                      <w:lang w:val="en-US" w:eastAsia="zh-CN"/>
                    </w:rPr>
                    <w:t>货车限速，苫布遮盖；场区道路硬化，定期洒水、清扫；进出车辆清洗车身</w:t>
                  </w:r>
                </w:p>
              </w:tc>
            </w:tr>
            <w:tr w14:paraId="50EA8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73" w:type="dxa"/>
                  <w:vMerge w:val="continue"/>
                  <w:noWrap w:val="0"/>
                  <w:vAlign w:val="center"/>
                </w:tcPr>
                <w:p w14:paraId="244F6ED5">
                  <w:pPr>
                    <w:jc w:val="center"/>
                    <w:rPr>
                      <w:rFonts w:hint="default" w:ascii="Times New Roman" w:hAnsi="Times New Roman" w:cs="Times New Roman"/>
                      <w:sz w:val="21"/>
                      <w:szCs w:val="21"/>
                      <w:vertAlign w:val="baseline"/>
                      <w:lang w:val="en-US" w:eastAsia="zh-CN"/>
                    </w:rPr>
                  </w:pPr>
                </w:p>
              </w:tc>
              <w:tc>
                <w:tcPr>
                  <w:tcW w:w="1071" w:type="dxa"/>
                  <w:noWrap w:val="0"/>
                  <w:vAlign w:val="center"/>
                </w:tcPr>
                <w:p w14:paraId="31DA6CB0">
                  <w:pPr>
                    <w:jc w:val="center"/>
                    <w:rPr>
                      <w:rFonts w:hint="default" w:ascii="Times New Roman" w:hAnsi="Times New Roman" w:cs="Times New Roman"/>
                      <w:color w:val="auto"/>
                      <w:sz w:val="21"/>
                      <w:szCs w:val="21"/>
                      <w:lang w:val="en-US" w:eastAsia="zh-CN"/>
                    </w:rPr>
                  </w:pPr>
                  <w:r>
                    <w:rPr>
                      <w:rFonts w:hint="default" w:ascii="Times New Roman" w:hAnsi="Times New Roman" w:eastAsia="宋体" w:cs="Times New Roman"/>
                      <w:kern w:val="2"/>
                      <w:sz w:val="21"/>
                      <w:szCs w:val="21"/>
                      <w:lang w:val="en-US" w:eastAsia="zh-CN" w:bidi="ar-SA"/>
                    </w:rPr>
                    <w:t>物料运转、转载</w:t>
                  </w:r>
                </w:p>
              </w:tc>
              <w:tc>
                <w:tcPr>
                  <w:tcW w:w="850" w:type="dxa"/>
                  <w:noWrap w:val="0"/>
                  <w:vAlign w:val="center"/>
                </w:tcPr>
                <w:p w14:paraId="019C47DD">
                  <w:pPr>
                    <w:jc w:val="cente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废气</w:t>
                  </w:r>
                </w:p>
              </w:tc>
              <w:tc>
                <w:tcPr>
                  <w:tcW w:w="1579" w:type="dxa"/>
                  <w:noWrap w:val="0"/>
                  <w:vAlign w:val="center"/>
                </w:tcPr>
                <w:p w14:paraId="7124A4CE">
                  <w:pPr>
                    <w:pStyle w:val="52"/>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颗粒物</w:t>
                  </w:r>
                </w:p>
              </w:tc>
              <w:tc>
                <w:tcPr>
                  <w:tcW w:w="3972" w:type="dxa"/>
                  <w:noWrap w:val="0"/>
                  <w:vAlign w:val="center"/>
                </w:tcPr>
                <w:p w14:paraId="52EF0FB9">
                  <w:pPr>
                    <w:jc w:val="center"/>
                    <w:rPr>
                      <w:rFonts w:hint="default" w:ascii="Times New Roman" w:hAnsi="Times New Roman" w:cs="Times New Roman"/>
                      <w:sz w:val="21"/>
                      <w:szCs w:val="21"/>
                      <w:lang w:val="en-US" w:eastAsia="zh-CN"/>
                    </w:rPr>
                  </w:pPr>
                  <w:r>
                    <w:rPr>
                      <w:rFonts w:hint="eastAsia" w:ascii="Times New Roman" w:hAnsi="Times New Roman" w:eastAsia="宋体" w:cs="Times New Roman"/>
                      <w:kern w:val="2"/>
                      <w:sz w:val="21"/>
                      <w:szCs w:val="21"/>
                      <w:lang w:val="en-US" w:eastAsia="zh-CN" w:bidi="ar-SA"/>
                    </w:rPr>
                    <w:t>封闭廊道，喷雾除尘</w:t>
                  </w:r>
                </w:p>
              </w:tc>
            </w:tr>
            <w:tr w14:paraId="6BAA8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73" w:type="dxa"/>
                  <w:vMerge w:val="continue"/>
                  <w:noWrap w:val="0"/>
                  <w:vAlign w:val="center"/>
                </w:tcPr>
                <w:p w14:paraId="7261D670">
                  <w:pPr>
                    <w:jc w:val="center"/>
                    <w:rPr>
                      <w:rFonts w:hint="default" w:ascii="Times New Roman" w:hAnsi="Times New Roman" w:cs="Times New Roman"/>
                      <w:sz w:val="21"/>
                      <w:szCs w:val="21"/>
                      <w:vertAlign w:val="baseline"/>
                      <w:lang w:val="en-US" w:eastAsia="zh-CN"/>
                    </w:rPr>
                  </w:pPr>
                </w:p>
              </w:tc>
              <w:tc>
                <w:tcPr>
                  <w:tcW w:w="1071" w:type="dxa"/>
                  <w:noWrap w:val="0"/>
                  <w:vAlign w:val="center"/>
                </w:tcPr>
                <w:p w14:paraId="13144C88">
                  <w:pPr>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洗选</w:t>
                  </w:r>
                </w:p>
              </w:tc>
              <w:tc>
                <w:tcPr>
                  <w:tcW w:w="850" w:type="dxa"/>
                  <w:noWrap w:val="0"/>
                  <w:vAlign w:val="center"/>
                </w:tcPr>
                <w:p w14:paraId="44799C0E">
                  <w:pPr>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废水</w:t>
                  </w:r>
                </w:p>
              </w:tc>
              <w:tc>
                <w:tcPr>
                  <w:tcW w:w="1579" w:type="dxa"/>
                  <w:noWrap w:val="0"/>
                  <w:vAlign w:val="center"/>
                </w:tcPr>
                <w:p w14:paraId="449866DA">
                  <w:pPr>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SS</w:t>
                  </w:r>
                </w:p>
              </w:tc>
              <w:tc>
                <w:tcPr>
                  <w:tcW w:w="3972" w:type="dxa"/>
                  <w:noWrap w:val="0"/>
                  <w:vAlign w:val="center"/>
                </w:tcPr>
                <w:p w14:paraId="2F846930">
                  <w:pPr>
                    <w:jc w:val="center"/>
                    <w:rPr>
                      <w:rFonts w:hint="default" w:ascii="Times New Roman" w:hAnsi="Times New Roman" w:cs="Times New Roman"/>
                      <w:sz w:val="21"/>
                      <w:szCs w:val="21"/>
                      <w:vertAlign w:val="baseline"/>
                      <w:lang w:val="en-US" w:eastAsia="zh-CN"/>
                    </w:rPr>
                  </w:pPr>
                  <w:r>
                    <w:rPr>
                      <w:rFonts w:hint="default" w:ascii="Times New Roman" w:hAnsi="Times New Roman" w:eastAsia="宋体" w:cs="Times New Roman"/>
                      <w:color w:val="auto"/>
                      <w:sz w:val="21"/>
                      <w:szCs w:val="21"/>
                    </w:rPr>
                    <w:t>循环使用，定期补充损耗</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不外排</w:t>
                  </w:r>
                </w:p>
              </w:tc>
            </w:tr>
            <w:tr w14:paraId="75732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73" w:type="dxa"/>
                  <w:vMerge w:val="continue"/>
                  <w:noWrap w:val="0"/>
                  <w:vAlign w:val="center"/>
                </w:tcPr>
                <w:p w14:paraId="77E67C07">
                  <w:pPr>
                    <w:jc w:val="center"/>
                    <w:rPr>
                      <w:rFonts w:hint="default" w:ascii="Times New Roman" w:hAnsi="Times New Roman" w:cs="Times New Roman"/>
                      <w:sz w:val="21"/>
                      <w:szCs w:val="21"/>
                      <w:vertAlign w:val="baseline"/>
                      <w:lang w:val="en-US" w:eastAsia="zh-CN"/>
                    </w:rPr>
                  </w:pPr>
                </w:p>
              </w:tc>
              <w:tc>
                <w:tcPr>
                  <w:tcW w:w="1071" w:type="dxa"/>
                  <w:noWrap w:val="0"/>
                  <w:vAlign w:val="center"/>
                </w:tcPr>
                <w:p w14:paraId="7A3E5FCF">
                  <w:pPr>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除杂筛分</w:t>
                  </w:r>
                </w:p>
              </w:tc>
              <w:tc>
                <w:tcPr>
                  <w:tcW w:w="850" w:type="dxa"/>
                  <w:noWrap w:val="0"/>
                  <w:vAlign w:val="center"/>
                </w:tcPr>
                <w:p w14:paraId="3D9CE2D9">
                  <w:pPr>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固废</w:t>
                  </w:r>
                </w:p>
              </w:tc>
              <w:tc>
                <w:tcPr>
                  <w:tcW w:w="1579" w:type="dxa"/>
                  <w:noWrap w:val="0"/>
                  <w:vAlign w:val="center"/>
                </w:tcPr>
                <w:p w14:paraId="3E49F796">
                  <w:pPr>
                    <w:jc w:val="center"/>
                    <w:rPr>
                      <w:rFonts w:hint="default" w:ascii="Times New Roman" w:hAnsi="Times New Roman" w:cs="Times New Roman"/>
                      <w:sz w:val="21"/>
                      <w:szCs w:val="21"/>
                      <w:vertAlign w:val="baseline"/>
                      <w:lang w:val="en-US" w:eastAsia="zh-CN"/>
                    </w:rPr>
                  </w:pPr>
                  <w:r>
                    <w:rPr>
                      <w:rFonts w:hint="default" w:ascii="Times New Roman" w:hAnsi="Times New Roman" w:eastAsia="宋体" w:cs="Times New Roman"/>
                      <w:sz w:val="21"/>
                      <w:szCs w:val="21"/>
                      <w:lang w:val="en-US" w:eastAsia="zh-CN"/>
                    </w:rPr>
                    <w:t>石块、木屑、塑料、铁丝等</w:t>
                  </w:r>
                </w:p>
              </w:tc>
              <w:tc>
                <w:tcPr>
                  <w:tcW w:w="3972" w:type="dxa"/>
                  <w:noWrap w:val="0"/>
                  <w:vAlign w:val="center"/>
                </w:tcPr>
                <w:p w14:paraId="4E2FB8F2">
                  <w:pPr>
                    <w:jc w:val="center"/>
                    <w:rPr>
                      <w:rFonts w:hint="default" w:ascii="Times New Roman" w:hAnsi="Times New Roman" w:eastAsia="宋体" w:cs="Times New Roman"/>
                      <w:bCs/>
                      <w:kern w:val="2"/>
                      <w:sz w:val="21"/>
                      <w:szCs w:val="21"/>
                      <w:lang w:val="en-US" w:eastAsia="zh-CN" w:bidi="ar"/>
                    </w:rPr>
                  </w:pPr>
                  <w:r>
                    <w:rPr>
                      <w:rFonts w:hint="eastAsia" w:ascii="Times New Roman" w:hAnsi="Times New Roman" w:eastAsia="宋体" w:cs="Times New Roman"/>
                      <w:bCs/>
                      <w:kern w:val="2"/>
                      <w:sz w:val="21"/>
                      <w:szCs w:val="21"/>
                      <w:lang w:val="en-US" w:eastAsia="zh-CN" w:bidi="ar"/>
                    </w:rPr>
                    <w:t>堆存在原料棚，</w:t>
                  </w:r>
                  <w:r>
                    <w:rPr>
                      <w:rFonts w:hint="default" w:ascii="Times New Roman" w:hAnsi="Times New Roman" w:eastAsia="宋体" w:cs="Times New Roman"/>
                      <w:bCs/>
                      <w:kern w:val="2"/>
                      <w:sz w:val="21"/>
                      <w:szCs w:val="21"/>
                      <w:lang w:val="en-US" w:eastAsia="zh-CN" w:bidi="ar"/>
                    </w:rPr>
                    <w:t>由环卫部门统一处置</w:t>
                  </w:r>
                </w:p>
              </w:tc>
            </w:tr>
            <w:tr w14:paraId="0E226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73" w:type="dxa"/>
                  <w:vMerge w:val="continue"/>
                  <w:noWrap w:val="0"/>
                  <w:vAlign w:val="center"/>
                </w:tcPr>
                <w:p w14:paraId="683CFA37">
                  <w:pPr>
                    <w:jc w:val="center"/>
                    <w:rPr>
                      <w:rFonts w:hint="default" w:ascii="Times New Roman" w:hAnsi="Times New Roman" w:cs="Times New Roman"/>
                      <w:sz w:val="21"/>
                      <w:szCs w:val="21"/>
                      <w:vertAlign w:val="baseline"/>
                      <w:lang w:val="en-US" w:eastAsia="zh-CN"/>
                    </w:rPr>
                  </w:pPr>
                </w:p>
              </w:tc>
              <w:tc>
                <w:tcPr>
                  <w:tcW w:w="1071" w:type="dxa"/>
                  <w:noWrap w:val="0"/>
                  <w:vAlign w:val="center"/>
                </w:tcPr>
                <w:p w14:paraId="0987AB02">
                  <w:pPr>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尾矿浓缩</w:t>
                  </w:r>
                </w:p>
              </w:tc>
              <w:tc>
                <w:tcPr>
                  <w:tcW w:w="850" w:type="dxa"/>
                  <w:noWrap w:val="0"/>
                  <w:vAlign w:val="center"/>
                </w:tcPr>
                <w:p w14:paraId="43E90635">
                  <w:pPr>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固废</w:t>
                  </w:r>
                </w:p>
              </w:tc>
              <w:tc>
                <w:tcPr>
                  <w:tcW w:w="1579" w:type="dxa"/>
                  <w:noWrap w:val="0"/>
                  <w:vAlign w:val="center"/>
                </w:tcPr>
                <w:p w14:paraId="0678BF32">
                  <w:pPr>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尾煤</w:t>
                  </w:r>
                </w:p>
              </w:tc>
              <w:tc>
                <w:tcPr>
                  <w:tcW w:w="3972" w:type="dxa"/>
                  <w:noWrap w:val="0"/>
                  <w:vAlign w:val="center"/>
                </w:tcPr>
                <w:p w14:paraId="62BF1A6E">
                  <w:pPr>
                    <w:jc w:val="center"/>
                    <w:rPr>
                      <w:rFonts w:hint="default" w:ascii="Times New Roman" w:hAnsi="Times New Roman" w:eastAsia="宋体" w:cs="Times New Roman"/>
                      <w:bCs/>
                      <w:kern w:val="2"/>
                      <w:sz w:val="21"/>
                      <w:szCs w:val="21"/>
                      <w:lang w:val="en-US" w:eastAsia="zh-CN" w:bidi="ar"/>
                    </w:rPr>
                  </w:pPr>
                  <w:r>
                    <w:rPr>
                      <w:rFonts w:hint="default" w:ascii="Times New Roman" w:hAnsi="Times New Roman" w:eastAsia="宋体" w:cs="Times New Roman"/>
                      <w:bCs/>
                      <w:kern w:val="2"/>
                      <w:sz w:val="21"/>
                      <w:szCs w:val="21"/>
                      <w:lang w:val="en-US" w:eastAsia="zh-CN" w:bidi="ar"/>
                    </w:rPr>
                    <w:t>外售至砖厂制砖</w:t>
                  </w:r>
                </w:p>
              </w:tc>
            </w:tr>
            <w:tr w14:paraId="47210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73" w:type="dxa"/>
                  <w:vMerge w:val="continue"/>
                  <w:noWrap w:val="0"/>
                  <w:vAlign w:val="center"/>
                </w:tcPr>
                <w:p w14:paraId="6A306A58">
                  <w:pPr>
                    <w:jc w:val="center"/>
                    <w:rPr>
                      <w:rFonts w:hint="default" w:ascii="Times New Roman" w:hAnsi="Times New Roman" w:cs="Times New Roman"/>
                      <w:sz w:val="21"/>
                      <w:szCs w:val="21"/>
                      <w:vertAlign w:val="baseline"/>
                      <w:lang w:val="en-US" w:eastAsia="zh-CN"/>
                    </w:rPr>
                  </w:pPr>
                </w:p>
              </w:tc>
              <w:tc>
                <w:tcPr>
                  <w:tcW w:w="1071" w:type="dxa"/>
                  <w:vMerge w:val="restart"/>
                  <w:noWrap w:val="0"/>
                  <w:vAlign w:val="center"/>
                </w:tcPr>
                <w:p w14:paraId="79383029">
                  <w:pPr>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循环水池</w:t>
                  </w:r>
                </w:p>
              </w:tc>
              <w:tc>
                <w:tcPr>
                  <w:tcW w:w="850" w:type="dxa"/>
                  <w:noWrap w:val="0"/>
                  <w:vAlign w:val="center"/>
                </w:tcPr>
                <w:p w14:paraId="31D0FA64">
                  <w:pPr>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固废</w:t>
                  </w:r>
                </w:p>
              </w:tc>
              <w:tc>
                <w:tcPr>
                  <w:tcW w:w="1579" w:type="dxa"/>
                  <w:noWrap w:val="0"/>
                  <w:vAlign w:val="center"/>
                </w:tcPr>
                <w:p w14:paraId="3430A106">
                  <w:pPr>
                    <w:jc w:val="center"/>
                    <w:rPr>
                      <w:rFonts w:hint="default" w:ascii="Times New Roman" w:hAnsi="Times New Roman" w:cs="Times New Roman"/>
                      <w:sz w:val="21"/>
                      <w:szCs w:val="21"/>
                      <w:vertAlign w:val="baseline"/>
                      <w:lang w:val="en-US" w:eastAsia="zh-CN"/>
                    </w:rPr>
                  </w:pPr>
                  <w:r>
                    <w:rPr>
                      <w:rFonts w:hint="default" w:ascii="Times New Roman" w:hAnsi="Times New Roman" w:eastAsia="宋体" w:cs="Times New Roman"/>
                      <w:color w:val="auto"/>
                      <w:kern w:val="2"/>
                      <w:sz w:val="21"/>
                      <w:szCs w:val="21"/>
                      <w:lang w:val="en-US" w:eastAsia="zh-CN" w:bidi="ar-SA"/>
                    </w:rPr>
                    <w:t>沉渣</w:t>
                  </w:r>
                </w:p>
              </w:tc>
              <w:tc>
                <w:tcPr>
                  <w:tcW w:w="3972" w:type="dxa"/>
                  <w:noWrap w:val="0"/>
                  <w:vAlign w:val="center"/>
                </w:tcPr>
                <w:p w14:paraId="68BDB58A">
                  <w:pPr>
                    <w:jc w:val="center"/>
                    <w:rPr>
                      <w:rFonts w:hint="default" w:ascii="Times New Roman" w:hAnsi="Times New Roman" w:eastAsia="宋体" w:cs="Times New Roman"/>
                      <w:bCs/>
                      <w:kern w:val="2"/>
                      <w:sz w:val="21"/>
                      <w:szCs w:val="21"/>
                      <w:lang w:val="en-US" w:eastAsia="zh-CN" w:bidi="ar"/>
                    </w:rPr>
                  </w:pPr>
                  <w:r>
                    <w:rPr>
                      <w:rFonts w:hint="default" w:ascii="Times New Roman" w:hAnsi="Times New Roman" w:cs="Times New Roman"/>
                      <w:sz w:val="21"/>
                      <w:szCs w:val="21"/>
                      <w:lang w:val="en-US" w:eastAsia="zh-CN"/>
                    </w:rPr>
                    <w:t>合并作为尾煤，外售至砖厂制砖</w:t>
                  </w:r>
                </w:p>
              </w:tc>
            </w:tr>
            <w:tr w14:paraId="3A426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73" w:type="dxa"/>
                  <w:vMerge w:val="continue"/>
                  <w:noWrap w:val="0"/>
                  <w:vAlign w:val="center"/>
                </w:tcPr>
                <w:p w14:paraId="21D34FE0">
                  <w:pPr>
                    <w:jc w:val="center"/>
                    <w:rPr>
                      <w:rFonts w:hint="default" w:ascii="Times New Roman" w:hAnsi="Times New Roman" w:cs="Times New Roman"/>
                      <w:sz w:val="21"/>
                      <w:szCs w:val="21"/>
                      <w:vertAlign w:val="baseline"/>
                      <w:lang w:val="en-US" w:eastAsia="zh-CN"/>
                    </w:rPr>
                  </w:pPr>
                </w:p>
              </w:tc>
              <w:tc>
                <w:tcPr>
                  <w:tcW w:w="1071" w:type="dxa"/>
                  <w:vMerge w:val="continue"/>
                  <w:noWrap w:val="0"/>
                  <w:vAlign w:val="center"/>
                </w:tcPr>
                <w:p w14:paraId="5CA660DB">
                  <w:pPr>
                    <w:jc w:val="center"/>
                    <w:rPr>
                      <w:rFonts w:hint="default" w:ascii="Times New Roman" w:hAnsi="Times New Roman" w:cs="Times New Roman"/>
                      <w:sz w:val="21"/>
                      <w:szCs w:val="21"/>
                      <w:vertAlign w:val="baseline"/>
                      <w:lang w:val="en-US" w:eastAsia="zh-CN"/>
                    </w:rPr>
                  </w:pPr>
                </w:p>
              </w:tc>
              <w:tc>
                <w:tcPr>
                  <w:tcW w:w="850" w:type="dxa"/>
                  <w:noWrap w:val="0"/>
                  <w:vAlign w:val="center"/>
                </w:tcPr>
                <w:p w14:paraId="3D4530AE">
                  <w:pPr>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废水</w:t>
                  </w:r>
                </w:p>
              </w:tc>
              <w:tc>
                <w:tcPr>
                  <w:tcW w:w="1579" w:type="dxa"/>
                  <w:noWrap w:val="0"/>
                  <w:vAlign w:val="center"/>
                </w:tcPr>
                <w:p w14:paraId="72F19721">
                  <w:pPr>
                    <w:jc w:val="center"/>
                    <w:rPr>
                      <w:rFonts w:hint="default" w:ascii="Times New Roman" w:hAnsi="Times New Roman" w:cs="Times New Roman"/>
                      <w:sz w:val="21"/>
                      <w:szCs w:val="21"/>
                      <w:vertAlign w:val="baseline"/>
                      <w:lang w:val="en-US" w:eastAsia="zh-CN"/>
                    </w:rPr>
                  </w:pPr>
                  <w:r>
                    <w:rPr>
                      <w:rFonts w:hint="default" w:ascii="Times New Roman" w:hAnsi="Times New Roman" w:eastAsia="宋体" w:cs="Times New Roman"/>
                      <w:color w:val="auto"/>
                      <w:kern w:val="2"/>
                      <w:sz w:val="21"/>
                      <w:szCs w:val="21"/>
                      <w:lang w:val="en-US" w:eastAsia="zh-CN" w:bidi="ar-SA"/>
                    </w:rPr>
                    <w:t>SS</w:t>
                  </w:r>
                </w:p>
              </w:tc>
              <w:tc>
                <w:tcPr>
                  <w:tcW w:w="3972" w:type="dxa"/>
                  <w:noWrap w:val="0"/>
                  <w:vAlign w:val="center"/>
                </w:tcPr>
                <w:p w14:paraId="25C865BA">
                  <w:pPr>
                    <w:jc w:val="center"/>
                    <w:rPr>
                      <w:rFonts w:hint="default" w:ascii="Times New Roman" w:hAnsi="Times New Roman" w:eastAsia="宋体" w:cs="Times New Roman"/>
                      <w:bCs/>
                      <w:kern w:val="2"/>
                      <w:sz w:val="21"/>
                      <w:szCs w:val="21"/>
                      <w:lang w:val="en-US" w:eastAsia="zh-CN" w:bidi="ar"/>
                    </w:rPr>
                  </w:pPr>
                  <w:r>
                    <w:rPr>
                      <w:rFonts w:hint="default" w:ascii="Times New Roman" w:hAnsi="Times New Roman" w:cs="Times New Roman"/>
                      <w:kern w:val="0"/>
                      <w:sz w:val="21"/>
                      <w:szCs w:val="21"/>
                      <w:lang w:val="en-US" w:eastAsia="zh-CN" w:bidi="ar"/>
                    </w:rPr>
                    <w:t>循环使用，不外排</w:t>
                  </w:r>
                </w:p>
              </w:tc>
            </w:tr>
            <w:tr w14:paraId="4E992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73" w:type="dxa"/>
                  <w:vMerge w:val="continue"/>
                  <w:noWrap w:val="0"/>
                  <w:vAlign w:val="center"/>
                </w:tcPr>
                <w:p w14:paraId="5D7FAE9E">
                  <w:pPr>
                    <w:jc w:val="center"/>
                    <w:rPr>
                      <w:rFonts w:hint="default" w:ascii="Times New Roman" w:hAnsi="Times New Roman" w:cs="Times New Roman"/>
                      <w:sz w:val="21"/>
                      <w:szCs w:val="21"/>
                      <w:vertAlign w:val="baseline"/>
                      <w:lang w:val="en-US" w:eastAsia="zh-CN"/>
                    </w:rPr>
                  </w:pPr>
                </w:p>
              </w:tc>
              <w:tc>
                <w:tcPr>
                  <w:tcW w:w="1071" w:type="dxa"/>
                  <w:noWrap w:val="0"/>
                  <w:vAlign w:val="center"/>
                </w:tcPr>
                <w:p w14:paraId="658519E0">
                  <w:pPr>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设备运行</w:t>
                  </w:r>
                </w:p>
              </w:tc>
              <w:tc>
                <w:tcPr>
                  <w:tcW w:w="850" w:type="dxa"/>
                  <w:noWrap w:val="0"/>
                  <w:vAlign w:val="center"/>
                </w:tcPr>
                <w:p w14:paraId="2D0FABD6">
                  <w:pPr>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噪声</w:t>
                  </w:r>
                </w:p>
              </w:tc>
              <w:tc>
                <w:tcPr>
                  <w:tcW w:w="1579" w:type="dxa"/>
                  <w:noWrap w:val="0"/>
                  <w:vAlign w:val="center"/>
                </w:tcPr>
                <w:p w14:paraId="239F7236">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sz w:val="21"/>
                      <w:szCs w:val="21"/>
                      <w:vertAlign w:val="baseline"/>
                      <w:lang w:val="en-US" w:eastAsia="zh-CN"/>
                    </w:rPr>
                    <w:t>设备噪声</w:t>
                  </w:r>
                </w:p>
              </w:tc>
              <w:tc>
                <w:tcPr>
                  <w:tcW w:w="3972" w:type="dxa"/>
                  <w:noWrap w:val="0"/>
                  <w:vAlign w:val="center"/>
                </w:tcPr>
                <w:p w14:paraId="04F270C3">
                  <w:pPr>
                    <w:jc w:val="center"/>
                    <w:rPr>
                      <w:rFonts w:hint="default" w:ascii="Times New Roman" w:hAnsi="Times New Roman" w:cs="Times New Roman"/>
                      <w:kern w:val="0"/>
                      <w:sz w:val="21"/>
                      <w:szCs w:val="21"/>
                      <w:lang w:val="en-US" w:eastAsia="zh-CN" w:bidi="ar"/>
                    </w:rPr>
                  </w:pPr>
                  <w:r>
                    <w:rPr>
                      <w:rFonts w:hint="default" w:ascii="Times New Roman" w:hAnsi="Times New Roman" w:eastAsia="宋体" w:cs="Times New Roman"/>
                      <w:bCs/>
                      <w:kern w:val="2"/>
                      <w:sz w:val="21"/>
                      <w:szCs w:val="21"/>
                      <w:lang w:val="en-US" w:eastAsia="zh-CN" w:bidi="ar"/>
                    </w:rPr>
                    <w:t>选用低噪声设备，通过基础减震、厂房屏蔽、距离衰减等隔音措施</w:t>
                  </w:r>
                </w:p>
              </w:tc>
            </w:tr>
          </w:tbl>
          <w:p w14:paraId="0CA08D54">
            <w:pPr>
              <w:adjustRightInd w:val="0"/>
              <w:snapToGrid w:val="0"/>
              <w:spacing w:line="360" w:lineRule="auto"/>
              <w:jc w:val="both"/>
              <w:rPr>
                <w:rFonts w:ascii="宋体" w:hAnsi="宋体"/>
                <w:bCs/>
                <w:sz w:val="24"/>
                <w:szCs w:val="24"/>
              </w:rPr>
            </w:pPr>
          </w:p>
        </w:tc>
      </w:tr>
      <w:tr w14:paraId="55C8BB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19" w:hRule="atLeast"/>
          <w:jc w:val="center"/>
        </w:trPr>
        <w:tc>
          <w:tcPr>
            <w:tcW w:w="823" w:type="dxa"/>
            <w:noWrap w:val="0"/>
            <w:vAlign w:val="center"/>
          </w:tcPr>
          <w:p w14:paraId="5E466C59">
            <w:pPr>
              <w:pStyle w:val="21"/>
              <w:adjustRightInd w:val="0"/>
              <w:snapToGrid w:val="0"/>
              <w:spacing w:before="0" w:beforeAutospacing="0" w:after="0" w:afterAutospacing="0"/>
              <w:jc w:val="center"/>
              <w:rPr>
                <w:rFonts w:cs="宋体"/>
                <w:sz w:val="21"/>
                <w:szCs w:val="21"/>
              </w:rPr>
            </w:pPr>
            <w:r>
              <w:rPr>
                <w:rFonts w:hint="default" w:ascii="Times New Roman" w:hAnsi="Times New Roman" w:cs="Times New Roman"/>
                <w:bCs/>
                <w:kern w:val="2"/>
                <w:sz w:val="24"/>
                <w:szCs w:val="24"/>
              </w:rPr>
              <w:t>与项目有关的原有环境污染问题</w:t>
            </w:r>
          </w:p>
        </w:tc>
        <w:tc>
          <w:tcPr>
            <w:tcW w:w="8161" w:type="dxa"/>
            <w:noWrap w:val="0"/>
            <w:vAlign w:val="top"/>
          </w:tcPr>
          <w:p w14:paraId="65BD163A">
            <w:pPr>
              <w:adjustRightInd w:val="0"/>
              <w:snapToGrid w:val="0"/>
              <w:spacing w:line="360" w:lineRule="auto"/>
              <w:jc w:val="center"/>
              <w:rPr>
                <w:rFonts w:hint="eastAsia" w:ascii="宋体" w:hAnsi="宋体"/>
                <w:bCs/>
                <w:sz w:val="24"/>
                <w:szCs w:val="24"/>
                <w:lang w:val="en-US" w:eastAsia="zh-CN"/>
              </w:rPr>
            </w:pPr>
          </w:p>
          <w:p w14:paraId="08B473C2">
            <w:pPr>
              <w:adjustRightInd w:val="0"/>
              <w:snapToGrid w:val="0"/>
              <w:spacing w:line="360" w:lineRule="auto"/>
              <w:jc w:val="center"/>
              <w:rPr>
                <w:rFonts w:hint="eastAsia" w:ascii="宋体" w:hAnsi="宋体"/>
                <w:bCs/>
                <w:sz w:val="24"/>
                <w:szCs w:val="24"/>
                <w:lang w:val="en-US" w:eastAsia="zh-CN"/>
              </w:rPr>
            </w:pPr>
          </w:p>
          <w:p w14:paraId="7E71DC79">
            <w:pPr>
              <w:adjustRightInd w:val="0"/>
              <w:snapToGrid w:val="0"/>
              <w:spacing w:line="360" w:lineRule="auto"/>
              <w:jc w:val="center"/>
              <w:rPr>
                <w:rFonts w:hint="eastAsia" w:ascii="宋体" w:hAnsi="宋体"/>
                <w:bCs/>
                <w:sz w:val="24"/>
                <w:szCs w:val="24"/>
                <w:lang w:val="en-US" w:eastAsia="zh-CN"/>
              </w:rPr>
            </w:pPr>
          </w:p>
          <w:p w14:paraId="328E67FB">
            <w:pPr>
              <w:adjustRightInd w:val="0"/>
              <w:snapToGrid w:val="0"/>
              <w:spacing w:line="360" w:lineRule="auto"/>
              <w:jc w:val="center"/>
              <w:rPr>
                <w:rFonts w:hint="eastAsia" w:ascii="宋体" w:hAnsi="宋体" w:eastAsia="宋体"/>
                <w:bCs/>
                <w:sz w:val="24"/>
                <w:szCs w:val="24"/>
                <w:lang w:val="en-US" w:eastAsia="zh-CN"/>
              </w:rPr>
            </w:pPr>
            <w:r>
              <w:rPr>
                <w:rFonts w:hint="eastAsia" w:ascii="宋体" w:hAnsi="宋体"/>
                <w:bCs/>
                <w:sz w:val="24"/>
                <w:szCs w:val="24"/>
                <w:lang w:val="en-US" w:eastAsia="zh-CN"/>
              </w:rPr>
              <w:t>无</w:t>
            </w:r>
          </w:p>
        </w:tc>
      </w:tr>
    </w:tbl>
    <w:p w14:paraId="3A878A7F">
      <w:pPr>
        <w:pStyle w:val="21"/>
        <w:jc w:val="center"/>
        <w:rPr>
          <w:rFonts w:ascii="黑体" w:hAnsi="黑体" w:eastAsia="黑体"/>
          <w:snapToGrid w:val="0"/>
          <w:sz w:val="36"/>
          <w:szCs w:val="36"/>
        </w:rPr>
        <w:sectPr>
          <w:footerReference r:id="rId6" w:type="default"/>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4D20D807">
      <w:pPr>
        <w:pStyle w:val="21"/>
        <w:adjustRightInd w:val="0"/>
        <w:snapToGrid w:val="0"/>
        <w:spacing w:before="0" w:beforeAutospacing="0" w:after="0" w:afterAutospacing="0" w:line="14" w:lineRule="auto"/>
        <w:jc w:val="center"/>
        <w:outlineLvl w:val="0"/>
        <w:rPr>
          <w:rFonts w:hint="eastAsia" w:ascii="黑体" w:hAnsi="黑体" w:eastAsia="黑体"/>
          <w:snapToGrid w:val="0"/>
          <w:sz w:val="30"/>
          <w:szCs w:val="30"/>
        </w:rPr>
      </w:pPr>
    </w:p>
    <w:p w14:paraId="469776C0">
      <w:pPr>
        <w:pStyle w:val="21"/>
        <w:jc w:val="center"/>
        <w:outlineLvl w:val="0"/>
        <w:rPr>
          <w:rFonts w:ascii="黑体" w:hAnsi="黑体" w:eastAsia="黑体"/>
          <w:snapToGrid w:val="0"/>
          <w:sz w:val="30"/>
          <w:szCs w:val="30"/>
        </w:rPr>
      </w:pPr>
      <w:r>
        <w:rPr>
          <w:rFonts w:hint="eastAsia" w:ascii="黑体" w:hAnsi="黑体" w:eastAsia="黑体"/>
          <w:snapToGrid w:val="0"/>
          <w:sz w:val="30"/>
          <w:szCs w:val="30"/>
        </w:rPr>
        <w:t>三、区域环境质量现状、环境保护目标及评价标准</w:t>
      </w:r>
    </w:p>
    <w:tbl>
      <w:tblPr>
        <w:tblStyle w:val="25"/>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800"/>
        <w:gridCol w:w="8190"/>
      </w:tblGrid>
      <w:tr w14:paraId="62212B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800" w:type="dxa"/>
            <w:noWrap w:val="0"/>
            <w:vAlign w:val="center"/>
          </w:tcPr>
          <w:p w14:paraId="07BC147B">
            <w:pPr>
              <w:adjustRightInd w:val="0"/>
              <w:snapToGrid w:val="0"/>
              <w:jc w:val="center"/>
              <w:rPr>
                <w:rFonts w:hint="default" w:ascii="Times New Roman" w:hAnsi="Times New Roman" w:cs="Times New Roman"/>
                <w:kern w:val="0"/>
                <w:sz w:val="24"/>
                <w:szCs w:val="24"/>
              </w:rPr>
            </w:pPr>
            <w:r>
              <w:rPr>
                <w:rFonts w:hint="default" w:ascii="Times New Roman" w:hAnsi="Times New Roman" w:cs="Times New Roman"/>
                <w:kern w:val="0"/>
                <w:sz w:val="24"/>
                <w:szCs w:val="24"/>
              </w:rPr>
              <w:t>区域</w:t>
            </w:r>
          </w:p>
          <w:p w14:paraId="6183950F">
            <w:pPr>
              <w:adjustRightInd w:val="0"/>
              <w:snapToGrid w:val="0"/>
              <w:jc w:val="center"/>
              <w:rPr>
                <w:rFonts w:hint="default" w:ascii="Times New Roman" w:hAnsi="Times New Roman" w:cs="Times New Roman"/>
                <w:kern w:val="0"/>
                <w:sz w:val="24"/>
                <w:szCs w:val="24"/>
              </w:rPr>
            </w:pPr>
            <w:r>
              <w:rPr>
                <w:rFonts w:hint="default" w:ascii="Times New Roman" w:hAnsi="Times New Roman" w:cs="Times New Roman"/>
                <w:kern w:val="0"/>
                <w:sz w:val="24"/>
                <w:szCs w:val="24"/>
              </w:rPr>
              <w:t>环境</w:t>
            </w:r>
          </w:p>
          <w:p w14:paraId="4B68E199">
            <w:pPr>
              <w:adjustRightInd w:val="0"/>
              <w:snapToGrid w:val="0"/>
              <w:jc w:val="center"/>
              <w:rPr>
                <w:rFonts w:hint="default" w:ascii="Times New Roman" w:hAnsi="Times New Roman" w:cs="Times New Roman"/>
                <w:kern w:val="0"/>
                <w:sz w:val="24"/>
                <w:szCs w:val="24"/>
              </w:rPr>
            </w:pPr>
            <w:r>
              <w:rPr>
                <w:rFonts w:hint="default" w:ascii="Times New Roman" w:hAnsi="Times New Roman" w:cs="Times New Roman"/>
                <w:kern w:val="0"/>
                <w:sz w:val="24"/>
                <w:szCs w:val="24"/>
              </w:rPr>
              <w:t>质量</w:t>
            </w:r>
          </w:p>
          <w:p w14:paraId="20E581B6">
            <w:pPr>
              <w:adjustRightInd w:val="0"/>
              <w:snapToGrid w:val="0"/>
              <w:jc w:val="center"/>
              <w:rPr>
                <w:rFonts w:ascii="宋体" w:hAnsi="宋体" w:cs="宋体"/>
                <w:kern w:val="0"/>
                <w:szCs w:val="21"/>
              </w:rPr>
            </w:pPr>
            <w:r>
              <w:rPr>
                <w:rFonts w:hint="default" w:ascii="Times New Roman" w:hAnsi="Times New Roman" w:cs="Times New Roman"/>
                <w:kern w:val="0"/>
                <w:sz w:val="24"/>
                <w:szCs w:val="24"/>
              </w:rPr>
              <w:t>现状</w:t>
            </w:r>
          </w:p>
        </w:tc>
        <w:tc>
          <w:tcPr>
            <w:tcW w:w="8190" w:type="dxa"/>
            <w:noWrap w:val="0"/>
            <w:vAlign w:val="center"/>
          </w:tcPr>
          <w:p w14:paraId="5BE09C7B">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1、环境空气质量</w:t>
            </w:r>
          </w:p>
          <w:p w14:paraId="040D643A">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（1）区域达标区分析</w:t>
            </w:r>
          </w:p>
          <w:p w14:paraId="1A3E5B4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根据《巴音郭楞蒙古自治州2025年生态环境状况公报》：</w:t>
            </w:r>
            <w:r>
              <w:rPr>
                <w:rFonts w:hint="default" w:ascii="Times New Roman" w:hAnsi="Times New Roman" w:cs="Times New Roman"/>
                <w:kern w:val="0"/>
                <w:sz w:val="24"/>
                <w:szCs w:val="24"/>
              </w:rPr>
              <w:t>2025年，全州空气质量综合指数为6.31，较2024年上升20.69%，空气质量有所下降。PM</w:t>
            </w:r>
            <w:r>
              <w:rPr>
                <w:rFonts w:hint="default" w:ascii="Times New Roman" w:hAnsi="Times New Roman" w:cs="Times New Roman"/>
                <w:kern w:val="0"/>
                <w:sz w:val="24"/>
                <w:szCs w:val="24"/>
                <w:vertAlign w:val="subscript"/>
              </w:rPr>
              <w:t>10</w:t>
            </w:r>
            <w:r>
              <w:rPr>
                <w:rFonts w:hint="default" w:ascii="Times New Roman" w:hAnsi="Times New Roman" w:cs="Times New Roman"/>
                <w:kern w:val="0"/>
                <w:sz w:val="24"/>
                <w:szCs w:val="24"/>
              </w:rPr>
              <w:t>为首要污染物，未出现PM</w:t>
            </w:r>
            <w:r>
              <w:rPr>
                <w:rFonts w:hint="default" w:ascii="Times New Roman" w:hAnsi="Times New Roman" w:cs="Times New Roman"/>
                <w:kern w:val="0"/>
                <w:sz w:val="24"/>
                <w:szCs w:val="24"/>
                <w:vertAlign w:val="subscript"/>
              </w:rPr>
              <w:t>2.5</w:t>
            </w:r>
            <w:r>
              <w:rPr>
                <w:rFonts w:hint="default" w:ascii="Times New Roman" w:hAnsi="Times New Roman" w:cs="Times New Roman"/>
                <w:kern w:val="0"/>
                <w:sz w:val="24"/>
                <w:szCs w:val="24"/>
              </w:rPr>
              <w:t>、O</w:t>
            </w:r>
            <w:r>
              <w:rPr>
                <w:rFonts w:hint="default" w:ascii="Times New Roman" w:hAnsi="Times New Roman" w:cs="Times New Roman"/>
                <w:kern w:val="0"/>
                <w:sz w:val="24"/>
                <w:szCs w:val="24"/>
                <w:vertAlign w:val="subscript"/>
              </w:rPr>
              <w:t>3</w:t>
            </w:r>
            <w:r>
              <w:rPr>
                <w:rFonts w:hint="default" w:ascii="Times New Roman" w:hAnsi="Times New Roman" w:cs="Times New Roman"/>
                <w:kern w:val="0"/>
                <w:sz w:val="24"/>
                <w:szCs w:val="24"/>
              </w:rPr>
              <w:t>－8H、SO</w:t>
            </w:r>
            <w:r>
              <w:rPr>
                <w:rFonts w:hint="default" w:ascii="Times New Roman" w:hAnsi="Times New Roman" w:cs="Times New Roman"/>
                <w:kern w:val="0"/>
                <w:sz w:val="24"/>
                <w:szCs w:val="24"/>
                <w:vertAlign w:val="subscript"/>
              </w:rPr>
              <w:t>2</w:t>
            </w:r>
            <w:r>
              <w:rPr>
                <w:rFonts w:hint="default" w:ascii="Times New Roman" w:hAnsi="Times New Roman" w:cs="Times New Roman"/>
                <w:kern w:val="0"/>
                <w:sz w:val="24"/>
                <w:szCs w:val="24"/>
              </w:rPr>
              <w:t>、NO</w:t>
            </w:r>
            <w:r>
              <w:rPr>
                <w:rFonts w:hint="default" w:ascii="Times New Roman" w:hAnsi="Times New Roman" w:cs="Times New Roman"/>
                <w:kern w:val="0"/>
                <w:sz w:val="24"/>
                <w:szCs w:val="24"/>
                <w:vertAlign w:val="subscript"/>
              </w:rPr>
              <w:t>2</w:t>
            </w:r>
            <w:r>
              <w:rPr>
                <w:rFonts w:hint="default" w:ascii="Times New Roman" w:hAnsi="Times New Roman" w:cs="Times New Roman"/>
                <w:kern w:val="0"/>
                <w:sz w:val="24"/>
                <w:szCs w:val="24"/>
              </w:rPr>
              <w:t>、CO为首要污染物的超标天。</w:t>
            </w:r>
            <w:r>
              <w:rPr>
                <w:rFonts w:hint="default" w:ascii="Times New Roman" w:hAnsi="Times New Roman" w:eastAsia="宋体" w:cs="Times New Roman"/>
                <w:color w:val="auto"/>
                <w:sz w:val="24"/>
                <w:szCs w:val="24"/>
                <w:lang w:val="en-US" w:eastAsia="zh-CN"/>
              </w:rPr>
              <w:t>因此判断本项目所在区域为不达标区，不达标因子为PM</w:t>
            </w:r>
            <w:r>
              <w:rPr>
                <w:rFonts w:hint="default" w:ascii="Times New Roman" w:hAnsi="Times New Roman" w:eastAsia="宋体" w:cs="Times New Roman"/>
                <w:color w:val="auto"/>
                <w:sz w:val="24"/>
                <w:szCs w:val="24"/>
                <w:vertAlign w:val="subscript"/>
                <w:lang w:val="en-US" w:eastAsia="zh-CN"/>
              </w:rPr>
              <w:t>10</w:t>
            </w:r>
            <w:r>
              <w:rPr>
                <w:rFonts w:hint="default" w:ascii="Times New Roman" w:hAnsi="Times New Roman" w:eastAsia="宋体" w:cs="Times New Roman"/>
                <w:color w:val="auto"/>
                <w:sz w:val="24"/>
                <w:szCs w:val="24"/>
                <w:lang w:val="en-US" w:eastAsia="zh-CN"/>
              </w:rPr>
              <w:t>。</w:t>
            </w:r>
          </w:p>
          <w:p w14:paraId="2ECC148F">
            <w:pPr>
              <w:keepNext w:val="0"/>
              <w:keepLines w:val="0"/>
              <w:pageBreakBefore w:val="0"/>
              <w:widowControl/>
              <w:kinsoku/>
              <w:wordWrap/>
              <w:overflowPunct/>
              <w:topLinePunct w:val="0"/>
              <w:autoSpaceDE/>
              <w:autoSpaceDN/>
              <w:bidi w:val="0"/>
              <w:adjustRightInd/>
              <w:snapToGrid w:val="0"/>
              <w:spacing w:line="440" w:lineRule="exact"/>
              <w:ind w:firstLine="480" w:firstLineChars="200"/>
              <w:jc w:val="left"/>
              <w:textAlignment w:val="auto"/>
              <w:rPr>
                <w:rFonts w:hint="default" w:ascii="Times New Roman" w:hAnsi="Times New Roman" w:eastAsia="宋体" w:cs="Times New Roman"/>
                <w:bCs/>
                <w:color w:val="auto"/>
                <w:kern w:val="0"/>
                <w:sz w:val="24"/>
                <w:szCs w:val="24"/>
                <w:lang w:val="en-US" w:eastAsia="zh-CN" w:bidi="ar-SA"/>
              </w:rPr>
            </w:pPr>
            <w:r>
              <w:rPr>
                <w:rFonts w:hint="default" w:ascii="Times New Roman" w:hAnsi="Times New Roman" w:eastAsia="宋体" w:cs="Times New Roman"/>
                <w:bCs/>
                <w:color w:val="auto"/>
                <w:kern w:val="0"/>
                <w:sz w:val="24"/>
                <w:szCs w:val="24"/>
                <w:lang w:val="en-US" w:eastAsia="zh-CN" w:bidi="ar-SA"/>
              </w:rPr>
              <w:t>（2）特征因子环境质量现状评价</w:t>
            </w:r>
          </w:p>
          <w:p w14:paraId="1332C330">
            <w:pPr>
              <w:keepNext w:val="0"/>
              <w:keepLines w:val="0"/>
              <w:pageBreakBefore w:val="0"/>
              <w:widowControl/>
              <w:kinsoku/>
              <w:wordWrap/>
              <w:overflowPunct/>
              <w:topLinePunct w:val="0"/>
              <w:autoSpaceDE/>
              <w:autoSpaceDN/>
              <w:bidi w:val="0"/>
              <w:adjustRightInd/>
              <w:snapToGrid w:val="0"/>
              <w:spacing w:line="440" w:lineRule="exact"/>
              <w:ind w:firstLine="480" w:firstLineChars="200"/>
              <w:jc w:val="left"/>
              <w:textAlignment w:val="auto"/>
              <w:rPr>
                <w:rFonts w:hint="default" w:ascii="Times New Roman" w:hAnsi="Times New Roman" w:eastAsia="宋体" w:cs="Times New Roman"/>
                <w:bCs/>
                <w:color w:val="auto"/>
                <w:kern w:val="0"/>
                <w:sz w:val="24"/>
                <w:szCs w:val="24"/>
                <w:lang w:val="en-US" w:eastAsia="zh-CN" w:bidi="ar-SA"/>
              </w:rPr>
            </w:pPr>
            <w:r>
              <w:rPr>
                <w:rFonts w:hint="default" w:ascii="Times New Roman" w:hAnsi="Times New Roman" w:eastAsia="宋体" w:cs="Times New Roman"/>
                <w:color w:val="auto"/>
                <w:kern w:val="0"/>
                <w:sz w:val="24"/>
                <w:szCs w:val="24"/>
                <w:lang w:val="en-US" w:eastAsia="zh-CN"/>
              </w:rPr>
              <w:t>本项目特征污染因子为TSP，本次特征因子引用《新疆永硅煤业有限责任公司120万吨/年洗选煤建设项目环境影响报告表》中环境质量现状监测数据，该数据由新疆中测测试有限责任公司于2024年2月5日至7日监测所得，引用监测点位</w:t>
            </w:r>
            <w:r>
              <w:rPr>
                <w:rFonts w:hint="eastAsia" w:ascii="Times New Roman" w:hAnsi="Times New Roman" w:eastAsia="宋体" w:cs="Times New Roman"/>
                <w:color w:val="auto"/>
                <w:kern w:val="0"/>
                <w:sz w:val="24"/>
                <w:szCs w:val="24"/>
                <w:lang w:val="en-US" w:eastAsia="zh-CN"/>
              </w:rPr>
              <w:t>与本项目的位置关系</w:t>
            </w:r>
            <w:r>
              <w:rPr>
                <w:rFonts w:hint="default" w:ascii="Times New Roman" w:hAnsi="Times New Roman" w:eastAsia="宋体" w:cs="Times New Roman"/>
                <w:color w:val="auto"/>
                <w:kern w:val="0"/>
                <w:sz w:val="24"/>
                <w:szCs w:val="24"/>
                <w:lang w:val="en-US" w:eastAsia="zh-CN"/>
              </w:rPr>
              <w:t>见附图</w:t>
            </w:r>
            <w:r>
              <w:rPr>
                <w:rFonts w:hint="eastAsia" w:ascii="Times New Roman" w:hAnsi="Times New Roman" w:eastAsia="宋体" w:cs="Times New Roman"/>
                <w:color w:val="auto"/>
                <w:kern w:val="0"/>
                <w:sz w:val="24"/>
                <w:szCs w:val="24"/>
                <w:lang w:val="en-US" w:eastAsia="zh-CN"/>
              </w:rPr>
              <w:t>五</w:t>
            </w:r>
            <w:r>
              <w:rPr>
                <w:rFonts w:hint="default" w:ascii="Times New Roman" w:hAnsi="Times New Roman" w:eastAsia="宋体" w:cs="Times New Roman"/>
                <w:bCs/>
                <w:color w:val="auto"/>
                <w:kern w:val="0"/>
                <w:sz w:val="24"/>
                <w:szCs w:val="24"/>
                <w:lang w:val="en-US" w:eastAsia="zh-CN" w:bidi="ar-SA"/>
              </w:rPr>
              <w:t>。</w:t>
            </w:r>
          </w:p>
          <w:p w14:paraId="18A39E0D">
            <w:pPr>
              <w:keepNext w:val="0"/>
              <w:keepLines w:val="0"/>
              <w:pageBreakBefore w:val="0"/>
              <w:widowControl/>
              <w:kinsoku/>
              <w:wordWrap/>
              <w:overflowPunct/>
              <w:topLinePunct w:val="0"/>
              <w:autoSpaceDE/>
              <w:autoSpaceDN/>
              <w:bidi w:val="0"/>
              <w:adjustRightInd/>
              <w:snapToGrid w:val="0"/>
              <w:spacing w:line="440" w:lineRule="exact"/>
              <w:ind w:firstLine="480" w:firstLineChars="200"/>
              <w:jc w:val="left"/>
              <w:textAlignment w:val="auto"/>
              <w:rPr>
                <w:rFonts w:hint="default" w:ascii="Times New Roman" w:hAnsi="Times New Roman" w:eastAsia="宋体" w:cs="Times New Roman"/>
                <w:bCs/>
                <w:color w:val="auto"/>
                <w:kern w:val="0"/>
                <w:sz w:val="24"/>
                <w:szCs w:val="24"/>
                <w:lang w:val="en-US" w:eastAsia="zh-CN" w:bidi="ar-SA"/>
              </w:rPr>
            </w:pPr>
            <w:r>
              <w:rPr>
                <w:rFonts w:hint="default" w:ascii="Times New Roman" w:hAnsi="Times New Roman" w:eastAsia="宋体" w:cs="Times New Roman"/>
                <w:color w:val="auto"/>
                <w:kern w:val="0"/>
                <w:sz w:val="24"/>
                <w:szCs w:val="24"/>
                <w:lang w:val="en-US" w:eastAsia="zh-CN" w:bidi="ar-SA"/>
              </w:rPr>
              <w:fldChar w:fldCharType="begin"/>
            </w:r>
            <w:r>
              <w:rPr>
                <w:rFonts w:hint="default" w:ascii="Times New Roman" w:hAnsi="Times New Roman" w:eastAsia="宋体" w:cs="Times New Roman"/>
                <w:color w:val="auto"/>
                <w:kern w:val="0"/>
                <w:sz w:val="24"/>
                <w:szCs w:val="24"/>
                <w:lang w:val="en-US" w:eastAsia="zh-CN" w:bidi="ar-SA"/>
              </w:rPr>
              <w:instrText xml:space="preserve"> = 1 \* GB3 \* MERGEFORMAT </w:instrText>
            </w:r>
            <w:r>
              <w:rPr>
                <w:rFonts w:hint="default" w:ascii="Times New Roman" w:hAnsi="Times New Roman" w:eastAsia="宋体" w:cs="Times New Roman"/>
                <w:color w:val="auto"/>
                <w:kern w:val="0"/>
                <w:sz w:val="24"/>
                <w:szCs w:val="24"/>
                <w:lang w:val="en-US" w:eastAsia="zh-CN" w:bidi="ar-SA"/>
              </w:rPr>
              <w:fldChar w:fldCharType="separate"/>
            </w:r>
            <w:r>
              <w:rPr>
                <w:rFonts w:hint="default" w:ascii="Times New Roman" w:hAnsi="Times New Roman" w:eastAsia="宋体" w:cs="Times New Roman"/>
                <w:color w:val="auto"/>
                <w:kern w:val="0"/>
                <w:sz w:val="24"/>
                <w:szCs w:val="24"/>
                <w:lang w:val="en-US" w:eastAsia="zh-CN" w:bidi="ar-SA"/>
              </w:rPr>
              <w:t>①</w:t>
            </w:r>
            <w:r>
              <w:rPr>
                <w:rFonts w:hint="default" w:ascii="Times New Roman" w:hAnsi="Times New Roman" w:eastAsia="宋体" w:cs="Times New Roman"/>
                <w:color w:val="auto"/>
                <w:kern w:val="0"/>
                <w:sz w:val="24"/>
                <w:szCs w:val="24"/>
                <w:lang w:val="en-US" w:eastAsia="zh-CN" w:bidi="ar-SA"/>
              </w:rPr>
              <w:fldChar w:fldCharType="end"/>
            </w:r>
            <w:r>
              <w:rPr>
                <w:rFonts w:hint="default" w:ascii="Times New Roman" w:hAnsi="Times New Roman" w:eastAsia="宋体" w:cs="Times New Roman"/>
                <w:color w:val="auto"/>
                <w:kern w:val="0"/>
                <w:sz w:val="24"/>
                <w:szCs w:val="24"/>
                <w:lang w:val="en-US" w:eastAsia="zh-CN" w:bidi="ar-SA"/>
              </w:rPr>
              <w:t>现状监测点符合</w:t>
            </w:r>
            <w:r>
              <w:rPr>
                <w:rFonts w:hint="default" w:ascii="Times New Roman" w:hAnsi="Times New Roman" w:eastAsia="宋体" w:cs="Times New Roman"/>
                <w:bCs/>
                <w:color w:val="auto"/>
                <w:kern w:val="0"/>
                <w:sz w:val="24"/>
                <w:szCs w:val="24"/>
                <w:lang w:val="en-US" w:eastAsia="zh-CN" w:bidi="ar-SA"/>
              </w:rPr>
              <w:t>性分析</w:t>
            </w:r>
          </w:p>
          <w:p w14:paraId="2567604E">
            <w:pPr>
              <w:keepNext w:val="0"/>
              <w:keepLines w:val="0"/>
              <w:pageBreakBefore w:val="0"/>
              <w:widowControl/>
              <w:kinsoku/>
              <w:wordWrap/>
              <w:overflowPunct/>
              <w:topLinePunct w:val="0"/>
              <w:autoSpaceDE/>
              <w:autoSpaceDN/>
              <w:bidi w:val="0"/>
              <w:adjustRightInd/>
              <w:snapToGrid w:val="0"/>
              <w:spacing w:line="440" w:lineRule="exact"/>
              <w:ind w:firstLine="480" w:firstLineChars="200"/>
              <w:jc w:val="left"/>
              <w:textAlignment w:val="auto"/>
              <w:rPr>
                <w:rFonts w:hint="default" w:ascii="Times New Roman" w:hAnsi="Times New Roman" w:eastAsia="宋体" w:cs="Times New Roman"/>
                <w:bCs/>
                <w:color w:val="auto"/>
                <w:kern w:val="0"/>
                <w:sz w:val="24"/>
                <w:szCs w:val="24"/>
                <w:lang w:val="en-US" w:eastAsia="zh-CN" w:bidi="ar-SA"/>
              </w:rPr>
            </w:pPr>
            <w:r>
              <w:rPr>
                <w:rFonts w:hint="default" w:ascii="Times New Roman" w:hAnsi="Times New Roman" w:eastAsia="宋体" w:cs="Times New Roman"/>
                <w:bCs/>
                <w:color w:val="auto"/>
                <w:kern w:val="0"/>
                <w:sz w:val="24"/>
                <w:szCs w:val="24"/>
                <w:lang w:val="en-US" w:eastAsia="zh-CN" w:bidi="ar-SA"/>
              </w:rPr>
              <w:t>现状监测点坐标为东经86.302825，北纬41.844345，位于本项目厂址西南侧</w:t>
            </w:r>
            <w:r>
              <w:rPr>
                <w:rFonts w:hint="eastAsia" w:ascii="Times New Roman" w:hAnsi="Times New Roman" w:eastAsia="宋体" w:cs="Times New Roman"/>
                <w:bCs/>
                <w:color w:val="auto"/>
                <w:kern w:val="0"/>
                <w:sz w:val="24"/>
                <w:szCs w:val="24"/>
                <w:lang w:val="en-US" w:eastAsia="zh-CN" w:bidi="ar-SA"/>
              </w:rPr>
              <w:t>约700</w:t>
            </w:r>
            <w:r>
              <w:rPr>
                <w:rFonts w:hint="default" w:ascii="Times New Roman" w:hAnsi="Times New Roman" w:eastAsia="宋体" w:cs="Times New Roman"/>
                <w:bCs/>
                <w:color w:val="auto"/>
                <w:kern w:val="0"/>
                <w:sz w:val="24"/>
                <w:szCs w:val="24"/>
                <w:lang w:val="en-US" w:eastAsia="zh-CN" w:bidi="ar-SA"/>
              </w:rPr>
              <w:t>m处，符合《建设项目环境影响报告表编制技术指南（污染影响类）（试行）》中相关要求。</w:t>
            </w:r>
          </w:p>
          <w:p w14:paraId="185280B2">
            <w:pPr>
              <w:keepNext w:val="0"/>
              <w:keepLines w:val="0"/>
              <w:pageBreakBefore w:val="0"/>
              <w:widowControl/>
              <w:kinsoku/>
              <w:wordWrap/>
              <w:overflowPunct/>
              <w:topLinePunct w:val="0"/>
              <w:autoSpaceDE/>
              <w:autoSpaceDN/>
              <w:bidi w:val="0"/>
              <w:adjustRightInd/>
              <w:snapToGrid w:val="0"/>
              <w:spacing w:line="440" w:lineRule="exact"/>
              <w:ind w:firstLine="480" w:firstLineChars="200"/>
              <w:jc w:val="left"/>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宋体" w:cs="Times New Roman"/>
                <w:color w:val="auto"/>
                <w:kern w:val="0"/>
                <w:sz w:val="24"/>
                <w:szCs w:val="24"/>
                <w:lang w:val="en-US" w:eastAsia="zh-CN" w:bidi="ar-SA"/>
              </w:rPr>
              <w:fldChar w:fldCharType="begin"/>
            </w:r>
            <w:r>
              <w:rPr>
                <w:rFonts w:hint="default" w:ascii="Times New Roman" w:hAnsi="Times New Roman" w:eastAsia="宋体" w:cs="Times New Roman"/>
                <w:color w:val="auto"/>
                <w:kern w:val="0"/>
                <w:sz w:val="24"/>
                <w:szCs w:val="24"/>
                <w:lang w:val="en-US" w:eastAsia="zh-CN" w:bidi="ar-SA"/>
              </w:rPr>
              <w:instrText xml:space="preserve"> = 2 \* GB3 \* MERGEFORMAT </w:instrText>
            </w:r>
            <w:r>
              <w:rPr>
                <w:rFonts w:hint="default" w:ascii="Times New Roman" w:hAnsi="Times New Roman" w:eastAsia="宋体" w:cs="Times New Roman"/>
                <w:color w:val="auto"/>
                <w:kern w:val="0"/>
                <w:sz w:val="24"/>
                <w:szCs w:val="24"/>
                <w:lang w:val="en-US" w:eastAsia="zh-CN" w:bidi="ar-SA"/>
              </w:rPr>
              <w:fldChar w:fldCharType="separate"/>
            </w:r>
            <w:r>
              <w:rPr>
                <w:rFonts w:hint="default" w:ascii="Times New Roman" w:hAnsi="Times New Roman" w:eastAsia="宋体" w:cs="Times New Roman"/>
                <w:color w:val="auto"/>
                <w:kern w:val="0"/>
                <w:sz w:val="24"/>
                <w:szCs w:val="24"/>
                <w:lang w:val="en-US" w:eastAsia="zh-CN" w:bidi="ar-SA"/>
              </w:rPr>
              <w:t>②</w:t>
            </w:r>
            <w:r>
              <w:rPr>
                <w:rFonts w:hint="default" w:ascii="Times New Roman" w:hAnsi="Times New Roman" w:eastAsia="宋体" w:cs="Times New Roman"/>
                <w:color w:val="auto"/>
                <w:kern w:val="0"/>
                <w:sz w:val="24"/>
                <w:szCs w:val="24"/>
                <w:lang w:val="en-US" w:eastAsia="zh-CN" w:bidi="ar-SA"/>
              </w:rPr>
              <w:fldChar w:fldCharType="end"/>
            </w:r>
            <w:r>
              <w:rPr>
                <w:rFonts w:hint="default" w:ascii="Times New Roman" w:hAnsi="Times New Roman" w:eastAsia="宋体" w:cs="Times New Roman"/>
                <w:color w:val="auto"/>
                <w:kern w:val="0"/>
                <w:sz w:val="24"/>
                <w:szCs w:val="24"/>
                <w:lang w:val="en-US" w:eastAsia="zh-CN" w:bidi="ar-SA"/>
              </w:rPr>
              <w:t>检测因子</w:t>
            </w:r>
          </w:p>
          <w:p w14:paraId="0F1C9225">
            <w:pPr>
              <w:keepNext w:val="0"/>
              <w:keepLines w:val="0"/>
              <w:pageBreakBefore w:val="0"/>
              <w:widowControl/>
              <w:kinsoku/>
              <w:wordWrap/>
              <w:overflowPunct/>
              <w:topLinePunct w:val="0"/>
              <w:autoSpaceDE/>
              <w:autoSpaceDN/>
              <w:bidi w:val="0"/>
              <w:adjustRightInd/>
              <w:snapToGrid w:val="0"/>
              <w:spacing w:line="440" w:lineRule="exact"/>
              <w:ind w:firstLine="480" w:firstLineChars="200"/>
              <w:jc w:val="left"/>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宋体" w:cs="Times New Roman"/>
                <w:bCs/>
                <w:color w:val="auto"/>
                <w:kern w:val="0"/>
                <w:sz w:val="24"/>
                <w:szCs w:val="24"/>
                <w:lang w:val="en-US" w:eastAsia="zh-CN" w:bidi="ar-SA"/>
              </w:rPr>
              <w:t>TSP</w:t>
            </w:r>
            <w:r>
              <w:rPr>
                <w:rFonts w:hint="default" w:ascii="Times New Roman" w:hAnsi="Times New Roman" w:eastAsia="宋体" w:cs="Times New Roman"/>
                <w:color w:val="auto"/>
                <w:kern w:val="0"/>
                <w:sz w:val="24"/>
                <w:szCs w:val="24"/>
                <w:lang w:val="en-US" w:eastAsia="zh-CN" w:bidi="ar-SA"/>
              </w:rPr>
              <w:t>，共1项。</w:t>
            </w:r>
          </w:p>
          <w:p w14:paraId="4CD35827">
            <w:pPr>
              <w:keepNext w:val="0"/>
              <w:keepLines w:val="0"/>
              <w:pageBreakBefore w:val="0"/>
              <w:widowControl/>
              <w:kinsoku/>
              <w:wordWrap/>
              <w:overflowPunct/>
              <w:topLinePunct w:val="0"/>
              <w:autoSpaceDE/>
              <w:autoSpaceDN/>
              <w:bidi w:val="0"/>
              <w:adjustRightInd/>
              <w:snapToGrid w:val="0"/>
              <w:spacing w:line="440" w:lineRule="exact"/>
              <w:ind w:firstLine="480" w:firstLineChars="200"/>
              <w:jc w:val="left"/>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宋体" w:cs="Times New Roman"/>
                <w:color w:val="auto"/>
                <w:kern w:val="0"/>
                <w:sz w:val="24"/>
                <w:szCs w:val="24"/>
                <w:lang w:val="en-US" w:eastAsia="zh-CN" w:bidi="ar-SA"/>
              </w:rPr>
              <w:fldChar w:fldCharType="begin"/>
            </w:r>
            <w:r>
              <w:rPr>
                <w:rFonts w:hint="default" w:ascii="Times New Roman" w:hAnsi="Times New Roman" w:eastAsia="宋体" w:cs="Times New Roman"/>
                <w:color w:val="auto"/>
                <w:kern w:val="0"/>
                <w:sz w:val="24"/>
                <w:szCs w:val="24"/>
                <w:lang w:val="en-US" w:eastAsia="zh-CN" w:bidi="ar-SA"/>
              </w:rPr>
              <w:instrText xml:space="preserve"> = 3 \* GB3 \* MERGEFORMAT </w:instrText>
            </w:r>
            <w:r>
              <w:rPr>
                <w:rFonts w:hint="default" w:ascii="Times New Roman" w:hAnsi="Times New Roman" w:eastAsia="宋体" w:cs="Times New Roman"/>
                <w:color w:val="auto"/>
                <w:kern w:val="0"/>
                <w:sz w:val="24"/>
                <w:szCs w:val="24"/>
                <w:lang w:val="en-US" w:eastAsia="zh-CN" w:bidi="ar-SA"/>
              </w:rPr>
              <w:fldChar w:fldCharType="separate"/>
            </w:r>
            <w:r>
              <w:rPr>
                <w:rFonts w:hint="default" w:ascii="Times New Roman" w:hAnsi="Times New Roman" w:eastAsia="宋体" w:cs="Times New Roman"/>
                <w:color w:val="auto"/>
                <w:kern w:val="0"/>
                <w:sz w:val="24"/>
                <w:szCs w:val="24"/>
                <w:lang w:val="en-US" w:eastAsia="zh-CN" w:bidi="ar-SA"/>
              </w:rPr>
              <w:t>③</w:t>
            </w:r>
            <w:r>
              <w:rPr>
                <w:rFonts w:hint="default" w:ascii="Times New Roman" w:hAnsi="Times New Roman" w:eastAsia="宋体" w:cs="Times New Roman"/>
                <w:color w:val="auto"/>
                <w:kern w:val="0"/>
                <w:sz w:val="24"/>
                <w:szCs w:val="24"/>
                <w:lang w:val="en-US" w:eastAsia="zh-CN" w:bidi="ar-SA"/>
              </w:rPr>
              <w:fldChar w:fldCharType="end"/>
            </w:r>
            <w:r>
              <w:rPr>
                <w:rFonts w:hint="default" w:ascii="Times New Roman" w:hAnsi="Times New Roman" w:eastAsia="宋体" w:cs="Times New Roman"/>
                <w:color w:val="auto"/>
                <w:kern w:val="0"/>
                <w:sz w:val="24"/>
                <w:szCs w:val="24"/>
                <w:lang w:val="en-US" w:eastAsia="zh-CN" w:bidi="ar-SA"/>
              </w:rPr>
              <w:t>监测时间及监测频次</w:t>
            </w:r>
          </w:p>
          <w:p w14:paraId="44FE11A6">
            <w:pPr>
              <w:keepNext w:val="0"/>
              <w:keepLines w:val="0"/>
              <w:pageBreakBefore w:val="0"/>
              <w:widowControl/>
              <w:kinsoku/>
              <w:wordWrap/>
              <w:overflowPunct/>
              <w:topLinePunct w:val="0"/>
              <w:autoSpaceDE/>
              <w:autoSpaceDN/>
              <w:bidi w:val="0"/>
              <w:adjustRightInd/>
              <w:snapToGrid w:val="0"/>
              <w:spacing w:line="440" w:lineRule="exact"/>
              <w:ind w:firstLine="480" w:firstLineChars="200"/>
              <w:jc w:val="left"/>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宋体" w:cs="Times New Roman"/>
                <w:color w:val="auto"/>
                <w:kern w:val="0"/>
                <w:sz w:val="24"/>
                <w:szCs w:val="24"/>
                <w:lang w:val="en-US" w:eastAsia="zh-CN" w:bidi="ar-SA"/>
              </w:rPr>
              <w:t>监测时间：2024年2月5日至7日；</w:t>
            </w:r>
          </w:p>
          <w:p w14:paraId="1212E385">
            <w:pPr>
              <w:keepNext w:val="0"/>
              <w:keepLines w:val="0"/>
              <w:pageBreakBefore w:val="0"/>
              <w:widowControl/>
              <w:kinsoku/>
              <w:wordWrap/>
              <w:overflowPunct/>
              <w:topLinePunct w:val="0"/>
              <w:autoSpaceDE/>
              <w:autoSpaceDN/>
              <w:bidi w:val="0"/>
              <w:adjustRightInd/>
              <w:snapToGrid w:val="0"/>
              <w:spacing w:line="440" w:lineRule="exact"/>
              <w:ind w:firstLine="480" w:firstLineChars="200"/>
              <w:jc w:val="left"/>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宋体" w:cs="Times New Roman"/>
                <w:color w:val="auto"/>
                <w:kern w:val="0"/>
                <w:sz w:val="24"/>
                <w:szCs w:val="24"/>
                <w:lang w:val="en-US" w:eastAsia="zh-CN" w:bidi="ar-SA"/>
              </w:rPr>
              <w:t>监测频次：为1次/天，24小时/次，监测3天。</w:t>
            </w:r>
          </w:p>
          <w:p w14:paraId="2F44539D">
            <w:pPr>
              <w:keepNext w:val="0"/>
              <w:keepLines w:val="0"/>
              <w:pageBreakBefore w:val="0"/>
              <w:widowControl/>
              <w:kinsoku/>
              <w:wordWrap/>
              <w:overflowPunct/>
              <w:topLinePunct w:val="0"/>
              <w:autoSpaceDE/>
              <w:autoSpaceDN/>
              <w:bidi w:val="0"/>
              <w:adjustRightInd/>
              <w:snapToGrid w:val="0"/>
              <w:spacing w:line="440" w:lineRule="exact"/>
              <w:ind w:firstLine="480" w:firstLineChars="200"/>
              <w:jc w:val="left"/>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宋体" w:cs="Times New Roman"/>
                <w:color w:val="auto"/>
                <w:kern w:val="0"/>
                <w:sz w:val="24"/>
                <w:szCs w:val="24"/>
                <w:lang w:val="en-US" w:eastAsia="zh-CN" w:bidi="ar-SA"/>
              </w:rPr>
              <w:fldChar w:fldCharType="begin"/>
            </w:r>
            <w:r>
              <w:rPr>
                <w:rFonts w:hint="default" w:ascii="Times New Roman" w:hAnsi="Times New Roman" w:eastAsia="宋体" w:cs="Times New Roman"/>
                <w:color w:val="auto"/>
                <w:kern w:val="0"/>
                <w:sz w:val="24"/>
                <w:szCs w:val="24"/>
                <w:lang w:val="en-US" w:eastAsia="zh-CN" w:bidi="ar-SA"/>
              </w:rPr>
              <w:instrText xml:space="preserve"> = 4 \* GB3 \* MERGEFORMAT </w:instrText>
            </w:r>
            <w:r>
              <w:rPr>
                <w:rFonts w:hint="default" w:ascii="Times New Roman" w:hAnsi="Times New Roman" w:eastAsia="宋体" w:cs="Times New Roman"/>
                <w:color w:val="auto"/>
                <w:kern w:val="0"/>
                <w:sz w:val="24"/>
                <w:szCs w:val="24"/>
                <w:lang w:val="en-US" w:eastAsia="zh-CN" w:bidi="ar-SA"/>
              </w:rPr>
              <w:fldChar w:fldCharType="separate"/>
            </w:r>
            <w:r>
              <w:rPr>
                <w:rFonts w:hint="default" w:ascii="Times New Roman" w:hAnsi="Times New Roman" w:eastAsia="宋体" w:cs="Times New Roman"/>
                <w:color w:val="auto"/>
                <w:kern w:val="0"/>
                <w:sz w:val="24"/>
                <w:szCs w:val="24"/>
                <w:lang w:val="en-US" w:eastAsia="zh-CN" w:bidi="ar-SA"/>
              </w:rPr>
              <w:t>④</w:t>
            </w:r>
            <w:r>
              <w:rPr>
                <w:rFonts w:hint="default" w:ascii="Times New Roman" w:hAnsi="Times New Roman" w:eastAsia="宋体" w:cs="Times New Roman"/>
                <w:color w:val="auto"/>
                <w:kern w:val="0"/>
                <w:sz w:val="24"/>
                <w:szCs w:val="24"/>
                <w:lang w:val="en-US" w:eastAsia="zh-CN" w:bidi="ar-SA"/>
              </w:rPr>
              <w:fldChar w:fldCharType="end"/>
            </w:r>
            <w:r>
              <w:rPr>
                <w:rFonts w:hint="default" w:ascii="Times New Roman" w:hAnsi="Times New Roman" w:eastAsia="宋体" w:cs="Times New Roman"/>
                <w:color w:val="auto"/>
                <w:kern w:val="0"/>
                <w:sz w:val="24"/>
                <w:szCs w:val="24"/>
                <w:lang w:val="en-US" w:eastAsia="zh-CN" w:bidi="ar-SA"/>
              </w:rPr>
              <w:t>监测项目</w:t>
            </w:r>
          </w:p>
          <w:p w14:paraId="18846351">
            <w:pPr>
              <w:keepNext w:val="0"/>
              <w:keepLines w:val="0"/>
              <w:pageBreakBefore w:val="0"/>
              <w:widowControl/>
              <w:kinsoku/>
              <w:wordWrap/>
              <w:overflowPunct/>
              <w:topLinePunct w:val="0"/>
              <w:autoSpaceDE/>
              <w:autoSpaceDN/>
              <w:bidi w:val="0"/>
              <w:adjustRightInd/>
              <w:snapToGrid w:val="0"/>
              <w:spacing w:line="440" w:lineRule="exact"/>
              <w:ind w:firstLine="480" w:firstLineChars="200"/>
              <w:jc w:val="left"/>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宋体" w:cs="Times New Roman"/>
                <w:color w:val="auto"/>
                <w:kern w:val="0"/>
                <w:sz w:val="24"/>
                <w:szCs w:val="24"/>
                <w:lang w:val="en-US" w:eastAsia="zh-CN" w:bidi="ar-SA"/>
              </w:rPr>
              <w:t>监测项目为</w:t>
            </w:r>
            <w:r>
              <w:rPr>
                <w:rFonts w:hint="default" w:ascii="Times New Roman" w:hAnsi="Times New Roman" w:eastAsia="宋体" w:cs="Times New Roman"/>
                <w:bCs/>
                <w:color w:val="auto"/>
                <w:kern w:val="0"/>
                <w:sz w:val="24"/>
                <w:szCs w:val="24"/>
                <w:lang w:val="en-US" w:eastAsia="zh-CN" w:bidi="ar-SA"/>
              </w:rPr>
              <w:t>TSP</w:t>
            </w:r>
            <w:r>
              <w:rPr>
                <w:rFonts w:hint="default" w:ascii="Times New Roman" w:hAnsi="Times New Roman" w:eastAsia="宋体" w:cs="Times New Roman"/>
                <w:color w:val="auto"/>
                <w:kern w:val="0"/>
                <w:sz w:val="24"/>
                <w:szCs w:val="24"/>
                <w:lang w:val="en-US" w:eastAsia="zh-CN" w:bidi="ar-SA"/>
              </w:rPr>
              <w:t>。</w:t>
            </w:r>
            <w:r>
              <w:rPr>
                <w:rFonts w:hint="default" w:ascii="Times New Roman" w:hAnsi="Times New Roman" w:eastAsia="宋体" w:cs="Times New Roman"/>
                <w:bCs/>
                <w:color w:val="auto"/>
                <w:kern w:val="0"/>
                <w:sz w:val="24"/>
                <w:szCs w:val="24"/>
                <w:lang w:val="en-US" w:eastAsia="zh-CN" w:bidi="ar-SA"/>
              </w:rPr>
              <w:t>TSP</w:t>
            </w:r>
            <w:r>
              <w:rPr>
                <w:rFonts w:hint="default" w:ascii="Times New Roman" w:hAnsi="Times New Roman" w:eastAsia="宋体" w:cs="Times New Roman"/>
                <w:color w:val="auto"/>
                <w:kern w:val="0"/>
                <w:sz w:val="24"/>
                <w:szCs w:val="24"/>
                <w:lang w:val="en-US" w:eastAsia="zh-CN" w:bidi="ar-SA"/>
              </w:rPr>
              <w:t>采样时间为24小时平均浓度，至少有24小时的采样时间。气象观测与大气采样时间同步进行，观测地面风向、风速、温度、气压。</w:t>
            </w:r>
          </w:p>
          <w:p w14:paraId="46C323C3">
            <w:pPr>
              <w:keepNext w:val="0"/>
              <w:keepLines w:val="0"/>
              <w:pageBreakBefore w:val="0"/>
              <w:widowControl/>
              <w:kinsoku/>
              <w:wordWrap/>
              <w:overflowPunct/>
              <w:topLinePunct w:val="0"/>
              <w:autoSpaceDE/>
              <w:autoSpaceDN/>
              <w:bidi w:val="0"/>
              <w:adjustRightInd/>
              <w:snapToGrid w:val="0"/>
              <w:spacing w:line="440" w:lineRule="exact"/>
              <w:ind w:firstLine="480" w:firstLineChars="200"/>
              <w:jc w:val="left"/>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宋体" w:cs="Times New Roman"/>
                <w:color w:val="auto"/>
                <w:kern w:val="0"/>
                <w:sz w:val="24"/>
                <w:szCs w:val="24"/>
                <w:lang w:val="en-US" w:eastAsia="zh-CN" w:bidi="ar-SA"/>
              </w:rPr>
              <w:fldChar w:fldCharType="begin"/>
            </w:r>
            <w:r>
              <w:rPr>
                <w:rFonts w:hint="default" w:ascii="Times New Roman" w:hAnsi="Times New Roman" w:eastAsia="宋体" w:cs="Times New Roman"/>
                <w:color w:val="auto"/>
                <w:kern w:val="0"/>
                <w:sz w:val="24"/>
                <w:szCs w:val="24"/>
                <w:lang w:val="en-US" w:eastAsia="zh-CN" w:bidi="ar-SA"/>
              </w:rPr>
              <w:instrText xml:space="preserve"> = 5 \* GB3 \* MERGEFORMAT </w:instrText>
            </w:r>
            <w:r>
              <w:rPr>
                <w:rFonts w:hint="default" w:ascii="Times New Roman" w:hAnsi="Times New Roman" w:eastAsia="宋体" w:cs="Times New Roman"/>
                <w:color w:val="auto"/>
                <w:kern w:val="0"/>
                <w:sz w:val="24"/>
                <w:szCs w:val="24"/>
                <w:lang w:val="en-US" w:eastAsia="zh-CN" w:bidi="ar-SA"/>
              </w:rPr>
              <w:fldChar w:fldCharType="separate"/>
            </w:r>
            <w:r>
              <w:rPr>
                <w:rFonts w:hint="default" w:ascii="Times New Roman" w:hAnsi="Times New Roman" w:cs="Times New Roman"/>
                <w:sz w:val="24"/>
                <w:szCs w:val="24"/>
              </w:rPr>
              <w:t>⑤</w:t>
            </w:r>
            <w:r>
              <w:rPr>
                <w:rFonts w:hint="default" w:ascii="Times New Roman" w:hAnsi="Times New Roman" w:eastAsia="宋体" w:cs="Times New Roman"/>
                <w:color w:val="auto"/>
                <w:kern w:val="0"/>
                <w:sz w:val="24"/>
                <w:szCs w:val="24"/>
                <w:lang w:val="en-US" w:eastAsia="zh-CN" w:bidi="ar-SA"/>
              </w:rPr>
              <w:fldChar w:fldCharType="end"/>
            </w:r>
            <w:r>
              <w:rPr>
                <w:rFonts w:hint="default" w:ascii="Times New Roman" w:hAnsi="Times New Roman" w:eastAsia="宋体" w:cs="Times New Roman"/>
                <w:color w:val="auto"/>
                <w:kern w:val="0"/>
                <w:sz w:val="24"/>
                <w:szCs w:val="24"/>
                <w:lang w:val="en-US" w:eastAsia="zh-CN" w:bidi="ar-SA"/>
              </w:rPr>
              <w:t>评价标准</w:t>
            </w:r>
          </w:p>
          <w:p w14:paraId="3F0147CF">
            <w:pPr>
              <w:keepNext w:val="0"/>
              <w:keepLines w:val="0"/>
              <w:pageBreakBefore w:val="0"/>
              <w:widowControl/>
              <w:kinsoku/>
              <w:wordWrap/>
              <w:overflowPunct/>
              <w:topLinePunct w:val="0"/>
              <w:autoSpaceDE/>
              <w:autoSpaceDN/>
              <w:bidi w:val="0"/>
              <w:adjustRightInd/>
              <w:snapToGrid w:val="0"/>
              <w:spacing w:line="440" w:lineRule="exact"/>
              <w:ind w:firstLine="480" w:firstLineChars="200"/>
              <w:jc w:val="left"/>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color w:val="auto"/>
                <w:kern w:val="0"/>
                <w:sz w:val="24"/>
                <w:szCs w:val="24"/>
                <w:lang w:val="en-US" w:eastAsia="zh-CN" w:bidi="ar-SA"/>
              </w:rPr>
              <w:t>TSP执行</w:t>
            </w:r>
            <w:r>
              <w:rPr>
                <w:rFonts w:hint="default" w:ascii="Times New Roman" w:hAnsi="Times New Roman" w:eastAsia="宋体" w:cs="Times New Roman"/>
                <w:color w:val="auto"/>
                <w:sz w:val="24"/>
                <w:szCs w:val="24"/>
                <w:lang w:val="en-US" w:eastAsia="zh-CN"/>
              </w:rPr>
              <w:t>《环境空气质量标准》（GB3095-2026）二级标准</w:t>
            </w:r>
            <w:r>
              <w:rPr>
                <w:rFonts w:hint="default" w:ascii="Times New Roman" w:hAnsi="Times New Roman" w:cs="Times New Roman"/>
                <w:color w:val="auto"/>
                <w:sz w:val="24"/>
                <w:szCs w:val="24"/>
                <w:lang w:val="en-US" w:eastAsia="zh-CN"/>
              </w:rPr>
              <w:t>限值</w:t>
            </w:r>
            <w:r>
              <w:rPr>
                <w:rFonts w:hint="default" w:ascii="Times New Roman" w:hAnsi="Times New Roman" w:eastAsia="宋体" w:cs="Times New Roman"/>
                <w:color w:val="auto"/>
                <w:kern w:val="0"/>
                <w:sz w:val="24"/>
                <w:szCs w:val="24"/>
                <w:lang w:val="en-US" w:eastAsia="zh-CN" w:bidi="ar-SA"/>
              </w:rPr>
              <w:t>。具体见表3-</w:t>
            </w:r>
            <w:r>
              <w:rPr>
                <w:rFonts w:hint="eastAsia" w:ascii="Times New Roman" w:hAnsi="Times New Roman" w:eastAsia="宋体" w:cs="Times New Roman"/>
                <w:color w:val="auto"/>
                <w:kern w:val="0"/>
                <w:sz w:val="24"/>
                <w:szCs w:val="24"/>
                <w:lang w:val="en-US" w:eastAsia="zh-CN" w:bidi="ar-SA"/>
              </w:rPr>
              <w:t>1</w:t>
            </w:r>
            <w:r>
              <w:rPr>
                <w:rFonts w:hint="default" w:ascii="Times New Roman" w:hAnsi="Times New Roman" w:eastAsia="宋体" w:cs="Times New Roman"/>
                <w:color w:val="auto"/>
                <w:kern w:val="0"/>
                <w:sz w:val="24"/>
                <w:szCs w:val="24"/>
                <w:lang w:val="en-US" w:eastAsia="zh-CN" w:bidi="ar-SA"/>
              </w:rPr>
              <w:t>。</w:t>
            </w:r>
          </w:p>
          <w:p w14:paraId="703C4F03">
            <w:pPr>
              <w:keepNext w:val="0"/>
              <w:keepLines w:val="0"/>
              <w:pageBreakBefore w:val="0"/>
              <w:widowControl w:val="0"/>
              <w:kinsoku/>
              <w:wordWrap/>
              <w:overflowPunct/>
              <w:topLinePunct w:val="0"/>
              <w:autoSpaceDE/>
              <w:autoSpaceDN/>
              <w:bidi w:val="0"/>
              <w:adjustRightInd/>
              <w:snapToGrid w:val="0"/>
              <w:spacing w:line="440" w:lineRule="exact"/>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表3-</w:t>
            </w:r>
            <w:r>
              <w:rPr>
                <w:rFonts w:hint="eastAsia" w:ascii="Times New Roman" w:hAnsi="Times New Roman" w:eastAsia="宋体" w:cs="Times New Roman"/>
                <w:b/>
                <w:bCs/>
                <w:color w:val="auto"/>
                <w:sz w:val="21"/>
                <w:szCs w:val="21"/>
                <w:lang w:val="en-US" w:eastAsia="zh-CN"/>
              </w:rPr>
              <w:t>1</w:t>
            </w:r>
            <w:r>
              <w:rPr>
                <w:rFonts w:hint="default" w:ascii="Times New Roman" w:hAnsi="Times New Roman" w:eastAsia="宋体" w:cs="Times New Roman"/>
                <w:b/>
                <w:bCs/>
                <w:color w:val="auto"/>
                <w:sz w:val="21"/>
                <w:szCs w:val="21"/>
                <w:lang w:val="en-US" w:eastAsia="zh-CN"/>
              </w:rPr>
              <w:t xml:space="preserve">   评价标准一览表</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8"/>
              <w:gridCol w:w="1296"/>
              <w:gridCol w:w="1010"/>
              <w:gridCol w:w="749"/>
              <w:gridCol w:w="3911"/>
            </w:tblGrid>
            <w:tr w14:paraId="21BEC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26" w:type="pct"/>
                  <w:tcBorders>
                    <w:tl2br w:val="nil"/>
                    <w:tr2bl w:val="nil"/>
                  </w:tcBorders>
                  <w:noWrap w:val="0"/>
                  <w:vAlign w:val="center"/>
                </w:tcPr>
                <w:p w14:paraId="29124289">
                  <w:pPr>
                    <w:keepNext w:val="0"/>
                    <w:keepLines w:val="0"/>
                    <w:pageBreakBefore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特征因子</w:t>
                  </w:r>
                </w:p>
              </w:tc>
              <w:tc>
                <w:tcPr>
                  <w:tcW w:w="813" w:type="pct"/>
                  <w:tcBorders>
                    <w:tl2br w:val="nil"/>
                    <w:tr2bl w:val="nil"/>
                  </w:tcBorders>
                  <w:noWrap w:val="0"/>
                  <w:vAlign w:val="center"/>
                </w:tcPr>
                <w:p w14:paraId="522837A8">
                  <w:pPr>
                    <w:keepNext w:val="0"/>
                    <w:keepLines w:val="0"/>
                    <w:pageBreakBefore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宋体" w:cs="Times New Roman"/>
                      <w:b w:val="0"/>
                      <w:bCs w:val="0"/>
                      <w:color w:val="auto"/>
                      <w:sz w:val="21"/>
                      <w:szCs w:val="21"/>
                      <w:lang w:eastAsia="zh-CN"/>
                    </w:rPr>
                  </w:pPr>
                  <w:r>
                    <w:rPr>
                      <w:rFonts w:hint="eastAsia" w:ascii="Times New Roman" w:hAnsi="Times New Roman" w:eastAsia="宋体" w:cs="Times New Roman"/>
                      <w:b w:val="0"/>
                      <w:bCs w:val="0"/>
                      <w:color w:val="auto"/>
                      <w:sz w:val="21"/>
                      <w:szCs w:val="21"/>
                      <w:lang w:val="en-US" w:eastAsia="zh-CN"/>
                    </w:rPr>
                    <w:t>采样时间</w:t>
                  </w:r>
                </w:p>
              </w:tc>
              <w:tc>
                <w:tcPr>
                  <w:tcW w:w="634" w:type="pct"/>
                  <w:tcBorders>
                    <w:tl2br w:val="nil"/>
                    <w:tr2bl w:val="nil"/>
                  </w:tcBorders>
                  <w:noWrap w:val="0"/>
                  <w:vAlign w:val="center"/>
                </w:tcPr>
                <w:p w14:paraId="0D98F09D">
                  <w:pPr>
                    <w:keepNext w:val="0"/>
                    <w:keepLines w:val="0"/>
                    <w:pageBreakBefore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vertAlign w:val="superscript"/>
                    </w:rPr>
                  </w:pPr>
                  <w:r>
                    <w:rPr>
                      <w:rFonts w:hint="default" w:ascii="Times New Roman" w:hAnsi="Times New Roman" w:eastAsia="宋体" w:cs="Times New Roman"/>
                      <w:b w:val="0"/>
                      <w:bCs w:val="0"/>
                      <w:color w:val="auto"/>
                      <w:sz w:val="21"/>
                      <w:szCs w:val="21"/>
                    </w:rPr>
                    <w:t>浓度限值</w:t>
                  </w:r>
                </w:p>
              </w:tc>
              <w:tc>
                <w:tcPr>
                  <w:tcW w:w="470" w:type="pct"/>
                  <w:tcBorders>
                    <w:tl2br w:val="nil"/>
                    <w:tr2bl w:val="nil"/>
                  </w:tcBorders>
                  <w:noWrap w:val="0"/>
                  <w:vAlign w:val="center"/>
                </w:tcPr>
                <w:p w14:paraId="5F6E8EEF">
                  <w:pPr>
                    <w:keepNext w:val="0"/>
                    <w:keepLines w:val="0"/>
                    <w:pageBreakBefore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单位</w:t>
                  </w:r>
                </w:p>
              </w:tc>
              <w:tc>
                <w:tcPr>
                  <w:tcW w:w="2454" w:type="pct"/>
                  <w:tcBorders>
                    <w:tl2br w:val="nil"/>
                    <w:tr2bl w:val="nil"/>
                  </w:tcBorders>
                  <w:noWrap w:val="0"/>
                  <w:vAlign w:val="center"/>
                </w:tcPr>
                <w:p w14:paraId="5FD75218">
                  <w:pPr>
                    <w:keepNext w:val="0"/>
                    <w:keepLines w:val="0"/>
                    <w:pageBreakBefore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标准来源</w:t>
                  </w:r>
                </w:p>
              </w:tc>
            </w:tr>
            <w:tr w14:paraId="5F42D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26" w:type="pct"/>
                  <w:tcBorders>
                    <w:tl2br w:val="nil"/>
                    <w:tr2bl w:val="nil"/>
                  </w:tcBorders>
                  <w:noWrap w:val="0"/>
                  <w:vAlign w:val="center"/>
                </w:tcPr>
                <w:p w14:paraId="69F9F17D">
                  <w:pPr>
                    <w:keepNext w:val="0"/>
                    <w:keepLines w:val="0"/>
                    <w:pageBreakBefore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TSP</w:t>
                  </w:r>
                </w:p>
              </w:tc>
              <w:tc>
                <w:tcPr>
                  <w:tcW w:w="813" w:type="pct"/>
                  <w:tcBorders>
                    <w:tl2br w:val="nil"/>
                    <w:tr2bl w:val="nil"/>
                  </w:tcBorders>
                  <w:noWrap w:val="0"/>
                  <w:vAlign w:val="center"/>
                </w:tcPr>
                <w:p w14:paraId="7B5366F4">
                  <w:pPr>
                    <w:keepNext w:val="0"/>
                    <w:keepLines w:val="0"/>
                    <w:pageBreakBefore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24小时平均</w:t>
                  </w:r>
                </w:p>
              </w:tc>
              <w:tc>
                <w:tcPr>
                  <w:tcW w:w="634" w:type="pct"/>
                  <w:tcBorders>
                    <w:tl2br w:val="nil"/>
                    <w:tr2bl w:val="nil"/>
                  </w:tcBorders>
                  <w:noWrap w:val="0"/>
                  <w:vAlign w:val="center"/>
                </w:tcPr>
                <w:p w14:paraId="770B0E48">
                  <w:pPr>
                    <w:keepNext w:val="0"/>
                    <w:keepLines w:val="0"/>
                    <w:pageBreakBefore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300</w:t>
                  </w:r>
                </w:p>
              </w:tc>
              <w:tc>
                <w:tcPr>
                  <w:tcW w:w="470" w:type="pct"/>
                  <w:tcBorders>
                    <w:tl2br w:val="nil"/>
                    <w:tr2bl w:val="nil"/>
                  </w:tcBorders>
                  <w:noWrap w:val="0"/>
                  <w:vAlign w:val="center"/>
                </w:tcPr>
                <w:p w14:paraId="4B85C0F6">
                  <w:pPr>
                    <w:keepNext w:val="0"/>
                    <w:keepLines w:val="0"/>
                    <w:pageBreakBefore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ug/m</w:t>
                  </w:r>
                  <w:r>
                    <w:rPr>
                      <w:rFonts w:hint="default" w:ascii="Times New Roman" w:hAnsi="Times New Roman" w:eastAsia="宋体" w:cs="Times New Roman"/>
                      <w:color w:val="auto"/>
                      <w:sz w:val="21"/>
                      <w:szCs w:val="21"/>
                      <w:vertAlign w:val="superscript"/>
                      <w:lang w:val="en-US" w:eastAsia="zh-CN"/>
                    </w:rPr>
                    <w:t>3</w:t>
                  </w:r>
                </w:p>
              </w:tc>
              <w:tc>
                <w:tcPr>
                  <w:tcW w:w="2454" w:type="pct"/>
                  <w:tcBorders>
                    <w:tl2br w:val="nil"/>
                    <w:tr2bl w:val="nil"/>
                  </w:tcBorders>
                  <w:noWrap w:val="0"/>
                  <w:vAlign w:val="center"/>
                </w:tcPr>
                <w:p w14:paraId="34A584C8">
                  <w:pPr>
                    <w:keepNext w:val="0"/>
                    <w:keepLines w:val="0"/>
                    <w:pageBreakBefore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color w:val="auto"/>
                      <w:sz w:val="21"/>
                      <w:szCs w:val="21"/>
                      <w:lang w:val="en-US" w:eastAsia="zh-CN"/>
                    </w:rPr>
                    <w:t>《环境空气质量标准》（GB3095-2026）二级标准</w:t>
                  </w:r>
                  <w:r>
                    <w:rPr>
                      <w:rFonts w:hint="default" w:ascii="Times New Roman" w:hAnsi="Times New Roman" w:cs="Times New Roman"/>
                      <w:color w:val="auto"/>
                      <w:sz w:val="21"/>
                      <w:szCs w:val="21"/>
                      <w:lang w:val="en-US" w:eastAsia="zh-CN"/>
                    </w:rPr>
                    <w:t>限值</w:t>
                  </w:r>
                </w:p>
              </w:tc>
            </w:tr>
          </w:tbl>
          <w:p w14:paraId="146DD97E">
            <w:pPr>
              <w:keepNext w:val="0"/>
              <w:keepLines w:val="0"/>
              <w:pageBreakBefore w:val="0"/>
              <w:widowControl/>
              <w:kinsoku/>
              <w:wordWrap/>
              <w:overflowPunct/>
              <w:topLinePunct w:val="0"/>
              <w:autoSpaceDE/>
              <w:autoSpaceDN/>
              <w:bidi w:val="0"/>
              <w:adjustRightInd/>
              <w:snapToGrid w:val="0"/>
              <w:spacing w:line="440" w:lineRule="exact"/>
              <w:ind w:firstLine="480" w:firstLineChars="200"/>
              <w:jc w:val="left"/>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宋体" w:cs="Times New Roman"/>
                <w:color w:val="auto"/>
                <w:kern w:val="0"/>
                <w:sz w:val="24"/>
                <w:szCs w:val="24"/>
                <w:lang w:val="en-US" w:eastAsia="zh-CN" w:bidi="ar-SA"/>
              </w:rPr>
              <w:fldChar w:fldCharType="begin"/>
            </w:r>
            <w:r>
              <w:rPr>
                <w:rFonts w:hint="default" w:ascii="Times New Roman" w:hAnsi="Times New Roman" w:eastAsia="宋体" w:cs="Times New Roman"/>
                <w:color w:val="auto"/>
                <w:kern w:val="0"/>
                <w:sz w:val="24"/>
                <w:szCs w:val="24"/>
                <w:lang w:val="en-US" w:eastAsia="zh-CN" w:bidi="ar-SA"/>
              </w:rPr>
              <w:instrText xml:space="preserve"> = 6 \* GB3 \* MERGEFORMAT </w:instrText>
            </w:r>
            <w:r>
              <w:rPr>
                <w:rFonts w:hint="default" w:ascii="Times New Roman" w:hAnsi="Times New Roman" w:eastAsia="宋体" w:cs="Times New Roman"/>
                <w:color w:val="auto"/>
                <w:kern w:val="0"/>
                <w:sz w:val="24"/>
                <w:szCs w:val="24"/>
                <w:lang w:val="en-US" w:eastAsia="zh-CN" w:bidi="ar-SA"/>
              </w:rPr>
              <w:fldChar w:fldCharType="separate"/>
            </w:r>
            <w:r>
              <w:rPr>
                <w:rFonts w:hint="default" w:ascii="Times New Roman" w:hAnsi="Times New Roman" w:cs="Times New Roman"/>
                <w:sz w:val="24"/>
                <w:szCs w:val="24"/>
              </w:rPr>
              <w:t>⑥</w:t>
            </w:r>
            <w:r>
              <w:rPr>
                <w:rFonts w:hint="default" w:ascii="Times New Roman" w:hAnsi="Times New Roman" w:eastAsia="宋体" w:cs="Times New Roman"/>
                <w:color w:val="auto"/>
                <w:kern w:val="0"/>
                <w:sz w:val="24"/>
                <w:szCs w:val="24"/>
                <w:lang w:val="en-US" w:eastAsia="zh-CN" w:bidi="ar-SA"/>
              </w:rPr>
              <w:fldChar w:fldCharType="end"/>
            </w:r>
            <w:r>
              <w:rPr>
                <w:rFonts w:hint="default" w:ascii="Times New Roman" w:hAnsi="Times New Roman" w:eastAsia="宋体" w:cs="Times New Roman"/>
                <w:color w:val="auto"/>
                <w:kern w:val="0"/>
                <w:sz w:val="24"/>
                <w:szCs w:val="24"/>
                <w:lang w:val="en-US" w:eastAsia="zh-CN" w:bidi="ar-SA"/>
              </w:rPr>
              <w:t>环境空气质量监测结果与评价</w:t>
            </w:r>
          </w:p>
          <w:p w14:paraId="698705A1">
            <w:pPr>
              <w:keepNext w:val="0"/>
              <w:keepLines w:val="0"/>
              <w:pageBreakBefore w:val="0"/>
              <w:widowControl w:val="0"/>
              <w:kinsoku/>
              <w:wordWrap/>
              <w:overflowPunct/>
              <w:topLinePunct w:val="0"/>
              <w:autoSpaceDE/>
              <w:autoSpaceDN/>
              <w:bidi w:val="0"/>
              <w:adjustRightInd/>
              <w:snapToGrid w:val="0"/>
              <w:spacing w:line="440" w:lineRule="exact"/>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表3-</w:t>
            </w:r>
            <w:r>
              <w:rPr>
                <w:rFonts w:hint="eastAsia" w:ascii="Times New Roman" w:hAnsi="Times New Roman" w:eastAsia="宋体" w:cs="Times New Roman"/>
                <w:b/>
                <w:bCs/>
                <w:color w:val="auto"/>
                <w:sz w:val="21"/>
                <w:szCs w:val="21"/>
                <w:lang w:val="en-US" w:eastAsia="zh-CN"/>
              </w:rPr>
              <w:t>2</w:t>
            </w:r>
            <w:r>
              <w:rPr>
                <w:rFonts w:hint="default" w:ascii="Times New Roman" w:hAnsi="Times New Roman" w:eastAsia="宋体" w:cs="Times New Roman"/>
                <w:b/>
                <w:bCs/>
                <w:color w:val="auto"/>
                <w:sz w:val="21"/>
                <w:szCs w:val="21"/>
                <w:lang w:val="en-US" w:eastAsia="zh-CN"/>
              </w:rPr>
              <w:t xml:space="preserve">   其他污染物环境质量现状（检测结果）表   单位：mg/m</w:t>
            </w:r>
            <w:r>
              <w:rPr>
                <w:rFonts w:hint="default" w:ascii="Times New Roman" w:hAnsi="Times New Roman" w:eastAsia="宋体" w:cs="Times New Roman"/>
                <w:b/>
                <w:bCs/>
                <w:color w:val="auto"/>
                <w:sz w:val="21"/>
                <w:szCs w:val="21"/>
                <w:vertAlign w:val="superscript"/>
                <w:lang w:val="en-US" w:eastAsia="zh-CN"/>
              </w:rPr>
              <w:t>3</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3"/>
              <w:gridCol w:w="601"/>
              <w:gridCol w:w="601"/>
              <w:gridCol w:w="731"/>
              <w:gridCol w:w="651"/>
              <w:gridCol w:w="994"/>
              <w:gridCol w:w="1296"/>
              <w:gridCol w:w="1017"/>
              <w:gridCol w:w="620"/>
              <w:gridCol w:w="630"/>
            </w:tblGrid>
            <w:tr w14:paraId="1744F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2" w:type="pct"/>
                  <w:vMerge w:val="restart"/>
                  <w:tcBorders>
                    <w:tl2br w:val="nil"/>
                    <w:tr2bl w:val="nil"/>
                  </w:tcBorders>
                  <w:noWrap w:val="0"/>
                  <w:vAlign w:val="center"/>
                </w:tcPr>
                <w:p w14:paraId="615E3106">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监测</w:t>
                  </w:r>
                </w:p>
                <w:p w14:paraId="632C2A3E">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点位</w:t>
                  </w:r>
                </w:p>
              </w:tc>
              <w:tc>
                <w:tcPr>
                  <w:tcW w:w="711" w:type="pct"/>
                  <w:gridSpan w:val="2"/>
                  <w:tcBorders>
                    <w:tl2br w:val="nil"/>
                    <w:tr2bl w:val="nil"/>
                  </w:tcBorders>
                  <w:noWrap w:val="0"/>
                  <w:vAlign w:val="center"/>
                </w:tcPr>
                <w:p w14:paraId="76EA23D7">
                  <w:pPr>
                    <w:spacing w:line="24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坐标/m</w:t>
                  </w:r>
                </w:p>
              </w:tc>
              <w:tc>
                <w:tcPr>
                  <w:tcW w:w="464" w:type="pct"/>
                  <w:vMerge w:val="restart"/>
                  <w:tcBorders>
                    <w:tl2br w:val="nil"/>
                    <w:tr2bl w:val="nil"/>
                  </w:tcBorders>
                  <w:noWrap w:val="0"/>
                  <w:vAlign w:val="center"/>
                </w:tcPr>
                <w:p w14:paraId="11CBEBB7">
                  <w:pPr>
                    <w:spacing w:line="24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污染物</w:t>
                  </w:r>
                </w:p>
              </w:tc>
              <w:tc>
                <w:tcPr>
                  <w:tcW w:w="414" w:type="pct"/>
                  <w:vMerge w:val="restart"/>
                  <w:tcBorders>
                    <w:tl2br w:val="nil"/>
                    <w:tr2bl w:val="nil"/>
                  </w:tcBorders>
                  <w:noWrap w:val="0"/>
                  <w:vAlign w:val="center"/>
                </w:tcPr>
                <w:p w14:paraId="1E6FA60C">
                  <w:pPr>
                    <w:spacing w:line="24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平均</w:t>
                  </w:r>
                </w:p>
                <w:p w14:paraId="4DA7CBBC">
                  <w:pPr>
                    <w:spacing w:line="24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时间</w:t>
                  </w:r>
                </w:p>
              </w:tc>
              <w:tc>
                <w:tcPr>
                  <w:tcW w:w="629" w:type="pct"/>
                  <w:vMerge w:val="restart"/>
                  <w:tcBorders>
                    <w:tl2br w:val="nil"/>
                    <w:tr2bl w:val="nil"/>
                  </w:tcBorders>
                  <w:noWrap w:val="0"/>
                  <w:vAlign w:val="center"/>
                </w:tcPr>
                <w:p w14:paraId="38FE4E92">
                  <w:pPr>
                    <w:spacing w:line="24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评价标准mg/m</w:t>
                  </w:r>
                  <w:r>
                    <w:rPr>
                      <w:rFonts w:hint="default" w:ascii="Times New Roman" w:hAnsi="Times New Roman" w:eastAsia="宋体" w:cs="Times New Roman"/>
                      <w:color w:val="auto"/>
                      <w:sz w:val="21"/>
                      <w:szCs w:val="21"/>
                      <w:vertAlign w:val="superscript"/>
                    </w:rPr>
                    <w:t>3</w:t>
                  </w:r>
                </w:p>
              </w:tc>
              <w:tc>
                <w:tcPr>
                  <w:tcW w:w="819" w:type="pct"/>
                  <w:vMerge w:val="restart"/>
                  <w:tcBorders>
                    <w:tl2br w:val="nil"/>
                    <w:tr2bl w:val="nil"/>
                  </w:tcBorders>
                  <w:noWrap w:val="0"/>
                  <w:vAlign w:val="center"/>
                </w:tcPr>
                <w:p w14:paraId="74920AEA">
                  <w:pPr>
                    <w:spacing w:line="24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检测浓度范围mg/m</w:t>
                  </w:r>
                  <w:r>
                    <w:rPr>
                      <w:rFonts w:hint="default" w:ascii="Times New Roman" w:hAnsi="Times New Roman" w:eastAsia="宋体" w:cs="Times New Roman"/>
                      <w:color w:val="auto"/>
                      <w:sz w:val="21"/>
                      <w:szCs w:val="21"/>
                      <w:vertAlign w:val="superscript"/>
                    </w:rPr>
                    <w:t>3</w:t>
                  </w:r>
                </w:p>
              </w:tc>
              <w:tc>
                <w:tcPr>
                  <w:tcW w:w="644" w:type="pct"/>
                  <w:vMerge w:val="restart"/>
                  <w:tcBorders>
                    <w:tl2br w:val="nil"/>
                    <w:tr2bl w:val="nil"/>
                  </w:tcBorders>
                  <w:noWrap w:val="0"/>
                  <w:vAlign w:val="center"/>
                </w:tcPr>
                <w:p w14:paraId="0D45A4F4">
                  <w:pPr>
                    <w:spacing w:line="24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最大浓度占标率%</w:t>
                  </w:r>
                </w:p>
              </w:tc>
              <w:tc>
                <w:tcPr>
                  <w:tcW w:w="394" w:type="pct"/>
                  <w:vMerge w:val="restart"/>
                  <w:tcBorders>
                    <w:tl2br w:val="nil"/>
                    <w:tr2bl w:val="nil"/>
                  </w:tcBorders>
                  <w:noWrap w:val="0"/>
                  <w:vAlign w:val="center"/>
                </w:tcPr>
                <w:p w14:paraId="2BE572F7">
                  <w:pPr>
                    <w:spacing w:line="24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超标率%</w:t>
                  </w:r>
                </w:p>
              </w:tc>
              <w:tc>
                <w:tcPr>
                  <w:tcW w:w="400" w:type="pct"/>
                  <w:vMerge w:val="restart"/>
                  <w:tcBorders>
                    <w:tl2br w:val="nil"/>
                    <w:tr2bl w:val="nil"/>
                  </w:tcBorders>
                  <w:noWrap w:val="0"/>
                  <w:vAlign w:val="center"/>
                </w:tcPr>
                <w:p w14:paraId="7A971F93">
                  <w:pPr>
                    <w:spacing w:line="24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达标情况</w:t>
                  </w:r>
                </w:p>
              </w:tc>
            </w:tr>
            <w:tr w14:paraId="19411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2" w:type="pct"/>
                  <w:vMerge w:val="continue"/>
                  <w:tcBorders>
                    <w:tl2br w:val="nil"/>
                    <w:tr2bl w:val="nil"/>
                  </w:tcBorders>
                  <w:noWrap w:val="0"/>
                  <w:vAlign w:val="center"/>
                </w:tcPr>
                <w:p w14:paraId="13FAF6AD">
                  <w:pPr>
                    <w:jc w:val="center"/>
                    <w:rPr>
                      <w:rFonts w:hint="default" w:ascii="Times New Roman" w:hAnsi="Times New Roman" w:eastAsia="宋体" w:cs="Times New Roman"/>
                      <w:color w:val="auto"/>
                      <w:sz w:val="21"/>
                      <w:szCs w:val="21"/>
                    </w:rPr>
                  </w:pPr>
                </w:p>
              </w:tc>
              <w:tc>
                <w:tcPr>
                  <w:tcW w:w="341" w:type="pct"/>
                  <w:tcBorders>
                    <w:tl2br w:val="nil"/>
                    <w:tr2bl w:val="nil"/>
                  </w:tcBorders>
                  <w:noWrap w:val="0"/>
                  <w:vAlign w:val="center"/>
                </w:tcPr>
                <w:p w14:paraId="5B0DD3E1">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X</w:t>
                  </w:r>
                </w:p>
              </w:tc>
              <w:tc>
                <w:tcPr>
                  <w:tcW w:w="370" w:type="pct"/>
                  <w:tcBorders>
                    <w:tl2br w:val="nil"/>
                    <w:tr2bl w:val="nil"/>
                  </w:tcBorders>
                  <w:noWrap w:val="0"/>
                  <w:vAlign w:val="center"/>
                </w:tcPr>
                <w:p w14:paraId="0F8F2425">
                  <w:pPr>
                    <w:spacing w:line="24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Y</w:t>
                  </w:r>
                </w:p>
              </w:tc>
              <w:tc>
                <w:tcPr>
                  <w:tcW w:w="464" w:type="pct"/>
                  <w:vMerge w:val="continue"/>
                  <w:tcBorders>
                    <w:tl2br w:val="nil"/>
                    <w:tr2bl w:val="nil"/>
                  </w:tcBorders>
                  <w:noWrap w:val="0"/>
                  <w:vAlign w:val="center"/>
                </w:tcPr>
                <w:p w14:paraId="6EBAA35B">
                  <w:pPr>
                    <w:spacing w:line="240" w:lineRule="exact"/>
                    <w:jc w:val="center"/>
                    <w:rPr>
                      <w:rFonts w:hint="default" w:ascii="Times New Roman" w:hAnsi="Times New Roman" w:eastAsia="宋体" w:cs="Times New Roman"/>
                      <w:color w:val="auto"/>
                      <w:sz w:val="21"/>
                      <w:szCs w:val="21"/>
                    </w:rPr>
                  </w:pPr>
                </w:p>
              </w:tc>
              <w:tc>
                <w:tcPr>
                  <w:tcW w:w="414" w:type="pct"/>
                  <w:vMerge w:val="continue"/>
                  <w:tcBorders>
                    <w:tl2br w:val="nil"/>
                    <w:tr2bl w:val="nil"/>
                  </w:tcBorders>
                  <w:noWrap w:val="0"/>
                  <w:vAlign w:val="center"/>
                </w:tcPr>
                <w:p w14:paraId="036ADCAF">
                  <w:pPr>
                    <w:spacing w:line="240" w:lineRule="exact"/>
                    <w:jc w:val="center"/>
                    <w:rPr>
                      <w:rFonts w:hint="default" w:ascii="Times New Roman" w:hAnsi="Times New Roman" w:eastAsia="宋体" w:cs="Times New Roman"/>
                      <w:color w:val="auto"/>
                      <w:sz w:val="21"/>
                      <w:szCs w:val="21"/>
                    </w:rPr>
                  </w:pPr>
                </w:p>
              </w:tc>
              <w:tc>
                <w:tcPr>
                  <w:tcW w:w="629" w:type="pct"/>
                  <w:vMerge w:val="continue"/>
                  <w:tcBorders>
                    <w:tl2br w:val="nil"/>
                    <w:tr2bl w:val="nil"/>
                  </w:tcBorders>
                  <w:noWrap w:val="0"/>
                  <w:vAlign w:val="center"/>
                </w:tcPr>
                <w:p w14:paraId="1FF4C773">
                  <w:pPr>
                    <w:spacing w:line="240" w:lineRule="exact"/>
                    <w:jc w:val="center"/>
                    <w:rPr>
                      <w:rFonts w:hint="default" w:ascii="Times New Roman" w:hAnsi="Times New Roman" w:eastAsia="宋体" w:cs="Times New Roman"/>
                      <w:color w:val="auto"/>
                      <w:sz w:val="21"/>
                      <w:szCs w:val="21"/>
                    </w:rPr>
                  </w:pPr>
                </w:p>
              </w:tc>
              <w:tc>
                <w:tcPr>
                  <w:tcW w:w="819" w:type="pct"/>
                  <w:vMerge w:val="continue"/>
                  <w:tcBorders>
                    <w:tl2br w:val="nil"/>
                    <w:tr2bl w:val="nil"/>
                  </w:tcBorders>
                  <w:noWrap w:val="0"/>
                  <w:vAlign w:val="center"/>
                </w:tcPr>
                <w:p w14:paraId="07C9C71E">
                  <w:pPr>
                    <w:spacing w:line="240" w:lineRule="exact"/>
                    <w:jc w:val="center"/>
                    <w:rPr>
                      <w:rFonts w:hint="default" w:ascii="Times New Roman" w:hAnsi="Times New Roman" w:eastAsia="宋体" w:cs="Times New Roman"/>
                      <w:color w:val="auto"/>
                      <w:sz w:val="21"/>
                      <w:szCs w:val="21"/>
                    </w:rPr>
                  </w:pPr>
                </w:p>
              </w:tc>
              <w:tc>
                <w:tcPr>
                  <w:tcW w:w="644" w:type="pct"/>
                  <w:vMerge w:val="continue"/>
                  <w:tcBorders>
                    <w:tl2br w:val="nil"/>
                    <w:tr2bl w:val="nil"/>
                  </w:tcBorders>
                  <w:noWrap w:val="0"/>
                  <w:vAlign w:val="center"/>
                </w:tcPr>
                <w:p w14:paraId="64352F6F">
                  <w:pPr>
                    <w:spacing w:line="240" w:lineRule="exact"/>
                    <w:jc w:val="center"/>
                    <w:rPr>
                      <w:rFonts w:hint="default" w:ascii="Times New Roman" w:hAnsi="Times New Roman" w:eastAsia="宋体" w:cs="Times New Roman"/>
                      <w:color w:val="auto"/>
                      <w:sz w:val="21"/>
                      <w:szCs w:val="21"/>
                    </w:rPr>
                  </w:pPr>
                </w:p>
              </w:tc>
              <w:tc>
                <w:tcPr>
                  <w:tcW w:w="394" w:type="pct"/>
                  <w:vMerge w:val="continue"/>
                  <w:tcBorders>
                    <w:tl2br w:val="nil"/>
                    <w:tr2bl w:val="nil"/>
                  </w:tcBorders>
                  <w:noWrap w:val="0"/>
                  <w:vAlign w:val="center"/>
                </w:tcPr>
                <w:p w14:paraId="06765FB4">
                  <w:pPr>
                    <w:spacing w:line="240" w:lineRule="exact"/>
                    <w:jc w:val="center"/>
                    <w:rPr>
                      <w:rFonts w:hint="default" w:ascii="Times New Roman" w:hAnsi="Times New Roman" w:eastAsia="宋体" w:cs="Times New Roman"/>
                      <w:color w:val="auto"/>
                      <w:sz w:val="21"/>
                      <w:szCs w:val="21"/>
                    </w:rPr>
                  </w:pPr>
                </w:p>
              </w:tc>
              <w:tc>
                <w:tcPr>
                  <w:tcW w:w="400" w:type="pct"/>
                  <w:vMerge w:val="continue"/>
                  <w:tcBorders>
                    <w:tl2br w:val="nil"/>
                    <w:tr2bl w:val="nil"/>
                  </w:tcBorders>
                  <w:noWrap w:val="0"/>
                  <w:vAlign w:val="center"/>
                </w:tcPr>
                <w:p w14:paraId="3ED9065D">
                  <w:pPr>
                    <w:spacing w:line="240" w:lineRule="exact"/>
                    <w:jc w:val="center"/>
                    <w:rPr>
                      <w:rFonts w:hint="default" w:ascii="Times New Roman" w:hAnsi="Times New Roman" w:eastAsia="宋体" w:cs="Times New Roman"/>
                      <w:color w:val="auto"/>
                      <w:sz w:val="21"/>
                      <w:szCs w:val="21"/>
                    </w:rPr>
                  </w:pPr>
                </w:p>
              </w:tc>
            </w:tr>
            <w:tr w14:paraId="71B9E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2" w:type="pct"/>
                  <w:tcBorders>
                    <w:tl2br w:val="nil"/>
                    <w:tr2bl w:val="nil"/>
                  </w:tcBorders>
                  <w:noWrap w:val="0"/>
                  <w:vAlign w:val="center"/>
                </w:tcPr>
                <w:p w14:paraId="454EB81C">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下风向</w:t>
                  </w:r>
                </w:p>
              </w:tc>
              <w:tc>
                <w:tcPr>
                  <w:tcW w:w="599" w:type="dxa"/>
                  <w:tcBorders>
                    <w:tl2br w:val="nil"/>
                    <w:tr2bl w:val="nil"/>
                  </w:tcBorders>
                  <w:noWrap w:val="0"/>
                  <w:vAlign w:val="center"/>
                </w:tcPr>
                <w:p w14:paraId="6B0E42E2">
                  <w:pPr>
                    <w:spacing w:line="240" w:lineRule="exact"/>
                    <w:jc w:val="center"/>
                    <w:rPr>
                      <w:rFonts w:hint="eastAsia"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sz w:val="21"/>
                      <w:szCs w:val="21"/>
                      <w:lang w:val="en-US" w:eastAsia="zh-CN"/>
                    </w:rPr>
                    <w:t>-593</w:t>
                  </w:r>
                </w:p>
              </w:tc>
              <w:tc>
                <w:tcPr>
                  <w:tcW w:w="650" w:type="dxa"/>
                  <w:tcBorders>
                    <w:tl2br w:val="nil"/>
                    <w:tr2bl w:val="nil"/>
                  </w:tcBorders>
                  <w:noWrap w:val="0"/>
                  <w:vAlign w:val="center"/>
                </w:tcPr>
                <w:p w14:paraId="2FC3BCE5">
                  <w:pPr>
                    <w:spacing w:line="240" w:lineRule="exact"/>
                    <w:jc w:val="center"/>
                    <w:rPr>
                      <w:rFonts w:hint="eastAsia"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sz w:val="21"/>
                      <w:szCs w:val="21"/>
                      <w:lang w:val="en-US" w:eastAsia="zh-CN"/>
                    </w:rPr>
                    <w:t>-731</w:t>
                  </w:r>
                </w:p>
              </w:tc>
              <w:tc>
                <w:tcPr>
                  <w:tcW w:w="464" w:type="pct"/>
                  <w:tcBorders>
                    <w:tl2br w:val="nil"/>
                    <w:tr2bl w:val="nil"/>
                  </w:tcBorders>
                  <w:noWrap w:val="0"/>
                  <w:vAlign w:val="center"/>
                </w:tcPr>
                <w:p w14:paraId="3CBB19A0">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宋体" w:cs="Times New Roman"/>
                      <w:bCs/>
                      <w:color w:val="auto"/>
                      <w:kern w:val="0"/>
                      <w:sz w:val="21"/>
                      <w:szCs w:val="21"/>
                      <w:lang w:val="en-US" w:eastAsia="zh-CN" w:bidi="ar-SA"/>
                    </w:rPr>
                  </w:pPr>
                  <w:r>
                    <w:rPr>
                      <w:rFonts w:hint="eastAsia" w:ascii="Times New Roman" w:hAnsi="Times New Roman" w:eastAsia="宋体" w:cs="Times New Roman"/>
                      <w:bCs/>
                      <w:color w:val="auto"/>
                      <w:kern w:val="0"/>
                      <w:sz w:val="21"/>
                      <w:szCs w:val="21"/>
                      <w:lang w:val="en-US" w:eastAsia="zh-CN" w:bidi="ar-SA"/>
                    </w:rPr>
                    <w:t>TSP</w:t>
                  </w:r>
                </w:p>
              </w:tc>
              <w:tc>
                <w:tcPr>
                  <w:tcW w:w="414" w:type="pct"/>
                  <w:tcBorders>
                    <w:tl2br w:val="nil"/>
                    <w:tr2bl w:val="nil"/>
                  </w:tcBorders>
                  <w:noWrap w:val="0"/>
                  <w:vAlign w:val="center"/>
                </w:tcPr>
                <w:p w14:paraId="1F74F290">
                  <w:pPr>
                    <w:spacing w:line="240" w:lineRule="exact"/>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24</w:t>
                  </w:r>
                  <w:r>
                    <w:rPr>
                      <w:rFonts w:hint="default" w:ascii="Times New Roman" w:hAnsi="Times New Roman" w:eastAsia="宋体" w:cs="Times New Roman"/>
                      <w:color w:val="auto"/>
                      <w:sz w:val="21"/>
                      <w:szCs w:val="21"/>
                    </w:rPr>
                    <w:t>h</w:t>
                  </w:r>
                </w:p>
              </w:tc>
              <w:tc>
                <w:tcPr>
                  <w:tcW w:w="629" w:type="pct"/>
                  <w:tcBorders>
                    <w:tl2br w:val="nil"/>
                    <w:tr2bl w:val="nil"/>
                  </w:tcBorders>
                  <w:noWrap w:val="0"/>
                  <w:vAlign w:val="center"/>
                </w:tcPr>
                <w:p w14:paraId="6616B078">
                  <w:pPr>
                    <w:spacing w:line="240" w:lineRule="exact"/>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0.3</w:t>
                  </w:r>
                </w:p>
              </w:tc>
              <w:tc>
                <w:tcPr>
                  <w:tcW w:w="819" w:type="pct"/>
                  <w:tcBorders>
                    <w:tl2br w:val="nil"/>
                    <w:tr2bl w:val="nil"/>
                  </w:tcBorders>
                  <w:noWrap w:val="0"/>
                  <w:vAlign w:val="center"/>
                </w:tcPr>
                <w:p w14:paraId="4308AF98">
                  <w:pPr>
                    <w:spacing w:line="240" w:lineRule="exact"/>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0.200-0.209</w:t>
                  </w:r>
                </w:p>
              </w:tc>
              <w:tc>
                <w:tcPr>
                  <w:tcW w:w="644" w:type="pct"/>
                  <w:tcBorders>
                    <w:tl2br w:val="nil"/>
                    <w:tr2bl w:val="nil"/>
                  </w:tcBorders>
                  <w:noWrap w:val="0"/>
                  <w:vAlign w:val="center"/>
                </w:tcPr>
                <w:p w14:paraId="1DE93E3E">
                  <w:pPr>
                    <w:spacing w:line="240" w:lineRule="exact"/>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69.67</w:t>
                  </w:r>
                </w:p>
              </w:tc>
              <w:tc>
                <w:tcPr>
                  <w:tcW w:w="394" w:type="pct"/>
                  <w:tcBorders>
                    <w:tl2br w:val="nil"/>
                    <w:tr2bl w:val="nil"/>
                  </w:tcBorders>
                  <w:noWrap w:val="0"/>
                  <w:vAlign w:val="center"/>
                </w:tcPr>
                <w:p w14:paraId="1DC478D6">
                  <w:pPr>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400" w:type="pct"/>
                  <w:tcBorders>
                    <w:tl2br w:val="nil"/>
                    <w:tr2bl w:val="nil"/>
                  </w:tcBorders>
                  <w:noWrap w:val="0"/>
                  <w:vAlign w:val="center"/>
                </w:tcPr>
                <w:p w14:paraId="43E61394">
                  <w:pPr>
                    <w:spacing w:line="24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达标</w:t>
                  </w:r>
                </w:p>
              </w:tc>
            </w:tr>
          </w:tbl>
          <w:p w14:paraId="625A8C70">
            <w:pPr>
              <w:keepNext w:val="0"/>
              <w:keepLines w:val="0"/>
              <w:pageBreakBefore w:val="0"/>
              <w:widowControl w:val="0"/>
              <w:tabs>
                <w:tab w:val="left" w:pos="3784"/>
              </w:tabs>
              <w:kinsoku/>
              <w:wordWrap/>
              <w:overflowPunct/>
              <w:topLinePunct w:val="0"/>
              <w:autoSpaceDE/>
              <w:autoSpaceDN/>
              <w:bidi w:val="0"/>
              <w:adjustRightInd/>
              <w:snapToGrid w:val="0"/>
              <w:spacing w:line="440" w:lineRule="exact"/>
              <w:ind w:firstLine="480" w:firstLineChars="200"/>
              <w:textAlignment w:val="auto"/>
              <w:rPr>
                <w:rFonts w:hint="default" w:ascii="Times New Roman" w:hAnsi="Times New Roman" w:eastAsia="宋体" w:cs="Times New Roman"/>
                <w:b w:val="0"/>
                <w:bCs w:val="0"/>
                <w:color w:val="auto"/>
                <w:kern w:val="0"/>
                <w:sz w:val="24"/>
                <w:szCs w:val="20"/>
                <w:lang w:val="en-US" w:eastAsia="zh-CN" w:bidi="ar-SA"/>
              </w:rPr>
            </w:pPr>
            <w:r>
              <w:rPr>
                <w:rFonts w:hint="default" w:ascii="Times New Roman" w:hAnsi="Times New Roman" w:eastAsia="宋体" w:cs="Times New Roman"/>
                <w:b w:val="0"/>
                <w:bCs w:val="0"/>
                <w:color w:val="auto"/>
                <w:kern w:val="0"/>
                <w:sz w:val="24"/>
                <w:szCs w:val="20"/>
                <w:lang w:val="en-US" w:eastAsia="zh-CN" w:bidi="ar-SA"/>
              </w:rPr>
              <w:t>由上表可知，评价区域内监测点大气环境质量现状</w:t>
            </w:r>
            <w:r>
              <w:rPr>
                <w:rFonts w:hint="eastAsia" w:ascii="Times New Roman" w:hAnsi="Times New Roman" w:eastAsia="宋体" w:cs="Times New Roman"/>
                <w:color w:val="auto"/>
                <w:kern w:val="0"/>
                <w:sz w:val="24"/>
                <w:szCs w:val="20"/>
                <w:lang w:val="en-US" w:eastAsia="zh-CN" w:bidi="ar-SA"/>
              </w:rPr>
              <w:t>TSP</w:t>
            </w:r>
            <w:r>
              <w:rPr>
                <w:rFonts w:hint="eastAsia" w:ascii="Times New Roman" w:hAnsi="Times New Roman" w:eastAsia="宋体" w:cs="Times New Roman"/>
                <w:b w:val="0"/>
                <w:bCs w:val="0"/>
                <w:color w:val="auto"/>
                <w:kern w:val="0"/>
                <w:sz w:val="24"/>
                <w:szCs w:val="20"/>
                <w:lang w:val="en-US" w:eastAsia="zh-CN" w:bidi="ar-SA"/>
              </w:rPr>
              <w:t>日均</w:t>
            </w:r>
            <w:r>
              <w:rPr>
                <w:rFonts w:hint="default" w:ascii="Times New Roman" w:hAnsi="Times New Roman" w:eastAsia="宋体" w:cs="Times New Roman"/>
                <w:color w:val="auto"/>
                <w:kern w:val="0"/>
                <w:sz w:val="24"/>
                <w:szCs w:val="20"/>
                <w:lang w:val="en-US" w:eastAsia="zh-CN" w:bidi="ar-SA"/>
              </w:rPr>
              <w:t>浓度</w:t>
            </w:r>
            <w:r>
              <w:rPr>
                <w:rFonts w:hint="default" w:ascii="Times New Roman" w:hAnsi="Times New Roman" w:eastAsia="宋体" w:cs="Times New Roman"/>
                <w:b w:val="0"/>
                <w:bCs w:val="0"/>
                <w:color w:val="auto"/>
                <w:kern w:val="0"/>
                <w:sz w:val="24"/>
                <w:szCs w:val="20"/>
                <w:lang w:val="en-US" w:eastAsia="zh-CN" w:bidi="ar-SA"/>
              </w:rPr>
              <w:t>满足</w:t>
            </w:r>
            <w:r>
              <w:rPr>
                <w:rFonts w:hint="default" w:ascii="Times New Roman" w:hAnsi="Times New Roman" w:eastAsia="宋体" w:cs="Times New Roman"/>
                <w:color w:val="auto"/>
                <w:sz w:val="24"/>
                <w:szCs w:val="24"/>
                <w:lang w:val="en-US" w:eastAsia="zh-CN"/>
              </w:rPr>
              <w:t>《环境空气质量标准》（GB3095-2026）二级标准</w:t>
            </w:r>
            <w:r>
              <w:rPr>
                <w:rFonts w:hint="default" w:ascii="Times New Roman" w:hAnsi="Times New Roman" w:cs="Times New Roman"/>
                <w:color w:val="auto"/>
                <w:sz w:val="24"/>
                <w:szCs w:val="24"/>
                <w:lang w:val="en-US" w:eastAsia="zh-CN"/>
              </w:rPr>
              <w:t>限值</w:t>
            </w:r>
            <w:r>
              <w:rPr>
                <w:rFonts w:hint="default" w:ascii="Times New Roman" w:hAnsi="Times New Roman" w:eastAsia="宋体" w:cs="Times New Roman"/>
                <w:b w:val="0"/>
                <w:bCs w:val="0"/>
                <w:color w:val="auto"/>
                <w:kern w:val="0"/>
                <w:sz w:val="24"/>
                <w:szCs w:val="20"/>
                <w:lang w:val="en-US" w:eastAsia="zh-CN" w:bidi="ar-SA"/>
              </w:rPr>
              <w:t>。</w:t>
            </w:r>
          </w:p>
          <w:p w14:paraId="080714F0">
            <w:pPr>
              <w:pStyle w:val="48"/>
              <w:keepNext w:val="0"/>
              <w:keepLines w:val="0"/>
              <w:pageBreakBefore w:val="0"/>
              <w:widowControl w:val="0"/>
              <w:kinsoku/>
              <w:wordWrap/>
              <w:overflowPunct/>
              <w:topLinePunct w:val="0"/>
              <w:autoSpaceDE/>
              <w:autoSpaceDN/>
              <w:bidi w:val="0"/>
              <w:adjustRightInd/>
              <w:snapToGrid/>
              <w:spacing w:line="440" w:lineRule="exact"/>
              <w:ind w:left="0" w:firstLine="480" w:firstLineChars="200"/>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2、声环境质量现状</w:t>
            </w:r>
          </w:p>
          <w:p w14:paraId="278EDFA4">
            <w:pPr>
              <w:pStyle w:val="48"/>
              <w:keepNext w:val="0"/>
              <w:keepLines w:val="0"/>
              <w:pageBreakBefore w:val="0"/>
              <w:widowControl w:val="0"/>
              <w:kinsoku/>
              <w:wordWrap/>
              <w:overflowPunct/>
              <w:topLinePunct w:val="0"/>
              <w:autoSpaceDE/>
              <w:autoSpaceDN/>
              <w:bidi w:val="0"/>
              <w:adjustRightInd/>
              <w:snapToGrid/>
              <w:spacing w:line="440" w:lineRule="exact"/>
              <w:ind w:left="0" w:firstLine="480" w:firstLineChars="200"/>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本项目厂界外50m范围内无声环境敏感保护目标，故不进行声环境质量现状监测。</w:t>
            </w:r>
          </w:p>
          <w:p w14:paraId="0D202E4C">
            <w:pPr>
              <w:keepNext w:val="0"/>
              <w:keepLines w:val="0"/>
              <w:pageBreakBefore w:val="0"/>
              <w:kinsoku/>
              <w:wordWrap/>
              <w:overflowPunct/>
              <w:topLinePunct w:val="0"/>
              <w:autoSpaceDE/>
              <w:autoSpaceDN/>
              <w:bidi w:val="0"/>
              <w:spacing w:line="440" w:lineRule="exact"/>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3、地表水</w:t>
            </w:r>
            <w:bookmarkStart w:id="2" w:name="OLE_LINK3"/>
            <w:r>
              <w:rPr>
                <w:rFonts w:hint="default" w:ascii="Times New Roman" w:hAnsi="Times New Roman" w:eastAsia="宋体" w:cs="Times New Roman"/>
                <w:color w:val="auto"/>
                <w:sz w:val="24"/>
                <w:szCs w:val="24"/>
                <w:lang w:val="en-US" w:eastAsia="zh-CN"/>
              </w:rPr>
              <w:t>环境质量现状</w:t>
            </w:r>
            <w:bookmarkEnd w:id="2"/>
          </w:p>
          <w:p w14:paraId="739321E3">
            <w:pPr>
              <w:pStyle w:val="68"/>
              <w:keepNext w:val="0"/>
              <w:keepLines w:val="0"/>
              <w:pageBreakBefore w:val="0"/>
              <w:kinsoku/>
              <w:wordWrap/>
              <w:overflowPunct/>
              <w:topLinePunct w:val="0"/>
              <w:autoSpaceDE/>
              <w:autoSpaceDN/>
              <w:bidi w:val="0"/>
              <w:adjustRightInd/>
              <w:snapToGrid/>
              <w:spacing w:before="0" w:beforeAutospacing="0" w:after="0" w:afterAutospacing="0" w:line="440" w:lineRule="exact"/>
              <w:ind w:firstLine="480" w:firstLineChars="200"/>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根据《巴音郭楞蒙古自治州2025年生态环境状况公报》可知：</w:t>
            </w:r>
          </w:p>
          <w:p w14:paraId="6F258D05">
            <w:pPr>
              <w:pStyle w:val="69"/>
              <w:keepNext w:val="0"/>
              <w:keepLines w:val="0"/>
              <w:pageBreakBefore w:val="0"/>
              <w:kinsoku/>
              <w:wordWrap/>
              <w:overflowPunct/>
              <w:topLinePunct w:val="0"/>
              <w:autoSpaceDE/>
              <w:autoSpaceDN/>
              <w:bidi w:val="0"/>
              <w:snapToGrid w:val="0"/>
              <w:spacing w:line="440" w:lineRule="exact"/>
              <w:ind w:left="0" w:leftChars="0" w:firstLine="480" w:firstLineChars="200"/>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2025年，全州地表水监测的31个考核断面（点位）中，Ⅰ~Ⅲ类优良水质断面（点位）占比96.8%。6条主要河流19个监测断面中Ⅰ~Ⅲ类优良水质断面占100%，3个重要湖泊（水库）12个监测点位中Ⅰ~Ⅲ类优良水质断面占91.7%，无劣Ⅴ类水体。</w:t>
            </w:r>
          </w:p>
          <w:p w14:paraId="1DE9E3FC">
            <w:pPr>
              <w:pStyle w:val="68"/>
              <w:keepNext w:val="0"/>
              <w:keepLines w:val="0"/>
              <w:pageBreakBefore w:val="0"/>
              <w:kinsoku/>
              <w:wordWrap/>
              <w:overflowPunct/>
              <w:topLinePunct w:val="0"/>
              <w:autoSpaceDE/>
              <w:autoSpaceDN/>
              <w:bidi w:val="0"/>
              <w:adjustRightInd/>
              <w:snapToGrid/>
              <w:spacing w:before="0" w:beforeAutospacing="0" w:after="0" w:afterAutospacing="0" w:line="440" w:lineRule="exact"/>
              <w:ind w:firstLine="480" w:firstLineChars="200"/>
              <w:textAlignment w:val="auto"/>
              <w:rPr>
                <w:rFonts w:hint="default" w:ascii="Times New Roman" w:hAnsi="Times New Roman" w:cs="Times New Roman"/>
                <w:color w:val="auto"/>
                <w:sz w:val="24"/>
                <w:szCs w:val="24"/>
                <w:lang w:eastAsia="zh-CN"/>
              </w:rPr>
            </w:pPr>
            <w:r>
              <w:rPr>
                <w:rFonts w:hint="default" w:ascii="Times New Roman" w:hAnsi="Times New Roman" w:cs="Times New Roman"/>
                <w:color w:val="auto"/>
                <w:sz w:val="24"/>
                <w:szCs w:val="24"/>
                <w:lang w:val="en-US" w:eastAsia="zh-CN"/>
              </w:rPr>
              <w:t>本项目南侧2.4km为孔雀河，</w:t>
            </w:r>
            <w:r>
              <w:rPr>
                <w:rFonts w:hint="eastAsia" w:ascii="Times New Roman" w:hAnsi="Times New Roman" w:cs="Times New Roman"/>
                <w:color w:val="auto"/>
                <w:sz w:val="24"/>
                <w:szCs w:val="24"/>
                <w:lang w:val="en-US" w:eastAsia="zh-CN"/>
              </w:rPr>
              <w:t>孔雀</w:t>
            </w:r>
            <w:r>
              <w:rPr>
                <w:rFonts w:hint="default" w:ascii="Times New Roman" w:hAnsi="Times New Roman" w:cs="Times New Roman"/>
                <w:color w:val="auto"/>
                <w:sz w:val="24"/>
                <w:szCs w:val="24"/>
                <w:lang w:val="en-US" w:eastAsia="zh-CN"/>
              </w:rPr>
              <w:t>河</w:t>
            </w:r>
            <w:r>
              <w:rPr>
                <w:rFonts w:hint="default" w:ascii="Times New Roman" w:hAnsi="Times New Roman" w:cs="Times New Roman"/>
                <w:color w:val="auto"/>
                <w:sz w:val="24"/>
                <w:szCs w:val="24"/>
                <w:lang w:eastAsia="zh-CN"/>
              </w:rPr>
              <w:t>执行《地表水环境质量标准》（GB3838-2002）</w:t>
            </w:r>
            <w:r>
              <w:rPr>
                <w:rFonts w:hint="default" w:ascii="Times New Roman" w:hAnsi="Times New Roman" w:eastAsia="宋体" w:cs="Times New Roman"/>
                <w:kern w:val="2"/>
                <w:sz w:val="24"/>
                <w:szCs w:val="24"/>
                <w:lang w:val="en-US" w:eastAsia="zh-CN" w:bidi="ar-SA"/>
              </w:rPr>
              <w:t>Ⅲ</w:t>
            </w:r>
            <w:r>
              <w:rPr>
                <w:rFonts w:hint="default" w:ascii="Times New Roman" w:hAnsi="Times New Roman" w:cs="Times New Roman"/>
                <w:color w:val="auto"/>
                <w:sz w:val="24"/>
                <w:szCs w:val="24"/>
                <w:lang w:eastAsia="zh-CN"/>
              </w:rPr>
              <w:t>类标准，</w:t>
            </w:r>
            <w:r>
              <w:rPr>
                <w:rFonts w:hint="default" w:ascii="Times New Roman" w:hAnsi="Times New Roman" w:cs="Times New Roman"/>
                <w:color w:val="auto"/>
                <w:sz w:val="24"/>
                <w:szCs w:val="24"/>
                <w:lang w:val="en-US" w:eastAsia="zh-CN"/>
              </w:rPr>
              <w:t>孔雀河水</w:t>
            </w:r>
            <w:r>
              <w:rPr>
                <w:rFonts w:hint="default" w:ascii="Times New Roman" w:hAnsi="Times New Roman" w:cs="Times New Roman"/>
                <w:color w:val="auto"/>
                <w:sz w:val="24"/>
                <w:szCs w:val="24"/>
                <w:lang w:eastAsia="zh-CN"/>
              </w:rPr>
              <w:t>环境质量</w:t>
            </w:r>
            <w:r>
              <w:rPr>
                <w:rFonts w:hint="default" w:ascii="Times New Roman" w:hAnsi="Times New Roman" w:cs="Times New Roman"/>
                <w:color w:val="auto"/>
                <w:sz w:val="24"/>
                <w:szCs w:val="24"/>
                <w:lang w:val="en-US" w:eastAsia="zh-CN"/>
              </w:rPr>
              <w:t>满足</w:t>
            </w:r>
            <w:r>
              <w:rPr>
                <w:rFonts w:hint="default" w:ascii="Times New Roman" w:hAnsi="Times New Roman" w:eastAsia="宋体" w:cs="Times New Roman"/>
                <w:kern w:val="2"/>
                <w:sz w:val="24"/>
                <w:szCs w:val="24"/>
                <w:lang w:val="en-US" w:eastAsia="zh-CN" w:bidi="ar-SA"/>
              </w:rPr>
              <w:t>Ⅲ</w:t>
            </w:r>
            <w:r>
              <w:rPr>
                <w:rFonts w:hint="default" w:ascii="Times New Roman" w:hAnsi="Times New Roman" w:cs="Times New Roman"/>
                <w:color w:val="auto"/>
                <w:sz w:val="24"/>
                <w:szCs w:val="24"/>
                <w:lang w:eastAsia="zh-CN"/>
              </w:rPr>
              <w:t>类标准。</w:t>
            </w:r>
          </w:p>
          <w:p w14:paraId="190A5774">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440" w:lineRule="exact"/>
              <w:ind w:left="0" w:right="0" w:firstLine="480" w:firstLineChars="200"/>
              <w:jc w:val="left"/>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4.地下水、土壤环境现状</w:t>
            </w:r>
          </w:p>
          <w:p w14:paraId="6675A17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本项目运营期采取分区防渗，正常工况下本项目不存在土壤、地下水污染途径，且评价范围内无地下水、土壤环境保护目标，故不需要进行地下水、土壤环境现状调查。</w:t>
            </w:r>
          </w:p>
          <w:p w14:paraId="06C40F6A">
            <w:pPr>
              <w:keepNext w:val="0"/>
              <w:keepLines w:val="0"/>
              <w:pageBreakBefore w:val="0"/>
              <w:widowControl w:val="0"/>
              <w:kinsoku/>
              <w:wordWrap/>
              <w:overflowPunct/>
              <w:topLinePunct w:val="0"/>
              <w:autoSpaceDE/>
              <w:autoSpaceDN/>
              <w:bidi w:val="0"/>
              <w:adjustRightInd/>
              <w:snapToGrid/>
              <w:spacing w:line="440" w:lineRule="exact"/>
              <w:ind w:left="0" w:firstLine="480" w:firstLineChars="200"/>
              <w:textAlignment w:val="auto"/>
              <w:rPr>
                <w:rFonts w:hint="default" w:ascii="Times New Roman" w:hAnsi="Times New Roman" w:eastAsia="宋体" w:cs="Times New Roman"/>
                <w:kern w:val="2"/>
                <w:sz w:val="24"/>
                <w:szCs w:val="24"/>
                <w:lang w:val="en-US" w:eastAsia="en-US" w:bidi="ar-SA"/>
              </w:rPr>
            </w:pPr>
            <w:r>
              <w:rPr>
                <w:rFonts w:hint="default" w:ascii="Times New Roman" w:hAnsi="Times New Roman" w:eastAsia="宋体" w:cs="Times New Roman"/>
                <w:kern w:val="2"/>
                <w:sz w:val="24"/>
                <w:szCs w:val="24"/>
                <w:lang w:val="en-US" w:eastAsia="zh-CN" w:bidi="ar-SA"/>
              </w:rPr>
              <w:t>5</w:t>
            </w:r>
            <w:r>
              <w:rPr>
                <w:rFonts w:hint="default" w:ascii="Times New Roman" w:hAnsi="Times New Roman" w:eastAsia="宋体" w:cs="Times New Roman"/>
                <w:kern w:val="2"/>
                <w:sz w:val="24"/>
                <w:szCs w:val="24"/>
                <w:lang w:val="en-US" w:eastAsia="en-US" w:bidi="ar-SA"/>
              </w:rPr>
              <w:t>、生态环境质量</w:t>
            </w:r>
          </w:p>
          <w:p w14:paraId="1C4FEE06">
            <w:pPr>
              <w:pStyle w:val="68"/>
              <w:keepNext w:val="0"/>
              <w:keepLines w:val="0"/>
              <w:pageBreakBefore w:val="0"/>
              <w:kinsoku/>
              <w:wordWrap/>
              <w:overflowPunct/>
              <w:topLinePunct w:val="0"/>
              <w:autoSpaceDE/>
              <w:autoSpaceDN/>
              <w:bidi w:val="0"/>
              <w:adjustRightInd/>
              <w:snapToGrid/>
              <w:spacing w:before="0" w:beforeAutospacing="0" w:after="0" w:afterAutospacing="0" w:line="440" w:lineRule="exact"/>
              <w:ind w:firstLine="480" w:firstLineChars="200"/>
              <w:textAlignment w:val="auto"/>
              <w:rPr>
                <w:rFonts w:ascii="宋体" w:hAnsi="宋体" w:cs="宋体"/>
                <w:kern w:val="0"/>
                <w:sz w:val="24"/>
                <w:szCs w:val="24"/>
              </w:rPr>
            </w:pPr>
            <w:r>
              <w:rPr>
                <w:rFonts w:hint="default" w:ascii="Times New Roman" w:hAnsi="Times New Roman" w:eastAsia="宋体" w:cs="Times New Roman"/>
                <w:kern w:val="2"/>
                <w:sz w:val="24"/>
                <w:szCs w:val="24"/>
                <w:lang w:val="en-US" w:eastAsia="en-US" w:bidi="ar-SA"/>
              </w:rPr>
              <w:t>本项目</w:t>
            </w:r>
            <w:r>
              <w:rPr>
                <w:rFonts w:hint="default" w:ascii="Times New Roman" w:hAnsi="Times New Roman" w:eastAsia="宋体" w:cs="Times New Roman"/>
                <w:kern w:val="2"/>
                <w:sz w:val="24"/>
                <w:szCs w:val="24"/>
                <w:lang w:val="en-US" w:eastAsia="zh-CN" w:bidi="ar-SA"/>
              </w:rPr>
              <w:t>位于</w:t>
            </w:r>
            <w:r>
              <w:rPr>
                <w:rFonts w:hint="default" w:ascii="Times New Roman" w:hAnsi="Times New Roman" w:cs="Times New Roman"/>
                <w:lang w:val="en-US" w:eastAsia="zh-CN"/>
              </w:rPr>
              <w:t>新疆维吾尔自治区巴音郭楞蒙古自治州</w:t>
            </w:r>
            <w:r>
              <w:rPr>
                <w:rFonts w:hint="default" w:ascii="Times New Roman" w:hAnsi="Times New Roman" w:cs="Times New Roman"/>
                <w:sz w:val="24"/>
                <w:szCs w:val="24"/>
                <w:lang w:val="en-US" w:eastAsia="zh-CN"/>
              </w:rPr>
              <w:t>塔什店镇</w:t>
            </w:r>
            <w:r>
              <w:rPr>
                <w:rFonts w:hint="default" w:ascii="Times New Roman" w:hAnsi="Times New Roman" w:eastAsia="宋体" w:cs="Times New Roman"/>
                <w:kern w:val="2"/>
                <w:sz w:val="24"/>
                <w:szCs w:val="24"/>
                <w:lang w:val="en-US" w:eastAsia="zh-CN" w:bidi="ar-SA"/>
              </w:rPr>
              <w:t>，</w:t>
            </w:r>
            <w:r>
              <w:rPr>
                <w:rFonts w:hint="default" w:ascii="Times New Roman" w:hAnsi="Times New Roman" w:eastAsia="宋体" w:cs="Times New Roman"/>
                <w:kern w:val="2"/>
                <w:sz w:val="24"/>
                <w:szCs w:val="24"/>
                <w:lang w:val="en-US" w:eastAsia="en-US" w:bidi="ar-SA"/>
              </w:rPr>
              <w:t>占地范围内不存在生态环境保护目标，根据《建设项目环境影响报告表编制技术指南（污染影响类）（试行）》，不进行生态现状调查。</w:t>
            </w:r>
          </w:p>
        </w:tc>
      </w:tr>
      <w:tr w14:paraId="36D7B4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00" w:hRule="atLeast"/>
          <w:jc w:val="center"/>
        </w:trPr>
        <w:tc>
          <w:tcPr>
            <w:tcW w:w="800" w:type="dxa"/>
            <w:noWrap w:val="0"/>
            <w:vAlign w:val="center"/>
          </w:tcPr>
          <w:p w14:paraId="3343AB28">
            <w:pPr>
              <w:adjustRightInd w:val="0"/>
              <w:snapToGrid w:val="0"/>
              <w:jc w:val="center"/>
              <w:rPr>
                <w:rFonts w:hint="default" w:ascii="Times New Roman" w:hAnsi="Times New Roman" w:cs="Times New Roman"/>
                <w:kern w:val="0"/>
                <w:sz w:val="24"/>
                <w:szCs w:val="24"/>
              </w:rPr>
            </w:pPr>
            <w:r>
              <w:rPr>
                <w:rFonts w:hint="default" w:ascii="Times New Roman" w:hAnsi="Times New Roman" w:cs="Times New Roman"/>
                <w:kern w:val="0"/>
                <w:sz w:val="24"/>
                <w:szCs w:val="24"/>
              </w:rPr>
              <w:t>环境</w:t>
            </w:r>
          </w:p>
          <w:p w14:paraId="31461543">
            <w:pPr>
              <w:adjustRightInd w:val="0"/>
              <w:snapToGrid w:val="0"/>
              <w:jc w:val="center"/>
              <w:rPr>
                <w:rFonts w:hint="default" w:ascii="Times New Roman" w:hAnsi="Times New Roman" w:cs="Times New Roman"/>
                <w:kern w:val="0"/>
                <w:sz w:val="24"/>
                <w:szCs w:val="24"/>
              </w:rPr>
            </w:pPr>
            <w:r>
              <w:rPr>
                <w:rFonts w:hint="default" w:ascii="Times New Roman" w:hAnsi="Times New Roman" w:cs="Times New Roman"/>
                <w:kern w:val="0"/>
                <w:sz w:val="24"/>
                <w:szCs w:val="24"/>
              </w:rPr>
              <w:t>保护</w:t>
            </w:r>
          </w:p>
          <w:p w14:paraId="2B4A9A10">
            <w:pPr>
              <w:adjustRightInd w:val="0"/>
              <w:snapToGrid w:val="0"/>
              <w:jc w:val="center"/>
              <w:rPr>
                <w:rFonts w:hint="eastAsia" w:ascii="宋体" w:hAnsi="宋体" w:cs="宋体"/>
                <w:kern w:val="0"/>
                <w:szCs w:val="21"/>
              </w:rPr>
            </w:pPr>
            <w:r>
              <w:rPr>
                <w:rFonts w:hint="default" w:ascii="Times New Roman" w:hAnsi="Times New Roman" w:cs="Times New Roman"/>
                <w:kern w:val="0"/>
                <w:sz w:val="24"/>
                <w:szCs w:val="24"/>
              </w:rPr>
              <w:t>目标</w:t>
            </w:r>
          </w:p>
        </w:tc>
        <w:tc>
          <w:tcPr>
            <w:tcW w:w="8190" w:type="dxa"/>
            <w:noWrap w:val="0"/>
            <w:vAlign w:val="center"/>
          </w:tcPr>
          <w:p w14:paraId="44B79726">
            <w:pPr>
              <w:pStyle w:val="69"/>
              <w:keepNext w:val="0"/>
              <w:keepLines w:val="0"/>
              <w:pageBreakBefore w:val="0"/>
              <w:numPr>
                <w:ilvl w:val="0"/>
                <w:numId w:val="0"/>
              </w:numPr>
              <w:kinsoku/>
              <w:wordWrap/>
              <w:overflowPunct/>
              <w:topLinePunct w:val="0"/>
              <w:autoSpaceDE/>
              <w:autoSpaceDN/>
              <w:bidi w:val="0"/>
              <w:spacing w:line="440" w:lineRule="exact"/>
              <w:ind w:firstLine="480" w:firstLineChars="200"/>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1、环境空气</w:t>
            </w:r>
          </w:p>
          <w:p w14:paraId="0DDC9B1D">
            <w:pPr>
              <w:pStyle w:val="70"/>
              <w:keepNext w:val="0"/>
              <w:keepLines w:val="0"/>
              <w:pageBreakBefore w:val="0"/>
              <w:kinsoku/>
              <w:wordWrap/>
              <w:overflowPunct/>
              <w:topLinePunct w:val="0"/>
              <w:autoSpaceDE/>
              <w:autoSpaceDN/>
              <w:bidi w:val="0"/>
              <w:spacing w:line="440" w:lineRule="exact"/>
              <w:ind w:firstLine="480" w:firstLineChars="200"/>
              <w:textAlignment w:val="auto"/>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kern w:val="2"/>
                <w:sz w:val="24"/>
                <w:szCs w:val="24"/>
                <w:lang w:val="en-US" w:eastAsia="zh-CN" w:bidi="ar-SA"/>
              </w:rPr>
              <w:t>本项目厂界外500m范围内无大气环境保护目标</w:t>
            </w:r>
            <w:r>
              <w:rPr>
                <w:rFonts w:hint="default" w:ascii="Times New Roman" w:hAnsi="Times New Roman" w:eastAsia="宋体" w:cs="Times New Roman"/>
                <w:color w:val="auto"/>
                <w:lang w:val="en-US" w:eastAsia="zh-CN"/>
              </w:rPr>
              <w:t>。</w:t>
            </w:r>
          </w:p>
          <w:p w14:paraId="563ADE1A">
            <w:pPr>
              <w:pStyle w:val="69"/>
              <w:keepNext w:val="0"/>
              <w:keepLines w:val="0"/>
              <w:pageBreakBefore w:val="0"/>
              <w:kinsoku/>
              <w:wordWrap/>
              <w:overflowPunct/>
              <w:topLinePunct w:val="0"/>
              <w:autoSpaceDE/>
              <w:autoSpaceDN/>
              <w:bidi w:val="0"/>
              <w:spacing w:line="440" w:lineRule="exact"/>
              <w:ind w:firstLine="480" w:firstLineChars="200"/>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2、声环境</w:t>
            </w:r>
          </w:p>
          <w:p w14:paraId="3974CF83">
            <w:pPr>
              <w:pStyle w:val="69"/>
              <w:keepNext w:val="0"/>
              <w:keepLines w:val="0"/>
              <w:pageBreakBefore w:val="0"/>
              <w:kinsoku/>
              <w:wordWrap/>
              <w:overflowPunct/>
              <w:topLinePunct w:val="0"/>
              <w:autoSpaceDE/>
              <w:autoSpaceDN/>
              <w:bidi w:val="0"/>
              <w:spacing w:line="440" w:lineRule="exact"/>
              <w:ind w:firstLine="480" w:firstLineChars="200"/>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本项目厂界外50m范围内无声环境保护目标。</w:t>
            </w:r>
          </w:p>
          <w:p w14:paraId="335D7D2C">
            <w:pPr>
              <w:pStyle w:val="69"/>
              <w:keepNext w:val="0"/>
              <w:keepLines w:val="0"/>
              <w:pageBreakBefore w:val="0"/>
              <w:kinsoku/>
              <w:wordWrap/>
              <w:overflowPunct/>
              <w:topLinePunct w:val="0"/>
              <w:autoSpaceDE/>
              <w:autoSpaceDN/>
              <w:bidi w:val="0"/>
              <w:spacing w:line="440" w:lineRule="exact"/>
              <w:ind w:firstLine="480" w:firstLineChars="200"/>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3、地下水环境</w:t>
            </w:r>
          </w:p>
          <w:p w14:paraId="5C0864AD">
            <w:pPr>
              <w:pStyle w:val="69"/>
              <w:keepNext w:val="0"/>
              <w:keepLines w:val="0"/>
              <w:pageBreakBefore w:val="0"/>
              <w:kinsoku/>
              <w:wordWrap/>
              <w:overflowPunct/>
              <w:topLinePunct w:val="0"/>
              <w:autoSpaceDE/>
              <w:autoSpaceDN/>
              <w:bidi w:val="0"/>
              <w:spacing w:line="440" w:lineRule="exact"/>
              <w:ind w:firstLine="480" w:firstLineChars="200"/>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本项目厂界外500m范围内无地下水集中式饮用水水源和热水、矿泉水、温泉等特殊地下水资源。</w:t>
            </w:r>
          </w:p>
          <w:p w14:paraId="3A10B959">
            <w:pPr>
              <w:pStyle w:val="69"/>
              <w:keepNext w:val="0"/>
              <w:keepLines w:val="0"/>
              <w:pageBreakBefore w:val="0"/>
              <w:kinsoku/>
              <w:wordWrap/>
              <w:overflowPunct/>
              <w:topLinePunct w:val="0"/>
              <w:autoSpaceDE/>
              <w:autoSpaceDN/>
              <w:bidi w:val="0"/>
              <w:spacing w:line="440" w:lineRule="exact"/>
              <w:ind w:firstLine="480" w:firstLineChars="200"/>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4、地表水环境</w:t>
            </w:r>
          </w:p>
          <w:p w14:paraId="693820CD">
            <w:pPr>
              <w:keepNext w:val="0"/>
              <w:keepLines w:val="0"/>
              <w:pageBreakBefore w:val="0"/>
              <w:kinsoku/>
              <w:wordWrap/>
              <w:overflowPunct/>
              <w:topLinePunct w:val="0"/>
              <w:autoSpaceDE/>
              <w:autoSpaceDN/>
              <w:bidi w:val="0"/>
              <w:spacing w:line="440" w:lineRule="exact"/>
              <w:ind w:firstLine="480" w:firstLineChars="200"/>
              <w:textAlignment w:val="auto"/>
              <w:rPr>
                <w:rFonts w:hint="default" w:ascii="Times New Roman" w:hAnsi="Times New Roman" w:cs="Times New Roman"/>
                <w:sz w:val="24"/>
              </w:rPr>
            </w:pPr>
            <w:r>
              <w:rPr>
                <w:rFonts w:hint="default" w:ascii="Times New Roman" w:hAnsi="Times New Roman" w:cs="Times New Roman"/>
                <w:sz w:val="24"/>
              </w:rPr>
              <w:t>本</w:t>
            </w:r>
            <w:r>
              <w:rPr>
                <w:rFonts w:hint="default" w:ascii="Times New Roman" w:hAnsi="Times New Roman" w:eastAsia="宋体" w:cs="Times New Roman"/>
                <w:color w:val="auto"/>
                <w:kern w:val="2"/>
                <w:sz w:val="24"/>
                <w:szCs w:val="24"/>
                <w:lang w:val="en-US" w:eastAsia="zh-CN" w:bidi="ar-SA"/>
              </w:rPr>
              <w:t>项目</w:t>
            </w:r>
            <w:r>
              <w:rPr>
                <w:rFonts w:hint="default" w:ascii="Times New Roman" w:hAnsi="Times New Roman" w:cs="Times New Roman"/>
                <w:sz w:val="24"/>
                <w:lang w:val="en-US" w:eastAsia="zh-CN"/>
              </w:rPr>
              <w:t>评价范围内无地表水环境保护目标</w:t>
            </w:r>
            <w:r>
              <w:rPr>
                <w:rFonts w:hint="default" w:ascii="Times New Roman" w:hAnsi="Times New Roman" w:cs="Times New Roman"/>
                <w:sz w:val="24"/>
              </w:rPr>
              <w:t>。</w:t>
            </w:r>
          </w:p>
          <w:p w14:paraId="33CBE95E">
            <w:pPr>
              <w:pStyle w:val="69"/>
              <w:keepNext w:val="0"/>
              <w:keepLines w:val="0"/>
              <w:pageBreakBefore w:val="0"/>
              <w:widowControl/>
              <w:kinsoku/>
              <w:wordWrap/>
              <w:overflowPunct/>
              <w:topLinePunct w:val="0"/>
              <w:autoSpaceDE/>
              <w:autoSpaceDN/>
              <w:bidi w:val="0"/>
              <w:adjustRightInd w:val="0"/>
              <w:snapToGrid w:val="0"/>
              <w:spacing w:line="440" w:lineRule="exact"/>
              <w:ind w:left="0" w:leftChars="0" w:firstLine="480" w:firstLineChars="200"/>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5、生态环境</w:t>
            </w:r>
          </w:p>
          <w:p w14:paraId="7E620F67">
            <w:pPr>
              <w:keepNext w:val="0"/>
              <w:keepLines w:val="0"/>
              <w:pageBreakBefore w:val="0"/>
              <w:kinsoku/>
              <w:wordWrap/>
              <w:overflowPunct/>
              <w:topLinePunct w:val="0"/>
              <w:autoSpaceDE/>
              <w:autoSpaceDN/>
              <w:bidi w:val="0"/>
              <w:adjustRightInd w:val="0"/>
              <w:snapToGrid w:val="0"/>
              <w:spacing w:line="440" w:lineRule="exact"/>
              <w:ind w:firstLine="480" w:firstLineChars="200"/>
              <w:jc w:val="both"/>
              <w:textAlignment w:val="auto"/>
              <w:rPr>
                <w:rFonts w:ascii="宋体" w:hAnsi="宋体" w:cs="宋体"/>
                <w:kern w:val="0"/>
                <w:sz w:val="24"/>
                <w:szCs w:val="24"/>
              </w:rPr>
            </w:pPr>
            <w:r>
              <w:rPr>
                <w:rFonts w:hint="default" w:ascii="Times New Roman" w:hAnsi="Times New Roman" w:eastAsia="宋体" w:cs="Times New Roman"/>
                <w:color w:val="auto"/>
                <w:kern w:val="2"/>
                <w:sz w:val="24"/>
                <w:szCs w:val="24"/>
                <w:lang w:val="en-US" w:eastAsia="zh-CN" w:bidi="ar-SA"/>
              </w:rPr>
              <w:t>根据现场调查，项目周边无生态环境保护目标。</w:t>
            </w:r>
          </w:p>
        </w:tc>
      </w:tr>
      <w:tr w14:paraId="0A33E6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41" w:hRule="atLeast"/>
          <w:jc w:val="center"/>
        </w:trPr>
        <w:tc>
          <w:tcPr>
            <w:tcW w:w="800" w:type="dxa"/>
            <w:noWrap w:val="0"/>
            <w:tcMar>
              <w:left w:w="28" w:type="dxa"/>
              <w:right w:w="28" w:type="dxa"/>
            </w:tcMar>
            <w:vAlign w:val="center"/>
          </w:tcPr>
          <w:p w14:paraId="6781FCFD">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ascii="宋体" w:hAnsi="宋体" w:cs="宋体"/>
                <w:kern w:val="0"/>
                <w:szCs w:val="21"/>
              </w:rPr>
            </w:pPr>
            <w:r>
              <w:rPr>
                <w:rFonts w:hint="eastAsia" w:ascii="宋体" w:hAnsi="宋体" w:cs="宋体"/>
                <w:kern w:val="0"/>
                <w:sz w:val="24"/>
                <w:szCs w:val="24"/>
              </w:rPr>
              <w:t>污染物排放控制标准</w:t>
            </w:r>
          </w:p>
        </w:tc>
        <w:tc>
          <w:tcPr>
            <w:tcW w:w="8190" w:type="dxa"/>
            <w:noWrap w:val="0"/>
            <w:vAlign w:val="center"/>
          </w:tcPr>
          <w:p w14:paraId="7D4497B5">
            <w:pPr>
              <w:pStyle w:val="7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b w:val="0"/>
                <w:bCs w:val="0"/>
                <w:kern w:val="2"/>
                <w:sz w:val="24"/>
                <w:szCs w:val="24"/>
                <w:lang w:val="en-US" w:eastAsia="zh-CN" w:bidi="ar-SA"/>
              </w:rPr>
            </w:pPr>
            <w:r>
              <w:rPr>
                <w:rFonts w:hint="default" w:ascii="Times New Roman" w:hAnsi="Times New Roman" w:eastAsia="宋体" w:cs="Times New Roman"/>
                <w:b w:val="0"/>
                <w:bCs w:val="0"/>
                <w:kern w:val="2"/>
                <w:sz w:val="24"/>
                <w:szCs w:val="24"/>
                <w:lang w:val="en-US" w:eastAsia="zh-CN" w:bidi="ar-SA"/>
              </w:rPr>
              <w:t>一、施工期</w:t>
            </w:r>
          </w:p>
          <w:p w14:paraId="19352A5B">
            <w:pPr>
              <w:pStyle w:val="7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b w:val="0"/>
                <w:bCs w:val="0"/>
                <w:kern w:val="2"/>
                <w:sz w:val="24"/>
                <w:szCs w:val="24"/>
                <w:lang w:val="en-US" w:eastAsia="zh-CN" w:bidi="ar-SA"/>
              </w:rPr>
            </w:pPr>
            <w:r>
              <w:rPr>
                <w:rFonts w:hint="default" w:ascii="Times New Roman" w:hAnsi="Times New Roman" w:eastAsia="宋体" w:cs="Times New Roman"/>
                <w:b w:val="0"/>
                <w:bCs w:val="0"/>
                <w:kern w:val="2"/>
                <w:sz w:val="24"/>
                <w:szCs w:val="24"/>
                <w:lang w:val="en-US" w:eastAsia="zh-CN" w:bidi="ar-SA"/>
              </w:rPr>
              <w:t>（1）施工期扬尘执行《大气污染物综合排放标准》（GB16297-1996）中无组织排放标准，颗粒物≤1mg/m</w:t>
            </w:r>
            <w:r>
              <w:rPr>
                <w:rFonts w:hint="default" w:ascii="Times New Roman" w:hAnsi="Times New Roman" w:cs="Times New Roman"/>
                <w:b w:val="0"/>
                <w:bCs w:val="0"/>
                <w:kern w:val="2"/>
                <w:sz w:val="24"/>
                <w:szCs w:val="24"/>
                <w:vertAlign w:val="superscript"/>
                <w:lang w:val="en-US" w:eastAsia="zh-CN" w:bidi="ar-SA"/>
              </w:rPr>
              <w:t>3</w:t>
            </w:r>
            <w:r>
              <w:rPr>
                <w:rFonts w:hint="default" w:ascii="Times New Roman" w:hAnsi="Times New Roman" w:eastAsia="宋体" w:cs="Times New Roman"/>
                <w:b w:val="0"/>
                <w:bCs w:val="0"/>
                <w:kern w:val="2"/>
                <w:sz w:val="24"/>
                <w:szCs w:val="24"/>
                <w:lang w:val="en-US" w:eastAsia="zh-CN" w:bidi="ar-SA"/>
              </w:rPr>
              <w:t>。</w:t>
            </w:r>
          </w:p>
          <w:p w14:paraId="3AF0BDC5">
            <w:pPr>
              <w:pStyle w:val="7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b w:val="0"/>
                <w:bCs w:val="0"/>
                <w:kern w:val="2"/>
                <w:sz w:val="24"/>
                <w:szCs w:val="24"/>
                <w:lang w:val="en-US" w:eastAsia="zh-CN" w:bidi="ar-SA"/>
              </w:rPr>
            </w:pPr>
            <w:r>
              <w:rPr>
                <w:rFonts w:hint="default" w:ascii="Times New Roman" w:hAnsi="Times New Roman" w:eastAsia="宋体" w:cs="Times New Roman"/>
                <w:b w:val="0"/>
                <w:bCs w:val="0"/>
                <w:kern w:val="2"/>
                <w:sz w:val="24"/>
                <w:szCs w:val="24"/>
                <w:lang w:val="en-US" w:eastAsia="zh-CN" w:bidi="ar-SA"/>
              </w:rPr>
              <w:t>（2）施工期噪声执行</w:t>
            </w:r>
            <w:r>
              <w:rPr>
                <w:rFonts w:hint="default" w:ascii="Times New Roman" w:hAnsi="Times New Roman" w:cs="Times New Roman"/>
                <w:b w:val="0"/>
                <w:bCs w:val="0"/>
                <w:kern w:val="2"/>
                <w:sz w:val="24"/>
                <w:szCs w:val="24"/>
                <w:lang w:val="en-US" w:eastAsia="zh-CN" w:bidi="ar-SA"/>
              </w:rPr>
              <w:t>《建筑施工噪声排放标准》（GB12523-2025）</w:t>
            </w:r>
            <w:r>
              <w:rPr>
                <w:rFonts w:hint="default" w:ascii="Times New Roman" w:hAnsi="Times New Roman" w:eastAsia="宋体" w:cs="Times New Roman"/>
                <w:b w:val="0"/>
                <w:bCs w:val="0"/>
                <w:kern w:val="2"/>
                <w:sz w:val="24"/>
                <w:szCs w:val="24"/>
                <w:lang w:val="en-US" w:eastAsia="zh-CN" w:bidi="ar-SA"/>
              </w:rPr>
              <w:t>中标准</w:t>
            </w:r>
            <w:r>
              <w:rPr>
                <w:rFonts w:hint="eastAsia" w:ascii="Times New Roman" w:hAnsi="Times New Roman" w:eastAsia="宋体" w:cs="Times New Roman"/>
                <w:b w:val="0"/>
                <w:bCs w:val="0"/>
                <w:color w:val="auto"/>
                <w:kern w:val="2"/>
                <w:sz w:val="24"/>
                <w:szCs w:val="24"/>
                <w:lang w:val="en-US" w:eastAsia="zh-CN" w:bidi="ar-SA"/>
              </w:rPr>
              <w:t>限值要求</w:t>
            </w:r>
            <w:r>
              <w:rPr>
                <w:rFonts w:hint="default" w:ascii="Times New Roman" w:hAnsi="Times New Roman" w:eastAsia="宋体" w:cs="Times New Roman"/>
                <w:b w:val="0"/>
                <w:bCs w:val="0"/>
                <w:color w:val="auto"/>
                <w:kern w:val="2"/>
                <w:sz w:val="24"/>
                <w:szCs w:val="24"/>
                <w:lang w:val="en-US" w:eastAsia="zh-CN" w:bidi="ar-SA"/>
              </w:rPr>
              <w:t>，</w:t>
            </w:r>
            <w:r>
              <w:rPr>
                <w:rFonts w:hint="default" w:ascii="Times New Roman" w:hAnsi="Times New Roman" w:eastAsia="宋体" w:cs="Times New Roman"/>
                <w:b w:val="0"/>
                <w:bCs w:val="0"/>
                <w:kern w:val="2"/>
                <w:sz w:val="24"/>
                <w:szCs w:val="24"/>
                <w:lang w:val="en-US" w:eastAsia="zh-CN" w:bidi="ar-SA"/>
              </w:rPr>
              <w:t>具体情况见下表</w:t>
            </w:r>
            <w:r>
              <w:rPr>
                <w:rFonts w:hint="default" w:ascii="Times New Roman" w:hAnsi="Times New Roman" w:cs="Times New Roman"/>
                <w:b w:val="0"/>
                <w:bCs w:val="0"/>
                <w:kern w:val="2"/>
                <w:sz w:val="24"/>
                <w:szCs w:val="24"/>
                <w:lang w:val="en-US" w:eastAsia="zh-CN" w:bidi="ar-SA"/>
              </w:rPr>
              <w:t>。</w:t>
            </w:r>
          </w:p>
          <w:p w14:paraId="72CCA4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0" w:firstLineChars="0"/>
              <w:jc w:val="center"/>
              <w:textAlignment w:val="auto"/>
              <w:rPr>
                <w:rFonts w:hint="default" w:ascii="Times New Roman" w:hAnsi="Times New Roman" w:eastAsia="新宋体" w:cs="Times New Roman"/>
                <w:kern w:val="0"/>
                <w:sz w:val="21"/>
                <w:szCs w:val="21"/>
                <w:lang w:val="en-US" w:eastAsia="zh-CN"/>
              </w:rPr>
            </w:pPr>
            <w:r>
              <w:rPr>
                <w:rFonts w:hint="default" w:ascii="Times New Roman" w:hAnsi="Times New Roman" w:eastAsia="新宋体" w:cs="Times New Roman"/>
                <w:b/>
                <w:bCs/>
                <w:kern w:val="0"/>
                <w:sz w:val="21"/>
                <w:szCs w:val="21"/>
                <w:lang w:val="en-US" w:eastAsia="zh-CN"/>
              </w:rPr>
              <w:t>表3-</w:t>
            </w:r>
            <w:r>
              <w:rPr>
                <w:rFonts w:hint="eastAsia" w:ascii="Times New Roman" w:hAnsi="Times New Roman" w:eastAsia="新宋体" w:cs="Times New Roman"/>
                <w:b/>
                <w:bCs/>
                <w:kern w:val="0"/>
                <w:sz w:val="21"/>
                <w:szCs w:val="21"/>
                <w:lang w:val="en-US" w:eastAsia="zh-CN"/>
              </w:rPr>
              <w:t>3</w:t>
            </w:r>
            <w:r>
              <w:rPr>
                <w:rFonts w:hint="default" w:ascii="Times New Roman" w:hAnsi="Times New Roman" w:eastAsia="新宋体" w:cs="Times New Roman"/>
                <w:b/>
                <w:bCs/>
                <w:kern w:val="0"/>
                <w:sz w:val="21"/>
                <w:szCs w:val="21"/>
                <w:lang w:val="en-US" w:eastAsia="zh-CN"/>
              </w:rPr>
              <w:t xml:space="preserve"> 建筑施工噪声排放标准限值 单位：dB（A）</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33"/>
              <w:gridCol w:w="4031"/>
            </w:tblGrid>
            <w:tr w14:paraId="12ABE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2"/>
                  <w:tcBorders>
                    <w:tl2br w:val="nil"/>
                    <w:tr2bl w:val="nil"/>
                  </w:tcBorders>
                  <w:noWrap w:val="0"/>
                  <w:vAlign w:val="center"/>
                </w:tcPr>
                <w:p w14:paraId="25E3638D">
                  <w:pPr>
                    <w:pStyle w:val="7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Style w:val="41"/>
                      <w:rFonts w:hint="default" w:ascii="Times New Roman" w:hAnsi="Times New Roman" w:eastAsia="宋体" w:cs="Times New Roman"/>
                      <w:color w:val="000000"/>
                      <w:sz w:val="21"/>
                      <w:szCs w:val="21"/>
                      <w:lang w:val="en-US" w:eastAsia="zh-CN"/>
                    </w:rPr>
                  </w:pPr>
                  <w:r>
                    <w:rPr>
                      <w:rStyle w:val="41"/>
                      <w:rFonts w:hint="default" w:ascii="Times New Roman" w:hAnsi="Times New Roman" w:eastAsia="宋体" w:cs="Times New Roman"/>
                      <w:color w:val="000000"/>
                      <w:sz w:val="21"/>
                      <w:szCs w:val="21"/>
                      <w:lang w:val="en-US" w:eastAsia="zh-CN"/>
                    </w:rPr>
                    <w:t>等效连续A声级Leq</w:t>
                  </w:r>
                </w:p>
              </w:tc>
            </w:tr>
            <w:tr w14:paraId="7BE49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69" w:type="pct"/>
                  <w:tcBorders>
                    <w:tl2br w:val="nil"/>
                    <w:tr2bl w:val="nil"/>
                  </w:tcBorders>
                  <w:noWrap w:val="0"/>
                  <w:vAlign w:val="center"/>
                </w:tcPr>
                <w:p w14:paraId="086A944B">
                  <w:pPr>
                    <w:pStyle w:val="7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Style w:val="41"/>
                      <w:rFonts w:hint="default" w:ascii="Times New Roman" w:hAnsi="Times New Roman" w:eastAsia="宋体" w:cs="Times New Roman"/>
                      <w:color w:val="000000"/>
                      <w:sz w:val="21"/>
                      <w:szCs w:val="21"/>
                      <w:lang w:val="en-US" w:eastAsia="zh-CN"/>
                    </w:rPr>
                  </w:pPr>
                  <w:r>
                    <w:rPr>
                      <w:rStyle w:val="41"/>
                      <w:rFonts w:hint="default" w:ascii="Times New Roman" w:hAnsi="Times New Roman" w:eastAsia="宋体" w:cs="Times New Roman"/>
                      <w:color w:val="000000"/>
                      <w:sz w:val="21"/>
                      <w:szCs w:val="21"/>
                      <w:lang w:val="en-US" w:eastAsia="zh-CN"/>
                    </w:rPr>
                    <w:t>昼间</w:t>
                  </w:r>
                </w:p>
              </w:tc>
              <w:tc>
                <w:tcPr>
                  <w:tcW w:w="2530" w:type="pct"/>
                  <w:tcBorders>
                    <w:tl2br w:val="nil"/>
                    <w:tr2bl w:val="nil"/>
                  </w:tcBorders>
                  <w:noWrap w:val="0"/>
                  <w:vAlign w:val="center"/>
                </w:tcPr>
                <w:p w14:paraId="3E097830">
                  <w:pPr>
                    <w:pStyle w:val="7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Style w:val="41"/>
                      <w:rFonts w:hint="default" w:ascii="Times New Roman" w:hAnsi="Times New Roman" w:eastAsia="宋体" w:cs="Times New Roman"/>
                      <w:color w:val="000000"/>
                      <w:sz w:val="21"/>
                      <w:szCs w:val="21"/>
                      <w:lang w:val="en-US" w:eastAsia="zh-CN"/>
                    </w:rPr>
                  </w:pPr>
                  <w:r>
                    <w:rPr>
                      <w:rStyle w:val="41"/>
                      <w:rFonts w:hint="default" w:ascii="Times New Roman" w:hAnsi="Times New Roman" w:eastAsia="宋体" w:cs="Times New Roman"/>
                      <w:color w:val="000000"/>
                      <w:sz w:val="21"/>
                      <w:szCs w:val="21"/>
                      <w:lang w:val="en-US" w:eastAsia="zh-CN"/>
                    </w:rPr>
                    <w:t>夜间</w:t>
                  </w:r>
                </w:p>
              </w:tc>
            </w:tr>
            <w:tr w14:paraId="1BFE5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69" w:type="pct"/>
                  <w:tcBorders>
                    <w:tl2br w:val="nil"/>
                    <w:tr2bl w:val="nil"/>
                  </w:tcBorders>
                  <w:noWrap w:val="0"/>
                  <w:vAlign w:val="center"/>
                </w:tcPr>
                <w:p w14:paraId="05E98879">
                  <w:pPr>
                    <w:pStyle w:val="7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Style w:val="41"/>
                      <w:rFonts w:hint="default" w:ascii="Times New Roman" w:hAnsi="Times New Roman" w:eastAsia="宋体" w:cs="Times New Roman"/>
                      <w:color w:val="000000"/>
                      <w:sz w:val="21"/>
                      <w:szCs w:val="21"/>
                      <w:lang w:val="en-US" w:eastAsia="zh-CN"/>
                    </w:rPr>
                  </w:pPr>
                  <w:r>
                    <w:rPr>
                      <w:rStyle w:val="41"/>
                      <w:rFonts w:hint="default" w:ascii="Times New Roman" w:hAnsi="Times New Roman" w:eastAsia="宋体" w:cs="Times New Roman"/>
                      <w:color w:val="000000"/>
                      <w:sz w:val="21"/>
                      <w:szCs w:val="21"/>
                      <w:lang w:val="en-US" w:eastAsia="zh-CN"/>
                    </w:rPr>
                    <w:t>70</w:t>
                  </w:r>
                </w:p>
              </w:tc>
              <w:tc>
                <w:tcPr>
                  <w:tcW w:w="2530" w:type="pct"/>
                  <w:tcBorders>
                    <w:tl2br w:val="nil"/>
                    <w:tr2bl w:val="nil"/>
                  </w:tcBorders>
                  <w:noWrap w:val="0"/>
                  <w:vAlign w:val="center"/>
                </w:tcPr>
                <w:p w14:paraId="59E9B831">
                  <w:pPr>
                    <w:pStyle w:val="7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Style w:val="41"/>
                      <w:rFonts w:hint="default" w:ascii="Times New Roman" w:hAnsi="Times New Roman" w:eastAsia="宋体" w:cs="Times New Roman"/>
                      <w:color w:val="000000"/>
                      <w:sz w:val="21"/>
                      <w:szCs w:val="21"/>
                      <w:lang w:val="en-US" w:eastAsia="zh-CN"/>
                    </w:rPr>
                  </w:pPr>
                  <w:r>
                    <w:rPr>
                      <w:rStyle w:val="41"/>
                      <w:rFonts w:hint="default" w:ascii="Times New Roman" w:hAnsi="Times New Roman" w:eastAsia="宋体" w:cs="Times New Roman"/>
                      <w:color w:val="000000"/>
                      <w:sz w:val="21"/>
                      <w:szCs w:val="21"/>
                      <w:lang w:val="en-US" w:eastAsia="zh-CN"/>
                    </w:rPr>
                    <w:t>55</w:t>
                  </w:r>
                </w:p>
              </w:tc>
            </w:tr>
          </w:tbl>
          <w:p w14:paraId="6995F74A">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left"/>
              <w:textAlignment w:val="auto"/>
              <w:rPr>
                <w:rFonts w:hint="default" w:ascii="Times New Roman" w:hAnsi="Times New Roman" w:cs="Times New Roman"/>
                <w:b w:val="0"/>
                <w:bCs w:val="0"/>
                <w:kern w:val="0"/>
                <w:sz w:val="24"/>
                <w:szCs w:val="24"/>
                <w:lang w:val="en-US" w:eastAsia="zh-CN" w:bidi="ar-SA"/>
              </w:rPr>
            </w:pPr>
            <w:r>
              <w:rPr>
                <w:rFonts w:hint="default" w:ascii="Times New Roman" w:hAnsi="Times New Roman" w:cs="Times New Roman"/>
                <w:b w:val="0"/>
                <w:bCs w:val="0"/>
                <w:kern w:val="0"/>
                <w:sz w:val="24"/>
                <w:szCs w:val="24"/>
                <w:lang w:val="en-US" w:eastAsia="zh-CN" w:bidi="ar-SA"/>
              </w:rPr>
              <w:t>二、运营期</w:t>
            </w:r>
          </w:p>
          <w:p w14:paraId="1BA46B78">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left"/>
              <w:textAlignment w:val="auto"/>
              <w:rPr>
                <w:rFonts w:hint="default" w:ascii="Times New Roman" w:hAnsi="Times New Roman" w:cs="Times New Roman"/>
                <w:b w:val="0"/>
                <w:bCs w:val="0"/>
                <w:kern w:val="0"/>
                <w:sz w:val="24"/>
                <w:szCs w:val="24"/>
                <w:lang w:val="en-US" w:eastAsia="zh-CN"/>
              </w:rPr>
            </w:pPr>
            <w:r>
              <w:rPr>
                <w:rFonts w:hint="default" w:ascii="Times New Roman" w:hAnsi="Times New Roman" w:cs="Times New Roman"/>
                <w:b w:val="0"/>
                <w:bCs w:val="0"/>
                <w:kern w:val="0"/>
                <w:sz w:val="24"/>
                <w:szCs w:val="24"/>
                <w:lang w:val="en-US" w:eastAsia="zh-CN" w:bidi="ar-SA"/>
              </w:rPr>
              <w:t>1.废气</w:t>
            </w:r>
          </w:p>
          <w:p w14:paraId="77BEBB54">
            <w:pPr>
              <w:pStyle w:val="69"/>
              <w:keepNext w:val="0"/>
              <w:keepLines w:val="0"/>
              <w:pageBreakBefore w:val="0"/>
              <w:widowControl/>
              <w:kinsoku/>
              <w:wordWrap/>
              <w:overflowPunct/>
              <w:topLinePunct w:val="0"/>
              <w:autoSpaceDE/>
              <w:autoSpaceDN/>
              <w:bidi w:val="0"/>
              <w:adjustRightInd w:val="0"/>
              <w:snapToGrid w:val="0"/>
              <w:spacing w:line="440" w:lineRule="exact"/>
              <w:ind w:firstLine="480"/>
              <w:textAlignment w:val="auto"/>
              <w:rPr>
                <w:rFonts w:hint="default" w:ascii="Times New Roman" w:hAnsi="Times New Roman" w:eastAsia="宋体" w:cs="Times New Roman"/>
                <w:b w:val="0"/>
                <w:bCs w:val="0"/>
                <w:color w:val="auto"/>
                <w:kern w:val="2"/>
                <w:sz w:val="24"/>
                <w:szCs w:val="24"/>
                <w:lang w:val="en-US" w:eastAsia="zh-CN" w:bidi="ar-SA"/>
              </w:rPr>
            </w:pPr>
            <w:r>
              <w:rPr>
                <w:rFonts w:hint="default" w:ascii="Times New Roman" w:hAnsi="Times New Roman" w:eastAsia="宋体" w:cs="Times New Roman"/>
                <w:b w:val="0"/>
                <w:bCs w:val="0"/>
                <w:color w:val="auto"/>
                <w:kern w:val="2"/>
                <w:sz w:val="24"/>
                <w:szCs w:val="24"/>
                <w:lang w:val="en-US" w:eastAsia="zh-CN" w:bidi="ar-SA"/>
              </w:rPr>
              <w:t>本项目废气污染物主要为颗粒物，废气排放浓度执行《煤炭工业污染物排放标准》（GB20426-2006）。</w:t>
            </w:r>
          </w:p>
          <w:p w14:paraId="159AFE07">
            <w:pPr>
              <w:pStyle w:val="73"/>
              <w:keepNext w:val="0"/>
              <w:keepLines w:val="0"/>
              <w:pageBreakBefore w:val="0"/>
              <w:widowControl/>
              <w:kinsoku/>
              <w:wordWrap/>
              <w:overflowPunct/>
              <w:topLinePunct w:val="0"/>
              <w:autoSpaceDE/>
              <w:autoSpaceDN/>
              <w:bidi w:val="0"/>
              <w:adjustRightInd w:val="0"/>
              <w:snapToGrid w:val="0"/>
              <w:spacing w:line="440" w:lineRule="exact"/>
              <w:textAlignment w:val="auto"/>
              <w:rPr>
                <w:rFonts w:hint="default" w:ascii="Times New Roman" w:hAnsi="Times New Roman" w:cs="Times New Roman"/>
                <w:color w:val="auto"/>
              </w:rPr>
            </w:pPr>
            <w:r>
              <w:rPr>
                <w:rFonts w:hint="default" w:ascii="Times New Roman" w:hAnsi="Times New Roman" w:cs="Times New Roman"/>
                <w:color w:val="auto"/>
              </w:rPr>
              <w:t>表3-</w:t>
            </w:r>
            <w:r>
              <w:rPr>
                <w:rFonts w:hint="eastAsia" w:ascii="Times New Roman" w:hAnsi="Times New Roman" w:cs="Times New Roman"/>
                <w:color w:val="auto"/>
                <w:lang w:val="en-US" w:eastAsia="zh-CN"/>
              </w:rPr>
              <w:t>4</w:t>
            </w:r>
            <w:r>
              <w:rPr>
                <w:rFonts w:hint="default" w:ascii="Times New Roman" w:hAnsi="Times New Roman" w:cs="Times New Roman"/>
                <w:color w:val="auto"/>
              </w:rPr>
              <w:t xml:space="preserve"> </w:t>
            </w:r>
            <w:r>
              <w:rPr>
                <w:rFonts w:hint="eastAsia" w:ascii="Times New Roman" w:hAnsi="Times New Roman" w:cs="Times New Roman"/>
                <w:color w:val="auto"/>
                <w:lang w:val="en-US" w:eastAsia="zh-CN"/>
              </w:rPr>
              <w:t xml:space="preserve">  </w:t>
            </w:r>
            <w:r>
              <w:rPr>
                <w:rFonts w:hint="default" w:ascii="Times New Roman" w:hAnsi="Times New Roman" w:cs="Times New Roman"/>
                <w:color w:val="auto"/>
              </w:rPr>
              <w:t>《煤炭工业污染物排放标准》（GB20426</w:t>
            </w:r>
            <w:r>
              <w:rPr>
                <w:rFonts w:hint="eastAsia" w:ascii="Times New Roman" w:hAnsi="Times New Roman" w:cs="Times New Roman"/>
                <w:color w:val="auto"/>
                <w:lang w:val="en-US" w:eastAsia="zh-CN"/>
              </w:rPr>
              <w:t>-</w:t>
            </w:r>
            <w:r>
              <w:rPr>
                <w:rFonts w:hint="default" w:ascii="Times New Roman" w:hAnsi="Times New Roman" w:cs="Times New Roman"/>
                <w:color w:val="auto"/>
              </w:rPr>
              <w:t>2006）</w:t>
            </w:r>
          </w:p>
          <w:tbl>
            <w:tblPr>
              <w:tblStyle w:val="2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9"/>
              <w:gridCol w:w="2929"/>
              <w:gridCol w:w="3703"/>
            </w:tblGrid>
            <w:tr w14:paraId="63362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35" w:type="pct"/>
                  <w:vMerge w:val="restart"/>
                  <w:tcBorders>
                    <w:tl2br w:val="nil"/>
                    <w:tr2bl w:val="nil"/>
                  </w:tcBorders>
                  <w:noWrap w:val="0"/>
                  <w:vAlign w:val="center"/>
                </w:tcPr>
                <w:p w14:paraId="7950480D">
                  <w:pPr>
                    <w:pStyle w:val="52"/>
                    <w:jc w:val="center"/>
                    <w:rPr>
                      <w:rFonts w:hint="default" w:ascii="Times New Roman" w:hAnsi="Times New Roman" w:cs="Times New Roman"/>
                      <w:color w:val="auto"/>
                    </w:rPr>
                  </w:pPr>
                  <w:r>
                    <w:rPr>
                      <w:rFonts w:hint="default" w:ascii="Times New Roman" w:hAnsi="Times New Roman" w:cs="Times New Roman"/>
                      <w:color w:val="auto"/>
                    </w:rPr>
                    <w:t>控制项目</w:t>
                  </w:r>
                </w:p>
              </w:tc>
              <w:tc>
                <w:tcPr>
                  <w:tcW w:w="1839" w:type="pct"/>
                  <w:tcBorders>
                    <w:tl2br w:val="nil"/>
                    <w:tr2bl w:val="nil"/>
                  </w:tcBorders>
                  <w:noWrap w:val="0"/>
                  <w:vAlign w:val="center"/>
                </w:tcPr>
                <w:p w14:paraId="7D261CE5">
                  <w:pPr>
                    <w:pStyle w:val="52"/>
                    <w:jc w:val="center"/>
                    <w:rPr>
                      <w:rFonts w:hint="default" w:ascii="Times New Roman" w:hAnsi="Times New Roman" w:cs="Times New Roman"/>
                      <w:color w:val="auto"/>
                    </w:rPr>
                  </w:pPr>
                  <w:r>
                    <w:rPr>
                      <w:rFonts w:hint="default" w:ascii="Times New Roman" w:hAnsi="Times New Roman" w:cs="Times New Roman"/>
                      <w:color w:val="auto"/>
                    </w:rPr>
                    <w:t>煤炭工业所属装卸场所</w:t>
                  </w:r>
                </w:p>
              </w:tc>
              <w:tc>
                <w:tcPr>
                  <w:tcW w:w="2324" w:type="pct"/>
                  <w:tcBorders>
                    <w:tl2br w:val="nil"/>
                    <w:tr2bl w:val="nil"/>
                  </w:tcBorders>
                  <w:noWrap w:val="0"/>
                  <w:vAlign w:val="center"/>
                </w:tcPr>
                <w:p w14:paraId="11D9965F">
                  <w:pPr>
                    <w:pStyle w:val="52"/>
                    <w:jc w:val="center"/>
                    <w:rPr>
                      <w:rFonts w:hint="default" w:ascii="Times New Roman" w:hAnsi="Times New Roman" w:eastAsia="宋体" w:cs="Times New Roman"/>
                      <w:color w:val="auto"/>
                      <w:sz w:val="21"/>
                      <w:lang w:val="en-US" w:eastAsia="zh-CN" w:bidi="ar-SA"/>
                    </w:rPr>
                  </w:pPr>
                  <w:r>
                    <w:rPr>
                      <w:rFonts w:hint="default" w:ascii="Times New Roman" w:hAnsi="Times New Roman" w:cs="Times New Roman"/>
                      <w:color w:val="auto"/>
                    </w:rPr>
                    <w:t>煤炭</w:t>
                  </w:r>
                  <w:r>
                    <w:rPr>
                      <w:rFonts w:hint="eastAsia" w:ascii="Times New Roman" w:hAnsi="Times New Roman" w:cs="Times New Roman"/>
                      <w:color w:val="auto"/>
                      <w:lang w:val="en-US" w:eastAsia="zh-CN"/>
                    </w:rPr>
                    <w:t>贮存场所、煤矸石堆置场</w:t>
                  </w:r>
                </w:p>
              </w:tc>
            </w:tr>
            <w:tr w14:paraId="3C2F6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35" w:type="pct"/>
                  <w:vMerge w:val="continue"/>
                  <w:tcBorders>
                    <w:tl2br w:val="nil"/>
                    <w:tr2bl w:val="nil"/>
                  </w:tcBorders>
                  <w:noWrap w:val="0"/>
                  <w:vAlign w:val="center"/>
                </w:tcPr>
                <w:p w14:paraId="631EFD73">
                  <w:pPr>
                    <w:pStyle w:val="52"/>
                    <w:jc w:val="center"/>
                    <w:rPr>
                      <w:rFonts w:hint="default" w:ascii="Times New Roman" w:hAnsi="Times New Roman" w:cs="Times New Roman"/>
                      <w:color w:val="auto"/>
                    </w:rPr>
                  </w:pPr>
                </w:p>
              </w:tc>
              <w:tc>
                <w:tcPr>
                  <w:tcW w:w="4164" w:type="pct"/>
                  <w:gridSpan w:val="2"/>
                  <w:tcBorders>
                    <w:tl2br w:val="nil"/>
                    <w:tr2bl w:val="nil"/>
                  </w:tcBorders>
                  <w:noWrap w:val="0"/>
                  <w:vAlign w:val="center"/>
                </w:tcPr>
                <w:p w14:paraId="4B190FFF">
                  <w:pPr>
                    <w:pStyle w:val="52"/>
                    <w:jc w:val="center"/>
                    <w:rPr>
                      <w:rFonts w:hint="default" w:ascii="Times New Roman" w:hAnsi="Times New Roman" w:eastAsia="宋体" w:cs="Times New Roman"/>
                      <w:color w:val="auto"/>
                      <w:sz w:val="21"/>
                      <w:lang w:val="en-US" w:eastAsia="zh-CN" w:bidi="ar-SA"/>
                    </w:rPr>
                  </w:pPr>
                  <w:r>
                    <w:rPr>
                      <w:rFonts w:hint="default" w:ascii="Times New Roman" w:hAnsi="Times New Roman" w:cs="Times New Roman"/>
                      <w:color w:val="auto"/>
                    </w:rPr>
                    <w:t>无组织排放限值（mg/Nm</w:t>
                  </w:r>
                  <w:r>
                    <w:rPr>
                      <w:rFonts w:hint="default" w:ascii="Times New Roman" w:hAnsi="Times New Roman" w:cs="Times New Roman"/>
                      <w:color w:val="auto"/>
                      <w:vertAlign w:val="superscript"/>
                    </w:rPr>
                    <w:t>3</w:t>
                  </w:r>
                  <w:r>
                    <w:rPr>
                      <w:rFonts w:hint="default" w:ascii="Times New Roman" w:hAnsi="Times New Roman" w:cs="Times New Roman"/>
                      <w:color w:val="auto"/>
                    </w:rPr>
                    <w:t>）（监控点与参考点浓度）</w:t>
                  </w:r>
                </w:p>
              </w:tc>
            </w:tr>
            <w:tr w14:paraId="6B049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35" w:type="pct"/>
                  <w:tcBorders>
                    <w:tl2br w:val="nil"/>
                    <w:tr2bl w:val="nil"/>
                  </w:tcBorders>
                  <w:noWrap w:val="0"/>
                  <w:vAlign w:val="center"/>
                </w:tcPr>
                <w:p w14:paraId="1C393EF9">
                  <w:pPr>
                    <w:pStyle w:val="52"/>
                    <w:jc w:val="center"/>
                    <w:rPr>
                      <w:rFonts w:hint="default" w:ascii="Times New Roman" w:hAnsi="Times New Roman" w:cs="Times New Roman"/>
                      <w:color w:val="auto"/>
                    </w:rPr>
                  </w:pPr>
                  <w:r>
                    <w:rPr>
                      <w:rFonts w:hint="default" w:ascii="Times New Roman" w:hAnsi="Times New Roman" w:cs="Times New Roman"/>
                      <w:color w:val="auto"/>
                    </w:rPr>
                    <w:t>颗粒物</w:t>
                  </w:r>
                </w:p>
              </w:tc>
              <w:tc>
                <w:tcPr>
                  <w:tcW w:w="1839" w:type="pct"/>
                  <w:tcBorders>
                    <w:tl2br w:val="nil"/>
                    <w:tr2bl w:val="nil"/>
                  </w:tcBorders>
                  <w:noWrap w:val="0"/>
                  <w:vAlign w:val="center"/>
                </w:tcPr>
                <w:p w14:paraId="156C4578">
                  <w:pPr>
                    <w:pStyle w:val="52"/>
                    <w:jc w:val="center"/>
                    <w:rPr>
                      <w:rFonts w:hint="default" w:ascii="Times New Roman" w:hAnsi="Times New Roman" w:cs="Times New Roman"/>
                      <w:color w:val="auto"/>
                    </w:rPr>
                  </w:pPr>
                  <w:r>
                    <w:rPr>
                      <w:rFonts w:hint="default" w:ascii="Times New Roman" w:hAnsi="Times New Roman" w:cs="Times New Roman"/>
                      <w:color w:val="auto"/>
                    </w:rPr>
                    <w:t>1.0</w:t>
                  </w:r>
                </w:p>
              </w:tc>
              <w:tc>
                <w:tcPr>
                  <w:tcW w:w="2324" w:type="pct"/>
                  <w:tcBorders>
                    <w:tl2br w:val="nil"/>
                    <w:tr2bl w:val="nil"/>
                  </w:tcBorders>
                  <w:noWrap w:val="0"/>
                  <w:vAlign w:val="center"/>
                </w:tcPr>
                <w:p w14:paraId="627764F6">
                  <w:pPr>
                    <w:pStyle w:val="52"/>
                    <w:jc w:val="center"/>
                    <w:rPr>
                      <w:rFonts w:hint="default" w:ascii="Times New Roman" w:hAnsi="Times New Roman" w:eastAsia="宋体" w:cs="Times New Roman"/>
                      <w:color w:val="auto"/>
                      <w:sz w:val="21"/>
                      <w:lang w:val="en-US" w:eastAsia="zh-CN" w:bidi="ar-SA"/>
                    </w:rPr>
                  </w:pPr>
                  <w:r>
                    <w:rPr>
                      <w:rFonts w:hint="default" w:ascii="Times New Roman" w:hAnsi="Times New Roman" w:cs="Times New Roman"/>
                      <w:color w:val="auto"/>
                    </w:rPr>
                    <w:t>1.0</w:t>
                  </w:r>
                </w:p>
              </w:tc>
            </w:tr>
          </w:tbl>
          <w:p w14:paraId="6987418C">
            <w:pPr>
              <w:pStyle w:val="2"/>
              <w:keepNext w:val="0"/>
              <w:keepLines w:val="0"/>
              <w:pageBreakBefore w:val="0"/>
              <w:widowControl w:val="0"/>
              <w:kinsoku/>
              <w:wordWrap/>
              <w:overflowPunct/>
              <w:topLinePunct w:val="0"/>
              <w:autoSpaceDE/>
              <w:autoSpaceDN/>
              <w:bidi w:val="0"/>
              <w:spacing w:line="440" w:lineRule="exact"/>
              <w:textAlignment w:val="auto"/>
              <w:rPr>
                <w:rFonts w:hint="default" w:ascii="Times New Roman" w:hAnsi="Times New Roman" w:eastAsia="宋体" w:cs="Times New Roman"/>
                <w:sz w:val="24"/>
                <w:szCs w:val="24"/>
                <w:vertAlign w:val="baseline"/>
                <w:lang w:val="en-US" w:eastAsia="zh-CN"/>
              </w:rPr>
            </w:pPr>
            <w:r>
              <w:rPr>
                <w:rFonts w:hint="eastAsia" w:ascii="Times New Roman" w:hAnsi="Times New Roman" w:cs="Times New Roman"/>
                <w:sz w:val="24"/>
                <w:szCs w:val="24"/>
                <w:lang w:val="en-US" w:eastAsia="zh-CN"/>
              </w:rPr>
              <w:t>厂界非甲烷总烃无组织排放监控浓度限值执行《大气污染物综合排放标准》（GB16297-1996）表2新污染源大气污染物排放限值，</w:t>
            </w:r>
            <w:r>
              <w:rPr>
                <w:rFonts w:hint="eastAsia" w:ascii="Times New Roman" w:hAnsi="Times New Roman" w:eastAsia="宋体" w:cs="Times New Roman"/>
                <w:sz w:val="24"/>
                <w:szCs w:val="24"/>
                <w:lang w:val="en-US" w:eastAsia="zh-CN"/>
              </w:rPr>
              <w:t>即≤4.0</w:t>
            </w:r>
            <w:r>
              <w:rPr>
                <w:rFonts w:hint="default" w:ascii="Times New Roman" w:hAnsi="Times New Roman" w:eastAsia="宋体" w:cs="Times New Roman"/>
                <w:sz w:val="24"/>
                <w:szCs w:val="24"/>
                <w:lang w:val="en-US" w:eastAsia="zh-CN"/>
              </w:rPr>
              <w:t>mg/m</w:t>
            </w:r>
            <w:r>
              <w:rPr>
                <w:rFonts w:hint="default" w:ascii="Times New Roman" w:hAnsi="Times New Roman" w:eastAsia="宋体" w:cs="Times New Roman"/>
                <w:sz w:val="24"/>
                <w:szCs w:val="24"/>
                <w:vertAlign w:val="superscript"/>
                <w:lang w:val="en-US" w:eastAsia="zh-CN"/>
              </w:rPr>
              <w:t>3</w:t>
            </w:r>
            <w:r>
              <w:rPr>
                <w:rFonts w:hint="eastAsia" w:ascii="Times New Roman" w:hAnsi="Times New Roman" w:eastAsia="宋体" w:cs="Times New Roman"/>
                <w:sz w:val="24"/>
                <w:szCs w:val="24"/>
                <w:vertAlign w:val="baseline"/>
                <w:lang w:val="en-US" w:eastAsia="zh-CN"/>
              </w:rPr>
              <w:t>。</w:t>
            </w:r>
          </w:p>
          <w:p w14:paraId="70A1F518">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cs="Times New Roman"/>
                <w:kern w:val="0"/>
                <w:sz w:val="24"/>
                <w:szCs w:val="24"/>
                <w:lang w:val="en-US" w:eastAsia="zh-CN"/>
              </w:rPr>
            </w:pPr>
            <w:r>
              <w:rPr>
                <w:rFonts w:hint="default" w:ascii="Times New Roman" w:hAnsi="Times New Roman" w:cs="Times New Roman"/>
                <w:kern w:val="0"/>
                <w:sz w:val="24"/>
                <w:szCs w:val="24"/>
                <w:lang w:val="en-US" w:eastAsia="zh-CN" w:bidi="ar-SA"/>
              </w:rPr>
              <w:t>2、</w:t>
            </w:r>
            <w:r>
              <w:rPr>
                <w:rFonts w:hint="default" w:ascii="Times New Roman" w:hAnsi="Times New Roman" w:cs="Times New Roman"/>
                <w:kern w:val="0"/>
                <w:sz w:val="24"/>
                <w:szCs w:val="24"/>
                <w:lang w:val="en-US" w:eastAsia="zh-CN"/>
              </w:rPr>
              <w:t>噪声</w:t>
            </w:r>
          </w:p>
          <w:p w14:paraId="278C0482">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厂界噪声执行《工业企业厂界环境噪声排放标准》（GB12348-2008）3类标准。</w:t>
            </w:r>
          </w:p>
          <w:p w14:paraId="31DAC6A4">
            <w:pPr>
              <w:keepNext/>
              <w:keepLines w:val="0"/>
              <w:pageBreakBefore w:val="0"/>
              <w:widowControl/>
              <w:kinsoku/>
              <w:wordWrap/>
              <w:overflowPunct/>
              <w:topLinePunct w:val="0"/>
              <w:autoSpaceDE/>
              <w:autoSpaceDN/>
              <w:bidi w:val="0"/>
              <w:adjustRightInd/>
              <w:snapToGrid w:val="0"/>
              <w:spacing w:line="440" w:lineRule="exact"/>
              <w:ind w:left="0" w:firstLine="0" w:firstLineChars="0"/>
              <w:jc w:val="center"/>
              <w:textAlignment w:val="auto"/>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表</w:t>
            </w:r>
            <w:r>
              <w:rPr>
                <w:rFonts w:hint="default" w:ascii="Times New Roman" w:hAnsi="Times New Roman" w:eastAsia="宋体" w:cs="Times New Roman"/>
                <w:b/>
                <w:color w:val="auto"/>
                <w:sz w:val="21"/>
                <w:szCs w:val="21"/>
                <w:lang w:val="en-US" w:eastAsia="zh-CN"/>
              </w:rPr>
              <w:t>3-</w:t>
            </w:r>
            <w:r>
              <w:rPr>
                <w:rFonts w:hint="eastAsia" w:ascii="Times New Roman" w:hAnsi="Times New Roman" w:eastAsia="宋体" w:cs="Times New Roman"/>
                <w:b/>
                <w:color w:val="auto"/>
                <w:sz w:val="21"/>
                <w:szCs w:val="21"/>
                <w:lang w:val="en-US" w:eastAsia="zh-CN"/>
              </w:rPr>
              <w:t>5</w:t>
            </w:r>
            <w:r>
              <w:rPr>
                <w:rFonts w:hint="default" w:ascii="Times New Roman" w:hAnsi="Times New Roman" w:eastAsia="宋体" w:cs="Times New Roman"/>
                <w:b/>
                <w:color w:val="auto"/>
                <w:sz w:val="21"/>
                <w:szCs w:val="21"/>
                <w:lang w:val="en-US" w:eastAsia="zh-CN"/>
              </w:rPr>
              <w:t xml:space="preserve"> </w:t>
            </w:r>
            <w:r>
              <w:rPr>
                <w:rFonts w:hint="eastAsia" w:ascii="Times New Roman" w:hAnsi="Times New Roman" w:eastAsia="宋体" w:cs="Times New Roman"/>
                <w:b/>
                <w:color w:val="auto"/>
                <w:sz w:val="21"/>
                <w:szCs w:val="21"/>
                <w:lang w:val="en-US" w:eastAsia="zh-CN"/>
              </w:rPr>
              <w:t xml:space="preserve">  </w:t>
            </w:r>
            <w:r>
              <w:rPr>
                <w:rFonts w:hint="default" w:ascii="Times New Roman" w:hAnsi="Times New Roman" w:eastAsia="宋体" w:cs="Times New Roman"/>
                <w:b/>
                <w:color w:val="auto"/>
                <w:sz w:val="21"/>
                <w:szCs w:val="21"/>
                <w:lang w:val="en-US" w:eastAsia="zh-CN"/>
              </w:rPr>
              <w:t xml:space="preserve"> </w:t>
            </w:r>
            <w:r>
              <w:rPr>
                <w:rFonts w:hint="default" w:ascii="Times New Roman" w:hAnsi="Times New Roman" w:eastAsia="宋体" w:cs="Times New Roman"/>
                <w:b/>
                <w:color w:val="auto"/>
                <w:sz w:val="21"/>
                <w:szCs w:val="21"/>
              </w:rPr>
              <w:t>噪声排放标准</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71"/>
              <w:gridCol w:w="856"/>
              <w:gridCol w:w="1345"/>
              <w:gridCol w:w="1342"/>
              <w:gridCol w:w="3650"/>
            </w:tblGrid>
            <w:tr w14:paraId="76502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76" w:type="dxa"/>
                  <w:vMerge w:val="restart"/>
                  <w:tcBorders>
                    <w:tl2br w:val="nil"/>
                    <w:tr2bl w:val="nil"/>
                  </w:tcBorders>
                  <w:noWrap w:val="0"/>
                  <w:vAlign w:val="center"/>
                </w:tcPr>
                <w:p w14:paraId="1073B4B2">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类别</w:t>
                  </w:r>
                </w:p>
              </w:tc>
              <w:tc>
                <w:tcPr>
                  <w:tcW w:w="978" w:type="dxa"/>
                  <w:vMerge w:val="restart"/>
                  <w:tcBorders>
                    <w:tl2br w:val="nil"/>
                    <w:tr2bl w:val="nil"/>
                  </w:tcBorders>
                  <w:noWrap w:val="0"/>
                  <w:vAlign w:val="center"/>
                </w:tcPr>
                <w:p w14:paraId="272E6279">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时段</w:t>
                  </w:r>
                </w:p>
              </w:tc>
              <w:tc>
                <w:tcPr>
                  <w:tcW w:w="2911" w:type="dxa"/>
                  <w:gridSpan w:val="2"/>
                  <w:tcBorders>
                    <w:tl2br w:val="nil"/>
                    <w:tr2bl w:val="nil"/>
                  </w:tcBorders>
                  <w:noWrap w:val="0"/>
                  <w:vAlign w:val="center"/>
                </w:tcPr>
                <w:p w14:paraId="3139E3BA">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标准值</w:t>
                  </w:r>
                </w:p>
              </w:tc>
              <w:tc>
                <w:tcPr>
                  <w:tcW w:w="4015" w:type="dxa"/>
                  <w:vMerge w:val="restart"/>
                  <w:tcBorders>
                    <w:tl2br w:val="nil"/>
                    <w:tr2bl w:val="nil"/>
                  </w:tcBorders>
                  <w:noWrap w:val="0"/>
                  <w:vAlign w:val="center"/>
                </w:tcPr>
                <w:p w14:paraId="055F3B39">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执行标准</w:t>
                  </w:r>
                </w:p>
              </w:tc>
            </w:tr>
            <w:tr w14:paraId="475E4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76" w:type="dxa"/>
                  <w:vMerge w:val="continue"/>
                  <w:tcBorders>
                    <w:tl2br w:val="nil"/>
                    <w:tr2bl w:val="nil"/>
                  </w:tcBorders>
                  <w:noWrap w:val="0"/>
                  <w:vAlign w:val="center"/>
                </w:tcPr>
                <w:p w14:paraId="64D25F3F">
                  <w:pPr>
                    <w:jc w:val="center"/>
                    <w:rPr>
                      <w:rFonts w:hint="default" w:ascii="Times New Roman" w:hAnsi="Times New Roman" w:eastAsia="宋体" w:cs="Times New Roman"/>
                      <w:color w:val="auto"/>
                      <w:kern w:val="0"/>
                      <w:sz w:val="21"/>
                      <w:szCs w:val="21"/>
                    </w:rPr>
                  </w:pPr>
                </w:p>
              </w:tc>
              <w:tc>
                <w:tcPr>
                  <w:tcW w:w="978" w:type="dxa"/>
                  <w:vMerge w:val="continue"/>
                  <w:tcBorders>
                    <w:tl2br w:val="nil"/>
                    <w:tr2bl w:val="nil"/>
                  </w:tcBorders>
                  <w:noWrap w:val="0"/>
                  <w:vAlign w:val="center"/>
                </w:tcPr>
                <w:p w14:paraId="525001D2">
                  <w:pPr>
                    <w:jc w:val="center"/>
                    <w:rPr>
                      <w:rFonts w:hint="default" w:ascii="Times New Roman" w:hAnsi="Times New Roman" w:eastAsia="宋体" w:cs="Times New Roman"/>
                      <w:color w:val="auto"/>
                      <w:kern w:val="0"/>
                      <w:sz w:val="21"/>
                      <w:szCs w:val="21"/>
                    </w:rPr>
                  </w:pPr>
                </w:p>
              </w:tc>
              <w:tc>
                <w:tcPr>
                  <w:tcW w:w="1457" w:type="dxa"/>
                  <w:tcBorders>
                    <w:tl2br w:val="nil"/>
                    <w:tr2bl w:val="nil"/>
                  </w:tcBorders>
                  <w:noWrap w:val="0"/>
                  <w:vAlign w:val="center"/>
                </w:tcPr>
                <w:p w14:paraId="701AA2F9">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昼间</w:t>
                  </w:r>
                </w:p>
              </w:tc>
              <w:tc>
                <w:tcPr>
                  <w:tcW w:w="1454" w:type="dxa"/>
                  <w:tcBorders>
                    <w:tl2br w:val="nil"/>
                    <w:tr2bl w:val="nil"/>
                  </w:tcBorders>
                  <w:noWrap w:val="0"/>
                  <w:vAlign w:val="center"/>
                </w:tcPr>
                <w:p w14:paraId="646935D3">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夜间</w:t>
                  </w:r>
                </w:p>
              </w:tc>
              <w:tc>
                <w:tcPr>
                  <w:tcW w:w="4015" w:type="dxa"/>
                  <w:vMerge w:val="continue"/>
                  <w:tcBorders>
                    <w:tl2br w:val="nil"/>
                    <w:tr2bl w:val="nil"/>
                  </w:tcBorders>
                  <w:noWrap w:val="0"/>
                  <w:vAlign w:val="center"/>
                </w:tcPr>
                <w:p w14:paraId="0838817E">
                  <w:pPr>
                    <w:jc w:val="center"/>
                    <w:rPr>
                      <w:rFonts w:hint="default" w:ascii="Times New Roman" w:hAnsi="Times New Roman" w:eastAsia="宋体" w:cs="Times New Roman"/>
                      <w:color w:val="auto"/>
                      <w:kern w:val="0"/>
                      <w:sz w:val="21"/>
                      <w:szCs w:val="21"/>
                    </w:rPr>
                  </w:pPr>
                </w:p>
              </w:tc>
            </w:tr>
            <w:tr w14:paraId="61862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76" w:type="dxa"/>
                  <w:tcBorders>
                    <w:tl2br w:val="nil"/>
                    <w:tr2bl w:val="nil"/>
                  </w:tcBorders>
                  <w:noWrap w:val="0"/>
                  <w:vAlign w:val="center"/>
                </w:tcPr>
                <w:p w14:paraId="4FA0327E">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营运期</w:t>
                  </w:r>
                </w:p>
              </w:tc>
              <w:tc>
                <w:tcPr>
                  <w:tcW w:w="978" w:type="dxa"/>
                  <w:tcBorders>
                    <w:tl2br w:val="nil"/>
                    <w:tr2bl w:val="nil"/>
                  </w:tcBorders>
                  <w:noWrap w:val="0"/>
                  <w:vAlign w:val="center"/>
                </w:tcPr>
                <w:p w14:paraId="3CE0B121">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厂界</w:t>
                  </w:r>
                </w:p>
              </w:tc>
              <w:tc>
                <w:tcPr>
                  <w:tcW w:w="1457" w:type="dxa"/>
                  <w:tcBorders>
                    <w:tl2br w:val="nil"/>
                    <w:tr2bl w:val="nil"/>
                  </w:tcBorders>
                  <w:noWrap w:val="0"/>
                  <w:vAlign w:val="center"/>
                </w:tcPr>
                <w:p w14:paraId="5A785B07">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6</w:t>
                  </w:r>
                  <w:r>
                    <w:rPr>
                      <w:rFonts w:hint="eastAsia" w:ascii="Times New Roman" w:hAnsi="Times New Roman" w:eastAsia="宋体" w:cs="Times New Roman"/>
                      <w:color w:val="auto"/>
                      <w:kern w:val="0"/>
                      <w:sz w:val="21"/>
                      <w:szCs w:val="21"/>
                      <w:lang w:val="en-US" w:eastAsia="zh-CN"/>
                    </w:rPr>
                    <w:t>5</w:t>
                  </w:r>
                  <w:r>
                    <w:rPr>
                      <w:rFonts w:hint="default" w:ascii="Times New Roman" w:hAnsi="Times New Roman" w:eastAsia="宋体" w:cs="Times New Roman"/>
                      <w:color w:val="auto"/>
                      <w:kern w:val="0"/>
                      <w:sz w:val="21"/>
                      <w:szCs w:val="21"/>
                    </w:rPr>
                    <w:t>dB(A)</w:t>
                  </w:r>
                </w:p>
              </w:tc>
              <w:tc>
                <w:tcPr>
                  <w:tcW w:w="1454" w:type="dxa"/>
                  <w:tcBorders>
                    <w:tl2br w:val="nil"/>
                    <w:tr2bl w:val="nil"/>
                  </w:tcBorders>
                  <w:noWrap w:val="0"/>
                  <w:vAlign w:val="center"/>
                </w:tcPr>
                <w:p w14:paraId="30AB3A05">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5</w:t>
                  </w:r>
                  <w:r>
                    <w:rPr>
                      <w:rFonts w:hint="eastAsia" w:ascii="Times New Roman" w:hAnsi="Times New Roman" w:eastAsia="宋体" w:cs="Times New Roman"/>
                      <w:color w:val="auto"/>
                      <w:kern w:val="0"/>
                      <w:sz w:val="21"/>
                      <w:szCs w:val="21"/>
                      <w:lang w:val="en-US" w:eastAsia="zh-CN"/>
                    </w:rPr>
                    <w:t>5</w:t>
                  </w:r>
                  <w:r>
                    <w:rPr>
                      <w:rFonts w:hint="default" w:ascii="Times New Roman" w:hAnsi="Times New Roman" w:eastAsia="宋体" w:cs="Times New Roman"/>
                      <w:color w:val="auto"/>
                      <w:kern w:val="0"/>
                      <w:sz w:val="21"/>
                      <w:szCs w:val="21"/>
                    </w:rPr>
                    <w:t>dB(A)</w:t>
                  </w:r>
                </w:p>
              </w:tc>
              <w:tc>
                <w:tcPr>
                  <w:tcW w:w="4015" w:type="dxa"/>
                  <w:tcBorders>
                    <w:tl2br w:val="nil"/>
                    <w:tr2bl w:val="nil"/>
                  </w:tcBorders>
                  <w:noWrap w:val="0"/>
                  <w:vAlign w:val="center"/>
                </w:tcPr>
                <w:p w14:paraId="6DFB7174">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《工业企业厂界环境噪声排放标准》</w:t>
                  </w:r>
                  <w:r>
                    <w:rPr>
                      <w:rFonts w:hint="default" w:ascii="Times New Roman" w:hAnsi="Times New Roman" w:eastAsia="宋体" w:cs="Times New Roman"/>
                      <w:color w:val="auto"/>
                      <w:kern w:val="0"/>
                      <w:sz w:val="21"/>
                      <w:szCs w:val="21"/>
                      <w:lang w:eastAsia="zh-CN"/>
                    </w:rPr>
                    <w:t>（</w:t>
                  </w:r>
                  <w:r>
                    <w:rPr>
                      <w:rFonts w:hint="default" w:ascii="Times New Roman" w:hAnsi="Times New Roman" w:eastAsia="宋体" w:cs="Times New Roman"/>
                      <w:color w:val="auto"/>
                      <w:kern w:val="0"/>
                      <w:sz w:val="21"/>
                      <w:szCs w:val="21"/>
                    </w:rPr>
                    <w:t>GB12348-2008</w:t>
                  </w:r>
                  <w:r>
                    <w:rPr>
                      <w:rFonts w:hint="default" w:ascii="Times New Roman" w:hAnsi="Times New Roman" w:eastAsia="宋体" w:cs="Times New Roman"/>
                      <w:color w:val="auto"/>
                      <w:kern w:val="0"/>
                      <w:sz w:val="21"/>
                      <w:szCs w:val="21"/>
                      <w:lang w:eastAsia="zh-CN"/>
                    </w:rPr>
                    <w:t>）</w:t>
                  </w:r>
                  <w:r>
                    <w:rPr>
                      <w:rFonts w:hint="eastAsia" w:ascii="Times New Roman" w:hAnsi="Times New Roman" w:eastAsia="宋体" w:cs="Times New Roman"/>
                      <w:color w:val="auto"/>
                      <w:kern w:val="0"/>
                      <w:sz w:val="21"/>
                      <w:szCs w:val="21"/>
                      <w:lang w:val="en-US" w:eastAsia="zh-CN"/>
                    </w:rPr>
                    <w:t>3</w:t>
                  </w:r>
                  <w:r>
                    <w:rPr>
                      <w:rFonts w:hint="default" w:ascii="Times New Roman" w:hAnsi="Times New Roman" w:eastAsia="宋体" w:cs="Times New Roman"/>
                      <w:color w:val="auto"/>
                      <w:kern w:val="0"/>
                      <w:sz w:val="21"/>
                      <w:szCs w:val="21"/>
                    </w:rPr>
                    <w:t>类标准</w:t>
                  </w:r>
                </w:p>
              </w:tc>
            </w:tr>
          </w:tbl>
          <w:p w14:paraId="2AA5F6DC">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3、固体废物</w:t>
            </w:r>
          </w:p>
          <w:p w14:paraId="2644932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一般工业固体废物贮存过程应满足相应防渗漏、防雨淋、防扬尘等环境保护要求；危险废物贮存执行《危险废物贮存污染控制标准》（GB18597-2023）和《危险废物收集 贮存 运输技术规范》（HJ2025-2012）。</w:t>
            </w:r>
          </w:p>
          <w:p w14:paraId="55C0279D">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4、废水</w:t>
            </w:r>
          </w:p>
          <w:p w14:paraId="5C4A11BD">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kern w:val="0"/>
                <w:sz w:val="24"/>
                <w:lang w:bidi="ar"/>
              </w:rPr>
            </w:pPr>
            <w:r>
              <w:rPr>
                <w:rFonts w:hint="default" w:ascii="Times New Roman" w:hAnsi="Times New Roman" w:eastAsia="宋体" w:cs="Times New Roman"/>
                <w:color w:val="auto"/>
                <w:kern w:val="0"/>
                <w:sz w:val="24"/>
                <w:szCs w:val="24"/>
                <w:lang w:val="en-US" w:eastAsia="zh-CN" w:bidi="ar"/>
              </w:rPr>
              <w:t>本项目生产废水循环使用，不外排；生活污水经</w:t>
            </w:r>
            <w:r>
              <w:rPr>
                <w:rFonts w:hint="eastAsia" w:ascii="Times New Roman" w:hAnsi="Times New Roman" w:eastAsia="宋体" w:cs="Times New Roman"/>
                <w:color w:val="auto"/>
                <w:kern w:val="0"/>
                <w:sz w:val="24"/>
                <w:szCs w:val="24"/>
                <w:lang w:val="en-US" w:eastAsia="zh-CN" w:bidi="ar"/>
              </w:rPr>
              <w:t>一体化污水处理设施</w:t>
            </w:r>
            <w:r>
              <w:rPr>
                <w:rFonts w:hint="default" w:ascii="Times New Roman" w:hAnsi="Times New Roman" w:eastAsia="宋体" w:cs="Times New Roman"/>
                <w:color w:val="auto"/>
                <w:kern w:val="0"/>
                <w:sz w:val="24"/>
                <w:szCs w:val="24"/>
                <w:lang w:val="en-US" w:eastAsia="zh-CN" w:bidi="ar"/>
              </w:rPr>
              <w:t>处理后，</w:t>
            </w:r>
            <w:r>
              <w:rPr>
                <w:rFonts w:hint="default" w:ascii="Times New Roman" w:hAnsi="Times New Roman" w:eastAsia="宋体" w:cs="Times New Roman"/>
                <w:color w:val="auto"/>
                <w:kern w:val="0"/>
                <w:sz w:val="24"/>
                <w:szCs w:val="24"/>
                <w:highlight w:val="none"/>
                <w:lang w:val="en-US" w:eastAsia="zh-CN" w:bidi="ar-SA"/>
              </w:rPr>
              <w:t>达到《农村生活污水处理排放标准》（DB654275-2019）表2的B级标准，</w:t>
            </w:r>
            <w:r>
              <w:rPr>
                <w:rFonts w:hint="eastAsia" w:ascii="Times New Roman" w:hAnsi="Times New Roman" w:eastAsia="宋体" w:cs="Times New Roman"/>
                <w:b w:val="0"/>
                <w:bCs w:val="0"/>
                <w:kern w:val="2"/>
                <w:sz w:val="24"/>
                <w:szCs w:val="24"/>
                <w:lang w:val="en-US" w:eastAsia="zh-CN" w:bidi="ar-SA"/>
              </w:rPr>
              <w:t>冬储夏灌，</w:t>
            </w:r>
            <w:r>
              <w:rPr>
                <w:rFonts w:hint="default" w:ascii="Times New Roman" w:hAnsi="Times New Roman" w:eastAsia="宋体" w:cs="Times New Roman"/>
                <w:color w:val="auto"/>
                <w:kern w:val="0"/>
                <w:sz w:val="24"/>
                <w:szCs w:val="24"/>
                <w:highlight w:val="none"/>
                <w:lang w:val="en-US" w:eastAsia="zh-CN" w:bidi="ar-SA"/>
              </w:rPr>
              <w:t>用于荒漠灌溉。</w:t>
            </w:r>
          </w:p>
          <w:p w14:paraId="3B9ED1DE">
            <w:pPr>
              <w:spacing w:line="440" w:lineRule="exact"/>
              <w:jc w:val="center"/>
              <w:rPr>
                <w:rFonts w:hint="default" w:ascii="Times New Roman" w:hAnsi="Times New Roman" w:eastAsia="宋体" w:cs="Times New Roman"/>
                <w:b/>
                <w:color w:val="auto"/>
                <w:sz w:val="21"/>
                <w:szCs w:val="21"/>
                <w:lang w:val="en-US" w:eastAsia="zh-CN"/>
              </w:rPr>
            </w:pPr>
            <w:r>
              <w:rPr>
                <w:rFonts w:hint="default" w:ascii="Times New Roman" w:hAnsi="Times New Roman" w:eastAsia="宋体" w:cs="Times New Roman"/>
                <w:b/>
                <w:bCs/>
                <w:color w:val="auto"/>
                <w:sz w:val="21"/>
                <w:szCs w:val="21"/>
                <w:lang w:val="en-US" w:eastAsia="zh-CN"/>
              </w:rPr>
              <w:t>表3-</w:t>
            </w:r>
            <w:r>
              <w:rPr>
                <w:rFonts w:hint="eastAsia" w:ascii="Times New Roman" w:hAnsi="Times New Roman" w:eastAsia="宋体" w:cs="Times New Roman"/>
                <w:b/>
                <w:bCs/>
                <w:color w:val="auto"/>
                <w:sz w:val="21"/>
                <w:szCs w:val="21"/>
                <w:lang w:val="en-US" w:eastAsia="zh-CN"/>
              </w:rPr>
              <w:t>6</w:t>
            </w:r>
            <w:r>
              <w:rPr>
                <w:rFonts w:hint="default" w:ascii="Times New Roman" w:hAnsi="Times New Roman" w:eastAsia="宋体" w:cs="Times New Roman"/>
                <w:b/>
                <w:bCs/>
                <w:color w:val="auto"/>
                <w:sz w:val="21"/>
                <w:szCs w:val="21"/>
                <w:lang w:val="en-US" w:eastAsia="zh-CN"/>
              </w:rPr>
              <w:t xml:space="preserve">    </w:t>
            </w:r>
            <w:r>
              <w:rPr>
                <w:rFonts w:hint="eastAsia" w:ascii="Times New Roman" w:hAnsi="Times New Roman" w:eastAsia="宋体" w:cs="Times New Roman"/>
                <w:b/>
                <w:color w:val="auto"/>
                <w:sz w:val="21"/>
                <w:szCs w:val="21"/>
                <w:lang w:val="en-US" w:eastAsia="zh-CN"/>
              </w:rPr>
              <w:t>生活污水</w:t>
            </w:r>
            <w:r>
              <w:rPr>
                <w:rFonts w:hint="default" w:ascii="Times New Roman" w:hAnsi="Times New Roman" w:eastAsia="宋体" w:cs="Times New Roman"/>
                <w:b/>
                <w:color w:val="auto"/>
                <w:sz w:val="21"/>
                <w:szCs w:val="21"/>
                <w:lang w:val="en-US" w:eastAsia="zh-CN"/>
              </w:rPr>
              <w:t>排放标准</w:t>
            </w:r>
          </w:p>
          <w:tbl>
            <w:tblPr>
              <w:tblStyle w:val="2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961"/>
              <w:gridCol w:w="1236"/>
              <w:gridCol w:w="892"/>
              <w:gridCol w:w="843"/>
              <w:gridCol w:w="4029"/>
            </w:tblGrid>
            <w:tr w14:paraId="54263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03" w:type="pct"/>
                  <w:noWrap w:val="0"/>
                  <w:vAlign w:val="center"/>
                </w:tcPr>
                <w:p w14:paraId="2C0AEA98">
                  <w:pPr>
                    <w:pStyle w:val="1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污染源</w:t>
                  </w:r>
                </w:p>
              </w:tc>
              <w:tc>
                <w:tcPr>
                  <w:tcW w:w="776" w:type="pct"/>
                  <w:noWrap w:val="0"/>
                  <w:vAlign w:val="center"/>
                </w:tcPr>
                <w:p w14:paraId="5A3DBEC4">
                  <w:pPr>
                    <w:pStyle w:val="1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项目</w:t>
                  </w:r>
                </w:p>
              </w:tc>
              <w:tc>
                <w:tcPr>
                  <w:tcW w:w="560" w:type="pct"/>
                  <w:noWrap w:val="0"/>
                  <w:vAlign w:val="center"/>
                </w:tcPr>
                <w:p w14:paraId="058397EE">
                  <w:pPr>
                    <w:pStyle w:val="1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排放限值</w:t>
                  </w:r>
                </w:p>
              </w:tc>
              <w:tc>
                <w:tcPr>
                  <w:tcW w:w="529" w:type="pct"/>
                  <w:noWrap w:val="0"/>
                  <w:vAlign w:val="center"/>
                </w:tcPr>
                <w:p w14:paraId="470C9F63">
                  <w:pPr>
                    <w:pStyle w:val="1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单位</w:t>
                  </w:r>
                </w:p>
              </w:tc>
              <w:tc>
                <w:tcPr>
                  <w:tcW w:w="2529" w:type="pct"/>
                  <w:noWrap w:val="0"/>
                  <w:vAlign w:val="center"/>
                </w:tcPr>
                <w:p w14:paraId="0620DA72">
                  <w:pPr>
                    <w:pStyle w:val="1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标准来源</w:t>
                  </w:r>
                </w:p>
              </w:tc>
            </w:tr>
            <w:tr w14:paraId="1D635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03" w:type="pct"/>
                  <w:vMerge w:val="restart"/>
                  <w:noWrap w:val="0"/>
                  <w:vAlign w:val="center"/>
                </w:tcPr>
                <w:p w14:paraId="31D6EA39">
                  <w:pPr>
                    <w:pStyle w:val="1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生活污水</w:t>
                  </w:r>
                </w:p>
              </w:tc>
              <w:tc>
                <w:tcPr>
                  <w:tcW w:w="776" w:type="pct"/>
                  <w:noWrap w:val="0"/>
                  <w:vAlign w:val="center"/>
                </w:tcPr>
                <w:p w14:paraId="797C1367">
                  <w:pPr>
                    <w:pStyle w:val="1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pH值</w:t>
                  </w:r>
                </w:p>
              </w:tc>
              <w:tc>
                <w:tcPr>
                  <w:tcW w:w="560" w:type="pct"/>
                  <w:noWrap w:val="0"/>
                  <w:vAlign w:val="center"/>
                </w:tcPr>
                <w:p w14:paraId="0AA0DC03">
                  <w:pPr>
                    <w:pStyle w:val="1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6-9</w:t>
                  </w:r>
                </w:p>
              </w:tc>
              <w:tc>
                <w:tcPr>
                  <w:tcW w:w="529" w:type="pct"/>
                  <w:noWrap w:val="0"/>
                  <w:vAlign w:val="center"/>
                </w:tcPr>
                <w:p w14:paraId="064B4976">
                  <w:pPr>
                    <w:pStyle w:val="1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无量纲</w:t>
                  </w:r>
                </w:p>
              </w:tc>
              <w:tc>
                <w:tcPr>
                  <w:tcW w:w="2529" w:type="pct"/>
                  <w:vMerge w:val="restart"/>
                  <w:noWrap w:val="0"/>
                  <w:vAlign w:val="center"/>
                </w:tcPr>
                <w:p w14:paraId="7FBFBF1A">
                  <w:pPr>
                    <w:pStyle w:val="1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《农村生活污水处理排放标准》（DB654275-2019）表2的B级标准</w:t>
                  </w:r>
                </w:p>
              </w:tc>
            </w:tr>
            <w:tr w14:paraId="02EFE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03" w:type="pct"/>
                  <w:vMerge w:val="continue"/>
                  <w:noWrap w:val="0"/>
                  <w:vAlign w:val="top"/>
                </w:tcPr>
                <w:p w14:paraId="140CFA34">
                  <w:pPr>
                    <w:pStyle w:val="1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 w:val="21"/>
                      <w:szCs w:val="21"/>
                      <w:highlight w:val="none"/>
                    </w:rPr>
                  </w:pPr>
                </w:p>
              </w:tc>
              <w:tc>
                <w:tcPr>
                  <w:tcW w:w="776" w:type="pct"/>
                  <w:noWrap w:val="0"/>
                  <w:vAlign w:val="center"/>
                </w:tcPr>
                <w:p w14:paraId="33AE168A">
                  <w:pPr>
                    <w:pStyle w:val="1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化学需氧量</w:t>
                  </w:r>
                </w:p>
              </w:tc>
              <w:tc>
                <w:tcPr>
                  <w:tcW w:w="560" w:type="pct"/>
                  <w:noWrap w:val="0"/>
                  <w:vAlign w:val="center"/>
                </w:tcPr>
                <w:p w14:paraId="385B034D">
                  <w:pPr>
                    <w:pStyle w:val="1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180</w:t>
                  </w:r>
                </w:p>
              </w:tc>
              <w:tc>
                <w:tcPr>
                  <w:tcW w:w="529" w:type="pct"/>
                  <w:noWrap w:val="0"/>
                  <w:vAlign w:val="center"/>
                </w:tcPr>
                <w:p w14:paraId="3B3C15B1">
                  <w:pPr>
                    <w:pStyle w:val="1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mg/L</w:t>
                  </w:r>
                </w:p>
              </w:tc>
              <w:tc>
                <w:tcPr>
                  <w:tcW w:w="2529" w:type="pct"/>
                  <w:vMerge w:val="continue"/>
                  <w:noWrap w:val="0"/>
                  <w:vAlign w:val="top"/>
                </w:tcPr>
                <w:p w14:paraId="4725DFC4">
                  <w:pPr>
                    <w:adjustRightInd w:val="0"/>
                    <w:spacing w:line="0" w:lineRule="atLeast"/>
                    <w:jc w:val="center"/>
                    <w:rPr>
                      <w:rFonts w:hint="eastAsia" w:hAnsi="宋体" w:cs="宋体"/>
                      <w:color w:val="auto"/>
                      <w:spacing w:val="-10"/>
                      <w:szCs w:val="21"/>
                      <w:highlight w:val="none"/>
                      <w:lang w:bidi="ar"/>
                    </w:rPr>
                  </w:pPr>
                </w:p>
              </w:tc>
            </w:tr>
            <w:tr w14:paraId="36E04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03" w:type="pct"/>
                  <w:vMerge w:val="continue"/>
                  <w:noWrap w:val="0"/>
                  <w:vAlign w:val="top"/>
                </w:tcPr>
                <w:p w14:paraId="0882CD6A">
                  <w:pPr>
                    <w:pStyle w:val="1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 w:val="21"/>
                      <w:szCs w:val="21"/>
                      <w:highlight w:val="none"/>
                    </w:rPr>
                  </w:pPr>
                </w:p>
              </w:tc>
              <w:tc>
                <w:tcPr>
                  <w:tcW w:w="776" w:type="pct"/>
                  <w:noWrap w:val="0"/>
                  <w:vAlign w:val="center"/>
                </w:tcPr>
                <w:p w14:paraId="7F4A12DC">
                  <w:pPr>
                    <w:pStyle w:val="1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悬浮物</w:t>
                  </w:r>
                </w:p>
              </w:tc>
              <w:tc>
                <w:tcPr>
                  <w:tcW w:w="560" w:type="pct"/>
                  <w:noWrap w:val="0"/>
                  <w:vAlign w:val="center"/>
                </w:tcPr>
                <w:p w14:paraId="4E694EFD">
                  <w:pPr>
                    <w:pStyle w:val="1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90</w:t>
                  </w:r>
                </w:p>
              </w:tc>
              <w:tc>
                <w:tcPr>
                  <w:tcW w:w="529" w:type="pct"/>
                  <w:noWrap w:val="0"/>
                  <w:vAlign w:val="center"/>
                </w:tcPr>
                <w:p w14:paraId="48930627">
                  <w:pPr>
                    <w:pStyle w:val="1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mg/L</w:t>
                  </w:r>
                </w:p>
              </w:tc>
              <w:tc>
                <w:tcPr>
                  <w:tcW w:w="2529" w:type="pct"/>
                  <w:vMerge w:val="continue"/>
                  <w:noWrap w:val="0"/>
                  <w:vAlign w:val="top"/>
                </w:tcPr>
                <w:p w14:paraId="0E3EB39A">
                  <w:pPr>
                    <w:adjustRightInd w:val="0"/>
                    <w:spacing w:line="0" w:lineRule="atLeast"/>
                    <w:jc w:val="center"/>
                    <w:rPr>
                      <w:rFonts w:hint="eastAsia" w:hAnsi="宋体" w:cs="宋体"/>
                      <w:color w:val="auto"/>
                      <w:spacing w:val="-10"/>
                      <w:szCs w:val="21"/>
                      <w:highlight w:val="none"/>
                      <w:lang w:bidi="ar"/>
                    </w:rPr>
                  </w:pPr>
                </w:p>
              </w:tc>
            </w:tr>
            <w:tr w14:paraId="627D7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03" w:type="pct"/>
                  <w:vMerge w:val="continue"/>
                  <w:noWrap w:val="0"/>
                  <w:vAlign w:val="top"/>
                </w:tcPr>
                <w:p w14:paraId="0B44BD80">
                  <w:pPr>
                    <w:pStyle w:val="1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 w:val="21"/>
                      <w:szCs w:val="21"/>
                      <w:highlight w:val="none"/>
                    </w:rPr>
                  </w:pPr>
                </w:p>
              </w:tc>
              <w:tc>
                <w:tcPr>
                  <w:tcW w:w="776" w:type="pct"/>
                  <w:noWrap w:val="0"/>
                  <w:vAlign w:val="center"/>
                </w:tcPr>
                <w:p w14:paraId="5D3A2958">
                  <w:pPr>
                    <w:pStyle w:val="1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粪大肠菌群</w:t>
                  </w:r>
                </w:p>
              </w:tc>
              <w:tc>
                <w:tcPr>
                  <w:tcW w:w="560" w:type="pct"/>
                  <w:noWrap w:val="0"/>
                  <w:vAlign w:val="center"/>
                </w:tcPr>
                <w:p w14:paraId="7BD09279">
                  <w:pPr>
                    <w:pStyle w:val="1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40000</w:t>
                  </w:r>
                </w:p>
              </w:tc>
              <w:tc>
                <w:tcPr>
                  <w:tcW w:w="529" w:type="pct"/>
                  <w:noWrap w:val="0"/>
                  <w:vAlign w:val="center"/>
                </w:tcPr>
                <w:p w14:paraId="7F99F3F4">
                  <w:pPr>
                    <w:pStyle w:val="1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MPN/L</w:t>
                  </w:r>
                </w:p>
              </w:tc>
              <w:tc>
                <w:tcPr>
                  <w:tcW w:w="2529" w:type="pct"/>
                  <w:vMerge w:val="continue"/>
                  <w:noWrap w:val="0"/>
                  <w:vAlign w:val="top"/>
                </w:tcPr>
                <w:p w14:paraId="7B31454F">
                  <w:pPr>
                    <w:adjustRightInd w:val="0"/>
                    <w:spacing w:line="0" w:lineRule="atLeast"/>
                    <w:jc w:val="center"/>
                    <w:rPr>
                      <w:rFonts w:hint="eastAsia" w:hAnsi="宋体" w:cs="宋体"/>
                      <w:color w:val="auto"/>
                      <w:spacing w:val="-10"/>
                      <w:szCs w:val="21"/>
                      <w:highlight w:val="none"/>
                      <w:lang w:bidi="ar"/>
                    </w:rPr>
                  </w:pPr>
                </w:p>
              </w:tc>
            </w:tr>
            <w:tr w14:paraId="1759C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03" w:type="pct"/>
                  <w:vMerge w:val="continue"/>
                  <w:noWrap w:val="0"/>
                  <w:vAlign w:val="top"/>
                </w:tcPr>
                <w:p w14:paraId="20B8DCED">
                  <w:pPr>
                    <w:pStyle w:val="1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 w:val="21"/>
                      <w:szCs w:val="21"/>
                      <w:highlight w:val="none"/>
                    </w:rPr>
                  </w:pPr>
                </w:p>
              </w:tc>
              <w:tc>
                <w:tcPr>
                  <w:tcW w:w="776" w:type="pct"/>
                  <w:noWrap w:val="0"/>
                  <w:vAlign w:val="center"/>
                </w:tcPr>
                <w:p w14:paraId="3CF7C489">
                  <w:pPr>
                    <w:pStyle w:val="1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蛔虫卵个数</w:t>
                  </w:r>
                </w:p>
              </w:tc>
              <w:tc>
                <w:tcPr>
                  <w:tcW w:w="560" w:type="pct"/>
                  <w:noWrap w:val="0"/>
                  <w:vAlign w:val="center"/>
                </w:tcPr>
                <w:p w14:paraId="26AED909">
                  <w:pPr>
                    <w:pStyle w:val="1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2</w:t>
                  </w:r>
                </w:p>
              </w:tc>
              <w:tc>
                <w:tcPr>
                  <w:tcW w:w="529" w:type="pct"/>
                  <w:noWrap w:val="0"/>
                  <w:vAlign w:val="center"/>
                </w:tcPr>
                <w:p w14:paraId="793A1626">
                  <w:pPr>
                    <w:pStyle w:val="1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个/L</w:t>
                  </w:r>
                </w:p>
              </w:tc>
              <w:tc>
                <w:tcPr>
                  <w:tcW w:w="2529" w:type="pct"/>
                  <w:vMerge w:val="continue"/>
                  <w:noWrap w:val="0"/>
                  <w:vAlign w:val="top"/>
                </w:tcPr>
                <w:p w14:paraId="4EBFD3EB">
                  <w:pPr>
                    <w:adjustRightInd w:val="0"/>
                    <w:spacing w:line="0" w:lineRule="atLeast"/>
                    <w:jc w:val="center"/>
                    <w:rPr>
                      <w:rFonts w:hint="eastAsia" w:hAnsi="宋体" w:cs="宋体"/>
                      <w:color w:val="auto"/>
                      <w:spacing w:val="-10"/>
                      <w:szCs w:val="21"/>
                      <w:highlight w:val="none"/>
                      <w:lang w:bidi="ar"/>
                    </w:rPr>
                  </w:pPr>
                </w:p>
              </w:tc>
            </w:tr>
          </w:tbl>
          <w:p w14:paraId="6C73227B">
            <w:pPr>
              <w:pStyle w:val="2"/>
              <w:rPr>
                <w:rFonts w:hint="default"/>
                <w:lang w:val="en-US" w:eastAsia="zh-CN"/>
              </w:rPr>
            </w:pPr>
          </w:p>
          <w:p w14:paraId="47B1ECF8">
            <w:pPr>
              <w:pStyle w:val="2"/>
              <w:numPr>
                <w:ilvl w:val="0"/>
                <w:numId w:val="0"/>
              </w:numPr>
              <w:rPr>
                <w:rFonts w:hint="default"/>
                <w:lang w:val="en-US" w:eastAsia="zh-CN"/>
              </w:rPr>
            </w:pPr>
          </w:p>
        </w:tc>
      </w:tr>
      <w:tr w14:paraId="55C12A3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30" w:hRule="atLeast"/>
          <w:jc w:val="center"/>
        </w:trPr>
        <w:tc>
          <w:tcPr>
            <w:tcW w:w="800" w:type="dxa"/>
            <w:noWrap w:val="0"/>
            <w:vAlign w:val="center"/>
          </w:tcPr>
          <w:p w14:paraId="6963A408">
            <w:pPr>
              <w:adjustRightInd w:val="0"/>
              <w:snapToGrid w:val="0"/>
              <w:jc w:val="center"/>
              <w:rPr>
                <w:rFonts w:hint="eastAsia" w:ascii="宋体" w:hAnsi="宋体" w:cs="宋体"/>
                <w:kern w:val="0"/>
                <w:sz w:val="24"/>
                <w:szCs w:val="24"/>
              </w:rPr>
            </w:pPr>
            <w:r>
              <w:rPr>
                <w:rFonts w:hint="eastAsia" w:ascii="宋体" w:hAnsi="宋体" w:cs="宋体"/>
                <w:kern w:val="0"/>
                <w:sz w:val="24"/>
                <w:szCs w:val="24"/>
              </w:rPr>
              <w:t>总量</w:t>
            </w:r>
          </w:p>
          <w:p w14:paraId="667ABDD5">
            <w:pPr>
              <w:adjustRightInd w:val="0"/>
              <w:snapToGrid w:val="0"/>
              <w:jc w:val="center"/>
              <w:rPr>
                <w:rFonts w:hint="eastAsia" w:ascii="宋体" w:hAnsi="宋体" w:cs="宋体"/>
                <w:kern w:val="0"/>
                <w:sz w:val="24"/>
                <w:szCs w:val="24"/>
              </w:rPr>
            </w:pPr>
            <w:r>
              <w:rPr>
                <w:rFonts w:hint="eastAsia" w:ascii="宋体" w:hAnsi="宋体" w:cs="宋体"/>
                <w:kern w:val="0"/>
                <w:sz w:val="24"/>
                <w:szCs w:val="24"/>
              </w:rPr>
              <w:t>控制</w:t>
            </w:r>
          </w:p>
          <w:p w14:paraId="5E876C35">
            <w:pPr>
              <w:adjustRightInd w:val="0"/>
              <w:snapToGrid w:val="0"/>
              <w:jc w:val="center"/>
              <w:rPr>
                <w:rFonts w:ascii="宋体" w:hAnsi="宋体" w:cs="宋体"/>
                <w:kern w:val="0"/>
                <w:szCs w:val="21"/>
              </w:rPr>
            </w:pPr>
            <w:r>
              <w:rPr>
                <w:rFonts w:hint="eastAsia" w:ascii="宋体" w:hAnsi="宋体" w:cs="宋体"/>
                <w:kern w:val="0"/>
                <w:sz w:val="24"/>
                <w:szCs w:val="24"/>
              </w:rPr>
              <w:t>指标</w:t>
            </w:r>
          </w:p>
        </w:tc>
        <w:tc>
          <w:tcPr>
            <w:tcW w:w="8190" w:type="dxa"/>
            <w:noWrap w:val="0"/>
            <w:vAlign w:val="center"/>
          </w:tcPr>
          <w:p w14:paraId="26967D7F">
            <w:pPr>
              <w:adjustRightInd w:val="0"/>
              <w:snapToGrid w:val="0"/>
              <w:spacing w:line="360" w:lineRule="auto"/>
              <w:jc w:val="center"/>
              <w:rPr>
                <w:rFonts w:hint="eastAsia" w:ascii="宋体" w:hAnsi="宋体" w:eastAsia="宋体" w:cs="宋体"/>
                <w:kern w:val="0"/>
                <w:sz w:val="24"/>
                <w:szCs w:val="24"/>
                <w:lang w:val="en-US" w:eastAsia="zh-CN"/>
              </w:rPr>
            </w:pPr>
            <w:r>
              <w:rPr>
                <w:rFonts w:hint="eastAsia" w:ascii="宋体" w:hAnsi="宋体" w:cs="宋体"/>
                <w:kern w:val="0"/>
                <w:sz w:val="24"/>
                <w:szCs w:val="24"/>
                <w:lang w:val="en-US" w:eastAsia="zh-CN"/>
              </w:rPr>
              <w:t>无</w:t>
            </w:r>
          </w:p>
        </w:tc>
      </w:tr>
    </w:tbl>
    <w:p w14:paraId="49AEAA0C">
      <w:pPr>
        <w:pStyle w:val="21"/>
        <w:jc w:val="center"/>
        <w:outlineLvl w:val="0"/>
        <w:rPr>
          <w:rFonts w:ascii="黑体" w:hAnsi="黑体" w:eastAsia="黑体"/>
          <w:snapToGrid w:val="0"/>
          <w:sz w:val="30"/>
          <w:szCs w:val="30"/>
        </w:rPr>
      </w:pPr>
      <w:r>
        <w:rPr>
          <w:rFonts w:ascii="黑体" w:hAnsi="黑体" w:eastAsia="黑体"/>
          <w:snapToGrid w:val="0"/>
          <w:sz w:val="36"/>
          <w:szCs w:val="36"/>
        </w:rPr>
        <w:br w:type="page"/>
      </w:r>
      <w:r>
        <w:rPr>
          <w:rFonts w:hint="eastAsia" w:ascii="黑体" w:hAnsi="黑体" w:eastAsia="黑体"/>
          <w:snapToGrid w:val="0"/>
          <w:sz w:val="30"/>
          <w:szCs w:val="30"/>
        </w:rPr>
        <w:t>四、主要环境影响和保护措施</w:t>
      </w:r>
    </w:p>
    <w:tbl>
      <w:tblPr>
        <w:tblStyle w:val="25"/>
        <w:tblW w:w="890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804"/>
        <w:gridCol w:w="8104"/>
      </w:tblGrid>
      <w:tr w14:paraId="512EAC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49" w:hRule="atLeast"/>
          <w:jc w:val="center"/>
        </w:trPr>
        <w:tc>
          <w:tcPr>
            <w:tcW w:w="814" w:type="dxa"/>
            <w:noWrap w:val="0"/>
            <w:tcMar>
              <w:left w:w="28" w:type="dxa"/>
              <w:right w:w="28" w:type="dxa"/>
            </w:tcMar>
            <w:vAlign w:val="center"/>
          </w:tcPr>
          <w:p w14:paraId="35DA3F3B">
            <w:pPr>
              <w:pStyle w:val="21"/>
              <w:adjustRightInd w:val="0"/>
              <w:snapToGrid w:val="0"/>
              <w:spacing w:before="0" w:beforeAutospacing="0" w:after="0" w:afterAutospacing="0"/>
              <w:jc w:val="center"/>
              <w:rPr>
                <w:rFonts w:hint="eastAsia" w:cs="宋体"/>
                <w:kern w:val="2"/>
                <w:sz w:val="24"/>
                <w:szCs w:val="24"/>
              </w:rPr>
            </w:pPr>
            <w:r>
              <w:rPr>
                <w:rFonts w:hint="eastAsia" w:cs="宋体"/>
                <w:kern w:val="2"/>
                <w:sz w:val="24"/>
                <w:szCs w:val="24"/>
              </w:rPr>
              <w:t>施工</w:t>
            </w:r>
          </w:p>
          <w:p w14:paraId="34DFEB26">
            <w:pPr>
              <w:pStyle w:val="21"/>
              <w:adjustRightInd w:val="0"/>
              <w:snapToGrid w:val="0"/>
              <w:spacing w:before="0" w:beforeAutospacing="0" w:after="0" w:afterAutospacing="0"/>
              <w:jc w:val="center"/>
              <w:rPr>
                <w:rFonts w:hint="eastAsia" w:cs="宋体"/>
                <w:kern w:val="2"/>
                <w:sz w:val="24"/>
                <w:szCs w:val="24"/>
              </w:rPr>
            </w:pPr>
            <w:r>
              <w:rPr>
                <w:rFonts w:hint="eastAsia" w:cs="宋体"/>
                <w:kern w:val="2"/>
                <w:sz w:val="24"/>
                <w:szCs w:val="24"/>
              </w:rPr>
              <w:t>期环</w:t>
            </w:r>
          </w:p>
          <w:p w14:paraId="1DA9AEC0">
            <w:pPr>
              <w:pStyle w:val="21"/>
              <w:adjustRightInd w:val="0"/>
              <w:snapToGrid w:val="0"/>
              <w:spacing w:before="0" w:beforeAutospacing="0" w:after="0" w:afterAutospacing="0"/>
              <w:jc w:val="center"/>
              <w:rPr>
                <w:rFonts w:hint="eastAsia" w:cs="宋体"/>
                <w:kern w:val="2"/>
                <w:sz w:val="24"/>
                <w:szCs w:val="24"/>
              </w:rPr>
            </w:pPr>
            <w:r>
              <w:rPr>
                <w:rFonts w:hint="eastAsia" w:cs="宋体"/>
                <w:kern w:val="2"/>
                <w:sz w:val="24"/>
                <w:szCs w:val="24"/>
              </w:rPr>
              <w:t>境保</w:t>
            </w:r>
          </w:p>
          <w:p w14:paraId="1E97B0B2">
            <w:pPr>
              <w:pStyle w:val="21"/>
              <w:adjustRightInd w:val="0"/>
              <w:snapToGrid w:val="0"/>
              <w:spacing w:before="0" w:beforeAutospacing="0" w:after="0" w:afterAutospacing="0"/>
              <w:jc w:val="center"/>
              <w:rPr>
                <w:rFonts w:hint="eastAsia" w:cs="宋体"/>
                <w:kern w:val="2"/>
                <w:sz w:val="24"/>
                <w:szCs w:val="24"/>
              </w:rPr>
            </w:pPr>
            <w:r>
              <w:rPr>
                <w:rFonts w:hint="eastAsia" w:cs="宋体"/>
                <w:kern w:val="2"/>
                <w:sz w:val="24"/>
                <w:szCs w:val="24"/>
              </w:rPr>
              <w:t>护措</w:t>
            </w:r>
          </w:p>
          <w:p w14:paraId="10ABD4A1">
            <w:pPr>
              <w:pStyle w:val="21"/>
              <w:adjustRightInd w:val="0"/>
              <w:snapToGrid w:val="0"/>
              <w:spacing w:before="0" w:beforeAutospacing="0" w:after="0" w:afterAutospacing="0"/>
              <w:jc w:val="center"/>
              <w:rPr>
                <w:rFonts w:hint="eastAsia" w:cs="宋体"/>
                <w:bCs/>
                <w:kern w:val="2"/>
                <w:sz w:val="21"/>
                <w:szCs w:val="21"/>
              </w:rPr>
            </w:pPr>
            <w:r>
              <w:rPr>
                <w:rFonts w:hint="eastAsia" w:cs="宋体"/>
                <w:kern w:val="2"/>
                <w:sz w:val="24"/>
                <w:szCs w:val="24"/>
              </w:rPr>
              <w:t>施</w:t>
            </w:r>
          </w:p>
        </w:tc>
        <w:tc>
          <w:tcPr>
            <w:tcW w:w="8094" w:type="dxa"/>
            <w:noWrap w:val="0"/>
            <w:vAlign w:val="center"/>
          </w:tcPr>
          <w:p w14:paraId="21B05AFE">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default" w:ascii="Times New Roman" w:hAnsi="Times New Roman" w:eastAsia="宋体" w:cs="Times New Roman"/>
                <w:b w:val="0"/>
                <w:bCs w:val="0"/>
                <w:color w:val="auto"/>
                <w:kern w:val="2"/>
                <w:sz w:val="24"/>
                <w:szCs w:val="32"/>
                <w:lang w:val="en-US" w:eastAsia="zh-CN" w:bidi="ar-SA"/>
              </w:rPr>
              <w:t>一、施工期大气污染及防治措施</w:t>
            </w:r>
          </w:p>
          <w:p w14:paraId="066EAC03">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default" w:ascii="Times New Roman" w:hAnsi="Times New Roman" w:eastAsia="宋体" w:cs="Times New Roman"/>
                <w:b w:val="0"/>
                <w:bCs w:val="0"/>
                <w:color w:val="auto"/>
                <w:kern w:val="2"/>
                <w:sz w:val="24"/>
                <w:szCs w:val="32"/>
                <w:lang w:val="en-US" w:eastAsia="zh-CN" w:bidi="ar-SA"/>
              </w:rPr>
              <w:t>本项目施工期的主要环境问题是施工和运输过程产生的固废、废水、噪声、粉尘、生活污水等，其次是水土流失和生态破坏。</w:t>
            </w:r>
          </w:p>
          <w:p w14:paraId="60D2A9DC">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eastAsia" w:cs="Times New Roman"/>
                <w:b w:val="0"/>
                <w:bCs w:val="0"/>
                <w:color w:val="auto"/>
                <w:kern w:val="2"/>
                <w:sz w:val="24"/>
                <w:szCs w:val="32"/>
                <w:lang w:val="en-US" w:eastAsia="zh-CN" w:bidi="ar-SA"/>
              </w:rPr>
              <w:t>（1）</w:t>
            </w:r>
            <w:r>
              <w:rPr>
                <w:rFonts w:hint="default" w:ascii="Times New Roman" w:hAnsi="Times New Roman" w:eastAsia="宋体" w:cs="Times New Roman"/>
                <w:b w:val="0"/>
                <w:bCs w:val="0"/>
                <w:color w:val="auto"/>
                <w:kern w:val="2"/>
                <w:sz w:val="24"/>
                <w:szCs w:val="32"/>
                <w:lang w:val="en-US" w:eastAsia="zh-CN" w:bidi="ar-SA"/>
              </w:rPr>
              <w:t>施工期废气污染及治理措施</w:t>
            </w:r>
          </w:p>
          <w:p w14:paraId="62B5B1C2">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default" w:ascii="Times New Roman" w:hAnsi="Times New Roman" w:eastAsia="宋体" w:cs="Times New Roman"/>
                <w:b w:val="0"/>
                <w:bCs w:val="0"/>
                <w:color w:val="auto"/>
                <w:kern w:val="2"/>
                <w:sz w:val="24"/>
                <w:szCs w:val="32"/>
                <w:lang w:val="en-US" w:eastAsia="zh-CN" w:bidi="ar-SA"/>
              </w:rPr>
              <w:t>本项目施工废气主要来源于施工场地开挖、平整，土石方运输、装卸，施工机械设备燃油废气、临时堆场扬尘、生产设备运输进场装、卸过程中产生的粉尘等，对周边环境空气造成一定影响。</w:t>
            </w:r>
          </w:p>
          <w:p w14:paraId="7D3E1603">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default" w:ascii="Times New Roman" w:hAnsi="Times New Roman" w:eastAsia="宋体" w:cs="Times New Roman"/>
                <w:b w:val="0"/>
                <w:bCs w:val="0"/>
                <w:color w:val="auto"/>
                <w:kern w:val="2"/>
                <w:sz w:val="24"/>
                <w:szCs w:val="32"/>
                <w:lang w:val="en-US" w:eastAsia="zh-CN" w:bidi="ar-SA"/>
              </w:rPr>
              <w:t>为防止和减少施工期间废气和扬尘的污染，施工单位应加强统一、严格、规范的管理制度和措施，并纳入本单位环保管理程序。应按照国家有关建筑施工的有关规定，采取如下措施：</w:t>
            </w:r>
          </w:p>
          <w:p w14:paraId="3C004075">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default" w:ascii="Times New Roman" w:hAnsi="Times New Roman" w:eastAsia="宋体" w:cs="Times New Roman"/>
                <w:b w:val="0"/>
                <w:bCs w:val="0"/>
                <w:color w:val="auto"/>
                <w:kern w:val="2"/>
                <w:sz w:val="24"/>
                <w:szCs w:val="32"/>
                <w:lang w:val="en-US" w:eastAsia="zh-CN" w:bidi="ar-SA"/>
              </w:rPr>
              <w:fldChar w:fldCharType="begin"/>
            </w:r>
            <w:r>
              <w:rPr>
                <w:rFonts w:hint="default" w:ascii="Times New Roman" w:hAnsi="Times New Roman" w:eastAsia="宋体" w:cs="Times New Roman"/>
                <w:b w:val="0"/>
                <w:bCs w:val="0"/>
                <w:color w:val="auto"/>
                <w:kern w:val="2"/>
                <w:sz w:val="24"/>
                <w:szCs w:val="32"/>
                <w:lang w:val="en-US" w:eastAsia="zh-CN" w:bidi="ar-SA"/>
              </w:rPr>
              <w:instrText xml:space="preserve"> = 1 \* GB3 \* MERGEFORMAT </w:instrText>
            </w:r>
            <w:r>
              <w:rPr>
                <w:rFonts w:hint="default" w:ascii="Times New Roman" w:hAnsi="Times New Roman" w:eastAsia="宋体" w:cs="Times New Roman"/>
                <w:b w:val="0"/>
                <w:bCs w:val="0"/>
                <w:color w:val="auto"/>
                <w:kern w:val="2"/>
                <w:sz w:val="24"/>
                <w:szCs w:val="32"/>
                <w:lang w:val="en-US" w:eastAsia="zh-CN" w:bidi="ar-SA"/>
              </w:rPr>
              <w:fldChar w:fldCharType="separate"/>
            </w:r>
            <w:r>
              <w:rPr>
                <w:rFonts w:hint="default" w:ascii="Times New Roman" w:hAnsi="Times New Roman" w:eastAsia="宋体" w:cs="Times New Roman"/>
                <w:b w:val="0"/>
                <w:bCs w:val="0"/>
                <w:color w:val="auto"/>
                <w:kern w:val="2"/>
                <w:sz w:val="24"/>
                <w:szCs w:val="32"/>
                <w:lang w:val="en-US" w:eastAsia="zh-CN" w:bidi="ar-SA"/>
              </w:rPr>
              <w:t>①</w:t>
            </w:r>
            <w:r>
              <w:rPr>
                <w:rFonts w:hint="default" w:ascii="Times New Roman" w:hAnsi="Times New Roman" w:eastAsia="宋体" w:cs="Times New Roman"/>
                <w:b w:val="0"/>
                <w:bCs w:val="0"/>
                <w:color w:val="auto"/>
                <w:kern w:val="2"/>
                <w:sz w:val="24"/>
                <w:szCs w:val="32"/>
                <w:lang w:val="en-US" w:eastAsia="zh-CN" w:bidi="ar-SA"/>
              </w:rPr>
              <w:fldChar w:fldCharType="end"/>
            </w:r>
            <w:r>
              <w:rPr>
                <w:rFonts w:hint="default" w:ascii="Times New Roman" w:hAnsi="Times New Roman" w:eastAsia="宋体" w:cs="Times New Roman"/>
                <w:b w:val="0"/>
                <w:bCs w:val="0"/>
                <w:color w:val="auto"/>
                <w:kern w:val="2"/>
                <w:sz w:val="24"/>
                <w:szCs w:val="32"/>
                <w:lang w:val="en-US" w:eastAsia="zh-CN" w:bidi="ar-SA"/>
              </w:rPr>
              <w:t>土石方开挖扬尘</w:t>
            </w:r>
          </w:p>
          <w:p w14:paraId="302DF29F">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default" w:ascii="Times New Roman" w:hAnsi="Times New Roman" w:eastAsia="宋体" w:cs="Times New Roman"/>
                <w:b w:val="0"/>
                <w:bCs w:val="0"/>
                <w:color w:val="auto"/>
                <w:kern w:val="2"/>
                <w:sz w:val="24"/>
                <w:szCs w:val="32"/>
                <w:lang w:val="en-US" w:eastAsia="zh-CN" w:bidi="ar-SA"/>
              </w:rPr>
              <w:t>项目土石方采取既挖既填的方式，开挖作业主要采取湿法作业，经验表明，在含水率较低时，扬尘对环境的影响非常明显。因此项目施工时，在挖掘前用远程射雾器结合移动式喷水软管（安装雾化喷嘴）对拟开挖表面进行洒水，可避免后续各环节的二次扬尘。</w:t>
            </w:r>
          </w:p>
          <w:p w14:paraId="1C0C3F53">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default" w:ascii="Times New Roman" w:hAnsi="Times New Roman" w:eastAsia="宋体" w:cs="Times New Roman"/>
                <w:b w:val="0"/>
                <w:bCs w:val="0"/>
                <w:color w:val="auto"/>
                <w:kern w:val="2"/>
                <w:sz w:val="24"/>
                <w:szCs w:val="32"/>
                <w:lang w:val="en-US" w:eastAsia="zh-CN" w:bidi="ar-SA"/>
              </w:rPr>
              <w:t>环评要求在基础开挖过程中若出现四级及以上风力天气情况应禁止进行土石方施工，并做好遮掩工作，在土石方装卸时降低料斗高度，减少卸料落差，同时要求施工单位文明施工，安排专人对地面进行洒水，减少扬尘产生。</w:t>
            </w:r>
          </w:p>
          <w:p w14:paraId="59ECA052">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default" w:ascii="Times New Roman" w:hAnsi="Times New Roman" w:eastAsia="宋体" w:cs="Times New Roman"/>
                <w:b w:val="0"/>
                <w:bCs w:val="0"/>
                <w:color w:val="auto"/>
                <w:kern w:val="2"/>
                <w:sz w:val="24"/>
                <w:szCs w:val="32"/>
                <w:lang w:val="en-US" w:eastAsia="zh-CN" w:bidi="ar-SA"/>
              </w:rPr>
              <w:fldChar w:fldCharType="begin"/>
            </w:r>
            <w:r>
              <w:rPr>
                <w:rFonts w:hint="default" w:ascii="Times New Roman" w:hAnsi="Times New Roman" w:eastAsia="宋体" w:cs="Times New Roman"/>
                <w:b w:val="0"/>
                <w:bCs w:val="0"/>
                <w:color w:val="auto"/>
                <w:kern w:val="2"/>
                <w:sz w:val="24"/>
                <w:szCs w:val="32"/>
                <w:lang w:val="en-US" w:eastAsia="zh-CN" w:bidi="ar-SA"/>
              </w:rPr>
              <w:instrText xml:space="preserve"> = 2 \* GB3 \* MERGEFORMAT </w:instrText>
            </w:r>
            <w:r>
              <w:rPr>
                <w:rFonts w:hint="default" w:ascii="Times New Roman" w:hAnsi="Times New Roman" w:eastAsia="宋体" w:cs="Times New Roman"/>
                <w:b w:val="0"/>
                <w:bCs w:val="0"/>
                <w:color w:val="auto"/>
                <w:kern w:val="2"/>
                <w:sz w:val="24"/>
                <w:szCs w:val="32"/>
                <w:lang w:val="en-US" w:eastAsia="zh-CN" w:bidi="ar-SA"/>
              </w:rPr>
              <w:fldChar w:fldCharType="separate"/>
            </w:r>
            <w:r>
              <w:rPr>
                <w:rFonts w:hint="default" w:ascii="Times New Roman" w:hAnsi="Times New Roman" w:eastAsia="宋体" w:cs="Times New Roman"/>
                <w:b w:val="0"/>
                <w:bCs w:val="0"/>
                <w:color w:val="auto"/>
                <w:kern w:val="2"/>
                <w:sz w:val="24"/>
                <w:szCs w:val="32"/>
                <w:lang w:val="en-US" w:eastAsia="zh-CN" w:bidi="ar-SA"/>
              </w:rPr>
              <w:t>②</w:t>
            </w:r>
            <w:r>
              <w:rPr>
                <w:rFonts w:hint="default" w:ascii="Times New Roman" w:hAnsi="Times New Roman" w:eastAsia="宋体" w:cs="Times New Roman"/>
                <w:b w:val="0"/>
                <w:bCs w:val="0"/>
                <w:color w:val="auto"/>
                <w:kern w:val="2"/>
                <w:sz w:val="24"/>
                <w:szCs w:val="32"/>
                <w:lang w:val="en-US" w:eastAsia="zh-CN" w:bidi="ar-SA"/>
              </w:rPr>
              <w:fldChar w:fldCharType="end"/>
            </w:r>
            <w:r>
              <w:rPr>
                <w:rFonts w:hint="default" w:ascii="Times New Roman" w:hAnsi="Times New Roman" w:eastAsia="宋体" w:cs="Times New Roman"/>
                <w:b w:val="0"/>
                <w:bCs w:val="0"/>
                <w:color w:val="auto"/>
                <w:kern w:val="2"/>
                <w:sz w:val="24"/>
                <w:szCs w:val="32"/>
                <w:lang w:val="en-US" w:eastAsia="zh-CN" w:bidi="ar-SA"/>
              </w:rPr>
              <w:t>土石方装卸扬尘</w:t>
            </w:r>
          </w:p>
          <w:p w14:paraId="0398E281">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default" w:ascii="Times New Roman" w:hAnsi="Times New Roman" w:eastAsia="宋体" w:cs="Times New Roman"/>
                <w:b w:val="0"/>
                <w:bCs w:val="0"/>
                <w:color w:val="auto"/>
                <w:kern w:val="2"/>
                <w:sz w:val="24"/>
                <w:szCs w:val="32"/>
                <w:lang w:val="en-US" w:eastAsia="zh-CN" w:bidi="ar-SA"/>
              </w:rPr>
              <w:t xml:space="preserve">本项目基础开挖产生的土石方全部用于场地及周边回填，此过程中主要采用挖掘机挖装、转运卸土，此过程中将会产生一定量的粉尘，通过洒水降尘后，同时合理安排装卸作业时间，尽量避免在大风等恶劣天气进行，如需在大风时装卸料，必须加强洒水降尘，以有效抑制粉尘的排放量。 </w:t>
            </w:r>
          </w:p>
          <w:p w14:paraId="2B1FE756">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default" w:ascii="Times New Roman" w:hAnsi="Times New Roman" w:eastAsia="宋体" w:cs="Times New Roman"/>
                <w:b w:val="0"/>
                <w:bCs w:val="0"/>
                <w:color w:val="auto"/>
                <w:kern w:val="2"/>
                <w:sz w:val="24"/>
                <w:szCs w:val="32"/>
                <w:lang w:val="en-US" w:eastAsia="zh-CN" w:bidi="ar-SA"/>
              </w:rPr>
              <w:fldChar w:fldCharType="begin"/>
            </w:r>
            <w:r>
              <w:rPr>
                <w:rFonts w:hint="default" w:ascii="Times New Roman" w:hAnsi="Times New Roman" w:eastAsia="宋体" w:cs="Times New Roman"/>
                <w:b w:val="0"/>
                <w:bCs w:val="0"/>
                <w:color w:val="auto"/>
                <w:kern w:val="2"/>
                <w:sz w:val="24"/>
                <w:szCs w:val="32"/>
                <w:lang w:val="en-US" w:eastAsia="zh-CN" w:bidi="ar-SA"/>
              </w:rPr>
              <w:instrText xml:space="preserve"> = 3 \* GB3 \* MERGEFORMAT </w:instrText>
            </w:r>
            <w:r>
              <w:rPr>
                <w:rFonts w:hint="default" w:ascii="Times New Roman" w:hAnsi="Times New Roman" w:eastAsia="宋体" w:cs="Times New Roman"/>
                <w:b w:val="0"/>
                <w:bCs w:val="0"/>
                <w:color w:val="auto"/>
                <w:kern w:val="2"/>
                <w:sz w:val="24"/>
                <w:szCs w:val="32"/>
                <w:lang w:val="en-US" w:eastAsia="zh-CN" w:bidi="ar-SA"/>
              </w:rPr>
              <w:fldChar w:fldCharType="separate"/>
            </w:r>
            <w:r>
              <w:rPr>
                <w:rFonts w:hint="default" w:ascii="Times New Roman" w:hAnsi="Times New Roman" w:eastAsia="宋体" w:cs="Times New Roman"/>
                <w:b w:val="0"/>
                <w:bCs w:val="0"/>
                <w:color w:val="auto"/>
                <w:kern w:val="2"/>
                <w:sz w:val="24"/>
                <w:szCs w:val="32"/>
                <w:lang w:val="en-US" w:eastAsia="zh-CN" w:bidi="ar-SA"/>
              </w:rPr>
              <w:t>③</w:t>
            </w:r>
            <w:r>
              <w:rPr>
                <w:rFonts w:hint="default" w:ascii="Times New Roman" w:hAnsi="Times New Roman" w:eastAsia="宋体" w:cs="Times New Roman"/>
                <w:b w:val="0"/>
                <w:bCs w:val="0"/>
                <w:color w:val="auto"/>
                <w:kern w:val="2"/>
                <w:sz w:val="24"/>
                <w:szCs w:val="32"/>
                <w:lang w:val="en-US" w:eastAsia="zh-CN" w:bidi="ar-SA"/>
              </w:rPr>
              <w:fldChar w:fldCharType="end"/>
            </w:r>
            <w:r>
              <w:rPr>
                <w:rFonts w:hint="default" w:ascii="Times New Roman" w:hAnsi="Times New Roman" w:eastAsia="宋体" w:cs="Times New Roman"/>
                <w:b w:val="0"/>
                <w:bCs w:val="0"/>
                <w:color w:val="auto"/>
                <w:kern w:val="2"/>
                <w:sz w:val="24"/>
                <w:szCs w:val="32"/>
                <w:lang w:val="en-US" w:eastAsia="zh-CN" w:bidi="ar-SA"/>
              </w:rPr>
              <w:t xml:space="preserve">临时堆场及裸露地面二次扬尘 </w:t>
            </w:r>
          </w:p>
          <w:p w14:paraId="33CC9EE6">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default" w:ascii="Times New Roman" w:hAnsi="Times New Roman" w:eastAsia="宋体" w:cs="Times New Roman"/>
                <w:b w:val="0"/>
                <w:bCs w:val="0"/>
                <w:color w:val="auto"/>
                <w:kern w:val="2"/>
                <w:sz w:val="24"/>
                <w:szCs w:val="32"/>
                <w:lang w:val="en-US" w:eastAsia="zh-CN" w:bidi="ar-SA"/>
              </w:rPr>
              <w:t>在刮风天气，临时堆土场及路基裸露地面将产生二次扬尘，施工期设置挡墙隔离，同时场内</w:t>
            </w:r>
            <w:r>
              <w:rPr>
                <w:rFonts w:hint="default" w:ascii="Times New Roman" w:hAnsi="Times New Roman" w:cs="Times New Roman"/>
                <w:b w:val="0"/>
                <w:bCs w:val="0"/>
                <w:color w:val="auto"/>
                <w:kern w:val="2"/>
                <w:sz w:val="24"/>
                <w:szCs w:val="32"/>
                <w:lang w:val="en-US" w:eastAsia="zh-CN" w:bidi="ar-SA"/>
              </w:rPr>
              <w:t>设置</w:t>
            </w:r>
            <w:r>
              <w:rPr>
                <w:rFonts w:hint="default" w:ascii="Times New Roman" w:hAnsi="Times New Roman" w:eastAsia="宋体" w:cs="Times New Roman"/>
                <w:b w:val="0"/>
                <w:bCs w:val="0"/>
                <w:color w:val="auto"/>
                <w:kern w:val="2"/>
                <w:sz w:val="24"/>
                <w:szCs w:val="32"/>
                <w:lang w:val="en-US" w:eastAsia="zh-CN" w:bidi="ar-SA"/>
              </w:rPr>
              <w:t>移动远程喷雾器洒水降尘，对表土、弃土临时堆场等采取密目网或彩条布进行遮挡，并及时清运施工现场堆场的建筑垃圾等，对暂时不扰动裸露地面和堆场喷洒抑尘剂，并采用密目网进行覆盖后，临时占地使用后及时进行绿化。</w:t>
            </w:r>
          </w:p>
          <w:p w14:paraId="046286E6">
            <w:pPr>
              <w:pStyle w:val="19"/>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pacing w:val="0"/>
                <w:kern w:val="2"/>
                <w:sz w:val="24"/>
                <w:szCs w:val="32"/>
                <w:lang w:val="en-US" w:eastAsia="zh-CN" w:bidi="ar-SA"/>
              </w:rPr>
            </w:pPr>
            <w:r>
              <w:rPr>
                <w:rFonts w:hint="default" w:ascii="Times New Roman" w:hAnsi="Times New Roman" w:eastAsia="宋体" w:cs="Times New Roman"/>
                <w:b w:val="0"/>
                <w:bCs w:val="0"/>
                <w:color w:val="auto"/>
                <w:spacing w:val="0"/>
                <w:kern w:val="2"/>
                <w:sz w:val="24"/>
                <w:szCs w:val="32"/>
                <w:lang w:val="en-US" w:eastAsia="zh-CN" w:bidi="ar-SA"/>
              </w:rPr>
              <w:t>本环评要求采取以下措施：</w:t>
            </w:r>
          </w:p>
          <w:p w14:paraId="1B792F49">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default" w:ascii="Times New Roman" w:hAnsi="Times New Roman" w:eastAsia="宋体" w:cs="Times New Roman"/>
                <w:b w:val="0"/>
                <w:bCs w:val="0"/>
                <w:color w:val="auto"/>
                <w:kern w:val="2"/>
                <w:sz w:val="24"/>
                <w:szCs w:val="32"/>
                <w:lang w:val="en-US" w:eastAsia="zh-CN" w:bidi="ar-SA"/>
              </w:rPr>
              <w:t>A.加强施工管理，安排专职人员负责施工现场卫生管理工作；</w:t>
            </w:r>
          </w:p>
          <w:p w14:paraId="0C378762">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default" w:ascii="Times New Roman" w:hAnsi="Times New Roman" w:eastAsia="宋体" w:cs="Times New Roman"/>
                <w:b w:val="0"/>
                <w:bCs w:val="0"/>
                <w:color w:val="auto"/>
                <w:kern w:val="2"/>
                <w:sz w:val="24"/>
                <w:szCs w:val="32"/>
                <w:lang w:val="en-US" w:eastAsia="zh-CN" w:bidi="ar-SA"/>
              </w:rPr>
              <w:t>B.对建筑材料（如水泥、</w:t>
            </w:r>
            <w:r>
              <w:rPr>
                <w:rFonts w:hint="default" w:ascii="Times New Roman" w:hAnsi="Times New Roman" w:cs="Times New Roman"/>
                <w:b w:val="0"/>
                <w:bCs w:val="0"/>
                <w:color w:val="auto"/>
                <w:kern w:val="2"/>
                <w:sz w:val="24"/>
                <w:szCs w:val="32"/>
                <w:lang w:val="en-US" w:eastAsia="zh-CN" w:bidi="ar-SA"/>
              </w:rPr>
              <w:t>砂石</w:t>
            </w:r>
            <w:r>
              <w:rPr>
                <w:rFonts w:hint="default" w:ascii="Times New Roman" w:hAnsi="Times New Roman" w:eastAsia="宋体" w:cs="Times New Roman"/>
                <w:b w:val="0"/>
                <w:bCs w:val="0"/>
                <w:color w:val="auto"/>
                <w:kern w:val="2"/>
                <w:sz w:val="24"/>
                <w:szCs w:val="32"/>
                <w:lang w:val="en-US" w:eastAsia="zh-CN" w:bidi="ar-SA"/>
              </w:rPr>
              <w:t>等）露天堆放，土石方临时堆场，均采用密目网覆盖，减少二次扬尘产生；</w:t>
            </w:r>
          </w:p>
          <w:p w14:paraId="4C04B984">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default" w:ascii="Times New Roman" w:hAnsi="Times New Roman" w:eastAsia="宋体" w:cs="Times New Roman"/>
                <w:b w:val="0"/>
                <w:bCs w:val="0"/>
                <w:color w:val="auto"/>
                <w:kern w:val="2"/>
                <w:sz w:val="24"/>
                <w:szCs w:val="32"/>
                <w:lang w:val="en-US" w:eastAsia="zh-CN" w:bidi="ar-SA"/>
              </w:rPr>
              <w:t>C.施工场地定期洒水降尘；</w:t>
            </w:r>
          </w:p>
          <w:p w14:paraId="573650CA">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default" w:ascii="Times New Roman" w:hAnsi="Times New Roman" w:eastAsia="宋体" w:cs="Times New Roman"/>
                <w:b w:val="0"/>
                <w:bCs w:val="0"/>
                <w:color w:val="auto"/>
                <w:kern w:val="2"/>
                <w:sz w:val="24"/>
                <w:szCs w:val="32"/>
                <w:lang w:val="en-US" w:eastAsia="zh-CN" w:bidi="ar-SA"/>
              </w:rPr>
              <w:t>D.对材料运输车辆进行严格清洗，车辆进出口设置防尘措施，避免将泥浆带出场外，避免造成扬尘污染；</w:t>
            </w:r>
          </w:p>
          <w:p w14:paraId="3B8FBFB5">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default" w:ascii="Times New Roman" w:hAnsi="Times New Roman" w:eastAsia="宋体" w:cs="Times New Roman"/>
                <w:b w:val="0"/>
                <w:bCs w:val="0"/>
                <w:color w:val="auto"/>
                <w:kern w:val="2"/>
                <w:sz w:val="24"/>
                <w:szCs w:val="32"/>
                <w:lang w:val="en-US" w:eastAsia="zh-CN" w:bidi="ar-SA"/>
              </w:rPr>
              <w:t>E.建筑弃渣等运输车辆、车厢遮盖严密后方可运出场外；</w:t>
            </w:r>
          </w:p>
          <w:p w14:paraId="1A66412A">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default" w:ascii="Times New Roman" w:hAnsi="Times New Roman" w:eastAsia="宋体" w:cs="Times New Roman"/>
                <w:b w:val="0"/>
                <w:bCs w:val="0"/>
                <w:color w:val="auto"/>
                <w:kern w:val="2"/>
                <w:sz w:val="24"/>
                <w:szCs w:val="32"/>
                <w:lang w:val="en-US" w:eastAsia="zh-CN" w:bidi="ar-SA"/>
              </w:rPr>
              <w:t>F.主体施工时在施工现场采用密目安全网等围护结构，防止扬尘污染；</w:t>
            </w:r>
          </w:p>
          <w:p w14:paraId="627BCA61">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default" w:ascii="Times New Roman" w:hAnsi="Times New Roman" w:eastAsia="宋体" w:cs="Times New Roman"/>
                <w:b w:val="0"/>
                <w:bCs w:val="0"/>
                <w:color w:val="auto"/>
                <w:kern w:val="2"/>
                <w:sz w:val="24"/>
                <w:szCs w:val="32"/>
                <w:lang w:val="en-US" w:eastAsia="zh-CN" w:bidi="ar-SA"/>
              </w:rPr>
              <w:t>G.施工期裸露地面采用水泥硬化、洒水降尘。</w:t>
            </w:r>
          </w:p>
          <w:p w14:paraId="31A995C4">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eastAsia" w:cs="Times New Roman"/>
                <w:b w:val="0"/>
                <w:bCs w:val="0"/>
                <w:color w:val="auto"/>
                <w:kern w:val="2"/>
                <w:sz w:val="24"/>
                <w:szCs w:val="32"/>
                <w:lang w:val="en-US" w:eastAsia="zh-CN" w:bidi="ar-SA"/>
              </w:rPr>
              <w:t>（2）</w:t>
            </w:r>
            <w:r>
              <w:rPr>
                <w:rFonts w:hint="default" w:ascii="Times New Roman" w:hAnsi="Times New Roman" w:eastAsia="宋体" w:cs="Times New Roman"/>
                <w:b w:val="0"/>
                <w:bCs w:val="0"/>
                <w:color w:val="auto"/>
                <w:kern w:val="2"/>
                <w:sz w:val="24"/>
                <w:szCs w:val="32"/>
                <w:lang w:val="en-US" w:eastAsia="zh-CN" w:bidi="ar-SA"/>
              </w:rPr>
              <w:t>汽车运输道路扬尘</w:t>
            </w:r>
          </w:p>
          <w:p w14:paraId="3033FB61">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default" w:ascii="Times New Roman" w:hAnsi="Times New Roman" w:eastAsia="宋体" w:cs="Times New Roman"/>
                <w:b w:val="0"/>
                <w:bCs w:val="0"/>
                <w:color w:val="auto"/>
                <w:kern w:val="2"/>
                <w:sz w:val="24"/>
                <w:szCs w:val="32"/>
                <w:lang w:val="en-US" w:eastAsia="zh-CN" w:bidi="ar-SA"/>
              </w:rPr>
              <w:t>在干燥天气情况下，车辆行驶容易产生扬尘。本项目施工期无弃土外运，施工期汽车运输道路扬尘主要为项目建筑所需原辅材料运输进厂时产生的运输道路粉尘，针对汽车运输扬尘，本项目拟采取如下的控制措施：</w:t>
            </w:r>
          </w:p>
          <w:p w14:paraId="693DBF4D">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default" w:ascii="Times New Roman" w:hAnsi="Times New Roman" w:eastAsia="宋体" w:cs="Times New Roman"/>
                <w:b w:val="0"/>
                <w:bCs w:val="0"/>
                <w:color w:val="auto"/>
                <w:kern w:val="2"/>
                <w:sz w:val="24"/>
                <w:szCs w:val="32"/>
                <w:lang w:val="en-US" w:eastAsia="zh-CN" w:bidi="ar-SA"/>
              </w:rPr>
              <w:t>A.限制车速，对既有硬化道路派专人定期进行路面清扫、洒水车进行洒水，以减少道路扬尘。</w:t>
            </w:r>
          </w:p>
          <w:p w14:paraId="19EB6A64">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default" w:ascii="Times New Roman" w:hAnsi="Times New Roman" w:eastAsia="宋体" w:cs="Times New Roman"/>
                <w:b w:val="0"/>
                <w:bCs w:val="0"/>
                <w:color w:val="auto"/>
                <w:kern w:val="2"/>
                <w:sz w:val="24"/>
                <w:szCs w:val="32"/>
                <w:lang w:val="en-US" w:eastAsia="zh-CN" w:bidi="ar-SA"/>
              </w:rPr>
              <w:t>B.施工现场主要运输道路尽量进行简单水泥硬化，</w:t>
            </w:r>
            <w:r>
              <w:rPr>
                <w:rFonts w:hint="default" w:ascii="Times New Roman" w:hAnsi="Times New Roman" w:cs="Times New Roman"/>
                <w:b w:val="0"/>
                <w:bCs w:val="0"/>
                <w:color w:val="auto"/>
                <w:kern w:val="2"/>
                <w:sz w:val="24"/>
                <w:szCs w:val="32"/>
                <w:lang w:val="en-US" w:eastAsia="zh-CN" w:bidi="ar-SA"/>
              </w:rPr>
              <w:t>配备</w:t>
            </w:r>
            <w:r>
              <w:rPr>
                <w:rFonts w:hint="default" w:ascii="Times New Roman" w:hAnsi="Times New Roman" w:eastAsia="宋体" w:cs="Times New Roman"/>
                <w:b w:val="0"/>
                <w:bCs w:val="0"/>
                <w:color w:val="auto"/>
                <w:kern w:val="2"/>
                <w:sz w:val="24"/>
                <w:szCs w:val="32"/>
                <w:lang w:val="en-US" w:eastAsia="zh-CN" w:bidi="ar-SA"/>
              </w:rPr>
              <w:t>保洁人员定期对地面洒水，并对散落在路面的渣土及时清除，清理阶段做到先洒水后清扫。</w:t>
            </w:r>
          </w:p>
          <w:p w14:paraId="384518E5">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default" w:ascii="Times New Roman" w:hAnsi="Times New Roman" w:eastAsia="宋体" w:cs="Times New Roman"/>
                <w:b w:val="0"/>
                <w:bCs w:val="0"/>
                <w:color w:val="auto"/>
                <w:kern w:val="2"/>
                <w:sz w:val="24"/>
                <w:szCs w:val="32"/>
                <w:lang w:val="en-US" w:eastAsia="zh-CN" w:bidi="ar-SA"/>
              </w:rPr>
              <w:t>C.施工场地对施工车辆必须实施限速行驶，自卸车、垃圾运输车等运输车辆不允许超载；必须设置冲洗设施，进入已硬化路面的所有运输车辆必须清洗车体和轮胎，不准车辆带泥出门。</w:t>
            </w:r>
          </w:p>
          <w:p w14:paraId="5F695C17">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default" w:ascii="Times New Roman" w:hAnsi="Times New Roman" w:eastAsia="宋体" w:cs="Times New Roman"/>
                <w:b w:val="0"/>
                <w:bCs w:val="0"/>
                <w:color w:val="auto"/>
                <w:kern w:val="2"/>
                <w:sz w:val="24"/>
                <w:szCs w:val="32"/>
                <w:lang w:val="en-US" w:eastAsia="zh-CN" w:bidi="ar-SA"/>
              </w:rPr>
              <w:t>D.运输车辆不能冒载，装车与车厢平齐，并用挖机拍紧，于表面洒水后加篷布遮盖，避免运输途中尘土飘溢、洒落的现象发生；当天运输工作结束立即对运输路线进行清扫；空车返程时，篷布捆绑扎紧，收放于车厢中，避免篷布迎风飘扬造成尘土飘溢。</w:t>
            </w:r>
          </w:p>
          <w:p w14:paraId="737AAECA">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default" w:ascii="Times New Roman" w:hAnsi="Times New Roman" w:eastAsia="宋体" w:cs="Times New Roman"/>
                <w:b w:val="0"/>
                <w:bCs w:val="0"/>
                <w:color w:val="auto"/>
                <w:kern w:val="2"/>
                <w:sz w:val="24"/>
                <w:szCs w:val="32"/>
                <w:lang w:val="en-US" w:eastAsia="zh-CN" w:bidi="ar-SA"/>
              </w:rPr>
              <w:t>E.原辅料运输路线尽量避开居民集中点，运输车辆出厂时对原辅料拍实，对表面洒水，用篷布遮盖，做到封闭运输。避免在运输过程中的抛洒现象，当天运输工作结束立即对运输路线进行清扫。</w:t>
            </w:r>
          </w:p>
          <w:p w14:paraId="1F9AEFA2">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eastAsia" w:cs="Times New Roman"/>
                <w:b w:val="0"/>
                <w:bCs w:val="0"/>
                <w:color w:val="auto"/>
                <w:kern w:val="2"/>
                <w:sz w:val="24"/>
                <w:szCs w:val="32"/>
                <w:lang w:val="en-US" w:eastAsia="zh-CN" w:bidi="ar-SA"/>
              </w:rPr>
              <w:t>（3）</w:t>
            </w:r>
            <w:r>
              <w:rPr>
                <w:rFonts w:hint="default" w:ascii="Times New Roman" w:hAnsi="Times New Roman" w:eastAsia="宋体" w:cs="Times New Roman"/>
                <w:b w:val="0"/>
                <w:bCs w:val="0"/>
                <w:color w:val="auto"/>
                <w:kern w:val="2"/>
                <w:sz w:val="24"/>
                <w:szCs w:val="32"/>
                <w:lang w:val="en-US" w:eastAsia="zh-CN" w:bidi="ar-SA"/>
              </w:rPr>
              <w:t>施工机械设备燃油尾气</w:t>
            </w:r>
          </w:p>
          <w:p w14:paraId="4C916EE0">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default" w:ascii="Times New Roman" w:hAnsi="Times New Roman" w:eastAsia="宋体" w:cs="Times New Roman"/>
                <w:b w:val="0"/>
                <w:bCs w:val="0"/>
                <w:color w:val="auto"/>
                <w:kern w:val="2"/>
                <w:sz w:val="24"/>
                <w:szCs w:val="32"/>
                <w:lang w:val="en-US" w:eastAsia="zh-CN" w:bidi="ar-SA"/>
              </w:rPr>
              <w:t>施工期间，施工机械设备和运输汽车均会排放一定量的CO、NOx以及未完全燃烧的HC等，其特点是排放量小，且属间断性无组织排放。本项目燃油施工机具主要在基础施工过程中使用，汽车尾气主要通过车辆限速、限制使用尾气超标车辆来进行控制。施工机械设备燃油尾气建议选用达到环保要求的设备，通过自然稀释后厂界的贡献值可控制在较低水平。</w:t>
            </w:r>
          </w:p>
          <w:p w14:paraId="67D056AD">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default" w:ascii="Times New Roman" w:hAnsi="Times New Roman" w:eastAsia="宋体" w:cs="Times New Roman"/>
                <w:b w:val="0"/>
                <w:bCs w:val="0"/>
                <w:color w:val="auto"/>
                <w:kern w:val="2"/>
                <w:sz w:val="24"/>
                <w:szCs w:val="32"/>
                <w:lang w:val="en-US" w:eastAsia="zh-CN" w:bidi="ar-SA"/>
              </w:rPr>
              <w:t>在施工期内应多加注意施工设备的维护，使其能够正常</w:t>
            </w:r>
            <w:r>
              <w:rPr>
                <w:rFonts w:hint="default" w:ascii="Times New Roman" w:hAnsi="Times New Roman" w:cs="Times New Roman"/>
                <w:b w:val="0"/>
                <w:bCs w:val="0"/>
                <w:color w:val="auto"/>
                <w:kern w:val="2"/>
                <w:sz w:val="24"/>
                <w:szCs w:val="32"/>
                <w:lang w:val="en-US" w:eastAsia="zh-CN" w:bidi="ar-SA"/>
              </w:rPr>
              <w:t>地</w:t>
            </w:r>
            <w:r>
              <w:rPr>
                <w:rFonts w:hint="default" w:ascii="Times New Roman" w:hAnsi="Times New Roman" w:eastAsia="宋体" w:cs="Times New Roman"/>
                <w:b w:val="0"/>
                <w:bCs w:val="0"/>
                <w:color w:val="auto"/>
                <w:kern w:val="2"/>
                <w:sz w:val="24"/>
                <w:szCs w:val="32"/>
                <w:lang w:val="en-US" w:eastAsia="zh-CN" w:bidi="ar-SA"/>
              </w:rPr>
              <w:t>运行，以提高汽油或柴油的有效利用率，防止因设备运转不正常而降低汽油或柴油的利用率，从而增加废气排放量。</w:t>
            </w:r>
          </w:p>
          <w:p w14:paraId="217DF35F">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eastAsia" w:cs="Times New Roman"/>
                <w:b w:val="0"/>
                <w:bCs w:val="0"/>
                <w:color w:val="auto"/>
                <w:kern w:val="2"/>
                <w:sz w:val="24"/>
                <w:szCs w:val="32"/>
                <w:lang w:val="en-US" w:eastAsia="zh-CN" w:bidi="ar-SA"/>
              </w:rPr>
              <w:t>（4）</w:t>
            </w:r>
            <w:r>
              <w:rPr>
                <w:rFonts w:hint="default" w:ascii="Times New Roman" w:hAnsi="Times New Roman" w:eastAsia="宋体" w:cs="Times New Roman"/>
                <w:b w:val="0"/>
                <w:bCs w:val="0"/>
                <w:color w:val="auto"/>
                <w:kern w:val="2"/>
                <w:sz w:val="24"/>
                <w:szCs w:val="32"/>
                <w:lang w:val="en-US" w:eastAsia="zh-CN" w:bidi="ar-SA"/>
              </w:rPr>
              <w:t>装修废气</w:t>
            </w:r>
          </w:p>
          <w:p w14:paraId="3EE69E5A">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24"/>
                <w:lang w:val="en-US" w:eastAsia="zh-CN" w:bidi="ar-SA"/>
              </w:rPr>
            </w:pPr>
            <w:r>
              <w:rPr>
                <w:rFonts w:hint="default" w:ascii="Times New Roman" w:hAnsi="Times New Roman" w:eastAsia="宋体" w:cs="Times New Roman"/>
                <w:b w:val="0"/>
                <w:bCs w:val="0"/>
                <w:color w:val="auto"/>
                <w:kern w:val="2"/>
                <w:sz w:val="24"/>
                <w:szCs w:val="32"/>
                <w:lang w:val="en-US" w:eastAsia="zh-CN" w:bidi="ar-SA"/>
              </w:rPr>
              <w:t>装修阶段的油漆废气排放周期长，且作业点分散。因此，在装修油漆期间，应加强室内的通风换气，油漆结束完成以后，也应每天进行通风换气一至</w:t>
            </w:r>
            <w:r>
              <w:rPr>
                <w:rFonts w:hint="default" w:ascii="Times New Roman" w:hAnsi="Times New Roman" w:cs="Times New Roman"/>
                <w:b w:val="0"/>
                <w:bCs w:val="0"/>
                <w:color w:val="auto"/>
                <w:kern w:val="2"/>
                <w:sz w:val="24"/>
                <w:szCs w:val="32"/>
                <w:lang w:val="en-US" w:eastAsia="zh-CN" w:bidi="ar-SA"/>
              </w:rPr>
              <w:t>两</w:t>
            </w:r>
            <w:r>
              <w:rPr>
                <w:rFonts w:hint="default" w:ascii="Times New Roman" w:hAnsi="Times New Roman" w:eastAsia="宋体" w:cs="Times New Roman"/>
                <w:b w:val="0"/>
                <w:bCs w:val="0"/>
                <w:color w:val="auto"/>
                <w:kern w:val="2"/>
                <w:sz w:val="24"/>
                <w:szCs w:val="32"/>
                <w:lang w:val="en-US" w:eastAsia="zh-CN" w:bidi="ar-SA"/>
              </w:rPr>
              <w:t>个月后才能营业和居住。由于装修时采用的三合板和油漆中含有的甲醛、甲苯、二甲苯等影响环境质量的有毒有害物质挥发时间长，所以居住或</w:t>
            </w:r>
            <w:r>
              <w:rPr>
                <w:rFonts w:hint="default" w:ascii="Times New Roman" w:hAnsi="Times New Roman" w:eastAsia="宋体" w:cs="Times New Roman"/>
                <w:b w:val="0"/>
                <w:bCs w:val="0"/>
                <w:color w:val="auto"/>
                <w:kern w:val="2"/>
                <w:sz w:val="24"/>
                <w:szCs w:val="24"/>
                <w:lang w:val="en-US" w:eastAsia="zh-CN" w:bidi="ar-SA"/>
              </w:rPr>
              <w:t>营业后也要注意室内空气的流畅，建议尽量使用环保材料。</w:t>
            </w:r>
          </w:p>
          <w:p w14:paraId="761965D0">
            <w:pPr>
              <w:pStyle w:val="19"/>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default" w:ascii="Times New Roman" w:hAnsi="Times New Roman" w:cs="Times New Roman"/>
                <w:color w:val="auto"/>
                <w:sz w:val="24"/>
                <w:szCs w:val="24"/>
                <w:lang w:val="en-US" w:eastAsia="zh-CN"/>
              </w:rPr>
            </w:pPr>
            <w:r>
              <w:rPr>
                <w:rFonts w:hint="default" w:ascii="Times New Roman" w:hAnsi="Times New Roman" w:eastAsia="宋体" w:cs="Times New Roman"/>
                <w:b w:val="0"/>
                <w:bCs w:val="0"/>
                <w:color w:val="auto"/>
                <w:spacing w:val="0"/>
                <w:kern w:val="2"/>
                <w:sz w:val="24"/>
                <w:szCs w:val="24"/>
                <w:lang w:val="en-US" w:eastAsia="zh-CN" w:bidi="ar-SA"/>
              </w:rPr>
              <w:t>根据《大气污染防治行动计划》《新疆维吾尔自治区大气污染防治行动计划实施方案》《巴州建筑工程施工现场扬尘污染防治实施细则》等相关文件要求，工程建设期间，建设和施工单位应负责工地周边道路的保洁与清洗责任，建筑工程施工现场扬尘污染防治应做到工地周边围挡、物料堆放覆盖、路面硬化、土方开挖湿法作业、出入车辆清洗、渣土车辆密闭运输。按照施工工地“六个百分百”标准，做到工地周边100%围挡；物料堆放100%覆盖；出入车辆100%冲洗；施工现场地面100%硬化；土方开挖100%湿法作业；渣土车辆100%密闭运输。尽可能减少项目对周围环境产生的影响，建设单位必须充分重视扬尘所带来的环境污染问题</w:t>
            </w:r>
            <w:r>
              <w:rPr>
                <w:rFonts w:hint="eastAsia" w:ascii="Times New Roman" w:hAnsi="Times New Roman" w:cs="Times New Roman"/>
                <w:b w:val="0"/>
                <w:bCs w:val="0"/>
                <w:color w:val="auto"/>
                <w:spacing w:val="0"/>
                <w:kern w:val="2"/>
                <w:sz w:val="24"/>
                <w:szCs w:val="24"/>
                <w:lang w:val="en-US" w:eastAsia="zh-CN" w:bidi="ar-SA"/>
              </w:rPr>
              <w:t>。</w:t>
            </w:r>
          </w:p>
          <w:p w14:paraId="55B8091A">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default" w:ascii="Times New Roman" w:hAnsi="Times New Roman" w:eastAsia="宋体" w:cs="Times New Roman"/>
                <w:b w:val="0"/>
                <w:bCs w:val="0"/>
                <w:color w:val="auto"/>
                <w:kern w:val="2"/>
                <w:sz w:val="24"/>
                <w:szCs w:val="32"/>
                <w:lang w:val="en-US" w:eastAsia="zh-CN" w:bidi="ar-SA"/>
              </w:rPr>
              <w:t>二、施工期废水污染及防治措施</w:t>
            </w:r>
          </w:p>
          <w:p w14:paraId="1912C5FA">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default" w:ascii="Times New Roman" w:hAnsi="Times New Roman" w:eastAsia="宋体" w:cs="Times New Roman"/>
                <w:b w:val="0"/>
                <w:bCs w:val="0"/>
                <w:color w:val="auto"/>
                <w:kern w:val="2"/>
                <w:sz w:val="24"/>
                <w:szCs w:val="32"/>
                <w:lang w:val="en-US" w:eastAsia="zh-CN" w:bidi="ar-SA"/>
              </w:rPr>
              <w:t>施工期废水主要为施工废水。</w:t>
            </w:r>
          </w:p>
          <w:p w14:paraId="4F75EDAE">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eastAsia" w:cs="Times New Roman"/>
                <w:b w:val="0"/>
                <w:bCs w:val="0"/>
                <w:color w:val="auto"/>
                <w:kern w:val="2"/>
                <w:sz w:val="24"/>
                <w:szCs w:val="32"/>
                <w:lang w:val="en-US" w:eastAsia="zh-CN" w:bidi="ar-SA"/>
              </w:rPr>
              <w:t>（1）</w:t>
            </w:r>
            <w:r>
              <w:rPr>
                <w:rFonts w:hint="default" w:ascii="Times New Roman" w:hAnsi="Times New Roman" w:eastAsia="宋体" w:cs="Times New Roman"/>
                <w:b w:val="0"/>
                <w:bCs w:val="0"/>
                <w:color w:val="auto"/>
                <w:kern w:val="2"/>
                <w:sz w:val="24"/>
                <w:szCs w:val="32"/>
                <w:lang w:val="en-US" w:eastAsia="zh-CN" w:bidi="ar-SA"/>
              </w:rPr>
              <w:t>施工废水</w:t>
            </w:r>
          </w:p>
          <w:p w14:paraId="55FC714E">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default" w:ascii="Times New Roman" w:hAnsi="Times New Roman" w:eastAsia="宋体" w:cs="Times New Roman"/>
                <w:b w:val="0"/>
                <w:bCs w:val="0"/>
                <w:color w:val="auto"/>
                <w:kern w:val="2"/>
                <w:sz w:val="24"/>
                <w:szCs w:val="32"/>
                <w:lang w:val="en-US" w:eastAsia="zh-CN" w:bidi="ar-SA"/>
              </w:rPr>
              <w:t>在基础开挖阶段，产生的主要是含有泥沙和石料的废水；建筑施工阶段产生的主要是泥浆废水，主要污染因子是SS，SS浓度较高，根据类比其他类似工程，产生量约4m</w:t>
            </w:r>
            <w:r>
              <w:rPr>
                <w:rFonts w:hint="default" w:ascii="Times New Roman" w:hAnsi="Times New Roman" w:eastAsia="宋体" w:cs="Times New Roman"/>
                <w:b w:val="0"/>
                <w:bCs w:val="0"/>
                <w:color w:val="auto"/>
                <w:kern w:val="2"/>
                <w:sz w:val="24"/>
                <w:szCs w:val="32"/>
                <w:vertAlign w:val="superscript"/>
                <w:lang w:val="en-US" w:eastAsia="zh-CN" w:bidi="ar-SA"/>
              </w:rPr>
              <w:t>3</w:t>
            </w:r>
            <w:r>
              <w:rPr>
                <w:rFonts w:hint="default" w:ascii="Times New Roman" w:hAnsi="Times New Roman" w:eastAsia="宋体" w:cs="Times New Roman"/>
                <w:b w:val="0"/>
                <w:bCs w:val="0"/>
                <w:color w:val="auto"/>
                <w:kern w:val="2"/>
                <w:sz w:val="24"/>
                <w:szCs w:val="32"/>
                <w:lang w:val="en-US" w:eastAsia="zh-CN" w:bidi="ar-SA"/>
              </w:rPr>
              <w:t>/d。施工单位在项目场地上建1个容积为</w:t>
            </w:r>
            <w:r>
              <w:rPr>
                <w:rFonts w:hint="eastAsia" w:ascii="Times New Roman" w:hAnsi="Times New Roman" w:eastAsia="宋体" w:cs="Times New Roman"/>
                <w:b w:val="0"/>
                <w:bCs w:val="0"/>
                <w:color w:val="auto"/>
                <w:kern w:val="2"/>
                <w:sz w:val="24"/>
                <w:szCs w:val="32"/>
                <w:lang w:val="en-US" w:eastAsia="zh-CN" w:bidi="ar-SA"/>
              </w:rPr>
              <w:t>20</w:t>
            </w:r>
            <w:r>
              <w:rPr>
                <w:rFonts w:hint="default" w:ascii="Times New Roman" w:hAnsi="Times New Roman" w:eastAsia="宋体" w:cs="Times New Roman"/>
                <w:b w:val="0"/>
                <w:bCs w:val="0"/>
                <w:color w:val="auto"/>
                <w:kern w:val="2"/>
                <w:sz w:val="24"/>
                <w:szCs w:val="32"/>
                <w:lang w:val="en-US" w:eastAsia="zh-CN" w:bidi="ar-SA"/>
              </w:rPr>
              <w:t>m</w:t>
            </w:r>
            <w:r>
              <w:rPr>
                <w:rFonts w:hint="default" w:ascii="Times New Roman" w:hAnsi="Times New Roman" w:eastAsia="宋体" w:cs="Times New Roman"/>
                <w:b w:val="0"/>
                <w:bCs w:val="0"/>
                <w:color w:val="auto"/>
                <w:kern w:val="2"/>
                <w:sz w:val="24"/>
                <w:szCs w:val="32"/>
                <w:vertAlign w:val="superscript"/>
                <w:lang w:val="en-US" w:eastAsia="zh-CN" w:bidi="ar-SA"/>
              </w:rPr>
              <w:t>3</w:t>
            </w:r>
            <w:r>
              <w:rPr>
                <w:rFonts w:hint="default" w:ascii="Times New Roman" w:hAnsi="Times New Roman" w:eastAsia="宋体" w:cs="Times New Roman"/>
                <w:b w:val="0"/>
                <w:bCs w:val="0"/>
                <w:color w:val="auto"/>
                <w:kern w:val="2"/>
                <w:sz w:val="24"/>
                <w:szCs w:val="32"/>
                <w:lang w:val="en-US" w:eastAsia="zh-CN" w:bidi="ar-SA"/>
              </w:rPr>
              <w:t>的临时沉</w:t>
            </w:r>
            <w:r>
              <w:rPr>
                <w:rFonts w:hint="eastAsia" w:ascii="Times New Roman" w:hAnsi="Times New Roman" w:eastAsia="宋体" w:cs="Times New Roman"/>
                <w:b w:val="0"/>
                <w:bCs w:val="0"/>
                <w:color w:val="auto"/>
                <w:kern w:val="2"/>
                <w:sz w:val="24"/>
                <w:szCs w:val="32"/>
                <w:lang w:val="en-US" w:eastAsia="zh-CN" w:bidi="ar-SA"/>
              </w:rPr>
              <w:t>淀</w:t>
            </w:r>
            <w:r>
              <w:rPr>
                <w:rFonts w:hint="default" w:ascii="Times New Roman" w:hAnsi="Times New Roman" w:eastAsia="宋体" w:cs="Times New Roman"/>
                <w:b w:val="0"/>
                <w:bCs w:val="0"/>
                <w:color w:val="auto"/>
                <w:kern w:val="2"/>
                <w:sz w:val="24"/>
                <w:szCs w:val="32"/>
                <w:lang w:val="en-US" w:eastAsia="zh-CN" w:bidi="ar-SA"/>
              </w:rPr>
              <w:t>池，施工废水全部进入沉</w:t>
            </w:r>
            <w:r>
              <w:rPr>
                <w:rFonts w:hint="eastAsia" w:ascii="Times New Roman" w:hAnsi="Times New Roman" w:eastAsia="宋体" w:cs="Times New Roman"/>
                <w:b w:val="0"/>
                <w:bCs w:val="0"/>
                <w:color w:val="auto"/>
                <w:kern w:val="2"/>
                <w:sz w:val="24"/>
                <w:szCs w:val="32"/>
                <w:lang w:val="en-US" w:eastAsia="zh-CN" w:bidi="ar-SA"/>
              </w:rPr>
              <w:t>淀</w:t>
            </w:r>
            <w:r>
              <w:rPr>
                <w:rFonts w:hint="default" w:ascii="Times New Roman" w:hAnsi="Times New Roman" w:eastAsia="宋体" w:cs="Times New Roman"/>
                <w:b w:val="0"/>
                <w:bCs w:val="0"/>
                <w:color w:val="auto"/>
                <w:kern w:val="2"/>
                <w:sz w:val="24"/>
                <w:szCs w:val="32"/>
                <w:lang w:val="en-US" w:eastAsia="zh-CN" w:bidi="ar-SA"/>
              </w:rPr>
              <w:t>池，沉淀后回用于工地降尘，堆场、料场洒水防尘、道路冲洗、出入施工区的车辆轮胎冲洗等，不外排。</w:t>
            </w:r>
          </w:p>
          <w:p w14:paraId="53BCF41D">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default" w:ascii="Times New Roman" w:hAnsi="Times New Roman" w:eastAsia="宋体" w:cs="Times New Roman"/>
                <w:b w:val="0"/>
                <w:bCs w:val="0"/>
                <w:color w:val="auto"/>
                <w:kern w:val="2"/>
                <w:sz w:val="24"/>
                <w:szCs w:val="32"/>
                <w:lang w:val="en-US" w:eastAsia="zh-CN" w:bidi="ar-SA"/>
              </w:rPr>
              <w:t>环评要求：沉</w:t>
            </w:r>
            <w:r>
              <w:rPr>
                <w:rFonts w:hint="eastAsia" w:ascii="Times New Roman" w:hAnsi="Times New Roman" w:eastAsia="宋体" w:cs="Times New Roman"/>
                <w:b w:val="0"/>
                <w:bCs w:val="0"/>
                <w:color w:val="auto"/>
                <w:kern w:val="2"/>
                <w:sz w:val="24"/>
                <w:szCs w:val="32"/>
                <w:lang w:val="en-US" w:eastAsia="zh-CN" w:bidi="ar-SA"/>
              </w:rPr>
              <w:t>淀</w:t>
            </w:r>
            <w:r>
              <w:rPr>
                <w:rFonts w:hint="default" w:ascii="Times New Roman" w:hAnsi="Times New Roman" w:eastAsia="宋体" w:cs="Times New Roman"/>
                <w:b w:val="0"/>
                <w:bCs w:val="0"/>
                <w:color w:val="auto"/>
                <w:kern w:val="2"/>
                <w:sz w:val="24"/>
                <w:szCs w:val="32"/>
                <w:lang w:val="en-US" w:eastAsia="zh-CN" w:bidi="ar-SA"/>
              </w:rPr>
              <w:t>池应落实严格的防渗措施，防止污染地下水，施工期结束后对临时建筑进行拆除。</w:t>
            </w:r>
          </w:p>
          <w:p w14:paraId="317FC535">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eastAsia" w:cs="Times New Roman"/>
                <w:b w:val="0"/>
                <w:bCs w:val="0"/>
                <w:color w:val="auto"/>
                <w:kern w:val="2"/>
                <w:sz w:val="24"/>
                <w:szCs w:val="32"/>
                <w:lang w:val="en-US" w:eastAsia="zh-CN" w:bidi="ar-SA"/>
              </w:rPr>
              <w:t>（2）</w:t>
            </w:r>
            <w:r>
              <w:rPr>
                <w:rFonts w:hint="default" w:ascii="Times New Roman" w:hAnsi="Times New Roman" w:eastAsia="宋体" w:cs="Times New Roman"/>
                <w:b w:val="0"/>
                <w:bCs w:val="0"/>
                <w:color w:val="auto"/>
                <w:kern w:val="2"/>
                <w:sz w:val="24"/>
                <w:szCs w:val="32"/>
                <w:lang w:val="en-US" w:eastAsia="zh-CN" w:bidi="ar-SA"/>
              </w:rPr>
              <w:t>施工人员生活污水</w:t>
            </w:r>
          </w:p>
          <w:p w14:paraId="5FC5D32A">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default" w:ascii="Times New Roman" w:hAnsi="Times New Roman" w:eastAsia="宋体" w:cs="Times New Roman"/>
                <w:b w:val="0"/>
                <w:bCs w:val="0"/>
                <w:color w:val="auto"/>
                <w:kern w:val="2"/>
                <w:sz w:val="24"/>
                <w:szCs w:val="32"/>
                <w:lang w:val="en-US" w:eastAsia="zh-CN" w:bidi="ar-SA"/>
              </w:rPr>
              <w:t>项目施工人员平均为20人/d。施工期</w:t>
            </w:r>
            <w:r>
              <w:rPr>
                <w:rFonts w:hint="default" w:ascii="Times New Roman" w:hAnsi="Times New Roman" w:eastAsia="宋体" w:cs="Times New Roman"/>
                <w:b w:val="0"/>
                <w:bCs w:val="0"/>
                <w:color w:val="auto"/>
                <w:kern w:val="0"/>
                <w:sz w:val="24"/>
                <w:szCs w:val="24"/>
                <w:lang w:val="en-US" w:eastAsia="zh-CN"/>
              </w:rPr>
              <w:t>设置环保厕所，生活污水</w:t>
            </w:r>
            <w:r>
              <w:rPr>
                <w:rFonts w:hint="default" w:ascii="Times New Roman" w:hAnsi="Times New Roman" w:cs="Times New Roman"/>
                <w:b w:val="0"/>
                <w:bCs w:val="0"/>
                <w:color w:val="auto"/>
                <w:kern w:val="0"/>
                <w:sz w:val="24"/>
                <w:szCs w:val="24"/>
                <w:lang w:val="en-US" w:eastAsia="zh-CN"/>
              </w:rPr>
              <w:t>用于厂区绿化</w:t>
            </w:r>
            <w:r>
              <w:rPr>
                <w:rFonts w:hint="default" w:ascii="Times New Roman" w:hAnsi="Times New Roman" w:eastAsia="宋体" w:cs="Times New Roman"/>
                <w:b w:val="0"/>
                <w:bCs w:val="0"/>
                <w:color w:val="auto"/>
                <w:kern w:val="2"/>
                <w:sz w:val="24"/>
                <w:szCs w:val="32"/>
                <w:lang w:val="en-US" w:eastAsia="zh-CN" w:bidi="ar-SA"/>
              </w:rPr>
              <w:t>。</w:t>
            </w:r>
          </w:p>
          <w:p w14:paraId="02EB7003">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default" w:ascii="Times New Roman" w:hAnsi="Times New Roman" w:eastAsia="宋体" w:cs="Times New Roman"/>
                <w:b w:val="0"/>
                <w:bCs w:val="0"/>
                <w:color w:val="auto"/>
                <w:kern w:val="2"/>
                <w:sz w:val="24"/>
                <w:szCs w:val="32"/>
                <w:lang w:val="en-US" w:eastAsia="zh-CN" w:bidi="ar-SA"/>
              </w:rPr>
              <w:t>环评要求，施工期严格落实各种废水的处理、回用措施，严禁废水进入地表水体。</w:t>
            </w:r>
          </w:p>
          <w:p w14:paraId="53E74D37">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default" w:ascii="Times New Roman" w:hAnsi="Times New Roman" w:eastAsia="宋体" w:cs="Times New Roman"/>
                <w:b w:val="0"/>
                <w:bCs w:val="0"/>
                <w:color w:val="auto"/>
                <w:kern w:val="2"/>
                <w:sz w:val="24"/>
                <w:szCs w:val="32"/>
                <w:lang w:val="en-US" w:eastAsia="zh-CN" w:bidi="ar-SA"/>
              </w:rPr>
              <w:t>三、施工期噪声污染及防治措施</w:t>
            </w:r>
          </w:p>
          <w:p w14:paraId="15C17FDC">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eastAsia" w:cs="Times New Roman"/>
                <w:b w:val="0"/>
                <w:bCs w:val="0"/>
                <w:color w:val="auto"/>
                <w:kern w:val="2"/>
                <w:sz w:val="24"/>
                <w:szCs w:val="32"/>
                <w:lang w:val="en-US" w:eastAsia="zh-CN" w:bidi="ar-SA"/>
              </w:rPr>
              <w:t>（1）</w:t>
            </w:r>
            <w:r>
              <w:rPr>
                <w:rFonts w:hint="default" w:ascii="Times New Roman" w:hAnsi="Times New Roman" w:eastAsia="宋体" w:cs="Times New Roman"/>
                <w:b w:val="0"/>
                <w:bCs w:val="0"/>
                <w:color w:val="auto"/>
                <w:kern w:val="2"/>
                <w:sz w:val="24"/>
                <w:szCs w:val="32"/>
                <w:lang w:val="en-US" w:eastAsia="zh-CN" w:bidi="ar-SA"/>
              </w:rPr>
              <w:t>噪声源</w:t>
            </w:r>
          </w:p>
          <w:p w14:paraId="38E519A4">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default" w:ascii="Times New Roman" w:hAnsi="Times New Roman" w:eastAsia="宋体" w:cs="Times New Roman"/>
                <w:b w:val="0"/>
                <w:bCs w:val="0"/>
                <w:color w:val="auto"/>
                <w:kern w:val="2"/>
                <w:sz w:val="24"/>
                <w:szCs w:val="32"/>
                <w:lang w:val="en-US" w:eastAsia="zh-CN" w:bidi="ar-SA"/>
              </w:rPr>
              <w:t>本项目施工内容包括场地清理、土方开挖回填、构筑物的修建等。本项目施工期噪声源主要是设备噪声和机械噪声。施工机械较多，这些声源具有噪声高、无规则等特点，噪声源强在75~115dB</w:t>
            </w:r>
            <w:r>
              <w:rPr>
                <w:rFonts w:hint="default" w:ascii="Times New Roman" w:hAnsi="Times New Roman" w:cs="Times New Roman"/>
                <w:b w:val="0"/>
                <w:bCs w:val="0"/>
                <w:color w:val="auto"/>
                <w:kern w:val="2"/>
                <w:sz w:val="24"/>
                <w:szCs w:val="32"/>
                <w:lang w:val="en-US" w:eastAsia="zh-CN" w:bidi="ar-SA"/>
              </w:rPr>
              <w:t>（</w:t>
            </w:r>
            <w:r>
              <w:rPr>
                <w:rFonts w:hint="default" w:ascii="Times New Roman" w:hAnsi="Times New Roman" w:eastAsia="宋体" w:cs="Times New Roman"/>
                <w:b w:val="0"/>
                <w:bCs w:val="0"/>
                <w:color w:val="auto"/>
                <w:kern w:val="2"/>
                <w:sz w:val="24"/>
                <w:szCs w:val="32"/>
                <w:lang w:val="en-US" w:eastAsia="zh-CN" w:bidi="ar-SA"/>
              </w:rPr>
              <w:t>A</w:t>
            </w:r>
            <w:r>
              <w:rPr>
                <w:rFonts w:hint="default" w:ascii="Times New Roman" w:hAnsi="Times New Roman" w:cs="Times New Roman"/>
                <w:b w:val="0"/>
                <w:bCs w:val="0"/>
                <w:color w:val="auto"/>
                <w:kern w:val="2"/>
                <w:sz w:val="24"/>
                <w:szCs w:val="32"/>
                <w:lang w:val="en-US" w:eastAsia="zh-CN" w:bidi="ar-SA"/>
              </w:rPr>
              <w:t>）</w:t>
            </w:r>
            <w:r>
              <w:rPr>
                <w:rFonts w:hint="default" w:ascii="Times New Roman" w:hAnsi="Times New Roman" w:eastAsia="宋体" w:cs="Times New Roman"/>
                <w:b w:val="0"/>
                <w:bCs w:val="0"/>
                <w:color w:val="auto"/>
                <w:kern w:val="2"/>
                <w:sz w:val="24"/>
                <w:szCs w:val="32"/>
                <w:lang w:val="en-US" w:eastAsia="zh-CN" w:bidi="ar-SA"/>
              </w:rPr>
              <w:t>之间。此外还有施工车辆的交通噪声，噪声源强在80~90dB</w:t>
            </w:r>
            <w:r>
              <w:rPr>
                <w:rFonts w:hint="default" w:ascii="Times New Roman" w:hAnsi="Times New Roman" w:cs="Times New Roman"/>
                <w:b w:val="0"/>
                <w:bCs w:val="0"/>
                <w:color w:val="auto"/>
                <w:kern w:val="2"/>
                <w:sz w:val="24"/>
                <w:szCs w:val="32"/>
                <w:lang w:val="en-US" w:eastAsia="zh-CN" w:bidi="ar-SA"/>
              </w:rPr>
              <w:t>（</w:t>
            </w:r>
            <w:r>
              <w:rPr>
                <w:rFonts w:hint="default" w:ascii="Times New Roman" w:hAnsi="Times New Roman" w:eastAsia="宋体" w:cs="Times New Roman"/>
                <w:b w:val="0"/>
                <w:bCs w:val="0"/>
                <w:color w:val="auto"/>
                <w:kern w:val="2"/>
                <w:sz w:val="24"/>
                <w:szCs w:val="32"/>
                <w:lang w:val="en-US" w:eastAsia="zh-CN" w:bidi="ar-SA"/>
              </w:rPr>
              <w:t>A</w:t>
            </w:r>
            <w:r>
              <w:rPr>
                <w:rFonts w:hint="default" w:ascii="Times New Roman" w:hAnsi="Times New Roman" w:cs="Times New Roman"/>
                <w:b w:val="0"/>
                <w:bCs w:val="0"/>
                <w:color w:val="auto"/>
                <w:kern w:val="2"/>
                <w:sz w:val="24"/>
                <w:szCs w:val="32"/>
                <w:lang w:val="en-US" w:eastAsia="zh-CN" w:bidi="ar-SA"/>
              </w:rPr>
              <w:t>）</w:t>
            </w:r>
            <w:r>
              <w:rPr>
                <w:rFonts w:hint="default" w:ascii="Times New Roman" w:hAnsi="Times New Roman" w:eastAsia="宋体" w:cs="Times New Roman"/>
                <w:b w:val="0"/>
                <w:bCs w:val="0"/>
                <w:color w:val="auto"/>
                <w:kern w:val="2"/>
                <w:sz w:val="24"/>
                <w:szCs w:val="32"/>
                <w:lang w:val="en-US" w:eastAsia="zh-CN" w:bidi="ar-SA"/>
              </w:rPr>
              <w:t>之间。</w:t>
            </w:r>
          </w:p>
          <w:p w14:paraId="7434D16A">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eastAsia" w:cs="Times New Roman"/>
                <w:b w:val="0"/>
                <w:bCs w:val="0"/>
                <w:color w:val="auto"/>
                <w:kern w:val="2"/>
                <w:sz w:val="24"/>
                <w:szCs w:val="32"/>
                <w:lang w:val="en-US" w:eastAsia="zh-CN" w:bidi="ar-SA"/>
              </w:rPr>
              <w:t>（2）</w:t>
            </w:r>
            <w:r>
              <w:rPr>
                <w:rFonts w:hint="default" w:ascii="Times New Roman" w:hAnsi="Times New Roman" w:eastAsia="宋体" w:cs="Times New Roman"/>
                <w:b w:val="0"/>
                <w:bCs w:val="0"/>
                <w:color w:val="auto"/>
                <w:kern w:val="2"/>
                <w:sz w:val="24"/>
                <w:szCs w:val="32"/>
                <w:lang w:val="en-US" w:eastAsia="zh-CN" w:bidi="ar-SA"/>
              </w:rPr>
              <w:t>施工过程</w:t>
            </w:r>
          </w:p>
          <w:p w14:paraId="02D25C67">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default" w:ascii="Times New Roman" w:hAnsi="Times New Roman" w:eastAsia="宋体" w:cs="Times New Roman"/>
                <w:b w:val="0"/>
                <w:bCs w:val="0"/>
                <w:color w:val="auto"/>
                <w:kern w:val="2"/>
                <w:sz w:val="24"/>
                <w:szCs w:val="32"/>
                <w:lang w:val="en-US" w:eastAsia="zh-CN" w:bidi="ar-SA"/>
              </w:rPr>
              <w:t>施工期项目先后主要进行以下几个过程的活动：</w:t>
            </w:r>
          </w:p>
          <w:p w14:paraId="196AFB99">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default" w:ascii="Times New Roman" w:hAnsi="Times New Roman" w:eastAsia="宋体" w:cs="Times New Roman"/>
                <w:b w:val="0"/>
                <w:bCs w:val="0"/>
                <w:color w:val="auto"/>
                <w:kern w:val="2"/>
                <w:sz w:val="24"/>
                <w:szCs w:val="32"/>
                <w:lang w:val="en-US" w:eastAsia="zh-CN" w:bidi="ar-SA"/>
              </w:rPr>
              <w:t>①土石方施工阶段：在土石方施工期间使用挖掘机、装载机、</w:t>
            </w:r>
            <w:r>
              <w:rPr>
                <w:rFonts w:hint="default" w:ascii="Times New Roman" w:hAnsi="Times New Roman" w:cs="Times New Roman"/>
                <w:b w:val="0"/>
                <w:bCs w:val="0"/>
                <w:color w:val="auto"/>
                <w:kern w:val="2"/>
                <w:sz w:val="24"/>
                <w:szCs w:val="32"/>
                <w:lang w:val="en-US" w:eastAsia="zh-CN" w:bidi="ar-SA"/>
              </w:rPr>
              <w:t>运输</w:t>
            </w:r>
            <w:r>
              <w:rPr>
                <w:rFonts w:hint="default" w:ascii="Times New Roman" w:hAnsi="Times New Roman" w:eastAsia="宋体" w:cs="Times New Roman"/>
                <w:b w:val="0"/>
                <w:bCs w:val="0"/>
                <w:color w:val="auto"/>
                <w:kern w:val="2"/>
                <w:sz w:val="24"/>
                <w:szCs w:val="32"/>
                <w:lang w:val="en-US" w:eastAsia="zh-CN" w:bidi="ar-SA"/>
              </w:rPr>
              <w:t>土方建材的车辆等，在施工现场工作时间较短，所产生的噪声影响时间较短。</w:t>
            </w:r>
          </w:p>
          <w:p w14:paraId="65ADC63A">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default" w:ascii="Times New Roman" w:hAnsi="Times New Roman" w:eastAsia="宋体" w:cs="Times New Roman"/>
                <w:b w:val="0"/>
                <w:bCs w:val="0"/>
                <w:color w:val="auto"/>
                <w:kern w:val="2"/>
                <w:sz w:val="24"/>
                <w:szCs w:val="32"/>
                <w:lang w:val="en-US" w:eastAsia="zh-CN" w:bidi="ar-SA"/>
              </w:rPr>
              <w:t>②主体结构施工阶段：主体工程施工期间在现场混凝土养护，梁柱浇灌混凝土时使用的混凝土振捣器时间长，成为对外界影响的主要噪声源。</w:t>
            </w:r>
          </w:p>
          <w:p w14:paraId="6C4A1ACF">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default" w:ascii="Times New Roman" w:hAnsi="Times New Roman" w:eastAsia="宋体" w:cs="Times New Roman"/>
                <w:b w:val="0"/>
                <w:bCs w:val="0"/>
                <w:color w:val="auto"/>
                <w:kern w:val="2"/>
                <w:sz w:val="24"/>
                <w:szCs w:val="32"/>
                <w:lang w:val="en-US" w:eastAsia="zh-CN" w:bidi="ar-SA"/>
              </w:rPr>
              <w:t>③装修施工阶段：在装修施工阶段，室内施工可能使用喷灰机、混凝土磨光机、磨光机、抛光机、冲击电钻、切割机等。其产生的噪声的特点是不定时和短暂的。高噪声机械或电动工具工作时，对周围环境的影响很大，故在夜间不允许进行施工。</w:t>
            </w:r>
          </w:p>
          <w:p w14:paraId="33DFB120">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eastAsia" w:cs="Times New Roman"/>
                <w:b w:val="0"/>
                <w:bCs w:val="0"/>
                <w:color w:val="auto"/>
                <w:kern w:val="2"/>
                <w:sz w:val="24"/>
                <w:szCs w:val="32"/>
                <w:lang w:val="en-US" w:eastAsia="zh-CN" w:bidi="ar-SA"/>
              </w:rPr>
              <w:t>（3）</w:t>
            </w:r>
            <w:r>
              <w:rPr>
                <w:rFonts w:hint="default" w:ascii="Times New Roman" w:hAnsi="Times New Roman" w:eastAsia="宋体" w:cs="Times New Roman"/>
                <w:b w:val="0"/>
                <w:bCs w:val="0"/>
                <w:color w:val="auto"/>
                <w:kern w:val="2"/>
                <w:sz w:val="24"/>
                <w:szCs w:val="32"/>
                <w:lang w:val="en-US" w:eastAsia="zh-CN" w:bidi="ar-SA"/>
              </w:rPr>
              <w:t>施工期噪声影响缓解措施</w:t>
            </w:r>
          </w:p>
          <w:p w14:paraId="62A552B5">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default" w:ascii="Times New Roman" w:hAnsi="Times New Roman" w:eastAsia="宋体" w:cs="Times New Roman"/>
                <w:b w:val="0"/>
                <w:bCs w:val="0"/>
                <w:color w:val="auto"/>
                <w:kern w:val="2"/>
                <w:sz w:val="24"/>
                <w:szCs w:val="32"/>
                <w:lang w:val="en-US" w:eastAsia="zh-CN" w:bidi="ar-SA"/>
              </w:rPr>
              <w:t>施工期的噪声影响是短期的，项目建成后，施工期噪声的影响也就此结束。但是由于施工机械均为强噪声源，而本项目距离周边居民敏感点较近，施工期间噪声影响范围较大，因此项目拟采取以下措施，降低噪声对周边环境的影响：</w:t>
            </w:r>
          </w:p>
          <w:p w14:paraId="02941ABE">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default" w:ascii="Times New Roman" w:hAnsi="Times New Roman" w:eastAsia="宋体" w:cs="Times New Roman"/>
                <w:b w:val="0"/>
                <w:bCs w:val="0"/>
                <w:color w:val="auto"/>
                <w:kern w:val="2"/>
                <w:sz w:val="24"/>
                <w:szCs w:val="32"/>
                <w:lang w:val="en-US" w:eastAsia="zh-CN" w:bidi="ar-SA"/>
              </w:rPr>
              <w:fldChar w:fldCharType="begin"/>
            </w:r>
            <w:r>
              <w:rPr>
                <w:rFonts w:hint="default" w:ascii="Times New Roman" w:hAnsi="Times New Roman" w:eastAsia="宋体" w:cs="Times New Roman"/>
                <w:b w:val="0"/>
                <w:bCs w:val="0"/>
                <w:color w:val="auto"/>
                <w:kern w:val="2"/>
                <w:sz w:val="24"/>
                <w:szCs w:val="32"/>
                <w:lang w:val="en-US" w:eastAsia="zh-CN" w:bidi="ar-SA"/>
              </w:rPr>
              <w:instrText xml:space="preserve"> = 1 \* GB3 </w:instrText>
            </w:r>
            <w:r>
              <w:rPr>
                <w:rFonts w:hint="default" w:ascii="Times New Roman" w:hAnsi="Times New Roman" w:eastAsia="宋体" w:cs="Times New Roman"/>
                <w:b w:val="0"/>
                <w:bCs w:val="0"/>
                <w:color w:val="auto"/>
                <w:kern w:val="2"/>
                <w:sz w:val="24"/>
                <w:szCs w:val="32"/>
                <w:lang w:val="en-US" w:eastAsia="zh-CN" w:bidi="ar-SA"/>
              </w:rPr>
              <w:fldChar w:fldCharType="separate"/>
            </w:r>
            <w:r>
              <w:rPr>
                <w:rFonts w:hint="default" w:ascii="Times New Roman" w:hAnsi="Times New Roman" w:eastAsia="宋体" w:cs="Times New Roman"/>
                <w:b w:val="0"/>
                <w:bCs w:val="0"/>
                <w:color w:val="auto"/>
                <w:kern w:val="2"/>
                <w:sz w:val="24"/>
                <w:szCs w:val="32"/>
                <w:lang w:val="en-US" w:eastAsia="zh-CN" w:bidi="ar-SA"/>
              </w:rPr>
              <w:t>①</w:t>
            </w:r>
            <w:r>
              <w:rPr>
                <w:rFonts w:hint="default" w:ascii="Times New Roman" w:hAnsi="Times New Roman" w:eastAsia="宋体" w:cs="Times New Roman"/>
                <w:b w:val="0"/>
                <w:bCs w:val="0"/>
                <w:color w:val="auto"/>
                <w:kern w:val="2"/>
                <w:sz w:val="24"/>
                <w:szCs w:val="32"/>
                <w:lang w:val="en-US" w:eastAsia="zh-CN" w:bidi="ar-SA"/>
              </w:rPr>
              <w:fldChar w:fldCharType="end"/>
            </w:r>
            <w:r>
              <w:rPr>
                <w:rFonts w:hint="default" w:ascii="Times New Roman" w:hAnsi="Times New Roman" w:eastAsia="宋体" w:cs="Times New Roman"/>
                <w:b w:val="0"/>
                <w:bCs w:val="0"/>
                <w:color w:val="auto"/>
                <w:kern w:val="2"/>
                <w:sz w:val="24"/>
                <w:szCs w:val="32"/>
                <w:lang w:val="en-US" w:eastAsia="zh-CN" w:bidi="ar-SA"/>
              </w:rPr>
              <w:t>设置降噪屏障。施工期把地块用围栏包围，减弱噪声对外辐射，同时在高噪声设备附近，加设可移动的简易隔声屏障或在其有固定工位的设备（如空压机）外加盖简易棚；在结构施工楼层设置降噪围栏，围挡材料采用符合规定强度的硬质材料（夹芯彩钢板），高度不低于2.5m。</w:t>
            </w:r>
          </w:p>
          <w:p w14:paraId="63E4379B">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default" w:ascii="Times New Roman" w:hAnsi="Times New Roman" w:eastAsia="宋体" w:cs="Times New Roman"/>
                <w:b w:val="0"/>
                <w:bCs w:val="0"/>
                <w:color w:val="auto"/>
                <w:kern w:val="2"/>
                <w:sz w:val="24"/>
                <w:szCs w:val="32"/>
                <w:lang w:val="en-US" w:eastAsia="zh-CN" w:bidi="ar-SA"/>
              </w:rPr>
              <w:t>②合理布局、加强管理。在施工过程中把高噪声工作安排在项目中央，加强一线操作人员的环境意识，对一些零星的手工作业，如拆装模板、装卸建材，尽可能做到轻拿轻放，并辅以一定的减缓措施；将木工机械等高噪声设备尽可能设置远离周围居民一侧（如拟建项目中部），并在设有隔音功能的临房、临棚内操作，从空间布置上减少噪声污染。门口挂降噪屏（工作时放下，起到隔音的作用）；安排专人操作，尽量避免空载运转产生噪声。</w:t>
            </w:r>
          </w:p>
          <w:p w14:paraId="5A858DE0">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default" w:ascii="Times New Roman" w:hAnsi="Times New Roman" w:eastAsia="宋体" w:cs="Times New Roman"/>
                <w:b w:val="0"/>
                <w:bCs w:val="0"/>
                <w:color w:val="auto"/>
                <w:kern w:val="2"/>
                <w:sz w:val="24"/>
                <w:szCs w:val="32"/>
                <w:lang w:val="en-US" w:eastAsia="zh-CN" w:bidi="ar-SA"/>
              </w:rPr>
              <w:t>③合理安排工期。尽可能选用工艺先进、噪声较低的装修设备，但抢修、抢险作业和因</w:t>
            </w:r>
            <w:r>
              <w:rPr>
                <w:rFonts w:hint="default" w:ascii="Times New Roman" w:hAnsi="Times New Roman" w:cs="Times New Roman"/>
                <w:b w:val="0"/>
                <w:bCs w:val="0"/>
                <w:color w:val="auto"/>
                <w:kern w:val="2"/>
                <w:sz w:val="24"/>
                <w:szCs w:val="32"/>
                <w:lang w:val="en-US" w:eastAsia="zh-CN" w:bidi="ar-SA"/>
              </w:rPr>
              <w:t>生产工艺</w:t>
            </w:r>
            <w:r>
              <w:rPr>
                <w:rFonts w:hint="default" w:ascii="Times New Roman" w:hAnsi="Times New Roman" w:eastAsia="宋体" w:cs="Times New Roman"/>
                <w:b w:val="0"/>
                <w:bCs w:val="0"/>
                <w:color w:val="auto"/>
                <w:kern w:val="2"/>
                <w:sz w:val="24"/>
                <w:szCs w:val="32"/>
                <w:lang w:val="en-US" w:eastAsia="zh-CN" w:bidi="ar-SA"/>
              </w:rPr>
              <w:t>要求或者特殊需要必须连续作业的除外。</w:t>
            </w:r>
          </w:p>
          <w:p w14:paraId="43E3F05C">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default" w:ascii="Times New Roman" w:hAnsi="Times New Roman" w:eastAsia="宋体" w:cs="Times New Roman"/>
                <w:b w:val="0"/>
                <w:bCs w:val="0"/>
                <w:color w:val="auto"/>
                <w:kern w:val="2"/>
                <w:sz w:val="24"/>
                <w:szCs w:val="32"/>
                <w:lang w:val="en-US" w:eastAsia="zh-CN" w:bidi="ar-SA"/>
              </w:rPr>
              <w:t>④合理选择运输路线和运输时间，尽量绕开声环境敏感点和避开声环境敏感时段，同时加强对相关方的环境管理，要求承运方文明运输，在途经敏感区时控制车速、严禁鸣笛。</w:t>
            </w:r>
          </w:p>
          <w:p w14:paraId="747E6CF2">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default" w:ascii="Times New Roman" w:hAnsi="Times New Roman" w:eastAsia="宋体" w:cs="Times New Roman"/>
                <w:b w:val="0"/>
                <w:bCs w:val="0"/>
                <w:color w:val="auto"/>
                <w:kern w:val="2"/>
                <w:sz w:val="24"/>
                <w:szCs w:val="32"/>
                <w:lang w:val="en-US" w:eastAsia="zh-CN" w:bidi="ar-SA"/>
              </w:rPr>
              <w:t>⑤选用低噪设备，保证设备正常运转，文明施工。禁止使用国家明令禁止的环境噪声污染严重的落后施工工艺和施工机械设备。挖掘机、重型运输汽车等产生噪声的施工机械进场必须先试车，确定润滑良好，各紧固件无松动，无不良噪声后方可投入使用，运行过程中应经常检查保养，不准带“病”运转。</w:t>
            </w:r>
          </w:p>
          <w:p w14:paraId="32F4E298">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default" w:ascii="Times New Roman" w:hAnsi="Times New Roman" w:eastAsia="宋体" w:cs="Times New Roman"/>
                <w:b w:val="0"/>
                <w:bCs w:val="0"/>
                <w:color w:val="auto"/>
                <w:kern w:val="2"/>
                <w:sz w:val="24"/>
                <w:szCs w:val="32"/>
                <w:lang w:val="en-US" w:eastAsia="zh-CN" w:bidi="ar-SA"/>
              </w:rPr>
              <w:t>混凝土振捣时，采用低噪声振动棒，禁止</w:t>
            </w:r>
            <w:r>
              <w:rPr>
                <w:rFonts w:hint="default" w:ascii="Times New Roman" w:hAnsi="Times New Roman" w:cs="Times New Roman"/>
                <w:b w:val="0"/>
                <w:bCs w:val="0"/>
                <w:color w:val="auto"/>
                <w:kern w:val="2"/>
                <w:sz w:val="24"/>
                <w:szCs w:val="32"/>
                <w:lang w:val="en-US" w:eastAsia="zh-CN" w:bidi="ar-SA"/>
              </w:rPr>
              <w:t>振动</w:t>
            </w:r>
            <w:r>
              <w:rPr>
                <w:rFonts w:hint="default" w:ascii="Times New Roman" w:hAnsi="Times New Roman" w:eastAsia="宋体" w:cs="Times New Roman"/>
                <w:b w:val="0"/>
                <w:bCs w:val="0"/>
                <w:color w:val="auto"/>
                <w:kern w:val="2"/>
                <w:sz w:val="24"/>
                <w:szCs w:val="32"/>
                <w:lang w:val="en-US" w:eastAsia="zh-CN" w:bidi="ar-SA"/>
              </w:rPr>
              <w:t>钢筋或模板，做到快插慢拔，并配备相应人员控制电源线及电源开关，防止振动棒空转产生的噪声。振动棒使用完后，应及时清理干净并进行保养。</w:t>
            </w:r>
          </w:p>
          <w:p w14:paraId="1F57700E">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default" w:ascii="Times New Roman" w:hAnsi="Times New Roman" w:eastAsia="宋体" w:cs="Times New Roman"/>
                <w:b w:val="0"/>
                <w:bCs w:val="0"/>
                <w:color w:val="auto"/>
                <w:kern w:val="2"/>
                <w:sz w:val="24"/>
                <w:szCs w:val="32"/>
                <w:lang w:val="en-US" w:eastAsia="zh-CN" w:bidi="ar-SA"/>
              </w:rPr>
              <w:t>安装（搭设）、拆除模板、脚手架时，必须轻拿轻放，上下、左右有人传递，严禁抛掷。模板在拆除和清理时，禁止使用大锤敲打模板，以降低噪声污染。现场进行钢筋加工及成型时，将钢筋加工机械安放在平整度较高的平台上，下垫木板，并定期检查各种零部件，如发现零部件有松动、磨损，及时紧固或更换。</w:t>
            </w:r>
          </w:p>
          <w:p w14:paraId="5C7873F1">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default" w:ascii="Times New Roman" w:hAnsi="Times New Roman" w:eastAsia="宋体" w:cs="Times New Roman"/>
                <w:b w:val="0"/>
                <w:bCs w:val="0"/>
                <w:color w:val="auto"/>
                <w:kern w:val="2"/>
                <w:sz w:val="24"/>
                <w:szCs w:val="32"/>
                <w:lang w:val="en-US" w:eastAsia="zh-CN" w:bidi="ar-SA"/>
              </w:rPr>
              <w:t>⑥加强施工期噪声监测，凡超过</w:t>
            </w:r>
            <w:r>
              <w:rPr>
                <w:rFonts w:hint="default" w:ascii="Times New Roman" w:hAnsi="Times New Roman" w:cs="Times New Roman"/>
                <w:b w:val="0"/>
                <w:bCs w:val="0"/>
                <w:color w:val="auto"/>
                <w:kern w:val="2"/>
                <w:sz w:val="24"/>
                <w:szCs w:val="32"/>
                <w:lang w:val="en-US" w:eastAsia="zh-CN" w:bidi="ar-SA"/>
              </w:rPr>
              <w:t>《建筑施工噪声排放标准》（GB12523-2025）</w:t>
            </w:r>
            <w:r>
              <w:rPr>
                <w:rFonts w:hint="default" w:ascii="Times New Roman" w:hAnsi="Times New Roman" w:eastAsia="宋体" w:cs="Times New Roman"/>
                <w:b w:val="0"/>
                <w:bCs w:val="0"/>
                <w:color w:val="auto"/>
                <w:kern w:val="2"/>
                <w:sz w:val="24"/>
                <w:szCs w:val="32"/>
                <w:lang w:val="en-US" w:eastAsia="zh-CN" w:bidi="ar-SA"/>
              </w:rPr>
              <w:t>的，及时对施工现场噪声超标的有关因素进行调整，力争达到施工噪声不扰民的目的。</w:t>
            </w:r>
          </w:p>
          <w:p w14:paraId="0777D0A7">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default" w:ascii="Times New Roman" w:hAnsi="Times New Roman" w:eastAsia="宋体" w:cs="Times New Roman"/>
                <w:b w:val="0"/>
                <w:bCs w:val="0"/>
                <w:color w:val="auto"/>
                <w:kern w:val="2"/>
                <w:sz w:val="24"/>
                <w:szCs w:val="32"/>
                <w:lang w:val="en-US" w:eastAsia="zh-CN" w:bidi="ar-SA"/>
              </w:rPr>
              <w:t>项目在严格按照</w:t>
            </w:r>
            <w:r>
              <w:rPr>
                <w:rFonts w:hint="default" w:ascii="Times New Roman" w:hAnsi="Times New Roman" w:cs="Times New Roman"/>
                <w:b w:val="0"/>
                <w:bCs w:val="0"/>
                <w:color w:val="auto"/>
                <w:kern w:val="2"/>
                <w:sz w:val="24"/>
                <w:szCs w:val="32"/>
                <w:lang w:val="en-US" w:eastAsia="zh-CN" w:bidi="ar-SA"/>
              </w:rPr>
              <w:t>《建筑施工噪声排放标准》（GB12523-2025）</w:t>
            </w:r>
            <w:r>
              <w:rPr>
                <w:rFonts w:hint="default" w:ascii="Times New Roman" w:hAnsi="Times New Roman" w:eastAsia="宋体" w:cs="Times New Roman"/>
                <w:b w:val="0"/>
                <w:bCs w:val="0"/>
                <w:color w:val="auto"/>
                <w:kern w:val="2"/>
                <w:sz w:val="24"/>
                <w:szCs w:val="32"/>
                <w:lang w:val="en-US" w:eastAsia="zh-CN" w:bidi="ar-SA"/>
              </w:rPr>
              <w:t>要求的标准进行施工，并采用上述有效措施对厂址施工噪声进行控制后，会将该项目施工噪声对周围敏感点影响控制在最低水平。</w:t>
            </w:r>
          </w:p>
          <w:p w14:paraId="1C987C73">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default" w:ascii="Times New Roman" w:hAnsi="Times New Roman" w:eastAsia="宋体" w:cs="Times New Roman"/>
                <w:b w:val="0"/>
                <w:bCs w:val="0"/>
                <w:color w:val="auto"/>
                <w:kern w:val="2"/>
                <w:sz w:val="24"/>
                <w:szCs w:val="32"/>
                <w:lang w:val="en-US" w:eastAsia="zh-CN" w:bidi="ar-SA"/>
              </w:rPr>
              <w:t>四、固体废物污染及防治措施</w:t>
            </w:r>
          </w:p>
          <w:p w14:paraId="579813A7">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default" w:ascii="Times New Roman" w:hAnsi="Times New Roman" w:eastAsia="宋体" w:cs="Times New Roman"/>
                <w:b w:val="0"/>
                <w:bCs w:val="0"/>
                <w:color w:val="auto"/>
                <w:kern w:val="2"/>
                <w:sz w:val="24"/>
                <w:szCs w:val="32"/>
                <w:lang w:val="en-US" w:eastAsia="zh-CN" w:bidi="ar-SA"/>
              </w:rPr>
              <w:t xml:space="preserve">本项目固体废弃物主要为土石方、建筑垃圾和施工人员生活垃圾。 </w:t>
            </w:r>
          </w:p>
          <w:p w14:paraId="16244967">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eastAsia" w:cs="Times New Roman"/>
                <w:b w:val="0"/>
                <w:bCs w:val="0"/>
                <w:color w:val="auto"/>
                <w:kern w:val="2"/>
                <w:sz w:val="24"/>
                <w:szCs w:val="32"/>
                <w:lang w:val="en-US" w:eastAsia="zh-CN" w:bidi="ar-SA"/>
              </w:rPr>
              <w:t>（1）</w:t>
            </w:r>
            <w:r>
              <w:rPr>
                <w:rFonts w:hint="default" w:ascii="Times New Roman" w:hAnsi="Times New Roman" w:eastAsia="宋体" w:cs="Times New Roman"/>
                <w:b w:val="0"/>
                <w:bCs w:val="0"/>
                <w:color w:val="auto"/>
                <w:kern w:val="2"/>
                <w:sz w:val="24"/>
                <w:szCs w:val="32"/>
                <w:lang w:val="en-US" w:eastAsia="zh-CN" w:bidi="ar-SA"/>
              </w:rPr>
              <w:t>土石方</w:t>
            </w:r>
          </w:p>
          <w:p w14:paraId="295D176F">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default" w:ascii="Times New Roman" w:hAnsi="Times New Roman" w:eastAsia="宋体" w:cs="Times New Roman"/>
                <w:b w:val="0"/>
                <w:bCs w:val="0"/>
                <w:color w:val="auto"/>
                <w:kern w:val="2"/>
                <w:sz w:val="24"/>
                <w:szCs w:val="32"/>
                <w:lang w:val="en-US" w:eastAsia="zh-CN" w:bidi="ar-SA"/>
              </w:rPr>
              <w:t>本项目施工期土石方主要来自场地平整、建筑基础开挖等产生的土石方，项目开挖土石方约1000m</w:t>
            </w:r>
            <w:r>
              <w:rPr>
                <w:rFonts w:hint="default" w:ascii="Times New Roman" w:hAnsi="Times New Roman" w:eastAsia="宋体" w:cs="Times New Roman"/>
                <w:b w:val="0"/>
                <w:bCs w:val="0"/>
                <w:color w:val="auto"/>
                <w:kern w:val="2"/>
                <w:sz w:val="24"/>
                <w:szCs w:val="32"/>
                <w:vertAlign w:val="superscript"/>
                <w:lang w:val="en-US" w:eastAsia="zh-CN" w:bidi="ar-SA"/>
              </w:rPr>
              <w:t>3</w:t>
            </w:r>
            <w:r>
              <w:rPr>
                <w:rFonts w:hint="default" w:ascii="Times New Roman" w:hAnsi="Times New Roman" w:eastAsia="宋体" w:cs="Times New Roman"/>
                <w:b w:val="0"/>
                <w:bCs w:val="0"/>
                <w:color w:val="auto"/>
                <w:kern w:val="2"/>
                <w:sz w:val="24"/>
                <w:szCs w:val="32"/>
                <w:lang w:val="en-US" w:eastAsia="zh-CN" w:bidi="ar-SA"/>
              </w:rPr>
              <w:t>，用于项目场地内回填，无弃土外运。</w:t>
            </w:r>
          </w:p>
          <w:p w14:paraId="16C56411">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eastAsia" w:cs="Times New Roman"/>
                <w:b w:val="0"/>
                <w:bCs w:val="0"/>
                <w:color w:val="auto"/>
                <w:kern w:val="2"/>
                <w:sz w:val="24"/>
                <w:szCs w:val="32"/>
                <w:lang w:val="en-US" w:eastAsia="zh-CN" w:bidi="ar-SA"/>
              </w:rPr>
              <w:t>（2）</w:t>
            </w:r>
            <w:r>
              <w:rPr>
                <w:rFonts w:hint="default" w:ascii="Times New Roman" w:hAnsi="Times New Roman" w:eastAsia="宋体" w:cs="Times New Roman"/>
                <w:b w:val="0"/>
                <w:bCs w:val="0"/>
                <w:color w:val="auto"/>
                <w:kern w:val="2"/>
                <w:sz w:val="24"/>
                <w:szCs w:val="32"/>
                <w:lang w:val="en-US" w:eastAsia="zh-CN" w:bidi="ar-SA"/>
              </w:rPr>
              <w:t>建筑垃圾</w:t>
            </w:r>
          </w:p>
          <w:p w14:paraId="718247E1">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default" w:ascii="Times New Roman" w:hAnsi="Times New Roman" w:eastAsia="宋体" w:cs="Times New Roman"/>
                <w:b w:val="0"/>
                <w:bCs w:val="0"/>
                <w:color w:val="auto"/>
                <w:kern w:val="2"/>
                <w:sz w:val="24"/>
                <w:szCs w:val="32"/>
                <w:lang w:val="en-US" w:eastAsia="zh-CN" w:bidi="ar-SA"/>
              </w:rPr>
              <w:t>施工生产的废料首先必须考虑废料的回收利用，一般情况下建筑材料废弃物有废弃钢材、碎砖、木材等，其损耗量约占使用量的5</w:t>
            </w:r>
            <w:r>
              <w:rPr>
                <w:rFonts w:hint="default" w:ascii="Times New Roman" w:hAnsi="Times New Roman" w:cs="Times New Roman"/>
                <w:b w:val="0"/>
                <w:bCs w:val="0"/>
                <w:color w:val="auto"/>
                <w:kern w:val="2"/>
                <w:sz w:val="24"/>
                <w:szCs w:val="32"/>
                <w:lang w:val="en-US" w:eastAsia="zh-CN" w:bidi="ar-SA"/>
              </w:rPr>
              <w:t>%～</w:t>
            </w:r>
            <w:r>
              <w:rPr>
                <w:rFonts w:hint="default" w:ascii="Times New Roman" w:hAnsi="Times New Roman" w:eastAsia="宋体" w:cs="Times New Roman"/>
                <w:b w:val="0"/>
                <w:bCs w:val="0"/>
                <w:color w:val="auto"/>
                <w:kern w:val="2"/>
                <w:sz w:val="24"/>
                <w:szCs w:val="32"/>
                <w:lang w:val="en-US" w:eastAsia="zh-CN" w:bidi="ar-SA"/>
              </w:rPr>
              <w:t>8%，且大多可回收，不会出现丢弃现象；对钢筋、钢板、木材等下脚料可分类回收，交废物收购站处理；对建筑垃圾，如含砖、石、砂的杂土应集中堆放，</w:t>
            </w:r>
            <w:r>
              <w:rPr>
                <w:rFonts w:hint="eastAsia" w:ascii="Times New Roman" w:hAnsi="Times New Roman" w:eastAsia="宋体" w:cs="Times New Roman"/>
                <w:b w:val="0"/>
                <w:bCs w:val="0"/>
                <w:color w:val="auto"/>
                <w:kern w:val="2"/>
                <w:sz w:val="24"/>
                <w:szCs w:val="32"/>
                <w:lang w:val="en-US" w:eastAsia="zh-CN" w:bidi="ar-SA"/>
              </w:rPr>
              <w:t>及</w:t>
            </w:r>
            <w:r>
              <w:rPr>
                <w:rFonts w:hint="default" w:ascii="Times New Roman" w:hAnsi="Times New Roman" w:eastAsia="宋体" w:cs="Times New Roman"/>
                <w:b w:val="0"/>
                <w:bCs w:val="0"/>
                <w:color w:val="auto"/>
                <w:kern w:val="2"/>
                <w:sz w:val="24"/>
                <w:szCs w:val="32"/>
                <w:lang w:val="en-US" w:eastAsia="zh-CN" w:bidi="ar-SA"/>
              </w:rPr>
              <w:t>时清运</w:t>
            </w:r>
            <w:r>
              <w:rPr>
                <w:rFonts w:hint="eastAsia" w:ascii="Times New Roman" w:hAnsi="Times New Roman" w:eastAsia="宋体" w:cs="Times New Roman"/>
                <w:b w:val="0"/>
                <w:bCs w:val="0"/>
                <w:color w:val="auto"/>
                <w:kern w:val="2"/>
                <w:sz w:val="24"/>
                <w:szCs w:val="32"/>
                <w:lang w:val="en-US" w:eastAsia="zh-CN" w:bidi="ar-SA"/>
              </w:rPr>
              <w:t>至住建部门指定的地点处置</w:t>
            </w:r>
            <w:r>
              <w:rPr>
                <w:rFonts w:hint="default" w:ascii="Times New Roman" w:hAnsi="Times New Roman" w:eastAsia="宋体" w:cs="Times New Roman"/>
                <w:b w:val="0"/>
                <w:bCs w:val="0"/>
                <w:color w:val="auto"/>
                <w:kern w:val="2"/>
                <w:sz w:val="24"/>
                <w:szCs w:val="32"/>
                <w:lang w:val="en-US" w:eastAsia="zh-CN" w:bidi="ar-SA"/>
              </w:rPr>
              <w:t>。</w:t>
            </w:r>
          </w:p>
          <w:p w14:paraId="0742EE4C">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default" w:ascii="Times New Roman" w:hAnsi="Times New Roman" w:eastAsia="宋体" w:cs="Times New Roman"/>
                <w:b w:val="0"/>
                <w:bCs w:val="0"/>
                <w:color w:val="auto"/>
                <w:kern w:val="2"/>
                <w:sz w:val="24"/>
                <w:szCs w:val="32"/>
                <w:lang w:val="en-US" w:eastAsia="zh-CN" w:bidi="ar-SA"/>
              </w:rPr>
              <w:t>本项目建筑垃圾产生量约20t，可回收建筑固废约占总量的30%（6t）。</w:t>
            </w:r>
            <w:r>
              <w:rPr>
                <w:rFonts w:hint="default" w:ascii="Times New Roman" w:hAnsi="Times New Roman" w:cs="Times New Roman"/>
                <w:b w:val="0"/>
                <w:bCs w:val="0"/>
                <w:color w:val="auto"/>
                <w:kern w:val="2"/>
                <w:sz w:val="24"/>
                <w:szCs w:val="32"/>
                <w:lang w:val="en-US" w:eastAsia="zh-CN" w:bidi="ar-SA"/>
              </w:rPr>
              <w:t>其他建筑</w:t>
            </w:r>
            <w:r>
              <w:rPr>
                <w:rFonts w:hint="default" w:ascii="Times New Roman" w:hAnsi="Times New Roman" w:eastAsia="宋体" w:cs="Times New Roman"/>
                <w:b w:val="0"/>
                <w:bCs w:val="0"/>
                <w:color w:val="auto"/>
                <w:kern w:val="2"/>
                <w:sz w:val="24"/>
                <w:szCs w:val="32"/>
                <w:lang w:val="en-US" w:eastAsia="zh-CN" w:bidi="ar-SA"/>
              </w:rPr>
              <w:t>固废（16t）由建设单位及时清运至</w:t>
            </w:r>
            <w:r>
              <w:rPr>
                <w:rFonts w:hint="eastAsia" w:ascii="Times New Roman" w:hAnsi="Times New Roman" w:eastAsia="宋体" w:cs="Times New Roman"/>
                <w:b w:val="0"/>
                <w:bCs w:val="0"/>
                <w:color w:val="auto"/>
                <w:kern w:val="2"/>
                <w:sz w:val="24"/>
                <w:szCs w:val="32"/>
                <w:lang w:val="en-US" w:eastAsia="zh-CN" w:bidi="ar-SA"/>
              </w:rPr>
              <w:t>住建部门指定的地点处理</w:t>
            </w:r>
            <w:r>
              <w:rPr>
                <w:rFonts w:hint="default" w:ascii="Times New Roman" w:hAnsi="Times New Roman" w:eastAsia="宋体" w:cs="Times New Roman"/>
                <w:b w:val="0"/>
                <w:bCs w:val="0"/>
                <w:color w:val="auto"/>
                <w:kern w:val="2"/>
                <w:sz w:val="24"/>
                <w:szCs w:val="32"/>
                <w:lang w:val="en-US" w:eastAsia="zh-CN" w:bidi="ar-SA"/>
              </w:rPr>
              <w:t>。</w:t>
            </w:r>
          </w:p>
          <w:p w14:paraId="43211D56">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default" w:ascii="Times New Roman" w:hAnsi="Times New Roman" w:eastAsia="宋体" w:cs="Times New Roman"/>
                <w:b w:val="0"/>
                <w:bCs w:val="0"/>
                <w:color w:val="auto"/>
                <w:kern w:val="2"/>
                <w:sz w:val="24"/>
                <w:szCs w:val="32"/>
                <w:lang w:val="en-US" w:eastAsia="zh-CN" w:bidi="ar-SA"/>
              </w:rPr>
              <w:t>综上所述，项目施工期在严格落实了本环评提出的上述措施后，其施工期的固体废弃物可实现清洁处理和处置，不致造成二次污染。</w:t>
            </w:r>
          </w:p>
          <w:p w14:paraId="08DD7FE7">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default" w:ascii="Times New Roman" w:hAnsi="Times New Roman" w:eastAsia="宋体" w:cs="Times New Roman"/>
                <w:b w:val="0"/>
                <w:bCs w:val="0"/>
                <w:color w:val="auto"/>
                <w:kern w:val="2"/>
                <w:sz w:val="24"/>
                <w:szCs w:val="32"/>
                <w:lang w:val="en-US" w:eastAsia="zh-CN" w:bidi="ar-SA"/>
              </w:rPr>
              <w:t>五、生态环境影响及防治措施</w:t>
            </w:r>
          </w:p>
          <w:p w14:paraId="53F65E9C">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default" w:ascii="Times New Roman" w:hAnsi="Times New Roman" w:eastAsia="宋体" w:cs="Times New Roman"/>
                <w:b w:val="0"/>
                <w:bCs w:val="0"/>
                <w:color w:val="auto"/>
                <w:kern w:val="2"/>
                <w:sz w:val="24"/>
                <w:szCs w:val="32"/>
                <w:lang w:val="en-US" w:eastAsia="zh-CN" w:bidi="ar-SA"/>
              </w:rPr>
              <w:t>该工程施工期对生态环境的影响主要是可能产生的水土流失影响</w:t>
            </w:r>
            <w:r>
              <w:rPr>
                <w:rFonts w:hint="default" w:ascii="Times New Roman" w:hAnsi="Times New Roman" w:cs="Times New Roman"/>
                <w:b w:val="0"/>
                <w:bCs w:val="0"/>
                <w:color w:val="auto"/>
                <w:kern w:val="2"/>
                <w:sz w:val="24"/>
                <w:szCs w:val="32"/>
                <w:lang w:val="en-US" w:eastAsia="zh-CN" w:bidi="ar-SA"/>
              </w:rPr>
              <w:t>、对</w:t>
            </w:r>
            <w:r>
              <w:rPr>
                <w:rFonts w:hint="default" w:ascii="Times New Roman" w:hAnsi="Times New Roman" w:eastAsia="宋体" w:cs="Times New Roman"/>
                <w:b w:val="0"/>
                <w:bCs w:val="0"/>
                <w:color w:val="auto"/>
                <w:kern w:val="2"/>
                <w:sz w:val="24"/>
                <w:szCs w:val="32"/>
                <w:lang w:val="en-US" w:eastAsia="zh-CN" w:bidi="ar-SA"/>
              </w:rPr>
              <w:t>地表原有植被（主要为杂草等）造成破坏等。随着施工工地开挖、填方、平整，原有表土层受到破坏，土壤松动，或者施工工程中由于挖方及填方过程中形成的土堆不能及时清理，遇到较大降雨冲刷，容易发生水土流失。因此只要施工期加强管理、合理安排施工进度，产生的少量弃土及时清运，采取地面硬化措施，并因地制宜进行绿化。采取上述措施后，可起到吸声降噪，绿化、美化环境的作用，周围生态环境可得到改善，施工期对周围生态环境的影响不大。</w:t>
            </w:r>
          </w:p>
          <w:p w14:paraId="5F74CD5F">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default" w:ascii="Times New Roman" w:hAnsi="Times New Roman" w:eastAsia="宋体" w:cs="Times New Roman"/>
                <w:b w:val="0"/>
                <w:bCs w:val="0"/>
                <w:color w:val="auto"/>
                <w:kern w:val="2"/>
                <w:sz w:val="24"/>
                <w:szCs w:val="32"/>
                <w:lang w:val="en-US" w:eastAsia="zh-CN" w:bidi="ar-SA"/>
              </w:rPr>
              <w:t>综上所述，施工期的噪声、废气、废水和固体废物将会对环境影响产生一定程度的影响，但只要施工单位认真做好施工组织工作（包括劳动力、工期计划和施工平面管理），并进行文明施工，严格遵守上述环保建议，工程建设期间不会对周围环境产生明显不利影响。</w:t>
            </w:r>
          </w:p>
          <w:p w14:paraId="64E27622">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default" w:ascii="Times New Roman" w:hAnsi="Times New Roman" w:eastAsia="宋体" w:cs="Times New Roman"/>
                <w:b w:val="0"/>
                <w:bCs w:val="0"/>
                <w:color w:val="auto"/>
                <w:kern w:val="2"/>
                <w:sz w:val="24"/>
                <w:szCs w:val="32"/>
                <w:lang w:val="en-US" w:eastAsia="zh-CN" w:bidi="ar-SA"/>
              </w:rPr>
              <w:t>六、防沙治沙措施</w:t>
            </w:r>
          </w:p>
          <w:p w14:paraId="0A2B1F9C">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default" w:ascii="Times New Roman" w:hAnsi="Times New Roman" w:eastAsia="宋体" w:cs="Times New Roman"/>
                <w:b w:val="0"/>
                <w:bCs w:val="0"/>
                <w:color w:val="auto"/>
                <w:kern w:val="2"/>
                <w:sz w:val="24"/>
                <w:szCs w:val="32"/>
                <w:lang w:val="en-US" w:eastAsia="zh-CN" w:bidi="ar-SA"/>
              </w:rPr>
              <w:t>为防治土地沙化，本次环评特提出防沙治沙生态保护措施：</w:t>
            </w:r>
          </w:p>
          <w:p w14:paraId="5D9B972A">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default" w:ascii="Times New Roman" w:hAnsi="Times New Roman" w:eastAsia="宋体" w:cs="Times New Roman"/>
                <w:b w:val="0"/>
                <w:bCs w:val="0"/>
                <w:color w:val="auto"/>
                <w:kern w:val="2"/>
                <w:sz w:val="24"/>
                <w:szCs w:val="32"/>
                <w:lang w:val="en-US" w:eastAsia="zh-CN" w:bidi="ar-SA"/>
              </w:rPr>
              <w:t>（1）施工期间应划定施工活动范围，强化施工管理，严格控制 和管理运输车辆及重型机械的运行线路和范围，不得离开运输道路随意行驶，由专人负责，以防破坏土壤及地表，加剧土地沙化。土地临时使用过程中发现土地沙化，应当及时报告当地人民政府。</w:t>
            </w:r>
          </w:p>
          <w:p w14:paraId="633858EE">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default" w:ascii="Times New Roman" w:hAnsi="Times New Roman" w:eastAsia="宋体" w:cs="Times New Roman"/>
                <w:b w:val="0"/>
                <w:bCs w:val="0"/>
                <w:color w:val="auto"/>
                <w:kern w:val="2"/>
                <w:sz w:val="24"/>
                <w:szCs w:val="32"/>
                <w:lang w:val="en-US" w:eastAsia="zh-CN" w:bidi="ar-SA"/>
              </w:rPr>
              <w:t>（2）合理安排施工时间及工序，施工结束后应及时平整、回填、覆土、夯实，做好施工迹地的恢复。</w:t>
            </w:r>
          </w:p>
          <w:p w14:paraId="1D35886C">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default" w:ascii="Times New Roman" w:hAnsi="Times New Roman" w:eastAsia="宋体" w:cs="Times New Roman"/>
                <w:b w:val="0"/>
                <w:bCs w:val="0"/>
                <w:color w:val="auto"/>
                <w:kern w:val="2"/>
                <w:sz w:val="24"/>
                <w:szCs w:val="32"/>
                <w:lang w:val="en-US" w:eastAsia="zh-CN" w:bidi="ar-SA"/>
              </w:rPr>
              <w:t>（3）在土方开挖施工时，按照原土层顺序回填及覆盖，做到分层开挖，分层堆放，分层回填，尽量不破坏表层土壤物理性质。</w:t>
            </w:r>
          </w:p>
          <w:p w14:paraId="7BE7091D">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default" w:ascii="Times New Roman" w:hAnsi="Times New Roman" w:eastAsia="宋体" w:cs="Times New Roman"/>
                <w:b w:val="0"/>
                <w:bCs w:val="0"/>
                <w:color w:val="auto"/>
                <w:kern w:val="2"/>
                <w:sz w:val="24"/>
                <w:szCs w:val="32"/>
                <w:lang w:val="en-US" w:eastAsia="zh-CN" w:bidi="ar-SA"/>
              </w:rPr>
              <w:t>（4）施工过程中要采取防尘网苫盖等临时防护（挡护）措施，减少风力侵蚀产生的扬尘；</w:t>
            </w:r>
          </w:p>
          <w:p w14:paraId="45404EE7">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default" w:ascii="Times New Roman" w:hAnsi="Times New Roman" w:eastAsia="宋体" w:cs="Times New Roman"/>
                <w:b w:val="0"/>
                <w:bCs w:val="0"/>
                <w:color w:val="auto"/>
                <w:kern w:val="2"/>
                <w:sz w:val="24"/>
                <w:szCs w:val="32"/>
                <w:lang w:val="en-US" w:eastAsia="zh-CN" w:bidi="ar-SA"/>
              </w:rPr>
              <w:t>（5）施工期间，对施工场所进行洒水抑尘。</w:t>
            </w:r>
          </w:p>
          <w:p w14:paraId="660F2FD5">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default" w:ascii="Times New Roman" w:hAnsi="Times New Roman" w:eastAsia="宋体" w:cs="Times New Roman"/>
                <w:b w:val="0"/>
                <w:bCs w:val="0"/>
                <w:color w:val="auto"/>
                <w:kern w:val="2"/>
                <w:sz w:val="24"/>
                <w:szCs w:val="32"/>
                <w:lang w:val="en-US" w:eastAsia="zh-CN" w:bidi="ar-SA"/>
              </w:rPr>
              <w:t>（6）强化封禁保护，实行“三禁”制度。切实汲取长期存在的边治理、边破坏的教训，杜绝滥垦、滥牧、滥采等破坏行为，遏制盐土沙化，保护地表层。</w:t>
            </w:r>
          </w:p>
          <w:p w14:paraId="5E42167F">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kern w:val="2"/>
                <w:sz w:val="24"/>
                <w:szCs w:val="32"/>
                <w:lang w:val="en-US" w:eastAsia="zh-CN" w:bidi="ar-SA"/>
              </w:rPr>
            </w:pPr>
            <w:r>
              <w:rPr>
                <w:rFonts w:hint="default" w:ascii="Times New Roman" w:hAnsi="Times New Roman" w:eastAsia="宋体" w:cs="Times New Roman"/>
                <w:b w:val="0"/>
                <w:bCs w:val="0"/>
                <w:color w:val="auto"/>
                <w:kern w:val="2"/>
                <w:sz w:val="24"/>
                <w:szCs w:val="32"/>
                <w:lang w:val="en-US" w:eastAsia="zh-CN" w:bidi="ar-SA"/>
              </w:rPr>
              <w:t>（7）施工期间严格执行生态保护措施，杜绝破坏现有生态环境，造成沙化的行为。</w:t>
            </w:r>
          </w:p>
          <w:p w14:paraId="01AAE430">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b w:val="0"/>
                <w:bCs w:val="0"/>
                <w:color w:val="auto"/>
                <w:kern w:val="2"/>
                <w:sz w:val="24"/>
                <w:szCs w:val="32"/>
                <w:lang w:val="en-US" w:eastAsia="zh-CN" w:bidi="ar-SA"/>
              </w:rPr>
            </w:pPr>
            <w:r>
              <w:rPr>
                <w:rFonts w:hint="default" w:ascii="Times New Roman" w:hAnsi="Times New Roman" w:eastAsia="宋体" w:cs="Times New Roman"/>
                <w:b w:val="0"/>
                <w:bCs w:val="0"/>
                <w:color w:val="auto"/>
                <w:kern w:val="2"/>
                <w:sz w:val="24"/>
                <w:szCs w:val="32"/>
                <w:lang w:val="en-US" w:eastAsia="zh-CN" w:bidi="ar-SA"/>
              </w:rPr>
              <w:t>（8）加强对施工区域生态环境管理，施工结</w:t>
            </w:r>
            <w:r>
              <w:rPr>
                <w:rFonts w:hint="default" w:ascii="Times New Roman" w:hAnsi="Times New Roman" w:cs="Times New Roman"/>
                <w:b w:val="0"/>
                <w:bCs w:val="0"/>
                <w:color w:val="auto"/>
                <w:kern w:val="2"/>
                <w:sz w:val="24"/>
                <w:szCs w:val="32"/>
                <w:lang w:val="en-US" w:eastAsia="zh-CN" w:bidi="ar-SA"/>
              </w:rPr>
              <w:t>束后</w:t>
            </w:r>
            <w:r>
              <w:rPr>
                <w:rFonts w:hint="default" w:ascii="Times New Roman" w:hAnsi="Times New Roman" w:eastAsia="宋体" w:cs="Times New Roman"/>
                <w:b w:val="0"/>
                <w:bCs w:val="0"/>
                <w:color w:val="auto"/>
                <w:kern w:val="2"/>
                <w:sz w:val="24"/>
                <w:szCs w:val="32"/>
                <w:lang w:val="en-US" w:eastAsia="zh-CN" w:bidi="ar-SA"/>
              </w:rPr>
              <w:t>，对施工场地进行清理、平整，防止土壤沙化。</w:t>
            </w:r>
          </w:p>
          <w:p w14:paraId="09C4F30D">
            <w:pPr>
              <w:pStyle w:val="48"/>
              <w:spacing w:line="440" w:lineRule="exact"/>
              <w:ind w:firstLine="488" w:firstLineChars="200"/>
              <w:rPr>
                <w:rFonts w:ascii="Times New Roman" w:hAnsi="Times New Roman" w:cs="Times New Roman"/>
                <w:spacing w:val="2"/>
                <w:lang w:eastAsia="zh-CN"/>
              </w:rPr>
            </w:pPr>
            <w:r>
              <w:rPr>
                <w:rFonts w:hint="eastAsia" w:ascii="Times New Roman" w:hAnsi="Times New Roman" w:cs="Times New Roman"/>
                <w:spacing w:val="2"/>
                <w:lang w:val="en-US" w:eastAsia="zh-CN"/>
              </w:rPr>
              <w:t>七、</w:t>
            </w:r>
            <w:r>
              <w:rPr>
                <w:rFonts w:ascii="Times New Roman" w:hAnsi="Times New Roman" w:cs="Times New Roman"/>
                <w:spacing w:val="2"/>
                <w:lang w:eastAsia="zh-CN"/>
              </w:rPr>
              <w:t>水土保持措施</w:t>
            </w:r>
          </w:p>
          <w:p w14:paraId="6BD246CE">
            <w:pPr>
              <w:pStyle w:val="48"/>
              <w:spacing w:line="440" w:lineRule="exact"/>
              <w:ind w:firstLine="488" w:firstLineChars="200"/>
              <w:rPr>
                <w:rFonts w:ascii="Times New Roman" w:hAnsi="Times New Roman" w:cs="Times New Roman"/>
                <w:spacing w:val="2"/>
                <w:lang w:eastAsia="zh-CN"/>
              </w:rPr>
            </w:pPr>
            <w:r>
              <w:rPr>
                <w:rFonts w:hint="eastAsia" w:ascii="Times New Roman" w:hAnsi="Times New Roman" w:cs="Times New Roman"/>
                <w:spacing w:val="2"/>
                <w:lang w:eastAsia="zh-CN"/>
              </w:rPr>
              <w:t>（</w:t>
            </w:r>
            <w:r>
              <w:rPr>
                <w:rFonts w:hint="eastAsia" w:ascii="Times New Roman" w:hAnsi="Times New Roman" w:cs="Times New Roman"/>
                <w:spacing w:val="2"/>
                <w:lang w:val="en-US" w:eastAsia="zh-CN"/>
              </w:rPr>
              <w:t>1</w:t>
            </w:r>
            <w:r>
              <w:rPr>
                <w:rFonts w:hint="eastAsia" w:ascii="Times New Roman" w:hAnsi="Times New Roman" w:cs="Times New Roman"/>
                <w:spacing w:val="2"/>
                <w:lang w:eastAsia="zh-CN"/>
              </w:rPr>
              <w:t>）</w:t>
            </w:r>
            <w:r>
              <w:rPr>
                <w:rFonts w:ascii="Times New Roman" w:hAnsi="Times New Roman" w:cs="Times New Roman"/>
                <w:spacing w:val="2"/>
                <w:lang w:eastAsia="zh-CN"/>
              </w:rPr>
              <w:t>采取尽量减少占地、控制施工范围采取彩条旗限界、减少扰动面积减少地表开挖裸露时间、避开雨季及大风天气施工、及时进行迹地恢复等措施；</w:t>
            </w:r>
          </w:p>
          <w:p w14:paraId="0092FA33">
            <w:pPr>
              <w:pStyle w:val="48"/>
              <w:spacing w:line="440" w:lineRule="exact"/>
              <w:ind w:firstLine="488" w:firstLineChars="200"/>
              <w:rPr>
                <w:rFonts w:ascii="Times New Roman" w:hAnsi="Times New Roman" w:cs="Times New Roman"/>
                <w:spacing w:val="2"/>
                <w:lang w:eastAsia="zh-CN"/>
              </w:rPr>
            </w:pPr>
            <w:r>
              <w:rPr>
                <w:rFonts w:hint="eastAsia" w:ascii="Times New Roman" w:hAnsi="Times New Roman" w:cs="Times New Roman"/>
                <w:spacing w:val="2"/>
                <w:lang w:eastAsia="zh-CN"/>
              </w:rPr>
              <w:t>（</w:t>
            </w:r>
            <w:r>
              <w:rPr>
                <w:rFonts w:hint="eastAsia" w:ascii="Times New Roman" w:hAnsi="Times New Roman" w:cs="Times New Roman"/>
                <w:spacing w:val="2"/>
                <w:lang w:val="en-US" w:eastAsia="zh-CN"/>
              </w:rPr>
              <w:t>2</w:t>
            </w:r>
            <w:r>
              <w:rPr>
                <w:rFonts w:hint="eastAsia" w:ascii="Times New Roman" w:hAnsi="Times New Roman" w:cs="Times New Roman"/>
                <w:spacing w:val="2"/>
                <w:lang w:eastAsia="zh-CN"/>
              </w:rPr>
              <w:t>）</w:t>
            </w:r>
            <w:r>
              <w:rPr>
                <w:rFonts w:ascii="Times New Roman" w:hAnsi="Times New Roman" w:cs="Times New Roman"/>
                <w:spacing w:val="2"/>
                <w:lang w:eastAsia="zh-CN"/>
              </w:rPr>
              <w:t>尽量缩短施工期，使土壤暴露时间缩短，并快速回填；</w:t>
            </w:r>
          </w:p>
          <w:p w14:paraId="588184DA">
            <w:pPr>
              <w:pStyle w:val="48"/>
              <w:spacing w:line="440" w:lineRule="exact"/>
              <w:ind w:firstLine="488" w:firstLineChars="200"/>
              <w:rPr>
                <w:rFonts w:ascii="Times New Roman" w:hAnsi="Times New Roman" w:cs="Times New Roman"/>
                <w:spacing w:val="2"/>
                <w:lang w:eastAsia="zh-CN"/>
              </w:rPr>
            </w:pPr>
            <w:r>
              <w:rPr>
                <w:rFonts w:hint="eastAsia" w:ascii="Times New Roman" w:hAnsi="Times New Roman" w:cs="Times New Roman"/>
                <w:spacing w:val="2"/>
                <w:lang w:eastAsia="zh-CN"/>
              </w:rPr>
              <w:t>（</w:t>
            </w:r>
            <w:r>
              <w:rPr>
                <w:rFonts w:hint="eastAsia" w:ascii="Times New Roman" w:hAnsi="Times New Roman" w:cs="Times New Roman"/>
                <w:spacing w:val="2"/>
                <w:lang w:val="en-US" w:eastAsia="zh-CN"/>
              </w:rPr>
              <w:t>3</w:t>
            </w:r>
            <w:r>
              <w:rPr>
                <w:rFonts w:hint="eastAsia" w:ascii="Times New Roman" w:hAnsi="Times New Roman" w:cs="Times New Roman"/>
                <w:spacing w:val="2"/>
                <w:lang w:eastAsia="zh-CN"/>
              </w:rPr>
              <w:t>）</w:t>
            </w:r>
            <w:r>
              <w:rPr>
                <w:rFonts w:ascii="Times New Roman" w:hAnsi="Times New Roman" w:cs="Times New Roman"/>
                <w:spacing w:val="2"/>
                <w:lang w:eastAsia="zh-CN"/>
              </w:rPr>
              <w:t>严格按照设计的占地面积、基础型式等要求开挖，避免大开挖，做到土石方平衡，减少弃土的产生，施工结束后采用土地整治方法对回填表面进行整平压实，减少水土流失；</w:t>
            </w:r>
          </w:p>
          <w:p w14:paraId="2F343213">
            <w:pPr>
              <w:pStyle w:val="48"/>
              <w:spacing w:line="440" w:lineRule="exact"/>
              <w:ind w:firstLine="488" w:firstLineChars="200"/>
              <w:rPr>
                <w:rFonts w:hint="eastAsia" w:ascii="Times New Roman" w:hAnsi="Times New Roman" w:eastAsia="宋体" w:cs="Times New Roman"/>
                <w:spacing w:val="2"/>
                <w:lang w:eastAsia="zh-CN"/>
              </w:rPr>
            </w:pPr>
            <w:r>
              <w:rPr>
                <w:rFonts w:hint="eastAsia" w:ascii="Times New Roman" w:hAnsi="Times New Roman" w:eastAsia="宋体" w:cs="Times New Roman"/>
                <w:spacing w:val="2"/>
                <w:lang w:eastAsia="zh-CN"/>
              </w:rPr>
              <w:t>（</w:t>
            </w:r>
            <w:r>
              <w:rPr>
                <w:rFonts w:hint="eastAsia" w:ascii="Times New Roman" w:hAnsi="Times New Roman" w:eastAsia="宋体" w:cs="Times New Roman"/>
                <w:spacing w:val="2"/>
                <w:lang w:val="en-US" w:eastAsia="zh-CN"/>
              </w:rPr>
              <w:t>4</w:t>
            </w:r>
            <w:r>
              <w:rPr>
                <w:rFonts w:hint="eastAsia" w:ascii="Times New Roman" w:hAnsi="Times New Roman" w:eastAsia="宋体" w:cs="Times New Roman"/>
                <w:spacing w:val="2"/>
                <w:lang w:eastAsia="zh-CN"/>
              </w:rPr>
              <w:t>）采取挡土墙、护坡、护面等防护措施，开挖出的土石方采取四周拦挡，上铺下盖等挡护及苫盖措施妥善堆放。</w:t>
            </w:r>
          </w:p>
          <w:p w14:paraId="021C6B2A">
            <w:pPr>
              <w:pStyle w:val="48"/>
              <w:spacing w:line="440" w:lineRule="exact"/>
              <w:ind w:firstLine="488" w:firstLineChars="200"/>
            </w:pPr>
            <w:r>
              <w:rPr>
                <w:rFonts w:hint="eastAsia" w:ascii="Times New Roman" w:hAnsi="Times New Roman" w:eastAsia="宋体" w:cs="Times New Roman"/>
                <w:spacing w:val="2"/>
                <w:lang w:eastAsia="zh-CN"/>
              </w:rPr>
              <w:t>（</w:t>
            </w:r>
            <w:r>
              <w:rPr>
                <w:rFonts w:hint="eastAsia" w:ascii="Times New Roman" w:hAnsi="Times New Roman" w:eastAsia="宋体" w:cs="Times New Roman"/>
                <w:spacing w:val="2"/>
                <w:lang w:val="en-US" w:eastAsia="zh-CN"/>
              </w:rPr>
              <w:t>5</w:t>
            </w:r>
            <w:r>
              <w:rPr>
                <w:rFonts w:hint="eastAsia" w:ascii="Times New Roman" w:hAnsi="Times New Roman" w:eastAsia="宋体" w:cs="Times New Roman"/>
                <w:spacing w:val="2"/>
                <w:lang w:eastAsia="zh-CN"/>
              </w:rPr>
              <w:t>）工程采用商品混凝土，禁止自建混凝土拌和站。</w:t>
            </w:r>
          </w:p>
        </w:tc>
      </w:tr>
      <w:tr w14:paraId="1778499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10" w:hRule="atLeast"/>
          <w:jc w:val="center"/>
        </w:trPr>
        <w:tc>
          <w:tcPr>
            <w:tcW w:w="814" w:type="dxa"/>
            <w:noWrap w:val="0"/>
            <w:tcMar>
              <w:left w:w="28" w:type="dxa"/>
              <w:right w:w="28" w:type="dxa"/>
            </w:tcMar>
            <w:vAlign w:val="center"/>
          </w:tcPr>
          <w:p w14:paraId="47544D03">
            <w:pPr>
              <w:adjustRightInd w:val="0"/>
              <w:snapToGrid w:val="0"/>
              <w:jc w:val="center"/>
              <w:rPr>
                <w:rFonts w:hint="eastAsia" w:ascii="宋体" w:hAnsi="宋体" w:cs="宋体"/>
                <w:bCs/>
                <w:sz w:val="24"/>
                <w:szCs w:val="24"/>
              </w:rPr>
            </w:pPr>
            <w:r>
              <w:rPr>
                <w:rFonts w:hint="eastAsia" w:ascii="宋体" w:hAnsi="宋体" w:cs="宋体"/>
                <w:bCs/>
                <w:sz w:val="24"/>
                <w:szCs w:val="24"/>
              </w:rPr>
              <w:t>运营</w:t>
            </w:r>
          </w:p>
          <w:p w14:paraId="7D707BCC">
            <w:pPr>
              <w:adjustRightInd w:val="0"/>
              <w:snapToGrid w:val="0"/>
              <w:jc w:val="center"/>
              <w:rPr>
                <w:rFonts w:hint="eastAsia" w:ascii="宋体" w:hAnsi="宋体" w:cs="宋体"/>
                <w:bCs/>
                <w:sz w:val="24"/>
                <w:szCs w:val="24"/>
              </w:rPr>
            </w:pPr>
            <w:r>
              <w:rPr>
                <w:rFonts w:hint="eastAsia" w:ascii="宋体" w:hAnsi="宋体" w:cs="宋体"/>
                <w:bCs/>
                <w:sz w:val="24"/>
                <w:szCs w:val="24"/>
              </w:rPr>
              <w:t>期环</w:t>
            </w:r>
          </w:p>
          <w:p w14:paraId="5CA98011">
            <w:pPr>
              <w:adjustRightInd w:val="0"/>
              <w:snapToGrid w:val="0"/>
              <w:jc w:val="center"/>
              <w:rPr>
                <w:rFonts w:hint="eastAsia" w:ascii="宋体" w:hAnsi="宋体" w:cs="宋体"/>
                <w:bCs/>
                <w:sz w:val="24"/>
                <w:szCs w:val="24"/>
              </w:rPr>
            </w:pPr>
            <w:r>
              <w:rPr>
                <w:rFonts w:hint="eastAsia" w:ascii="宋体" w:hAnsi="宋体" w:cs="宋体"/>
                <w:bCs/>
                <w:sz w:val="24"/>
                <w:szCs w:val="24"/>
              </w:rPr>
              <w:t>境影</w:t>
            </w:r>
          </w:p>
          <w:p w14:paraId="3E986B77">
            <w:pPr>
              <w:adjustRightInd w:val="0"/>
              <w:snapToGrid w:val="0"/>
              <w:jc w:val="center"/>
              <w:rPr>
                <w:rFonts w:hint="eastAsia" w:ascii="宋体" w:hAnsi="宋体" w:cs="宋体"/>
                <w:bCs/>
                <w:sz w:val="24"/>
                <w:szCs w:val="24"/>
              </w:rPr>
            </w:pPr>
            <w:r>
              <w:rPr>
                <w:rFonts w:hint="eastAsia" w:ascii="宋体" w:hAnsi="宋体" w:cs="宋体"/>
                <w:bCs/>
                <w:sz w:val="24"/>
                <w:szCs w:val="24"/>
              </w:rPr>
              <w:t>响和</w:t>
            </w:r>
          </w:p>
          <w:p w14:paraId="1E50A6FB">
            <w:pPr>
              <w:adjustRightInd w:val="0"/>
              <w:snapToGrid w:val="0"/>
              <w:jc w:val="center"/>
              <w:rPr>
                <w:rFonts w:hint="eastAsia" w:ascii="宋体" w:hAnsi="宋体" w:cs="宋体"/>
                <w:bCs/>
                <w:sz w:val="24"/>
                <w:szCs w:val="24"/>
              </w:rPr>
            </w:pPr>
            <w:r>
              <w:rPr>
                <w:rFonts w:hint="eastAsia" w:ascii="宋体" w:hAnsi="宋体" w:cs="宋体"/>
                <w:bCs/>
                <w:sz w:val="24"/>
                <w:szCs w:val="24"/>
              </w:rPr>
              <w:t>保护</w:t>
            </w:r>
          </w:p>
          <w:p w14:paraId="1CE1BFC8">
            <w:pPr>
              <w:adjustRightInd w:val="0"/>
              <w:snapToGrid w:val="0"/>
              <w:jc w:val="center"/>
              <w:rPr>
                <w:rFonts w:ascii="宋体" w:hAnsi="宋体" w:cs="宋体"/>
                <w:bCs/>
                <w:szCs w:val="21"/>
              </w:rPr>
            </w:pPr>
            <w:r>
              <w:rPr>
                <w:rFonts w:hint="eastAsia" w:ascii="宋体" w:hAnsi="宋体" w:cs="宋体"/>
                <w:bCs/>
                <w:sz w:val="24"/>
                <w:szCs w:val="24"/>
              </w:rPr>
              <w:t>措施</w:t>
            </w:r>
          </w:p>
        </w:tc>
        <w:tc>
          <w:tcPr>
            <w:tcW w:w="8094" w:type="dxa"/>
            <w:noWrap w:val="0"/>
            <w:vAlign w:val="center"/>
          </w:tcPr>
          <w:p w14:paraId="1A65851B">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40" w:firstLineChars="200"/>
              <w:textAlignment w:val="auto"/>
              <w:rPr>
                <w:rFonts w:hint="default" w:ascii="Times New Roman" w:hAnsi="Times New Roman" w:cs="Times New Roman"/>
                <w:bCs/>
                <w:spacing w:val="-10"/>
                <w:sz w:val="24"/>
                <w:szCs w:val="24"/>
                <w:lang w:val="en-US" w:eastAsia="zh-CN"/>
              </w:rPr>
            </w:pPr>
            <w:r>
              <w:rPr>
                <w:rFonts w:hint="default" w:ascii="Times New Roman" w:hAnsi="Times New Roman" w:cs="Times New Roman"/>
                <w:bCs/>
                <w:spacing w:val="-10"/>
                <w:kern w:val="2"/>
                <w:sz w:val="24"/>
                <w:szCs w:val="24"/>
                <w:lang w:val="en-US" w:eastAsia="zh-CN" w:bidi="ar-SA"/>
              </w:rPr>
              <w:t>1、</w:t>
            </w:r>
            <w:r>
              <w:rPr>
                <w:rFonts w:hint="default" w:ascii="Times New Roman" w:hAnsi="Times New Roman" w:cs="Times New Roman"/>
                <w:bCs/>
                <w:spacing w:val="-10"/>
                <w:sz w:val="24"/>
                <w:szCs w:val="24"/>
                <w:lang w:val="en-US" w:eastAsia="zh-CN"/>
              </w:rPr>
              <w:t>废气</w:t>
            </w:r>
          </w:p>
          <w:p w14:paraId="23575621">
            <w:pPr>
              <w:pStyle w:val="10"/>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1.1废气源强核算</w:t>
            </w:r>
          </w:p>
          <w:p w14:paraId="75451CDF">
            <w:pPr>
              <w:pStyle w:val="2"/>
              <w:keepNext w:val="0"/>
              <w:keepLines w:val="0"/>
              <w:pageBreakBefore w:val="0"/>
              <w:widowControl w:val="0"/>
              <w:kinsoku/>
              <w:wordWrap/>
              <w:overflowPunct/>
              <w:topLinePunct w:val="0"/>
              <w:autoSpaceDE/>
              <w:autoSpaceDN/>
              <w:bidi w:val="0"/>
              <w:spacing w:line="440" w:lineRule="exact"/>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cs="Times New Roman"/>
                <w:sz w:val="24"/>
                <w:szCs w:val="24"/>
                <w:lang w:val="en-US" w:eastAsia="zh-CN"/>
              </w:rPr>
              <w:t>本项目产生的废气主要有：物料</w:t>
            </w:r>
            <w:r>
              <w:rPr>
                <w:rFonts w:hint="default" w:ascii="Times New Roman" w:hAnsi="Times New Roman" w:eastAsia="宋体" w:cs="Times New Roman"/>
                <w:color w:val="auto"/>
                <w:kern w:val="2"/>
                <w:sz w:val="24"/>
                <w:szCs w:val="24"/>
                <w:lang w:val="en-US" w:eastAsia="zh-CN" w:bidi="ar-SA"/>
              </w:rPr>
              <w:t>堆场、装卸粉尘</w:t>
            </w:r>
            <w:r>
              <w:rPr>
                <w:rFonts w:hint="eastAsia" w:ascii="Times New Roman" w:hAnsi="Times New Roman" w:eastAsia="宋体" w:cs="Times New Roman"/>
                <w:color w:val="auto"/>
                <w:kern w:val="2"/>
                <w:sz w:val="24"/>
                <w:szCs w:val="24"/>
                <w:lang w:val="en-US" w:eastAsia="zh-CN" w:bidi="ar-SA"/>
              </w:rPr>
              <w:t>、车辆运输粉</w:t>
            </w:r>
            <w:r>
              <w:rPr>
                <w:rFonts w:hint="eastAsia" w:ascii="Times New Roman" w:hAnsi="Times New Roman" w:eastAsia="宋体" w:cs="Times New Roman"/>
                <w:sz w:val="24"/>
                <w:szCs w:val="24"/>
                <w:lang w:val="en-US" w:eastAsia="zh-CN"/>
              </w:rPr>
              <w:t>尘、</w:t>
            </w:r>
            <w:r>
              <w:rPr>
                <w:rFonts w:hint="default" w:ascii="Times New Roman" w:hAnsi="Times New Roman" w:eastAsia="宋体" w:cs="Times New Roman"/>
                <w:color w:val="auto"/>
                <w:sz w:val="24"/>
                <w:szCs w:val="24"/>
                <w:highlight w:val="none"/>
                <w:lang w:val="en-US" w:eastAsia="zh-CN"/>
              </w:rPr>
              <w:t>物料运转、转载粉尘</w:t>
            </w:r>
            <w:r>
              <w:rPr>
                <w:rFonts w:hint="eastAsia" w:ascii="Times New Roman" w:hAnsi="Times New Roman" w:eastAsia="宋体" w:cs="Times New Roman"/>
                <w:color w:val="auto"/>
                <w:sz w:val="24"/>
                <w:szCs w:val="24"/>
                <w:highlight w:val="none"/>
                <w:lang w:val="en-US" w:eastAsia="zh-CN"/>
              </w:rPr>
              <w:t>及</w:t>
            </w:r>
            <w:r>
              <w:rPr>
                <w:rFonts w:hint="default" w:ascii="Times New Roman" w:hAnsi="Times New Roman" w:cs="Times New Roman"/>
                <w:sz w:val="24"/>
                <w:szCs w:val="24"/>
                <w:lang w:val="en-US" w:eastAsia="zh-CN"/>
              </w:rPr>
              <w:t>添加浮选药剂时产生的</w:t>
            </w:r>
            <w:r>
              <w:rPr>
                <w:rFonts w:hint="eastAsia" w:ascii="Times New Roman" w:hAnsi="Times New Roman" w:cs="Times New Roman"/>
                <w:sz w:val="24"/>
                <w:szCs w:val="24"/>
                <w:lang w:val="en-US" w:eastAsia="zh-CN"/>
              </w:rPr>
              <w:t>VOCs。</w:t>
            </w:r>
          </w:p>
          <w:p w14:paraId="213AC8F6">
            <w:pPr>
              <w:pStyle w:val="10"/>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fldChar w:fldCharType="begin"/>
            </w:r>
            <w:r>
              <w:rPr>
                <w:rFonts w:hint="default" w:ascii="Times New Roman" w:hAnsi="Times New Roman" w:eastAsia="宋体" w:cs="Times New Roman"/>
                <w:color w:val="auto"/>
                <w:kern w:val="2"/>
                <w:sz w:val="24"/>
                <w:szCs w:val="24"/>
                <w:lang w:val="en-US" w:eastAsia="zh-CN" w:bidi="ar-SA"/>
              </w:rPr>
              <w:instrText xml:space="preserve"> = 1 \* GB3 \* MERGEFORMAT </w:instrText>
            </w:r>
            <w:r>
              <w:rPr>
                <w:rFonts w:hint="default" w:ascii="Times New Roman" w:hAnsi="Times New Roman" w:eastAsia="宋体" w:cs="Times New Roman"/>
                <w:color w:val="auto"/>
                <w:kern w:val="2"/>
                <w:sz w:val="24"/>
                <w:szCs w:val="24"/>
                <w:lang w:val="en-US" w:eastAsia="zh-CN" w:bidi="ar-SA"/>
              </w:rPr>
              <w:fldChar w:fldCharType="separate"/>
            </w:r>
            <w:r>
              <w:t>①</w:t>
            </w:r>
            <w:r>
              <w:rPr>
                <w:rFonts w:hint="default" w:ascii="Times New Roman" w:hAnsi="Times New Roman" w:eastAsia="宋体" w:cs="Times New Roman"/>
                <w:color w:val="auto"/>
                <w:kern w:val="2"/>
                <w:sz w:val="24"/>
                <w:szCs w:val="24"/>
                <w:lang w:val="en-US" w:eastAsia="zh-CN" w:bidi="ar-SA"/>
              </w:rPr>
              <w:fldChar w:fldCharType="end"/>
            </w:r>
            <w:r>
              <w:rPr>
                <w:rFonts w:hint="eastAsia" w:ascii="Times New Roman" w:hAnsi="Times New Roman" w:cs="Times New Roman"/>
                <w:sz w:val="24"/>
                <w:szCs w:val="24"/>
                <w:lang w:val="en-US" w:eastAsia="zh-CN"/>
              </w:rPr>
              <w:t>物料</w:t>
            </w:r>
            <w:r>
              <w:rPr>
                <w:rFonts w:hint="default" w:ascii="Times New Roman" w:hAnsi="Times New Roman" w:eastAsia="宋体" w:cs="Times New Roman"/>
                <w:color w:val="auto"/>
                <w:kern w:val="2"/>
                <w:sz w:val="24"/>
                <w:szCs w:val="24"/>
                <w:lang w:val="en-US" w:eastAsia="zh-CN" w:bidi="ar-SA"/>
              </w:rPr>
              <w:t>堆场、装卸粉尘</w:t>
            </w:r>
          </w:p>
          <w:p w14:paraId="6FAA6168">
            <w:pPr>
              <w:keepNext w:val="0"/>
              <w:keepLines w:val="0"/>
              <w:pageBreakBefore w:val="0"/>
              <w:widowControl w:val="0"/>
              <w:kinsoku/>
              <w:wordWrap/>
              <w:overflowPunct/>
              <w:topLinePunct w:val="0"/>
              <w:autoSpaceDE/>
              <w:autoSpaceDN/>
              <w:bidi w:val="0"/>
              <w:adjustRightInd w:val="0"/>
              <w:snapToGrid w:val="0"/>
              <w:spacing w:line="440" w:lineRule="exact"/>
              <w:ind w:left="0" w:right="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根据《排放源统计调查产排污核算方法和系数手册》（公告2021年第24号）中附表2工业源固体物料堆场颗粒物核算系数手册中核算公式。</w:t>
            </w:r>
          </w:p>
          <w:p w14:paraId="7A07D716">
            <w:pPr>
              <w:keepNext w:val="0"/>
              <w:keepLines w:val="0"/>
              <w:pageBreakBefore w:val="0"/>
              <w:widowControl w:val="0"/>
              <w:kinsoku/>
              <w:wordWrap/>
              <w:overflowPunct/>
              <w:topLinePunct w:val="0"/>
              <w:autoSpaceDE/>
              <w:autoSpaceDN/>
              <w:bidi w:val="0"/>
              <w:adjustRightInd w:val="0"/>
              <w:snapToGrid w:val="0"/>
              <w:spacing w:line="440" w:lineRule="exact"/>
              <w:ind w:left="0" w:right="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工业企业固体物料堆存颗粒物包括装卸扬尘和风蚀扬尘，颗粒物产生量核算公式如下：</w:t>
            </w:r>
          </w:p>
          <w:p w14:paraId="335F9E36">
            <w:pPr>
              <w:keepNext w:val="0"/>
              <w:keepLines w:val="0"/>
              <w:pageBreakBefore w:val="0"/>
              <w:widowControl w:val="0"/>
              <w:kinsoku/>
              <w:wordWrap/>
              <w:overflowPunct/>
              <w:topLinePunct w:val="0"/>
              <w:autoSpaceDE/>
              <w:autoSpaceDN/>
              <w:bidi w:val="0"/>
              <w:adjustRightInd w:val="0"/>
              <w:snapToGrid w:val="0"/>
              <w:spacing w:line="240" w:lineRule="auto"/>
              <w:ind w:left="0" w:right="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drawing>
                <wp:inline distT="0" distB="0" distL="114300" distR="114300">
                  <wp:extent cx="3021965" cy="304800"/>
                  <wp:effectExtent l="0" t="0" r="6985" b="0"/>
                  <wp:docPr id="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pic:cNvPicPr>
                            <a:picLocks noChangeAspect="1"/>
                          </pic:cNvPicPr>
                        </pic:nvPicPr>
                        <pic:blipFill>
                          <a:blip r:embed="rId13"/>
                          <a:stretch>
                            <a:fillRect/>
                          </a:stretch>
                        </pic:blipFill>
                        <pic:spPr>
                          <a:xfrm>
                            <a:off x="0" y="0"/>
                            <a:ext cx="3021965" cy="304800"/>
                          </a:xfrm>
                          <a:prstGeom prst="rect">
                            <a:avLst/>
                          </a:prstGeom>
                          <a:noFill/>
                          <a:ln>
                            <a:noFill/>
                          </a:ln>
                        </pic:spPr>
                      </pic:pic>
                    </a:graphicData>
                  </a:graphic>
                </wp:inline>
              </w:drawing>
            </w:r>
          </w:p>
          <w:p w14:paraId="3D514774">
            <w:pPr>
              <w:keepNext w:val="0"/>
              <w:keepLines w:val="0"/>
              <w:pageBreakBefore w:val="0"/>
              <w:widowControl w:val="0"/>
              <w:kinsoku/>
              <w:wordWrap/>
              <w:overflowPunct/>
              <w:topLinePunct w:val="0"/>
              <w:autoSpaceDE/>
              <w:autoSpaceDN/>
              <w:bidi w:val="0"/>
              <w:adjustRightInd w:val="0"/>
              <w:snapToGrid w:val="0"/>
              <w:spacing w:line="440" w:lineRule="exact"/>
              <w:ind w:left="0" w:right="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式中：P指颗粒物产生量（单位：吨）；</w:t>
            </w:r>
          </w:p>
          <w:p w14:paraId="7A1A03BE">
            <w:pPr>
              <w:keepNext w:val="0"/>
              <w:keepLines w:val="0"/>
              <w:pageBreakBefore w:val="0"/>
              <w:widowControl w:val="0"/>
              <w:kinsoku/>
              <w:wordWrap/>
              <w:overflowPunct/>
              <w:topLinePunct w:val="0"/>
              <w:autoSpaceDE/>
              <w:autoSpaceDN/>
              <w:bidi w:val="0"/>
              <w:adjustRightInd w:val="0"/>
              <w:snapToGrid w:val="0"/>
              <w:spacing w:line="440" w:lineRule="exact"/>
              <w:ind w:left="0" w:right="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ZCy指装卸扬尘产生量（单位：吨）；</w:t>
            </w:r>
          </w:p>
          <w:p w14:paraId="6D76984B">
            <w:pPr>
              <w:keepNext w:val="0"/>
              <w:keepLines w:val="0"/>
              <w:pageBreakBefore w:val="0"/>
              <w:widowControl w:val="0"/>
              <w:kinsoku/>
              <w:wordWrap/>
              <w:overflowPunct/>
              <w:topLinePunct w:val="0"/>
              <w:autoSpaceDE/>
              <w:autoSpaceDN/>
              <w:bidi w:val="0"/>
              <w:adjustRightInd w:val="0"/>
              <w:snapToGrid w:val="0"/>
              <w:spacing w:line="440" w:lineRule="exact"/>
              <w:ind w:left="0" w:right="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FCy指风蚀扬尘产生量（单位：吨）；</w:t>
            </w:r>
          </w:p>
          <w:p w14:paraId="744B0BE7">
            <w:pPr>
              <w:keepNext w:val="0"/>
              <w:keepLines w:val="0"/>
              <w:pageBreakBefore w:val="0"/>
              <w:widowControl w:val="0"/>
              <w:kinsoku/>
              <w:wordWrap/>
              <w:overflowPunct/>
              <w:topLinePunct w:val="0"/>
              <w:autoSpaceDE/>
              <w:autoSpaceDN/>
              <w:bidi w:val="0"/>
              <w:adjustRightInd w:val="0"/>
              <w:snapToGrid w:val="0"/>
              <w:spacing w:line="440" w:lineRule="exact"/>
              <w:ind w:left="0" w:right="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Nc指年物料运载车次（单位：车），单车运载30t，</w:t>
            </w:r>
            <w:r>
              <w:rPr>
                <w:rFonts w:hint="eastAsia" w:ascii="Times New Roman" w:hAnsi="Times New Roman" w:eastAsia="宋体" w:cs="Times New Roman"/>
                <w:color w:val="auto"/>
                <w:sz w:val="24"/>
                <w:szCs w:val="24"/>
                <w:lang w:val="en-US" w:eastAsia="zh-CN"/>
              </w:rPr>
              <w:t>结合各建设时期物料量分别计算车次</w:t>
            </w:r>
            <w:r>
              <w:rPr>
                <w:rFonts w:hint="default" w:ascii="Times New Roman" w:hAnsi="Times New Roman" w:eastAsia="宋体" w:cs="Times New Roman"/>
                <w:color w:val="auto"/>
                <w:sz w:val="24"/>
                <w:szCs w:val="24"/>
                <w:lang w:val="en-US" w:eastAsia="zh-CN"/>
              </w:rPr>
              <w:t>；</w:t>
            </w:r>
          </w:p>
          <w:p w14:paraId="75789B73">
            <w:pPr>
              <w:keepNext w:val="0"/>
              <w:keepLines w:val="0"/>
              <w:pageBreakBefore w:val="0"/>
              <w:widowControl w:val="0"/>
              <w:kinsoku/>
              <w:wordWrap/>
              <w:overflowPunct/>
              <w:topLinePunct w:val="0"/>
              <w:autoSpaceDE/>
              <w:autoSpaceDN/>
              <w:bidi w:val="0"/>
              <w:adjustRightInd w:val="0"/>
              <w:snapToGrid w:val="0"/>
              <w:spacing w:line="440" w:lineRule="exact"/>
              <w:ind w:left="0" w:right="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D指单车平均运载量（单位：吨/车），</w:t>
            </w:r>
            <w:bookmarkStart w:id="3" w:name="OLE_LINK92"/>
            <w:r>
              <w:rPr>
                <w:rFonts w:hint="default" w:ascii="Times New Roman" w:hAnsi="Times New Roman" w:eastAsia="宋体" w:cs="Times New Roman"/>
                <w:color w:val="auto"/>
                <w:sz w:val="24"/>
                <w:szCs w:val="24"/>
                <w:lang w:val="en-US" w:eastAsia="zh-CN"/>
              </w:rPr>
              <w:t>单车运载</w:t>
            </w:r>
            <w:bookmarkStart w:id="4" w:name="OLE_LINK88"/>
            <w:r>
              <w:rPr>
                <w:rFonts w:hint="default" w:ascii="Times New Roman" w:hAnsi="Times New Roman" w:eastAsia="宋体" w:cs="Times New Roman"/>
                <w:color w:val="auto"/>
                <w:sz w:val="24"/>
                <w:szCs w:val="24"/>
                <w:lang w:val="en-US" w:eastAsia="zh-CN"/>
              </w:rPr>
              <w:t>30</w:t>
            </w:r>
            <w:bookmarkEnd w:id="4"/>
            <w:r>
              <w:rPr>
                <w:rFonts w:hint="default" w:ascii="Times New Roman" w:hAnsi="Times New Roman" w:eastAsia="宋体" w:cs="Times New Roman"/>
                <w:color w:val="auto"/>
                <w:sz w:val="24"/>
                <w:szCs w:val="24"/>
                <w:lang w:val="en-US" w:eastAsia="zh-CN"/>
              </w:rPr>
              <w:t>t</w:t>
            </w:r>
            <w:bookmarkEnd w:id="3"/>
            <w:r>
              <w:rPr>
                <w:rFonts w:hint="default" w:ascii="Times New Roman" w:hAnsi="Times New Roman" w:eastAsia="宋体" w:cs="Times New Roman"/>
                <w:color w:val="auto"/>
                <w:sz w:val="24"/>
                <w:szCs w:val="24"/>
                <w:lang w:val="en-US" w:eastAsia="zh-CN"/>
              </w:rPr>
              <w:t>；</w:t>
            </w:r>
          </w:p>
          <w:p w14:paraId="6FD75054">
            <w:pPr>
              <w:keepNext w:val="0"/>
              <w:keepLines w:val="0"/>
              <w:pageBreakBefore w:val="0"/>
              <w:widowControl w:val="0"/>
              <w:kinsoku/>
              <w:wordWrap/>
              <w:overflowPunct/>
              <w:topLinePunct w:val="0"/>
              <w:autoSpaceDE/>
              <w:autoSpaceDN/>
              <w:bidi w:val="0"/>
              <w:adjustRightInd w:val="0"/>
              <w:snapToGrid w:val="0"/>
              <w:spacing w:line="440" w:lineRule="exact"/>
              <w:ind w:left="0" w:right="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w:t>
            </w:r>
            <w:bookmarkStart w:id="5" w:name="OLE_LINK75"/>
            <w:r>
              <w:rPr>
                <w:rFonts w:hint="default" w:ascii="Times New Roman" w:hAnsi="Times New Roman" w:eastAsia="宋体" w:cs="Times New Roman"/>
                <w:color w:val="auto"/>
                <w:sz w:val="24"/>
                <w:szCs w:val="24"/>
                <w:lang w:val="en-US" w:eastAsia="zh-CN"/>
              </w:rPr>
              <w:t>a/b</w:t>
            </w:r>
            <w:bookmarkEnd w:id="5"/>
            <w:r>
              <w:rPr>
                <w:rFonts w:hint="default" w:ascii="Times New Roman" w:hAnsi="Times New Roman" w:eastAsia="宋体" w:cs="Times New Roman"/>
                <w:color w:val="auto"/>
                <w:sz w:val="24"/>
                <w:szCs w:val="24"/>
                <w:lang w:val="en-US" w:eastAsia="zh-CN"/>
              </w:rPr>
              <w:t>）指装卸扬尘概化系数（单位：千克/吨），a指各省风速概化系数，本项目取0.0011，b指物料含水率概化系数</w:t>
            </w:r>
            <w:r>
              <w:rPr>
                <w:rFonts w:hint="eastAsia" w:ascii="Times New Roman" w:hAnsi="Times New Roman" w:eastAsia="宋体" w:cs="Times New Roman"/>
                <w:color w:val="auto"/>
                <w:sz w:val="24"/>
                <w:szCs w:val="24"/>
                <w:lang w:val="en-US" w:eastAsia="zh-CN"/>
              </w:rPr>
              <w:t>，原料煤泥和尾煤泥参照污泥，取0.1853，精煤、中煤、低卡动力煤参照煤炭（非褐煤）取0.054；</w:t>
            </w:r>
          </w:p>
          <w:p w14:paraId="4910E194">
            <w:pPr>
              <w:keepNext w:val="0"/>
              <w:keepLines w:val="0"/>
              <w:pageBreakBefore w:val="0"/>
              <w:widowControl w:val="0"/>
              <w:kinsoku/>
              <w:wordWrap/>
              <w:overflowPunct/>
              <w:topLinePunct w:val="0"/>
              <w:autoSpaceDE/>
              <w:autoSpaceDN/>
              <w:bidi w:val="0"/>
              <w:adjustRightInd w:val="0"/>
              <w:snapToGrid w:val="0"/>
              <w:spacing w:line="440" w:lineRule="exact"/>
              <w:ind w:left="0" w:right="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Ef指堆场风蚀扬尘概化系数，本项目取0（单位：千克/平方米）；</w:t>
            </w:r>
          </w:p>
          <w:p w14:paraId="3E99D5F6">
            <w:pPr>
              <w:keepNext w:val="0"/>
              <w:keepLines w:val="0"/>
              <w:pageBreakBefore w:val="0"/>
              <w:widowControl w:val="0"/>
              <w:kinsoku/>
              <w:wordWrap/>
              <w:overflowPunct/>
              <w:topLinePunct w:val="0"/>
              <w:autoSpaceDE/>
              <w:autoSpaceDN/>
              <w:bidi w:val="0"/>
              <w:adjustRightInd w:val="0"/>
              <w:snapToGrid w:val="0"/>
              <w:spacing w:line="440" w:lineRule="exact"/>
              <w:ind w:left="0" w:right="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S指堆场占地面积（单位：平方米），</w:t>
            </w:r>
            <w:r>
              <w:rPr>
                <w:rFonts w:hint="eastAsia" w:ascii="Times New Roman" w:hAnsi="Times New Roman" w:eastAsia="宋体" w:cs="Times New Roman"/>
                <w:color w:val="auto"/>
                <w:sz w:val="24"/>
                <w:szCs w:val="24"/>
                <w:lang w:val="en-US" w:eastAsia="zh-CN"/>
              </w:rPr>
              <w:t>结合各建设时期分别取值</w:t>
            </w:r>
            <w:r>
              <w:rPr>
                <w:rFonts w:hint="default" w:ascii="Times New Roman" w:hAnsi="Times New Roman" w:eastAsia="宋体" w:cs="Times New Roman"/>
                <w:color w:val="auto"/>
                <w:sz w:val="24"/>
                <w:szCs w:val="24"/>
                <w:lang w:val="en-US" w:eastAsia="zh-CN"/>
              </w:rPr>
              <w:t>。</w:t>
            </w:r>
          </w:p>
          <w:p w14:paraId="0D926D4C">
            <w:pPr>
              <w:keepNext w:val="0"/>
              <w:keepLines w:val="0"/>
              <w:pageBreakBefore w:val="0"/>
              <w:widowControl w:val="0"/>
              <w:kinsoku/>
              <w:wordWrap/>
              <w:overflowPunct/>
              <w:topLinePunct w:val="0"/>
              <w:autoSpaceDE/>
              <w:autoSpaceDN/>
              <w:bidi w:val="0"/>
              <w:adjustRightInd w:val="0"/>
              <w:snapToGrid w:val="0"/>
              <w:spacing w:line="440" w:lineRule="exact"/>
              <w:ind w:left="0" w:right="0"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物料</w:t>
            </w:r>
            <w:r>
              <w:rPr>
                <w:rFonts w:hint="default" w:ascii="Times New Roman" w:hAnsi="Times New Roman" w:eastAsia="宋体" w:cs="Times New Roman"/>
                <w:color w:val="auto"/>
                <w:sz w:val="24"/>
                <w:szCs w:val="24"/>
                <w:lang w:val="en-US" w:eastAsia="zh-CN"/>
              </w:rPr>
              <w:t>装卸采取降低装卸高度、洒水抑尘、避免大风天气装卸、堆场封闭等措施，工业企业固体物料堆场颗粒物排放量核算公式如下：</w:t>
            </w:r>
          </w:p>
          <w:p w14:paraId="508DEF36">
            <w:pPr>
              <w:keepNext w:val="0"/>
              <w:keepLines w:val="0"/>
              <w:pageBreakBefore w:val="0"/>
              <w:widowControl w:val="0"/>
              <w:kinsoku/>
              <w:wordWrap/>
              <w:overflowPunct/>
              <w:topLinePunct w:val="0"/>
              <w:autoSpaceDE/>
              <w:autoSpaceDN/>
              <w:bidi w:val="0"/>
              <w:adjustRightInd w:val="0"/>
              <w:snapToGrid w:val="0"/>
              <w:spacing w:line="240" w:lineRule="auto"/>
              <w:ind w:left="0" w:right="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drawing>
                <wp:inline distT="0" distB="0" distL="114300" distR="114300">
                  <wp:extent cx="2240280" cy="304165"/>
                  <wp:effectExtent l="0" t="0" r="7620" b="635"/>
                  <wp:docPr id="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5"/>
                          <pic:cNvPicPr>
                            <a:picLocks noChangeAspect="1"/>
                          </pic:cNvPicPr>
                        </pic:nvPicPr>
                        <pic:blipFill>
                          <a:blip r:embed="rId14"/>
                          <a:stretch>
                            <a:fillRect/>
                          </a:stretch>
                        </pic:blipFill>
                        <pic:spPr>
                          <a:xfrm>
                            <a:off x="0" y="0"/>
                            <a:ext cx="2240280" cy="304165"/>
                          </a:xfrm>
                          <a:prstGeom prst="rect">
                            <a:avLst/>
                          </a:prstGeom>
                          <a:noFill/>
                          <a:ln>
                            <a:noFill/>
                          </a:ln>
                        </pic:spPr>
                      </pic:pic>
                    </a:graphicData>
                  </a:graphic>
                </wp:inline>
              </w:drawing>
            </w:r>
          </w:p>
          <w:p w14:paraId="56C8AAE2">
            <w:pPr>
              <w:keepNext w:val="0"/>
              <w:keepLines w:val="0"/>
              <w:pageBreakBefore w:val="0"/>
              <w:widowControl w:val="0"/>
              <w:kinsoku/>
              <w:wordWrap/>
              <w:overflowPunct/>
              <w:topLinePunct w:val="0"/>
              <w:autoSpaceDE/>
              <w:autoSpaceDN/>
              <w:bidi w:val="0"/>
              <w:adjustRightInd w:val="0"/>
              <w:snapToGrid w:val="0"/>
              <w:spacing w:line="440" w:lineRule="exact"/>
              <w:ind w:left="0" w:right="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式中P指颗粒物产生量（单位：吨）；</w:t>
            </w:r>
          </w:p>
          <w:p w14:paraId="21F5F44C">
            <w:pPr>
              <w:keepNext w:val="0"/>
              <w:keepLines w:val="0"/>
              <w:pageBreakBefore w:val="0"/>
              <w:widowControl w:val="0"/>
              <w:kinsoku/>
              <w:wordWrap/>
              <w:overflowPunct/>
              <w:topLinePunct w:val="0"/>
              <w:autoSpaceDE/>
              <w:autoSpaceDN/>
              <w:bidi w:val="0"/>
              <w:adjustRightInd w:val="0"/>
              <w:snapToGrid w:val="0"/>
              <w:spacing w:line="440" w:lineRule="exact"/>
              <w:ind w:left="0" w:right="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U</w:t>
            </w:r>
            <w:r>
              <w:rPr>
                <w:rFonts w:hint="default" w:ascii="Times New Roman" w:hAnsi="Times New Roman" w:eastAsia="宋体" w:cs="Times New Roman"/>
                <w:color w:val="auto"/>
                <w:sz w:val="24"/>
                <w:szCs w:val="24"/>
                <w:vertAlign w:val="subscript"/>
                <w:lang w:val="en-US" w:eastAsia="zh-CN"/>
              </w:rPr>
              <w:t>c</w:t>
            </w:r>
            <w:r>
              <w:rPr>
                <w:rFonts w:hint="default" w:ascii="Times New Roman" w:hAnsi="Times New Roman" w:eastAsia="宋体" w:cs="Times New Roman"/>
                <w:color w:val="auto"/>
                <w:sz w:val="24"/>
                <w:szCs w:val="24"/>
                <w:lang w:val="en-US" w:eastAsia="zh-CN"/>
              </w:rPr>
              <w:t>指颗粒物排放量（单位：吨）；</w:t>
            </w:r>
          </w:p>
          <w:p w14:paraId="51A7825C">
            <w:pPr>
              <w:keepNext w:val="0"/>
              <w:keepLines w:val="0"/>
              <w:pageBreakBefore w:val="0"/>
              <w:widowControl w:val="0"/>
              <w:kinsoku/>
              <w:wordWrap/>
              <w:overflowPunct/>
              <w:topLinePunct w:val="0"/>
              <w:autoSpaceDE/>
              <w:autoSpaceDN/>
              <w:bidi w:val="0"/>
              <w:adjustRightInd w:val="0"/>
              <w:snapToGrid w:val="0"/>
              <w:spacing w:line="440" w:lineRule="exact"/>
              <w:ind w:left="0" w:right="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C</w:t>
            </w:r>
            <w:r>
              <w:rPr>
                <w:rFonts w:hint="default" w:ascii="Times New Roman" w:hAnsi="Times New Roman" w:eastAsia="宋体" w:cs="Times New Roman"/>
                <w:color w:val="auto"/>
                <w:sz w:val="24"/>
                <w:szCs w:val="24"/>
                <w:vertAlign w:val="subscript"/>
                <w:lang w:val="en-US" w:eastAsia="zh-CN"/>
              </w:rPr>
              <w:t>m</w:t>
            </w:r>
            <w:r>
              <w:rPr>
                <w:rFonts w:hint="default" w:ascii="Times New Roman" w:hAnsi="Times New Roman" w:eastAsia="宋体" w:cs="Times New Roman"/>
                <w:color w:val="auto"/>
                <w:sz w:val="24"/>
                <w:szCs w:val="24"/>
                <w:lang w:val="en-US" w:eastAsia="zh-CN"/>
              </w:rPr>
              <w:t>指颗粒物控制措施控制效率（单位：%），见附录4；本项目采取洒水，取</w:t>
            </w:r>
            <w:bookmarkStart w:id="6" w:name="OLE_LINK89"/>
            <w:r>
              <w:rPr>
                <w:rFonts w:hint="default" w:ascii="Times New Roman" w:hAnsi="Times New Roman" w:eastAsia="宋体" w:cs="Times New Roman"/>
                <w:color w:val="auto"/>
                <w:sz w:val="24"/>
                <w:szCs w:val="24"/>
                <w:lang w:val="en-US" w:eastAsia="zh-CN"/>
              </w:rPr>
              <w:t>74%</w:t>
            </w:r>
            <w:bookmarkEnd w:id="6"/>
            <w:r>
              <w:rPr>
                <w:rFonts w:hint="default" w:ascii="Times New Roman" w:hAnsi="Times New Roman" w:eastAsia="宋体" w:cs="Times New Roman"/>
                <w:color w:val="auto"/>
                <w:sz w:val="24"/>
                <w:szCs w:val="24"/>
                <w:lang w:val="en-US" w:eastAsia="zh-CN"/>
              </w:rPr>
              <w:t>；</w:t>
            </w:r>
          </w:p>
          <w:p w14:paraId="72236F18">
            <w:pPr>
              <w:keepNext w:val="0"/>
              <w:keepLines w:val="0"/>
              <w:pageBreakBefore w:val="0"/>
              <w:widowControl w:val="0"/>
              <w:kinsoku/>
              <w:wordWrap/>
              <w:overflowPunct/>
              <w:topLinePunct w:val="0"/>
              <w:autoSpaceDE/>
              <w:autoSpaceDN/>
              <w:bidi w:val="0"/>
              <w:adjustRightInd w:val="0"/>
              <w:snapToGrid w:val="0"/>
              <w:spacing w:line="440" w:lineRule="exact"/>
              <w:ind w:left="0" w:right="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T</w:t>
            </w:r>
            <w:r>
              <w:rPr>
                <w:rFonts w:hint="default" w:ascii="Times New Roman" w:hAnsi="Times New Roman" w:eastAsia="宋体" w:cs="Times New Roman"/>
                <w:color w:val="auto"/>
                <w:sz w:val="24"/>
                <w:szCs w:val="24"/>
                <w:vertAlign w:val="subscript"/>
                <w:lang w:val="en-US" w:eastAsia="zh-CN"/>
              </w:rPr>
              <w:t>m</w:t>
            </w:r>
            <w:r>
              <w:rPr>
                <w:rFonts w:hint="default" w:ascii="Times New Roman" w:hAnsi="Times New Roman" w:eastAsia="宋体" w:cs="Times New Roman"/>
                <w:color w:val="auto"/>
                <w:sz w:val="24"/>
                <w:szCs w:val="24"/>
                <w:lang w:val="en-US" w:eastAsia="zh-CN"/>
              </w:rPr>
              <w:t>指堆场类型控制效率（单位：%），见附录5；本项目</w:t>
            </w:r>
            <w:r>
              <w:rPr>
                <w:rFonts w:hint="eastAsia" w:ascii="Times New Roman" w:hAnsi="Times New Roman" w:eastAsia="宋体" w:cs="Times New Roman"/>
                <w:color w:val="auto"/>
                <w:sz w:val="24"/>
                <w:szCs w:val="24"/>
                <w:lang w:val="en-US" w:eastAsia="zh-CN"/>
              </w:rPr>
              <w:t>煤棚</w:t>
            </w:r>
            <w:r>
              <w:rPr>
                <w:rFonts w:hint="default" w:ascii="Times New Roman" w:hAnsi="Times New Roman" w:eastAsia="宋体" w:cs="Times New Roman"/>
                <w:color w:val="auto"/>
                <w:sz w:val="24"/>
                <w:szCs w:val="24"/>
                <w:lang w:val="en-US" w:eastAsia="zh-CN"/>
              </w:rPr>
              <w:t>采取全封闭式料仓，控制效率取99%。</w:t>
            </w:r>
          </w:p>
          <w:p w14:paraId="0004BB9B">
            <w:pPr>
              <w:keepNext w:val="0"/>
              <w:keepLines w:val="0"/>
              <w:pageBreakBefore w:val="0"/>
              <w:widowControl w:val="0"/>
              <w:kinsoku/>
              <w:wordWrap/>
              <w:overflowPunct/>
              <w:topLinePunct w:val="0"/>
              <w:autoSpaceDE/>
              <w:autoSpaceDN/>
              <w:bidi w:val="0"/>
              <w:adjustRightInd w:val="0"/>
              <w:snapToGrid w:val="0"/>
              <w:spacing w:line="440" w:lineRule="exact"/>
              <w:ind w:left="0" w:right="0" w:firstLine="480" w:firstLineChars="200"/>
              <w:textAlignment w:val="auto"/>
              <w:rPr>
                <w:rFonts w:hint="eastAsia"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经计算，本项目料仓装卸扬尘和风蚀扬尘</w:t>
            </w:r>
            <w:r>
              <w:rPr>
                <w:rFonts w:hint="eastAsia" w:ascii="Times New Roman" w:hAnsi="Times New Roman" w:eastAsia="宋体" w:cs="Times New Roman"/>
                <w:color w:val="auto"/>
                <w:sz w:val="24"/>
                <w:szCs w:val="24"/>
                <w:lang w:val="en-US" w:eastAsia="zh-CN"/>
              </w:rPr>
              <w:t>产排污情况见下表。</w:t>
            </w:r>
          </w:p>
          <w:p w14:paraId="61817AC5">
            <w:pPr>
              <w:pStyle w:val="10"/>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sz w:val="21"/>
                <w:szCs w:val="21"/>
                <w:lang w:val="en-US" w:eastAsia="zh-CN"/>
              </w:rPr>
              <w:t>表4-1 本项目</w:t>
            </w:r>
            <w:r>
              <w:rPr>
                <w:rFonts w:hint="default" w:ascii="Times New Roman" w:hAnsi="Times New Roman" w:cs="Times New Roman"/>
                <w:b/>
                <w:bCs/>
                <w:sz w:val="21"/>
                <w:szCs w:val="21"/>
                <w:lang w:val="en-US" w:eastAsia="zh-CN"/>
              </w:rPr>
              <w:t>物料</w:t>
            </w:r>
            <w:r>
              <w:rPr>
                <w:rFonts w:hint="default" w:ascii="Times New Roman" w:hAnsi="Times New Roman" w:eastAsia="宋体" w:cs="Times New Roman"/>
                <w:b/>
                <w:bCs/>
                <w:color w:val="auto"/>
                <w:kern w:val="2"/>
                <w:sz w:val="21"/>
                <w:szCs w:val="21"/>
                <w:lang w:val="en-US" w:eastAsia="zh-CN" w:bidi="ar-SA"/>
              </w:rPr>
              <w:t>堆场、装卸粉尘产排污一览表</w:t>
            </w:r>
          </w:p>
          <w:tbl>
            <w:tblPr>
              <w:tblStyle w:val="26"/>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1"/>
              <w:gridCol w:w="931"/>
              <w:gridCol w:w="961"/>
              <w:gridCol w:w="961"/>
              <w:gridCol w:w="1067"/>
              <w:gridCol w:w="1262"/>
              <w:gridCol w:w="977"/>
              <w:gridCol w:w="1032"/>
            </w:tblGrid>
            <w:tr w14:paraId="07EC3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tcBorders>
                    <w:tl2br w:val="nil"/>
                    <w:tr2bl w:val="nil"/>
                  </w:tcBorders>
                  <w:noWrap w:val="0"/>
                  <w:vAlign w:val="center"/>
                </w:tcPr>
                <w:p w14:paraId="5795114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产污时期</w:t>
                  </w:r>
                </w:p>
              </w:tc>
              <w:tc>
                <w:tcPr>
                  <w:tcW w:w="591" w:type="pct"/>
                  <w:tcBorders>
                    <w:tl2br w:val="nil"/>
                    <w:tr2bl w:val="nil"/>
                  </w:tcBorders>
                  <w:noWrap w:val="0"/>
                  <w:vAlign w:val="center"/>
                </w:tcPr>
                <w:p w14:paraId="0BF8D4E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污染物</w:t>
                  </w:r>
                </w:p>
              </w:tc>
              <w:tc>
                <w:tcPr>
                  <w:tcW w:w="610" w:type="pct"/>
                  <w:tcBorders>
                    <w:tl2br w:val="nil"/>
                    <w:tr2bl w:val="nil"/>
                  </w:tcBorders>
                  <w:noWrap w:val="0"/>
                  <w:vAlign w:val="center"/>
                </w:tcPr>
                <w:p w14:paraId="0155687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排放方式</w:t>
                  </w:r>
                </w:p>
              </w:tc>
              <w:tc>
                <w:tcPr>
                  <w:tcW w:w="610" w:type="pct"/>
                  <w:tcBorders>
                    <w:tl2br w:val="nil"/>
                    <w:tr2bl w:val="nil"/>
                  </w:tcBorders>
                  <w:noWrap w:val="0"/>
                  <w:vAlign w:val="center"/>
                </w:tcPr>
                <w:p w14:paraId="6A8CE02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产生量（t/a）</w:t>
                  </w:r>
                </w:p>
              </w:tc>
              <w:tc>
                <w:tcPr>
                  <w:tcW w:w="677" w:type="pct"/>
                  <w:tcBorders>
                    <w:tl2br w:val="nil"/>
                    <w:tr2bl w:val="nil"/>
                  </w:tcBorders>
                  <w:noWrap w:val="0"/>
                  <w:vAlign w:val="center"/>
                </w:tcPr>
                <w:p w14:paraId="184C0D4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产生速率（kg/h）</w:t>
                  </w:r>
                </w:p>
              </w:tc>
              <w:tc>
                <w:tcPr>
                  <w:tcW w:w="801" w:type="pct"/>
                  <w:tcBorders>
                    <w:tl2br w:val="nil"/>
                    <w:tr2bl w:val="nil"/>
                  </w:tcBorders>
                  <w:noWrap w:val="0"/>
                  <w:vAlign w:val="center"/>
                </w:tcPr>
                <w:p w14:paraId="6FC9DFE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治理措施</w:t>
                  </w:r>
                </w:p>
              </w:tc>
              <w:tc>
                <w:tcPr>
                  <w:tcW w:w="620" w:type="pct"/>
                  <w:tcBorders>
                    <w:tl2br w:val="nil"/>
                    <w:tr2bl w:val="nil"/>
                  </w:tcBorders>
                  <w:noWrap w:val="0"/>
                  <w:vAlign w:val="center"/>
                </w:tcPr>
                <w:p w14:paraId="5B74940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排放量（t/a）</w:t>
                  </w:r>
                </w:p>
              </w:tc>
              <w:tc>
                <w:tcPr>
                  <w:tcW w:w="655" w:type="pct"/>
                  <w:tcBorders>
                    <w:tl2br w:val="nil"/>
                    <w:tr2bl w:val="nil"/>
                  </w:tcBorders>
                  <w:noWrap w:val="0"/>
                  <w:vAlign w:val="center"/>
                </w:tcPr>
                <w:p w14:paraId="492C445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排放速率（kg/h）</w:t>
                  </w:r>
                </w:p>
              </w:tc>
            </w:tr>
            <w:tr w14:paraId="1B3D3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tcBorders>
                    <w:tl2br w:val="nil"/>
                    <w:tr2bl w:val="nil"/>
                  </w:tcBorders>
                  <w:noWrap w:val="0"/>
                  <w:vAlign w:val="center"/>
                </w:tcPr>
                <w:p w14:paraId="08D74CC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一期</w:t>
                  </w:r>
                </w:p>
              </w:tc>
              <w:tc>
                <w:tcPr>
                  <w:tcW w:w="591" w:type="pct"/>
                  <w:tcBorders>
                    <w:tl2br w:val="nil"/>
                    <w:tr2bl w:val="nil"/>
                  </w:tcBorders>
                  <w:noWrap w:val="0"/>
                  <w:vAlign w:val="center"/>
                </w:tcPr>
                <w:p w14:paraId="458E647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eastAsia="zh-CN"/>
                    </w:rPr>
                    <w:t>颗粒物</w:t>
                  </w:r>
                </w:p>
              </w:tc>
              <w:tc>
                <w:tcPr>
                  <w:tcW w:w="610" w:type="pct"/>
                  <w:tcBorders>
                    <w:tl2br w:val="nil"/>
                    <w:tr2bl w:val="nil"/>
                  </w:tcBorders>
                  <w:noWrap w:val="0"/>
                  <w:vAlign w:val="center"/>
                </w:tcPr>
                <w:p w14:paraId="30E596F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无组织</w:t>
                  </w:r>
                </w:p>
              </w:tc>
              <w:tc>
                <w:tcPr>
                  <w:tcW w:w="610" w:type="pct"/>
                  <w:tcBorders>
                    <w:tl2br w:val="nil"/>
                    <w:tr2bl w:val="nil"/>
                  </w:tcBorders>
                  <w:noWrap w:val="0"/>
                  <w:vAlign w:val="center"/>
                </w:tcPr>
                <w:p w14:paraId="5273071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1.57</w:t>
                  </w:r>
                </w:p>
              </w:tc>
              <w:tc>
                <w:tcPr>
                  <w:tcW w:w="677" w:type="pct"/>
                  <w:tcBorders>
                    <w:tl2br w:val="nil"/>
                    <w:tr2bl w:val="nil"/>
                  </w:tcBorders>
                  <w:noWrap w:val="0"/>
                  <w:vAlign w:val="center"/>
                </w:tcPr>
                <w:p w14:paraId="28CD513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0.65</w:t>
                  </w:r>
                </w:p>
              </w:tc>
              <w:tc>
                <w:tcPr>
                  <w:tcW w:w="801" w:type="pct"/>
                  <w:vMerge w:val="restart"/>
                  <w:tcBorders>
                    <w:tl2br w:val="nil"/>
                    <w:tr2bl w:val="nil"/>
                  </w:tcBorders>
                  <w:noWrap w:val="0"/>
                  <w:vAlign w:val="center"/>
                </w:tcPr>
                <w:p w14:paraId="475EF01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洒水、封闭</w:t>
                  </w:r>
                </w:p>
              </w:tc>
              <w:tc>
                <w:tcPr>
                  <w:tcW w:w="620" w:type="pct"/>
                  <w:tcBorders>
                    <w:tl2br w:val="nil"/>
                    <w:tr2bl w:val="nil"/>
                  </w:tcBorders>
                  <w:noWrap w:val="0"/>
                  <w:vAlign w:val="center"/>
                </w:tcPr>
                <w:p w14:paraId="1B76F2D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0.0041</w:t>
                  </w:r>
                </w:p>
              </w:tc>
              <w:tc>
                <w:tcPr>
                  <w:tcW w:w="655" w:type="pct"/>
                  <w:tcBorders>
                    <w:tl2br w:val="nil"/>
                    <w:tr2bl w:val="nil"/>
                  </w:tcBorders>
                  <w:noWrap w:val="0"/>
                  <w:vAlign w:val="center"/>
                </w:tcPr>
                <w:p w14:paraId="21881C7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0.0017</w:t>
                  </w:r>
                </w:p>
              </w:tc>
            </w:tr>
            <w:tr w14:paraId="6541E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tcBorders>
                    <w:tl2br w:val="nil"/>
                    <w:tr2bl w:val="nil"/>
                  </w:tcBorders>
                  <w:noWrap w:val="0"/>
                  <w:vAlign w:val="center"/>
                </w:tcPr>
                <w:p w14:paraId="3C9E97A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二期</w:t>
                  </w:r>
                </w:p>
              </w:tc>
              <w:tc>
                <w:tcPr>
                  <w:tcW w:w="591" w:type="pct"/>
                  <w:tcBorders>
                    <w:tl2br w:val="nil"/>
                    <w:tr2bl w:val="nil"/>
                  </w:tcBorders>
                  <w:noWrap w:val="0"/>
                  <w:vAlign w:val="center"/>
                </w:tcPr>
                <w:p w14:paraId="59699B4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eastAsia="zh-CN"/>
                    </w:rPr>
                    <w:t>颗粒物</w:t>
                  </w:r>
                </w:p>
              </w:tc>
              <w:tc>
                <w:tcPr>
                  <w:tcW w:w="610" w:type="pct"/>
                  <w:tcBorders>
                    <w:tl2br w:val="nil"/>
                    <w:tr2bl w:val="nil"/>
                  </w:tcBorders>
                  <w:noWrap w:val="0"/>
                  <w:vAlign w:val="center"/>
                </w:tcPr>
                <w:p w14:paraId="4759F43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无组织</w:t>
                  </w:r>
                </w:p>
              </w:tc>
              <w:tc>
                <w:tcPr>
                  <w:tcW w:w="610" w:type="pct"/>
                  <w:tcBorders>
                    <w:tl2br w:val="nil"/>
                    <w:tr2bl w:val="nil"/>
                  </w:tcBorders>
                  <w:noWrap w:val="0"/>
                  <w:vAlign w:val="center"/>
                </w:tcPr>
                <w:p w14:paraId="3DA9119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1.98</w:t>
                  </w:r>
                </w:p>
              </w:tc>
              <w:tc>
                <w:tcPr>
                  <w:tcW w:w="677" w:type="pct"/>
                  <w:tcBorders>
                    <w:tl2br w:val="nil"/>
                    <w:tr2bl w:val="nil"/>
                  </w:tcBorders>
                  <w:noWrap w:val="0"/>
                  <w:vAlign w:val="center"/>
                </w:tcPr>
                <w:p w14:paraId="54AFF63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0.83</w:t>
                  </w:r>
                </w:p>
              </w:tc>
              <w:tc>
                <w:tcPr>
                  <w:tcW w:w="801" w:type="pct"/>
                  <w:vMerge w:val="continue"/>
                  <w:tcBorders>
                    <w:tl2br w:val="nil"/>
                    <w:tr2bl w:val="nil"/>
                  </w:tcBorders>
                  <w:noWrap w:val="0"/>
                  <w:vAlign w:val="center"/>
                </w:tcPr>
                <w:p w14:paraId="2C4B4C5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0"/>
                      <w:sz w:val="21"/>
                      <w:szCs w:val="21"/>
                      <w:lang w:val="en-US" w:eastAsia="zh-CN"/>
                    </w:rPr>
                  </w:pPr>
                </w:p>
              </w:tc>
              <w:tc>
                <w:tcPr>
                  <w:tcW w:w="620" w:type="pct"/>
                  <w:tcBorders>
                    <w:tl2br w:val="nil"/>
                    <w:tr2bl w:val="nil"/>
                  </w:tcBorders>
                  <w:noWrap w:val="0"/>
                  <w:vAlign w:val="center"/>
                </w:tcPr>
                <w:p w14:paraId="68C7BF8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0.0051</w:t>
                  </w:r>
                </w:p>
              </w:tc>
              <w:tc>
                <w:tcPr>
                  <w:tcW w:w="655" w:type="pct"/>
                  <w:tcBorders>
                    <w:tl2br w:val="nil"/>
                    <w:tr2bl w:val="nil"/>
                  </w:tcBorders>
                  <w:noWrap w:val="0"/>
                  <w:vAlign w:val="center"/>
                </w:tcPr>
                <w:p w14:paraId="6BC4A25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0.0022</w:t>
                  </w:r>
                </w:p>
              </w:tc>
            </w:tr>
            <w:tr w14:paraId="44439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tcBorders>
                    <w:tl2br w:val="nil"/>
                    <w:tr2bl w:val="nil"/>
                  </w:tcBorders>
                  <w:noWrap w:val="0"/>
                  <w:vAlign w:val="center"/>
                </w:tcPr>
                <w:p w14:paraId="6AB2C28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三期</w:t>
                  </w:r>
                </w:p>
              </w:tc>
              <w:tc>
                <w:tcPr>
                  <w:tcW w:w="591" w:type="pct"/>
                  <w:tcBorders>
                    <w:tl2br w:val="nil"/>
                    <w:tr2bl w:val="nil"/>
                  </w:tcBorders>
                  <w:noWrap w:val="0"/>
                  <w:vAlign w:val="center"/>
                </w:tcPr>
                <w:p w14:paraId="72D6786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eastAsia="zh-CN"/>
                    </w:rPr>
                    <w:t>颗粒物</w:t>
                  </w:r>
                </w:p>
              </w:tc>
              <w:tc>
                <w:tcPr>
                  <w:tcW w:w="610" w:type="pct"/>
                  <w:tcBorders>
                    <w:tl2br w:val="nil"/>
                    <w:tr2bl w:val="nil"/>
                  </w:tcBorders>
                  <w:noWrap w:val="0"/>
                  <w:vAlign w:val="center"/>
                </w:tcPr>
                <w:p w14:paraId="043E472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无组织</w:t>
                  </w:r>
                </w:p>
              </w:tc>
              <w:tc>
                <w:tcPr>
                  <w:tcW w:w="610" w:type="pct"/>
                  <w:tcBorders>
                    <w:tl2br w:val="nil"/>
                    <w:tr2bl w:val="nil"/>
                  </w:tcBorders>
                  <w:noWrap w:val="0"/>
                  <w:vAlign w:val="center"/>
                </w:tcPr>
                <w:p w14:paraId="4291583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4.70</w:t>
                  </w:r>
                </w:p>
              </w:tc>
              <w:tc>
                <w:tcPr>
                  <w:tcW w:w="677" w:type="pct"/>
                  <w:tcBorders>
                    <w:tl2br w:val="nil"/>
                    <w:tr2bl w:val="nil"/>
                  </w:tcBorders>
                  <w:noWrap w:val="0"/>
                  <w:vAlign w:val="center"/>
                </w:tcPr>
                <w:p w14:paraId="4ADDAD1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1.96</w:t>
                  </w:r>
                </w:p>
              </w:tc>
              <w:tc>
                <w:tcPr>
                  <w:tcW w:w="801" w:type="pct"/>
                  <w:vMerge w:val="continue"/>
                  <w:tcBorders>
                    <w:tl2br w:val="nil"/>
                    <w:tr2bl w:val="nil"/>
                  </w:tcBorders>
                  <w:noWrap w:val="0"/>
                  <w:vAlign w:val="center"/>
                </w:tcPr>
                <w:p w14:paraId="1B2FE28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0"/>
                      <w:sz w:val="21"/>
                      <w:szCs w:val="21"/>
                      <w:lang w:val="en-US" w:eastAsia="zh-CN"/>
                    </w:rPr>
                  </w:pPr>
                </w:p>
              </w:tc>
              <w:tc>
                <w:tcPr>
                  <w:tcW w:w="620" w:type="pct"/>
                  <w:tcBorders>
                    <w:tl2br w:val="nil"/>
                    <w:tr2bl w:val="nil"/>
                  </w:tcBorders>
                  <w:noWrap w:val="0"/>
                  <w:vAlign w:val="center"/>
                </w:tcPr>
                <w:p w14:paraId="4362BFE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0.012</w:t>
                  </w:r>
                </w:p>
              </w:tc>
              <w:tc>
                <w:tcPr>
                  <w:tcW w:w="655" w:type="pct"/>
                  <w:tcBorders>
                    <w:tl2br w:val="nil"/>
                    <w:tr2bl w:val="nil"/>
                  </w:tcBorders>
                  <w:noWrap w:val="0"/>
                  <w:vAlign w:val="center"/>
                </w:tcPr>
                <w:p w14:paraId="7BFF30E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0.0051</w:t>
                  </w:r>
                </w:p>
              </w:tc>
            </w:tr>
          </w:tbl>
          <w:p w14:paraId="1742245D">
            <w:pPr>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fldChar w:fldCharType="begin"/>
            </w:r>
            <w:r>
              <w:rPr>
                <w:rFonts w:hint="default" w:ascii="Times New Roman" w:hAnsi="Times New Roman" w:eastAsia="宋体" w:cs="Times New Roman"/>
                <w:color w:val="auto"/>
                <w:sz w:val="24"/>
                <w:szCs w:val="24"/>
                <w:highlight w:val="none"/>
                <w:lang w:val="en-US" w:eastAsia="zh-CN"/>
              </w:rPr>
              <w:instrText xml:space="preserve"> = 2 \* GB3 \* MERGEFORMAT </w:instrText>
            </w:r>
            <w:r>
              <w:rPr>
                <w:rFonts w:hint="default" w:ascii="Times New Roman" w:hAnsi="Times New Roman" w:eastAsia="宋体" w:cs="Times New Roman"/>
                <w:color w:val="auto"/>
                <w:sz w:val="24"/>
                <w:szCs w:val="24"/>
                <w:highlight w:val="none"/>
                <w:lang w:val="en-US" w:eastAsia="zh-CN"/>
              </w:rPr>
              <w:fldChar w:fldCharType="separate"/>
            </w:r>
            <w:r>
              <w:rPr>
                <w:rFonts w:hint="default" w:ascii="Times New Roman" w:hAnsi="Times New Roman" w:cs="Times New Roman"/>
                <w:sz w:val="24"/>
                <w:szCs w:val="24"/>
              </w:rPr>
              <w:t>②</w:t>
            </w:r>
            <w:r>
              <w:rPr>
                <w:rFonts w:hint="default" w:ascii="Times New Roman" w:hAnsi="Times New Roman" w:eastAsia="宋体" w:cs="Times New Roman"/>
                <w:color w:val="auto"/>
                <w:sz w:val="24"/>
                <w:szCs w:val="24"/>
                <w:highlight w:val="none"/>
                <w:lang w:val="en-US" w:eastAsia="zh-CN"/>
              </w:rPr>
              <w:fldChar w:fldCharType="end"/>
            </w:r>
            <w:r>
              <w:rPr>
                <w:rFonts w:hint="default" w:ascii="Times New Roman" w:hAnsi="Times New Roman" w:eastAsia="宋体" w:cs="Times New Roman"/>
                <w:color w:val="auto"/>
                <w:sz w:val="24"/>
                <w:szCs w:val="24"/>
                <w:highlight w:val="none"/>
                <w:lang w:val="en-US" w:eastAsia="zh-CN"/>
              </w:rPr>
              <w:t>运输扬尘</w:t>
            </w:r>
          </w:p>
          <w:p w14:paraId="1CC886B2">
            <w:pPr>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项目建成运行后，由于项目汽车运输量很大，载重车辆频繁地进出，引起周边道路扬尘量增加，影响到项目及周边的环境空气质量。</w:t>
            </w:r>
          </w:p>
          <w:p w14:paraId="6CD68F35">
            <w:pPr>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原煤道路运输扬尘产生量选取上海港环境保护中心和武汉水运工程学院提出的经验公式进行计算，公式如下：</w:t>
            </w:r>
          </w:p>
          <w:p w14:paraId="34B7FD5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rPr>
              <w:drawing>
                <wp:inline distT="0" distB="0" distL="114300" distR="114300">
                  <wp:extent cx="2177415" cy="407035"/>
                  <wp:effectExtent l="0" t="0" r="13335" b="12065"/>
                  <wp:docPr id="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6"/>
                          <pic:cNvPicPr>
                            <a:picLocks noChangeAspect="1"/>
                          </pic:cNvPicPr>
                        </pic:nvPicPr>
                        <pic:blipFill>
                          <a:blip r:embed="rId15"/>
                          <a:stretch>
                            <a:fillRect/>
                          </a:stretch>
                        </pic:blipFill>
                        <pic:spPr>
                          <a:xfrm>
                            <a:off x="0" y="0"/>
                            <a:ext cx="2177415" cy="407035"/>
                          </a:xfrm>
                          <a:prstGeom prst="rect">
                            <a:avLst/>
                          </a:prstGeom>
                          <a:noFill/>
                          <a:ln>
                            <a:noFill/>
                          </a:ln>
                        </pic:spPr>
                      </pic:pic>
                    </a:graphicData>
                  </a:graphic>
                </wp:inline>
              </w:drawing>
            </w:r>
          </w:p>
          <w:p w14:paraId="6A9B00C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rPr>
              <w:drawing>
                <wp:inline distT="0" distB="0" distL="114300" distR="114300">
                  <wp:extent cx="1094740" cy="356235"/>
                  <wp:effectExtent l="0" t="0" r="10160" b="5715"/>
                  <wp:docPr id="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7"/>
                          <pic:cNvPicPr>
                            <a:picLocks noChangeAspect="1"/>
                          </pic:cNvPicPr>
                        </pic:nvPicPr>
                        <pic:blipFill>
                          <a:blip r:embed="rId16"/>
                          <a:stretch>
                            <a:fillRect/>
                          </a:stretch>
                        </pic:blipFill>
                        <pic:spPr>
                          <a:xfrm>
                            <a:off x="0" y="0"/>
                            <a:ext cx="1094740" cy="356235"/>
                          </a:xfrm>
                          <a:prstGeom prst="rect">
                            <a:avLst/>
                          </a:prstGeom>
                          <a:noFill/>
                          <a:ln>
                            <a:noFill/>
                          </a:ln>
                        </pic:spPr>
                      </pic:pic>
                    </a:graphicData>
                  </a:graphic>
                </wp:inline>
              </w:drawing>
            </w:r>
          </w:p>
          <w:p w14:paraId="79DDC4F9">
            <w:pPr>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式中：</w:t>
            </w:r>
          </w:p>
          <w:p w14:paraId="6F33C4CE">
            <w:pPr>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Q</w:t>
            </w:r>
            <w:r>
              <w:rPr>
                <w:rFonts w:hint="default" w:ascii="Times New Roman" w:hAnsi="Times New Roman" w:eastAsia="宋体" w:cs="Times New Roman"/>
                <w:color w:val="auto"/>
                <w:sz w:val="24"/>
                <w:szCs w:val="24"/>
                <w:highlight w:val="none"/>
                <w:vertAlign w:val="subscript"/>
                <w:lang w:val="en-US" w:eastAsia="zh-CN"/>
              </w:rPr>
              <w:t>y</w:t>
            </w:r>
            <w:r>
              <w:rPr>
                <w:rFonts w:hint="default" w:ascii="Times New Roman" w:hAnsi="Times New Roman" w:eastAsia="宋体" w:cs="Times New Roman"/>
                <w:color w:val="auto"/>
                <w:sz w:val="24"/>
                <w:szCs w:val="24"/>
                <w:highlight w:val="none"/>
                <w:lang w:val="en-US" w:eastAsia="zh-CN"/>
              </w:rPr>
              <w:t>：交通运输起尘量，kg/km.辆；</w:t>
            </w:r>
          </w:p>
          <w:p w14:paraId="5EB2F26D">
            <w:pPr>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Q</w:t>
            </w:r>
            <w:r>
              <w:rPr>
                <w:rFonts w:hint="default" w:ascii="Times New Roman" w:hAnsi="Times New Roman" w:eastAsia="宋体" w:cs="Times New Roman"/>
                <w:color w:val="auto"/>
                <w:sz w:val="24"/>
                <w:szCs w:val="24"/>
                <w:highlight w:val="none"/>
                <w:vertAlign w:val="subscript"/>
                <w:lang w:val="en-US" w:eastAsia="zh-CN"/>
              </w:rPr>
              <w:t>t</w:t>
            </w:r>
            <w:r>
              <w:rPr>
                <w:rFonts w:hint="default" w:ascii="Times New Roman" w:hAnsi="Times New Roman" w:eastAsia="宋体" w:cs="Times New Roman"/>
                <w:color w:val="auto"/>
                <w:sz w:val="24"/>
                <w:szCs w:val="24"/>
                <w:highlight w:val="none"/>
                <w:lang w:val="en-US" w:eastAsia="zh-CN"/>
              </w:rPr>
              <w:t>：运输途中起尘量，kg/a；</w:t>
            </w:r>
          </w:p>
          <w:p w14:paraId="5987ED6C">
            <w:pPr>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V一汽车行驶速度，本项目取15km/h；</w:t>
            </w:r>
          </w:p>
          <w:p w14:paraId="48720F30">
            <w:pPr>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W—汽车载货总重量，货车</w:t>
            </w:r>
            <w:r>
              <w:rPr>
                <w:rFonts w:hint="eastAsia"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lang w:val="en-US" w:eastAsia="zh-CN"/>
              </w:rPr>
              <w:t>0t；</w:t>
            </w:r>
          </w:p>
          <w:p w14:paraId="794C7511">
            <w:pPr>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P—道路表面物料量，0.</w:t>
            </w:r>
            <w:r>
              <w:rPr>
                <w:rFonts w:hint="eastAsia"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lang w:val="en-US" w:eastAsia="zh-CN"/>
              </w:rPr>
              <w:t>kg/m</w:t>
            </w:r>
            <w:r>
              <w:rPr>
                <w:rFonts w:hint="default" w:ascii="Times New Roman" w:hAnsi="Times New Roman" w:eastAsia="宋体" w:cs="Times New Roman"/>
                <w:color w:val="auto"/>
                <w:sz w:val="24"/>
                <w:szCs w:val="24"/>
                <w:highlight w:val="none"/>
                <w:vertAlign w:val="superscript"/>
                <w:lang w:val="en-US" w:eastAsia="zh-CN"/>
              </w:rPr>
              <w:t>2</w:t>
            </w:r>
            <w:r>
              <w:rPr>
                <w:rFonts w:hint="default" w:ascii="Times New Roman" w:hAnsi="Times New Roman" w:eastAsia="宋体" w:cs="Times New Roman"/>
                <w:color w:val="auto"/>
                <w:sz w:val="24"/>
                <w:szCs w:val="24"/>
                <w:highlight w:val="none"/>
                <w:lang w:val="en-US" w:eastAsia="zh-CN"/>
              </w:rPr>
              <w:t>；</w:t>
            </w:r>
          </w:p>
          <w:p w14:paraId="5D0E17BA">
            <w:pPr>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L—道路长度，场地内道路长度0.85km；</w:t>
            </w:r>
          </w:p>
          <w:p w14:paraId="186B017C">
            <w:pPr>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Q—汽车运输量，</w:t>
            </w:r>
            <w:r>
              <w:rPr>
                <w:rFonts w:hint="eastAsia" w:ascii="Times New Roman" w:hAnsi="Times New Roman" w:eastAsia="宋体" w:cs="Times New Roman"/>
                <w:color w:val="auto"/>
                <w:sz w:val="24"/>
                <w:szCs w:val="24"/>
                <w:lang w:val="en-US" w:eastAsia="zh-CN"/>
              </w:rPr>
              <w:t>结合各建设时期分别取值</w:t>
            </w:r>
            <w:r>
              <w:rPr>
                <w:rFonts w:hint="default" w:ascii="Times New Roman" w:hAnsi="Times New Roman" w:eastAsia="宋体" w:cs="Times New Roman"/>
                <w:color w:val="auto"/>
                <w:sz w:val="24"/>
                <w:szCs w:val="24"/>
                <w:highlight w:val="none"/>
                <w:lang w:val="en-US" w:eastAsia="zh-CN"/>
              </w:rPr>
              <w:t>。</w:t>
            </w:r>
          </w:p>
          <w:p w14:paraId="29D53F26">
            <w:pPr>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lang w:val="en-US" w:eastAsia="zh-CN"/>
              </w:rPr>
              <w:t>本项目采取道路硬化、控制车速、路面洒水抑尘等措施后，降尘效率取80%，则</w:t>
            </w:r>
            <w:r>
              <w:rPr>
                <w:rFonts w:hint="default" w:ascii="Times New Roman" w:hAnsi="Times New Roman" w:eastAsia="宋体" w:cs="Times New Roman"/>
                <w:color w:val="auto"/>
                <w:sz w:val="24"/>
                <w:szCs w:val="24"/>
                <w:highlight w:val="none"/>
                <w:lang w:val="en-US" w:eastAsia="zh-CN"/>
              </w:rPr>
              <w:t>运输车辆扬尘</w:t>
            </w:r>
            <w:r>
              <w:rPr>
                <w:rFonts w:hint="eastAsia" w:cs="Times New Roman"/>
                <w:color w:val="auto"/>
                <w:sz w:val="24"/>
                <w:szCs w:val="24"/>
                <w:highlight w:val="none"/>
                <w:lang w:val="en-US" w:eastAsia="zh-CN"/>
              </w:rPr>
              <w:t>产</w:t>
            </w:r>
            <w:r>
              <w:rPr>
                <w:rFonts w:hint="eastAsia" w:ascii="Times New Roman" w:hAnsi="Times New Roman" w:eastAsia="宋体" w:cs="Times New Roman"/>
                <w:color w:val="auto"/>
                <w:sz w:val="24"/>
                <w:szCs w:val="24"/>
                <w:highlight w:val="none"/>
                <w:lang w:val="en-US" w:eastAsia="zh-CN"/>
              </w:rPr>
              <w:t>排污情况见下表</w:t>
            </w:r>
            <w:r>
              <w:rPr>
                <w:rFonts w:hint="default" w:ascii="Times New Roman" w:hAnsi="Times New Roman" w:eastAsia="宋体" w:cs="Times New Roman"/>
                <w:color w:val="auto"/>
                <w:sz w:val="24"/>
                <w:szCs w:val="24"/>
                <w:highlight w:val="none"/>
                <w:lang w:val="en-US" w:eastAsia="zh-CN"/>
              </w:rPr>
              <w:t>。</w:t>
            </w:r>
          </w:p>
          <w:p w14:paraId="51F2C048">
            <w:pPr>
              <w:keepNext w:val="0"/>
              <w:keepLines w:val="0"/>
              <w:pageBreakBefore w:val="0"/>
              <w:widowControl w:val="0"/>
              <w:kinsoku/>
              <w:wordWrap/>
              <w:overflowPunct/>
              <w:topLinePunct w:val="0"/>
              <w:autoSpaceDE/>
              <w:autoSpaceDN/>
              <w:bidi w:val="0"/>
              <w:adjustRightInd w:val="0"/>
              <w:snapToGrid w:val="0"/>
              <w:spacing w:line="440" w:lineRule="exact"/>
              <w:ind w:right="0" w:rightChars="0" w:firstLine="422" w:firstLineChars="200"/>
              <w:jc w:val="center"/>
              <w:textAlignment w:val="auto"/>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sz w:val="21"/>
                <w:szCs w:val="21"/>
                <w:lang w:val="en-US" w:eastAsia="zh-CN"/>
              </w:rPr>
              <w:t>表4-</w:t>
            </w:r>
            <w:r>
              <w:rPr>
                <w:rFonts w:hint="eastAsia" w:ascii="Times New Roman" w:hAnsi="Times New Roman" w:eastAsia="宋体" w:cs="Times New Roman"/>
                <w:b/>
                <w:bCs/>
                <w:color w:val="auto"/>
                <w:sz w:val="21"/>
                <w:szCs w:val="21"/>
                <w:lang w:val="en-US" w:eastAsia="zh-CN"/>
              </w:rPr>
              <w:t>2</w:t>
            </w:r>
            <w:r>
              <w:rPr>
                <w:rFonts w:hint="default" w:ascii="Times New Roman" w:hAnsi="Times New Roman" w:eastAsia="宋体" w:cs="Times New Roman"/>
                <w:b/>
                <w:bCs/>
                <w:color w:val="auto"/>
                <w:sz w:val="21"/>
                <w:szCs w:val="21"/>
                <w:lang w:val="en-US" w:eastAsia="zh-CN"/>
              </w:rPr>
              <w:t xml:space="preserve"> 本项目运输扬尘</w:t>
            </w:r>
            <w:r>
              <w:rPr>
                <w:rFonts w:hint="default" w:ascii="Times New Roman" w:hAnsi="Times New Roman" w:eastAsia="宋体" w:cs="Times New Roman"/>
                <w:b/>
                <w:bCs/>
                <w:color w:val="auto"/>
                <w:kern w:val="2"/>
                <w:sz w:val="21"/>
                <w:szCs w:val="21"/>
                <w:lang w:val="en-US" w:eastAsia="zh-CN" w:bidi="ar-SA"/>
              </w:rPr>
              <w:t>产排污一览表</w:t>
            </w:r>
          </w:p>
          <w:tbl>
            <w:tblPr>
              <w:tblStyle w:val="26"/>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1"/>
              <w:gridCol w:w="931"/>
              <w:gridCol w:w="961"/>
              <w:gridCol w:w="961"/>
              <w:gridCol w:w="1067"/>
              <w:gridCol w:w="1262"/>
              <w:gridCol w:w="977"/>
              <w:gridCol w:w="1032"/>
            </w:tblGrid>
            <w:tr w14:paraId="0802F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tcBorders>
                    <w:tl2br w:val="nil"/>
                    <w:tr2bl w:val="nil"/>
                  </w:tcBorders>
                  <w:noWrap w:val="0"/>
                  <w:vAlign w:val="center"/>
                </w:tcPr>
                <w:p w14:paraId="0E8625A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产污时期</w:t>
                  </w:r>
                </w:p>
              </w:tc>
              <w:tc>
                <w:tcPr>
                  <w:tcW w:w="591" w:type="pct"/>
                  <w:tcBorders>
                    <w:tl2br w:val="nil"/>
                    <w:tr2bl w:val="nil"/>
                  </w:tcBorders>
                  <w:noWrap w:val="0"/>
                  <w:vAlign w:val="center"/>
                </w:tcPr>
                <w:p w14:paraId="691DD16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污染物</w:t>
                  </w:r>
                </w:p>
              </w:tc>
              <w:tc>
                <w:tcPr>
                  <w:tcW w:w="610" w:type="pct"/>
                  <w:tcBorders>
                    <w:tl2br w:val="nil"/>
                    <w:tr2bl w:val="nil"/>
                  </w:tcBorders>
                  <w:noWrap w:val="0"/>
                  <w:vAlign w:val="center"/>
                </w:tcPr>
                <w:p w14:paraId="0B26735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排放方式</w:t>
                  </w:r>
                </w:p>
              </w:tc>
              <w:tc>
                <w:tcPr>
                  <w:tcW w:w="610" w:type="pct"/>
                  <w:tcBorders>
                    <w:tl2br w:val="nil"/>
                    <w:tr2bl w:val="nil"/>
                  </w:tcBorders>
                  <w:noWrap w:val="0"/>
                  <w:vAlign w:val="center"/>
                </w:tcPr>
                <w:p w14:paraId="17DB55A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产生量（t/a）</w:t>
                  </w:r>
                </w:p>
              </w:tc>
              <w:tc>
                <w:tcPr>
                  <w:tcW w:w="677" w:type="pct"/>
                  <w:tcBorders>
                    <w:tl2br w:val="nil"/>
                    <w:tr2bl w:val="nil"/>
                  </w:tcBorders>
                  <w:noWrap w:val="0"/>
                  <w:vAlign w:val="center"/>
                </w:tcPr>
                <w:p w14:paraId="173ABE7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产生速率（kg/h）</w:t>
                  </w:r>
                </w:p>
              </w:tc>
              <w:tc>
                <w:tcPr>
                  <w:tcW w:w="801" w:type="pct"/>
                  <w:tcBorders>
                    <w:tl2br w:val="nil"/>
                    <w:tr2bl w:val="nil"/>
                  </w:tcBorders>
                  <w:noWrap w:val="0"/>
                  <w:vAlign w:val="center"/>
                </w:tcPr>
                <w:p w14:paraId="6D4ACB2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治理措施</w:t>
                  </w:r>
                </w:p>
              </w:tc>
              <w:tc>
                <w:tcPr>
                  <w:tcW w:w="620" w:type="pct"/>
                  <w:tcBorders>
                    <w:tl2br w:val="nil"/>
                    <w:tr2bl w:val="nil"/>
                  </w:tcBorders>
                  <w:noWrap w:val="0"/>
                  <w:vAlign w:val="center"/>
                </w:tcPr>
                <w:p w14:paraId="5CE2117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排放量（t/a）</w:t>
                  </w:r>
                </w:p>
              </w:tc>
              <w:tc>
                <w:tcPr>
                  <w:tcW w:w="655" w:type="pct"/>
                  <w:tcBorders>
                    <w:tl2br w:val="nil"/>
                    <w:tr2bl w:val="nil"/>
                  </w:tcBorders>
                  <w:noWrap w:val="0"/>
                  <w:vAlign w:val="center"/>
                </w:tcPr>
                <w:p w14:paraId="5184F67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排放速率（kg/h）</w:t>
                  </w:r>
                </w:p>
              </w:tc>
            </w:tr>
            <w:tr w14:paraId="4F934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tcBorders>
                    <w:tl2br w:val="nil"/>
                    <w:tr2bl w:val="nil"/>
                  </w:tcBorders>
                  <w:noWrap w:val="0"/>
                  <w:vAlign w:val="center"/>
                </w:tcPr>
                <w:p w14:paraId="6AD3FFA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一期</w:t>
                  </w:r>
                </w:p>
              </w:tc>
              <w:tc>
                <w:tcPr>
                  <w:tcW w:w="591" w:type="pct"/>
                  <w:tcBorders>
                    <w:tl2br w:val="nil"/>
                    <w:tr2bl w:val="nil"/>
                  </w:tcBorders>
                  <w:noWrap w:val="0"/>
                  <w:vAlign w:val="center"/>
                </w:tcPr>
                <w:p w14:paraId="044E14A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eastAsia="zh-CN"/>
                    </w:rPr>
                    <w:t>颗粒物</w:t>
                  </w:r>
                </w:p>
              </w:tc>
              <w:tc>
                <w:tcPr>
                  <w:tcW w:w="610" w:type="pct"/>
                  <w:tcBorders>
                    <w:tl2br w:val="nil"/>
                    <w:tr2bl w:val="nil"/>
                  </w:tcBorders>
                  <w:noWrap w:val="0"/>
                  <w:vAlign w:val="center"/>
                </w:tcPr>
                <w:p w14:paraId="4280021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无组织</w:t>
                  </w:r>
                </w:p>
              </w:tc>
              <w:tc>
                <w:tcPr>
                  <w:tcW w:w="610" w:type="pct"/>
                  <w:tcBorders>
                    <w:tl2br w:val="nil"/>
                    <w:tr2bl w:val="nil"/>
                  </w:tcBorders>
                  <w:noWrap w:val="0"/>
                  <w:vAlign w:val="center"/>
                </w:tcPr>
                <w:p w14:paraId="0829B4E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4.42</w:t>
                  </w:r>
                </w:p>
              </w:tc>
              <w:tc>
                <w:tcPr>
                  <w:tcW w:w="677" w:type="pct"/>
                  <w:tcBorders>
                    <w:tl2br w:val="nil"/>
                    <w:tr2bl w:val="nil"/>
                  </w:tcBorders>
                  <w:noWrap w:val="0"/>
                  <w:vAlign w:val="center"/>
                </w:tcPr>
                <w:p w14:paraId="13076B6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1.84</w:t>
                  </w:r>
                </w:p>
              </w:tc>
              <w:tc>
                <w:tcPr>
                  <w:tcW w:w="801" w:type="pct"/>
                  <w:vMerge w:val="restart"/>
                  <w:tcBorders>
                    <w:tl2br w:val="nil"/>
                    <w:tr2bl w:val="nil"/>
                  </w:tcBorders>
                  <w:noWrap w:val="0"/>
                  <w:vAlign w:val="center"/>
                </w:tcPr>
                <w:p w14:paraId="53BF939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sz w:val="21"/>
                      <w:szCs w:val="21"/>
                      <w:lang w:val="en-US" w:eastAsia="zh-CN"/>
                    </w:rPr>
                    <w:t>道路硬化、控制车速、路面洒水抑尘</w:t>
                  </w:r>
                </w:p>
              </w:tc>
              <w:tc>
                <w:tcPr>
                  <w:tcW w:w="620" w:type="pct"/>
                  <w:tcBorders>
                    <w:tl2br w:val="nil"/>
                    <w:tr2bl w:val="nil"/>
                  </w:tcBorders>
                  <w:noWrap w:val="0"/>
                  <w:vAlign w:val="center"/>
                </w:tcPr>
                <w:p w14:paraId="73B493B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0.89</w:t>
                  </w:r>
                </w:p>
              </w:tc>
              <w:tc>
                <w:tcPr>
                  <w:tcW w:w="655" w:type="pct"/>
                  <w:tcBorders>
                    <w:tl2br w:val="nil"/>
                    <w:tr2bl w:val="nil"/>
                  </w:tcBorders>
                  <w:noWrap w:val="0"/>
                  <w:vAlign w:val="center"/>
                </w:tcPr>
                <w:p w14:paraId="30BDB39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0.37</w:t>
                  </w:r>
                </w:p>
              </w:tc>
            </w:tr>
            <w:tr w14:paraId="2B6D8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tcBorders>
                    <w:tl2br w:val="nil"/>
                    <w:tr2bl w:val="nil"/>
                  </w:tcBorders>
                  <w:noWrap w:val="0"/>
                  <w:vAlign w:val="center"/>
                </w:tcPr>
                <w:p w14:paraId="6FC486E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二期</w:t>
                  </w:r>
                </w:p>
              </w:tc>
              <w:tc>
                <w:tcPr>
                  <w:tcW w:w="591" w:type="pct"/>
                  <w:tcBorders>
                    <w:tl2br w:val="nil"/>
                    <w:tr2bl w:val="nil"/>
                  </w:tcBorders>
                  <w:noWrap w:val="0"/>
                  <w:vAlign w:val="center"/>
                </w:tcPr>
                <w:p w14:paraId="006399E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eastAsia="zh-CN"/>
                    </w:rPr>
                    <w:t>颗粒物</w:t>
                  </w:r>
                </w:p>
              </w:tc>
              <w:tc>
                <w:tcPr>
                  <w:tcW w:w="610" w:type="pct"/>
                  <w:tcBorders>
                    <w:tl2br w:val="nil"/>
                    <w:tr2bl w:val="nil"/>
                  </w:tcBorders>
                  <w:noWrap w:val="0"/>
                  <w:vAlign w:val="center"/>
                </w:tcPr>
                <w:p w14:paraId="549B482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无组织</w:t>
                  </w:r>
                </w:p>
              </w:tc>
              <w:tc>
                <w:tcPr>
                  <w:tcW w:w="610" w:type="pct"/>
                  <w:tcBorders>
                    <w:tl2br w:val="nil"/>
                    <w:tr2bl w:val="nil"/>
                  </w:tcBorders>
                  <w:noWrap w:val="0"/>
                  <w:vAlign w:val="center"/>
                </w:tcPr>
                <w:p w14:paraId="2875D83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8.85</w:t>
                  </w:r>
                </w:p>
              </w:tc>
              <w:tc>
                <w:tcPr>
                  <w:tcW w:w="677" w:type="pct"/>
                  <w:tcBorders>
                    <w:tl2br w:val="nil"/>
                    <w:tr2bl w:val="nil"/>
                  </w:tcBorders>
                  <w:noWrap w:val="0"/>
                  <w:vAlign w:val="center"/>
                </w:tcPr>
                <w:p w14:paraId="7E348A1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3.69</w:t>
                  </w:r>
                </w:p>
              </w:tc>
              <w:tc>
                <w:tcPr>
                  <w:tcW w:w="801" w:type="pct"/>
                  <w:vMerge w:val="continue"/>
                  <w:tcBorders>
                    <w:tl2br w:val="nil"/>
                    <w:tr2bl w:val="nil"/>
                  </w:tcBorders>
                  <w:noWrap w:val="0"/>
                  <w:vAlign w:val="center"/>
                </w:tcPr>
                <w:p w14:paraId="5385193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0"/>
                      <w:sz w:val="21"/>
                      <w:szCs w:val="21"/>
                      <w:lang w:val="en-US" w:eastAsia="zh-CN"/>
                    </w:rPr>
                  </w:pPr>
                </w:p>
              </w:tc>
              <w:tc>
                <w:tcPr>
                  <w:tcW w:w="620" w:type="pct"/>
                  <w:tcBorders>
                    <w:tl2br w:val="nil"/>
                    <w:tr2bl w:val="nil"/>
                  </w:tcBorders>
                  <w:noWrap w:val="0"/>
                  <w:vAlign w:val="center"/>
                </w:tcPr>
                <w:p w14:paraId="54AEBA4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1.77</w:t>
                  </w:r>
                </w:p>
              </w:tc>
              <w:tc>
                <w:tcPr>
                  <w:tcW w:w="655" w:type="pct"/>
                  <w:tcBorders>
                    <w:tl2br w:val="nil"/>
                    <w:tr2bl w:val="nil"/>
                  </w:tcBorders>
                  <w:noWrap w:val="0"/>
                  <w:vAlign w:val="center"/>
                </w:tcPr>
                <w:p w14:paraId="5BC849D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0.74</w:t>
                  </w:r>
                </w:p>
              </w:tc>
            </w:tr>
            <w:tr w14:paraId="3D249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tcBorders>
                    <w:tl2br w:val="nil"/>
                    <w:tr2bl w:val="nil"/>
                  </w:tcBorders>
                  <w:noWrap w:val="0"/>
                  <w:vAlign w:val="center"/>
                </w:tcPr>
                <w:p w14:paraId="30CBBFB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三期</w:t>
                  </w:r>
                </w:p>
              </w:tc>
              <w:tc>
                <w:tcPr>
                  <w:tcW w:w="591" w:type="pct"/>
                  <w:tcBorders>
                    <w:tl2br w:val="nil"/>
                    <w:tr2bl w:val="nil"/>
                  </w:tcBorders>
                  <w:noWrap w:val="0"/>
                  <w:vAlign w:val="center"/>
                </w:tcPr>
                <w:p w14:paraId="053ED77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eastAsia="zh-CN"/>
                    </w:rPr>
                    <w:t>颗粒物</w:t>
                  </w:r>
                </w:p>
              </w:tc>
              <w:tc>
                <w:tcPr>
                  <w:tcW w:w="610" w:type="pct"/>
                  <w:tcBorders>
                    <w:tl2br w:val="nil"/>
                    <w:tr2bl w:val="nil"/>
                  </w:tcBorders>
                  <w:noWrap w:val="0"/>
                  <w:vAlign w:val="center"/>
                </w:tcPr>
                <w:p w14:paraId="49A11FC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无组织</w:t>
                  </w:r>
                </w:p>
              </w:tc>
              <w:tc>
                <w:tcPr>
                  <w:tcW w:w="610" w:type="pct"/>
                  <w:tcBorders>
                    <w:tl2br w:val="nil"/>
                    <w:tr2bl w:val="nil"/>
                  </w:tcBorders>
                  <w:noWrap w:val="0"/>
                  <w:vAlign w:val="center"/>
                </w:tcPr>
                <w:p w14:paraId="696CC0C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22.1</w:t>
                  </w:r>
                  <w:r>
                    <w:rPr>
                      <w:rFonts w:hint="eastAsia" w:cs="Times New Roman"/>
                      <w:color w:val="auto"/>
                      <w:kern w:val="0"/>
                      <w:sz w:val="21"/>
                      <w:szCs w:val="21"/>
                      <w:lang w:val="en-US" w:eastAsia="zh-CN"/>
                    </w:rPr>
                    <w:t>3</w:t>
                  </w:r>
                </w:p>
              </w:tc>
              <w:tc>
                <w:tcPr>
                  <w:tcW w:w="677" w:type="pct"/>
                  <w:tcBorders>
                    <w:tl2br w:val="nil"/>
                    <w:tr2bl w:val="nil"/>
                  </w:tcBorders>
                  <w:noWrap w:val="0"/>
                  <w:vAlign w:val="center"/>
                </w:tcPr>
                <w:p w14:paraId="5E70A37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9.22</w:t>
                  </w:r>
                </w:p>
              </w:tc>
              <w:tc>
                <w:tcPr>
                  <w:tcW w:w="801" w:type="pct"/>
                  <w:vMerge w:val="continue"/>
                  <w:tcBorders>
                    <w:tl2br w:val="nil"/>
                    <w:tr2bl w:val="nil"/>
                  </w:tcBorders>
                  <w:noWrap w:val="0"/>
                  <w:vAlign w:val="center"/>
                </w:tcPr>
                <w:p w14:paraId="3A5B482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0"/>
                      <w:sz w:val="21"/>
                      <w:szCs w:val="21"/>
                      <w:lang w:val="en-US" w:eastAsia="zh-CN"/>
                    </w:rPr>
                  </w:pPr>
                </w:p>
              </w:tc>
              <w:tc>
                <w:tcPr>
                  <w:tcW w:w="620" w:type="pct"/>
                  <w:tcBorders>
                    <w:tl2br w:val="nil"/>
                    <w:tr2bl w:val="nil"/>
                  </w:tcBorders>
                  <w:noWrap w:val="0"/>
                  <w:vAlign w:val="center"/>
                </w:tcPr>
                <w:p w14:paraId="03EC431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4.4</w:t>
                  </w:r>
                  <w:r>
                    <w:rPr>
                      <w:rFonts w:hint="eastAsia" w:cs="Times New Roman"/>
                      <w:color w:val="auto"/>
                      <w:kern w:val="0"/>
                      <w:sz w:val="21"/>
                      <w:szCs w:val="21"/>
                      <w:lang w:val="en-US" w:eastAsia="zh-CN"/>
                    </w:rPr>
                    <w:t>3</w:t>
                  </w:r>
                </w:p>
              </w:tc>
              <w:tc>
                <w:tcPr>
                  <w:tcW w:w="655" w:type="pct"/>
                  <w:tcBorders>
                    <w:tl2br w:val="nil"/>
                    <w:tr2bl w:val="nil"/>
                  </w:tcBorders>
                  <w:noWrap w:val="0"/>
                  <w:vAlign w:val="center"/>
                </w:tcPr>
                <w:p w14:paraId="55F74AA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1.84</w:t>
                  </w:r>
                </w:p>
              </w:tc>
            </w:tr>
          </w:tbl>
          <w:p w14:paraId="49406B5F">
            <w:pPr>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fldChar w:fldCharType="begin"/>
            </w:r>
            <w:r>
              <w:rPr>
                <w:rFonts w:hint="default" w:ascii="Times New Roman" w:hAnsi="Times New Roman" w:eastAsia="宋体" w:cs="Times New Roman"/>
                <w:color w:val="auto"/>
                <w:sz w:val="24"/>
                <w:szCs w:val="24"/>
                <w:highlight w:val="none"/>
                <w:lang w:val="en-US" w:eastAsia="zh-CN"/>
              </w:rPr>
              <w:instrText xml:space="preserve"> = 3 \* GB3 \* MERGEFORMAT </w:instrText>
            </w:r>
            <w:r>
              <w:rPr>
                <w:rFonts w:hint="default" w:ascii="Times New Roman" w:hAnsi="Times New Roman" w:eastAsia="宋体" w:cs="Times New Roman"/>
                <w:color w:val="auto"/>
                <w:sz w:val="24"/>
                <w:szCs w:val="24"/>
                <w:highlight w:val="none"/>
                <w:lang w:val="en-US" w:eastAsia="zh-CN"/>
              </w:rPr>
              <w:fldChar w:fldCharType="separate"/>
            </w:r>
            <w:r>
              <w:rPr>
                <w:rFonts w:hint="default" w:ascii="Times New Roman" w:hAnsi="Times New Roman" w:cs="Times New Roman"/>
                <w:sz w:val="24"/>
                <w:szCs w:val="24"/>
              </w:rPr>
              <w:t>③</w:t>
            </w:r>
            <w:r>
              <w:rPr>
                <w:rFonts w:hint="default" w:ascii="Times New Roman" w:hAnsi="Times New Roman" w:eastAsia="宋体" w:cs="Times New Roman"/>
                <w:color w:val="auto"/>
                <w:sz w:val="24"/>
                <w:szCs w:val="24"/>
                <w:highlight w:val="none"/>
                <w:lang w:val="en-US" w:eastAsia="zh-CN"/>
              </w:rPr>
              <w:fldChar w:fldCharType="end"/>
            </w:r>
            <w:r>
              <w:rPr>
                <w:rFonts w:hint="default" w:ascii="Times New Roman" w:hAnsi="Times New Roman" w:eastAsia="宋体" w:cs="Times New Roman"/>
                <w:color w:val="auto"/>
                <w:sz w:val="24"/>
                <w:szCs w:val="24"/>
                <w:highlight w:val="none"/>
                <w:lang w:val="en-US" w:eastAsia="zh-CN"/>
              </w:rPr>
              <w:t>物料运转、转载粉尘</w:t>
            </w:r>
          </w:p>
          <w:p w14:paraId="4F3A1A49">
            <w:pPr>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物料在厂区输送转运、装载等过程中均有无组织粉尘排放。环评要求物料采取皮带运输机并封闭廊道，物料输送设备的机头溜槽上加设盖罩，进料端加胶皮挡帘等措施。同时要求各落料点及转载点均设置弥散型喷雾洒水装置，可有效抑制粉尘外逸。在采取上述措施后，</w:t>
            </w:r>
            <w:r>
              <w:rPr>
                <w:rFonts w:hint="eastAsia" w:ascii="Times New Roman" w:hAnsi="Times New Roman" w:eastAsia="宋体" w:cs="Times New Roman"/>
                <w:color w:val="auto"/>
                <w:sz w:val="24"/>
                <w:szCs w:val="24"/>
                <w:highlight w:val="none"/>
                <w:lang w:val="en-US" w:eastAsia="zh-CN"/>
              </w:rPr>
              <w:t>物料</w:t>
            </w:r>
            <w:r>
              <w:rPr>
                <w:rFonts w:hint="default" w:ascii="Times New Roman" w:hAnsi="Times New Roman" w:eastAsia="宋体" w:cs="Times New Roman"/>
                <w:color w:val="auto"/>
                <w:sz w:val="24"/>
                <w:szCs w:val="24"/>
                <w:highlight w:val="none"/>
                <w:lang w:val="en-US" w:eastAsia="zh-CN"/>
              </w:rPr>
              <w:t>转运、转载粉尘产生、排放量较小，对周围环境影响较小。</w:t>
            </w:r>
          </w:p>
          <w:p w14:paraId="784334C8">
            <w:pPr>
              <w:pStyle w:val="2"/>
              <w:keepNext w:val="0"/>
              <w:keepLines w:val="0"/>
              <w:pageBreakBefore w:val="0"/>
              <w:widowControl w:val="0"/>
              <w:kinsoku/>
              <w:wordWrap/>
              <w:overflowPunct/>
              <w:topLinePunct w:val="0"/>
              <w:autoSpaceDE/>
              <w:autoSpaceDN/>
              <w:bidi w:val="0"/>
              <w:spacing w:line="440" w:lineRule="exact"/>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 4 \* GB3 \* MERGEFORMAT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rPr>
              <w:t>④</w:t>
            </w:r>
            <w:r>
              <w:rPr>
                <w:rFonts w:hint="default" w:ascii="Times New Roman" w:hAnsi="Times New Roman" w:cs="Times New Roman"/>
                <w:sz w:val="24"/>
                <w:szCs w:val="24"/>
                <w:lang w:val="en-US" w:eastAsia="zh-CN"/>
              </w:rPr>
              <w:fldChar w:fldCharType="end"/>
            </w:r>
            <w:r>
              <w:rPr>
                <w:rFonts w:hint="default" w:ascii="Times New Roman" w:hAnsi="Times New Roman" w:cs="Times New Roman"/>
                <w:sz w:val="24"/>
                <w:szCs w:val="24"/>
                <w:lang w:val="en-US" w:eastAsia="zh-CN"/>
              </w:rPr>
              <w:t>添加浮选药剂时产生的</w:t>
            </w:r>
            <w:r>
              <w:rPr>
                <w:rFonts w:hint="eastAsia" w:ascii="Times New Roman" w:hAnsi="Times New Roman" w:cs="Times New Roman"/>
                <w:sz w:val="24"/>
                <w:szCs w:val="24"/>
                <w:lang w:val="en-US" w:eastAsia="zh-CN"/>
              </w:rPr>
              <w:t>非甲烷总烃</w:t>
            </w:r>
          </w:p>
          <w:p w14:paraId="22B5933A">
            <w:pPr>
              <w:pStyle w:val="2"/>
              <w:keepNext w:val="0"/>
              <w:keepLines w:val="0"/>
              <w:pageBreakBefore w:val="0"/>
              <w:widowControl w:val="0"/>
              <w:kinsoku/>
              <w:wordWrap/>
              <w:overflowPunct/>
              <w:topLinePunct w:val="0"/>
              <w:autoSpaceDE/>
              <w:autoSpaceDN/>
              <w:bidi w:val="0"/>
              <w:spacing w:line="440" w:lineRule="exact"/>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本项目</w:t>
            </w:r>
            <w:r>
              <w:rPr>
                <w:rFonts w:hint="eastAsia" w:ascii="Times New Roman" w:hAnsi="Times New Roman" w:cs="Times New Roman"/>
                <w:sz w:val="24"/>
                <w:szCs w:val="24"/>
                <w:lang w:val="en-US" w:eastAsia="zh-CN"/>
              </w:rPr>
              <w:t>洗</w:t>
            </w:r>
            <w:r>
              <w:rPr>
                <w:rFonts w:hint="default" w:ascii="Times New Roman" w:hAnsi="Times New Roman" w:cs="Times New Roman"/>
                <w:sz w:val="24"/>
                <w:szCs w:val="24"/>
                <w:lang w:val="en-US" w:eastAsia="zh-CN"/>
              </w:rPr>
              <w:t>选全过程在水相中进行</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lang w:val="en-US" w:eastAsia="zh-CN"/>
              </w:rPr>
              <w:t>浮选药剂（柴油、仲辛醇）投加到煤泥水中后，主要吸附于煤泥颗粒‑气泡界面，药剂溶解度有限</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lang w:val="en-US" w:eastAsia="zh-CN"/>
              </w:rPr>
              <w:t>挥发分压低，只有极小一部分从储罐呼吸口、加药桶液面、浮选机矿浆液面挥发，产生少量非甲烷总烃无组织废气。</w:t>
            </w:r>
          </w:p>
          <w:p w14:paraId="0564DA44">
            <w:pPr>
              <w:pStyle w:val="2"/>
              <w:keepNext w:val="0"/>
              <w:keepLines w:val="0"/>
              <w:pageBreakBefore w:val="0"/>
              <w:widowControl w:val="0"/>
              <w:kinsoku/>
              <w:wordWrap/>
              <w:overflowPunct/>
              <w:topLinePunct w:val="0"/>
              <w:autoSpaceDE/>
              <w:autoSpaceDN/>
              <w:bidi w:val="0"/>
              <w:spacing w:line="440" w:lineRule="exact"/>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结合煤炭浮选行业工程经验，浮选药剂水相挥发损耗占药剂总消耗量比例极低，实际逸散废气产生量微小，</w:t>
            </w:r>
            <w:r>
              <w:rPr>
                <w:rFonts w:hint="eastAsia" w:ascii="Times New Roman" w:hAnsi="Times New Roman" w:cs="Times New Roman"/>
                <w:sz w:val="24"/>
                <w:szCs w:val="24"/>
                <w:lang w:val="en-US" w:eastAsia="zh-CN"/>
              </w:rPr>
              <w:t>逸散废气取浮选药剂年用量的0.5%，则本项目三期投产时非甲烷总烃年产生量为1.8t/a，产生速率为0.75kg/h。</w:t>
            </w:r>
            <w:r>
              <w:rPr>
                <w:rFonts w:hint="default" w:ascii="Times New Roman" w:hAnsi="Times New Roman" w:cs="Times New Roman"/>
                <w:sz w:val="24"/>
                <w:szCs w:val="24"/>
                <w:lang w:val="en-US" w:eastAsia="zh-CN"/>
              </w:rPr>
              <w:t>项目从源头采取密闭储罐、密闭管道输送药剂、减少药剂敞口操作、浮选车间自然通风</w:t>
            </w:r>
            <w:r>
              <w:rPr>
                <w:rFonts w:hint="eastAsia" w:ascii="Times New Roman" w:hAnsi="Times New Roman" w:cs="Times New Roman"/>
                <w:sz w:val="24"/>
                <w:szCs w:val="24"/>
                <w:lang w:val="en-US" w:eastAsia="zh-CN"/>
              </w:rPr>
              <w:t>的非甲烷总烃</w:t>
            </w:r>
            <w:r>
              <w:rPr>
                <w:rFonts w:hint="default" w:ascii="Times New Roman" w:hAnsi="Times New Roman" w:cs="Times New Roman"/>
                <w:sz w:val="24"/>
                <w:szCs w:val="24"/>
                <w:lang w:val="en-US" w:eastAsia="zh-CN"/>
              </w:rPr>
              <w:t>无组织控制措施，</w:t>
            </w:r>
            <w:r>
              <w:rPr>
                <w:rFonts w:hint="eastAsia" w:ascii="Times New Roman" w:hAnsi="Times New Roman" w:cs="Times New Roman"/>
                <w:sz w:val="24"/>
                <w:szCs w:val="24"/>
                <w:lang w:val="en-US" w:eastAsia="zh-CN"/>
              </w:rPr>
              <w:t>厂界非甲烷总烃无组织排放监控浓度限值可满足《大气污染物综合排放标准》（GB16297-1996）表2新污染源大气污染物排放限值。</w:t>
            </w:r>
          </w:p>
          <w:p w14:paraId="16F1492B">
            <w:pPr>
              <w:pStyle w:val="2"/>
              <w:keepNext w:val="0"/>
              <w:keepLines w:val="0"/>
              <w:pageBreakBefore w:val="0"/>
              <w:widowControl w:val="0"/>
              <w:kinsoku/>
              <w:wordWrap/>
              <w:overflowPunct/>
              <w:topLinePunct w:val="0"/>
              <w:autoSpaceDE/>
              <w:autoSpaceDN/>
              <w:bidi w:val="0"/>
              <w:adjustRightInd/>
              <w:spacing w:line="440" w:lineRule="exact"/>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1.2废气治理措施可行性</w:t>
            </w:r>
          </w:p>
          <w:p w14:paraId="67B543F1">
            <w:pPr>
              <w:pStyle w:val="4"/>
              <w:keepNext w:val="0"/>
              <w:keepLines w:val="0"/>
              <w:pageBreakBefore w:val="0"/>
              <w:widowControl w:val="0"/>
              <w:kinsoku/>
              <w:wordWrap/>
              <w:overflowPunct/>
              <w:topLinePunct w:val="0"/>
              <w:autoSpaceDE/>
              <w:autoSpaceDN/>
              <w:bidi w:val="0"/>
              <w:adjustRightInd/>
              <w:snapToGrid w:val="0"/>
              <w:spacing w:before="0" w:after="0" w:line="440" w:lineRule="exact"/>
              <w:ind w:right="0" w:firstLine="480" w:firstLineChars="200"/>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 1 \* GB3 \* MERGEFORMAT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rPr>
              <w:t>①</w:t>
            </w:r>
            <w:r>
              <w:rPr>
                <w:rFonts w:hint="default" w:ascii="Times New Roman" w:hAnsi="Times New Roman" w:cs="Times New Roman"/>
                <w:sz w:val="24"/>
                <w:szCs w:val="24"/>
                <w:lang w:val="en-US" w:eastAsia="zh-CN"/>
              </w:rPr>
              <w:fldChar w:fldCharType="end"/>
            </w:r>
            <w:r>
              <w:rPr>
                <w:rFonts w:hint="eastAsia" w:ascii="Times New Roman" w:hAnsi="Times New Roman" w:cs="Times New Roman"/>
                <w:sz w:val="24"/>
                <w:szCs w:val="24"/>
                <w:lang w:val="en-US" w:eastAsia="zh-CN"/>
              </w:rPr>
              <w:t>物料</w:t>
            </w:r>
            <w:r>
              <w:rPr>
                <w:rFonts w:hint="default" w:ascii="Times New Roman" w:hAnsi="Times New Roman" w:eastAsia="宋体" w:cs="Times New Roman"/>
                <w:color w:val="auto"/>
                <w:kern w:val="2"/>
                <w:sz w:val="24"/>
                <w:szCs w:val="24"/>
                <w:lang w:val="en-US" w:eastAsia="zh-CN" w:bidi="ar-SA"/>
              </w:rPr>
              <w:t>堆场、物料装卸粉尘</w:t>
            </w:r>
            <w:r>
              <w:rPr>
                <w:rFonts w:hint="default" w:ascii="Times New Roman" w:hAnsi="Times New Roman" w:cs="Times New Roman"/>
                <w:sz w:val="24"/>
                <w:szCs w:val="24"/>
                <w:lang w:val="en-US" w:eastAsia="zh-CN"/>
              </w:rPr>
              <w:t>影响分析</w:t>
            </w:r>
          </w:p>
          <w:p w14:paraId="7794FBBE">
            <w:pPr>
              <w:pStyle w:val="4"/>
              <w:keepNext w:val="0"/>
              <w:keepLines w:val="0"/>
              <w:pageBreakBefore w:val="0"/>
              <w:widowControl w:val="0"/>
              <w:kinsoku/>
              <w:wordWrap/>
              <w:overflowPunct/>
              <w:topLinePunct w:val="0"/>
              <w:autoSpaceDE/>
              <w:autoSpaceDN/>
              <w:bidi w:val="0"/>
              <w:adjustRightInd/>
              <w:snapToGrid w:val="0"/>
              <w:spacing w:before="0" w:after="0" w:line="440" w:lineRule="exact"/>
              <w:ind w:right="0" w:firstLine="480" w:firstLineChars="200"/>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项目物料储存、转载等过程产生的粉尘为无组织排放。为降低无组织粉尘对周围环境的影响，项目拟采取以下措施：原料棚、产品棚、</w:t>
            </w:r>
            <w:r>
              <w:rPr>
                <w:rFonts w:hint="eastAsia" w:ascii="Times New Roman" w:hAnsi="Times New Roman" w:cs="Times New Roman"/>
                <w:sz w:val="24"/>
                <w:szCs w:val="24"/>
                <w:lang w:val="en-US" w:eastAsia="zh-CN"/>
              </w:rPr>
              <w:t>尾煤泥</w:t>
            </w:r>
            <w:r>
              <w:rPr>
                <w:rFonts w:hint="default" w:ascii="Times New Roman" w:hAnsi="Times New Roman" w:cs="Times New Roman"/>
                <w:sz w:val="24"/>
                <w:szCs w:val="24"/>
                <w:lang w:val="en-US" w:eastAsia="zh-CN"/>
              </w:rPr>
              <w:t>棚密闭设置，采用喷雾抑尘装置定期洒水；项目装载机等全部在密闭储棚内作业，禁止露天装卸作业</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lang w:val="en-US" w:eastAsia="zh-CN"/>
              </w:rPr>
              <w:t>无组织粉尘对周围环境影响小。</w:t>
            </w:r>
          </w:p>
          <w:p w14:paraId="2ECAE645">
            <w:pPr>
              <w:pStyle w:val="4"/>
              <w:keepNext w:val="0"/>
              <w:keepLines w:val="0"/>
              <w:pageBreakBefore w:val="0"/>
              <w:widowControl w:val="0"/>
              <w:kinsoku/>
              <w:wordWrap/>
              <w:overflowPunct/>
              <w:topLinePunct w:val="0"/>
              <w:autoSpaceDE/>
              <w:autoSpaceDN/>
              <w:bidi w:val="0"/>
              <w:adjustRightInd/>
              <w:snapToGrid w:val="0"/>
              <w:spacing w:before="0" w:after="0" w:line="440" w:lineRule="exact"/>
              <w:ind w:right="0" w:firstLine="480" w:firstLineChars="200"/>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 2 \* GB3 \* MERGEFORMAT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rPr>
              <w:t>②</w:t>
            </w:r>
            <w:r>
              <w:rPr>
                <w:rFonts w:hint="default" w:ascii="Times New Roman" w:hAnsi="Times New Roman" w:cs="Times New Roman"/>
                <w:sz w:val="24"/>
                <w:szCs w:val="24"/>
                <w:lang w:val="en-US" w:eastAsia="zh-CN"/>
              </w:rPr>
              <w:fldChar w:fldCharType="end"/>
            </w:r>
            <w:r>
              <w:rPr>
                <w:rFonts w:hint="default" w:ascii="Times New Roman" w:hAnsi="Times New Roman" w:cs="Times New Roman"/>
                <w:sz w:val="24"/>
                <w:szCs w:val="24"/>
                <w:lang w:val="en-US" w:eastAsia="zh-CN"/>
              </w:rPr>
              <w:t>道路运输扬尘影响分析</w:t>
            </w:r>
          </w:p>
          <w:p w14:paraId="231305A0">
            <w:pPr>
              <w:pStyle w:val="4"/>
              <w:keepNext w:val="0"/>
              <w:keepLines w:val="0"/>
              <w:pageBreakBefore w:val="0"/>
              <w:widowControl w:val="0"/>
              <w:kinsoku/>
              <w:wordWrap/>
              <w:overflowPunct/>
              <w:topLinePunct w:val="0"/>
              <w:autoSpaceDE/>
              <w:autoSpaceDN/>
              <w:bidi w:val="0"/>
              <w:adjustRightInd/>
              <w:snapToGrid w:val="0"/>
              <w:spacing w:before="0" w:after="0" w:line="440" w:lineRule="exact"/>
              <w:ind w:right="0" w:firstLine="480" w:firstLineChars="200"/>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项目通过加强车辆的管理，限定转运车辆在厂内的行驶速度，车辆运输过程加苫盖，同时进场道路全部硬化，对车辆行驶的路面实施洒水抑尘，设专人对厂区道路路面洒水控尘，道路扬尘对厂区影响较小。由于本项目物料运输道路均为沥青路面，路面较清洁，为减少运输扬尘，不得使用拖</w:t>
            </w:r>
            <w:r>
              <w:rPr>
                <w:rFonts w:hint="eastAsia" w:ascii="Times New Roman" w:hAnsi="Times New Roman" w:cs="Times New Roman"/>
                <w:sz w:val="24"/>
                <w:szCs w:val="24"/>
                <w:lang w:val="en-US" w:eastAsia="zh-CN"/>
              </w:rPr>
              <w:t>拉</w:t>
            </w:r>
            <w:r>
              <w:rPr>
                <w:rFonts w:hint="default" w:ascii="Times New Roman" w:hAnsi="Times New Roman" w:cs="Times New Roman"/>
                <w:sz w:val="24"/>
                <w:szCs w:val="24"/>
                <w:lang w:val="en-US" w:eastAsia="zh-CN"/>
              </w:rPr>
              <w:t>机和农用汽车运输；运输车辆运输过程中要加盖帆布，同时不应超载(或物料装得过满)；运输车辆出厂处进行冲洗，可有效减小运输扬尘的产生，通过采取以上措施后，运输扬尘对沿线敏感点环境空气影响较小。</w:t>
            </w:r>
          </w:p>
          <w:p w14:paraId="00889E56">
            <w:pPr>
              <w:keepNext w:val="0"/>
              <w:keepLines w:val="0"/>
              <w:pageBreakBefore w:val="0"/>
              <w:widowControl w:val="0"/>
              <w:kinsoku/>
              <w:wordWrap/>
              <w:overflowPunct/>
              <w:topLinePunct w:val="0"/>
              <w:autoSpaceDE/>
              <w:autoSpaceDN/>
              <w:bidi w:val="0"/>
              <w:adjustRightInd w:val="0"/>
              <w:snapToGrid w:val="0"/>
              <w:spacing w:line="440" w:lineRule="exact"/>
              <w:ind w:left="0" w:right="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1.3废气监测要求</w:t>
            </w:r>
          </w:p>
          <w:p w14:paraId="77BDED1F">
            <w:pPr>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rPr>
                <w:rFonts w:hint="default" w:ascii="Times New Roman" w:hAnsi="Times New Roman" w:eastAsia="宋体" w:cs="Times New Roman"/>
                <w:b/>
                <w:color w:val="auto"/>
                <w:kern w:val="0"/>
                <w:sz w:val="21"/>
                <w:szCs w:val="21"/>
                <w:lang w:val="en-US" w:eastAsia="zh-CN"/>
              </w:rPr>
            </w:pPr>
            <w:r>
              <w:rPr>
                <w:rFonts w:hint="eastAsia" w:ascii="Times New Roman" w:hAnsi="Times New Roman" w:eastAsia="宋体" w:cs="Times New Roman"/>
                <w:color w:val="auto"/>
                <w:kern w:val="2"/>
                <w:sz w:val="24"/>
                <w:szCs w:val="24"/>
                <w:lang w:val="en-US" w:eastAsia="zh-CN" w:bidi="ar-SA"/>
              </w:rPr>
              <w:t>参照</w:t>
            </w:r>
            <w:r>
              <w:rPr>
                <w:rFonts w:hint="default" w:ascii="Times New Roman" w:hAnsi="Times New Roman" w:eastAsia="宋体" w:cs="Times New Roman"/>
                <w:color w:val="auto"/>
                <w:sz w:val="24"/>
                <w:szCs w:val="24"/>
                <w:lang w:val="en-US" w:eastAsia="zh-CN"/>
              </w:rPr>
              <w:t>《排污单位自行监测技术指南 总则》（HJ819-2017）</w:t>
            </w:r>
            <w:r>
              <w:rPr>
                <w:rFonts w:hint="eastAsia"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kern w:val="2"/>
                <w:sz w:val="24"/>
                <w:szCs w:val="24"/>
                <w:lang w:val="en-US" w:eastAsia="zh-CN" w:bidi="ar-SA"/>
              </w:rPr>
              <w:t>《排污单位自行监测技术指南 工业固体废物和危险废物治理》（HJ1250-2022）</w:t>
            </w:r>
            <w:r>
              <w:rPr>
                <w:rFonts w:hint="default" w:ascii="Times New Roman" w:hAnsi="Times New Roman" w:eastAsia="宋体" w:cs="Times New Roman"/>
                <w:color w:val="auto"/>
                <w:sz w:val="24"/>
                <w:szCs w:val="24"/>
                <w:lang w:val="en-US" w:eastAsia="zh-CN"/>
              </w:rPr>
              <w:t>要求开展自行监测，项目废气自行监测计划见下表所示：</w:t>
            </w:r>
          </w:p>
          <w:p w14:paraId="59807D41">
            <w:pPr>
              <w:spacing w:line="440" w:lineRule="exact"/>
              <w:jc w:val="center"/>
              <w:rPr>
                <w:rFonts w:hint="default" w:ascii="Times New Roman" w:hAnsi="Times New Roman" w:eastAsia="宋体" w:cs="Times New Roman"/>
                <w:b/>
                <w:bCs/>
                <w:color w:val="auto"/>
                <w:kern w:val="0"/>
                <w:sz w:val="21"/>
                <w:szCs w:val="21"/>
                <w:lang w:val="en-US" w:eastAsia="zh-CN"/>
              </w:rPr>
            </w:pPr>
            <w:r>
              <w:rPr>
                <w:rFonts w:hint="default" w:ascii="Times New Roman" w:hAnsi="Times New Roman" w:eastAsia="宋体" w:cs="Times New Roman"/>
                <w:b/>
                <w:bCs/>
                <w:color w:val="auto"/>
                <w:kern w:val="2"/>
                <w:sz w:val="21"/>
                <w:szCs w:val="21"/>
                <w:lang w:val="en-US" w:eastAsia="zh-CN" w:bidi="ar-SA"/>
              </w:rPr>
              <w:t>表</w:t>
            </w:r>
            <w:r>
              <w:rPr>
                <w:rFonts w:hint="eastAsia" w:ascii="Times New Roman" w:hAnsi="Times New Roman" w:eastAsia="宋体" w:cs="Times New Roman"/>
                <w:b/>
                <w:bCs/>
                <w:color w:val="auto"/>
                <w:kern w:val="2"/>
                <w:sz w:val="21"/>
                <w:szCs w:val="21"/>
                <w:lang w:val="en-US" w:eastAsia="zh-CN" w:bidi="ar-SA"/>
              </w:rPr>
              <w:t>4</w:t>
            </w:r>
            <w:r>
              <w:rPr>
                <w:rFonts w:hint="default" w:ascii="Times New Roman" w:hAnsi="Times New Roman" w:eastAsia="宋体" w:cs="Times New Roman"/>
                <w:b/>
                <w:bCs/>
                <w:color w:val="auto"/>
                <w:kern w:val="2"/>
                <w:sz w:val="21"/>
                <w:szCs w:val="21"/>
                <w:lang w:val="en-US" w:eastAsia="zh-CN" w:bidi="ar-SA"/>
              </w:rPr>
              <w:t>-</w:t>
            </w:r>
            <w:r>
              <w:rPr>
                <w:rFonts w:hint="eastAsia" w:ascii="Times New Roman" w:hAnsi="Times New Roman" w:eastAsia="宋体" w:cs="Times New Roman"/>
                <w:b/>
                <w:bCs/>
                <w:color w:val="auto"/>
                <w:kern w:val="2"/>
                <w:sz w:val="21"/>
                <w:szCs w:val="21"/>
                <w:lang w:val="en-US" w:eastAsia="zh-CN" w:bidi="ar-SA"/>
              </w:rPr>
              <w:t>3</w:t>
            </w:r>
            <w:r>
              <w:rPr>
                <w:rFonts w:hint="default" w:ascii="Times New Roman" w:hAnsi="Times New Roman" w:eastAsia="宋体" w:cs="Times New Roman"/>
                <w:b/>
                <w:bCs/>
                <w:color w:val="auto"/>
                <w:kern w:val="2"/>
                <w:sz w:val="21"/>
                <w:szCs w:val="21"/>
                <w:lang w:val="en-US" w:eastAsia="zh-CN" w:bidi="ar-SA"/>
              </w:rPr>
              <w:t xml:space="preserve"> </w:t>
            </w:r>
            <w:r>
              <w:rPr>
                <w:rFonts w:hint="default" w:ascii="Times New Roman" w:hAnsi="Times New Roman" w:eastAsia="宋体" w:cs="Times New Roman"/>
                <w:b/>
                <w:bCs/>
                <w:color w:val="auto"/>
                <w:kern w:val="0"/>
                <w:sz w:val="21"/>
                <w:szCs w:val="21"/>
                <w:lang w:val="en-US" w:eastAsia="zh-CN"/>
              </w:rPr>
              <w:t>废气排放监测点位、监测指标及最低监测频次</w:t>
            </w:r>
          </w:p>
          <w:tbl>
            <w:tblPr>
              <w:tblStyle w:val="25"/>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454"/>
              <w:gridCol w:w="479"/>
              <w:gridCol w:w="860"/>
              <w:gridCol w:w="616"/>
              <w:gridCol w:w="931"/>
              <w:gridCol w:w="1322"/>
              <w:gridCol w:w="826"/>
              <w:gridCol w:w="2384"/>
            </w:tblGrid>
            <w:tr w14:paraId="266CF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88" w:type="pct"/>
                  <w:tcBorders>
                    <w:tl2br w:val="nil"/>
                    <w:tr2bl w:val="nil"/>
                  </w:tcBorders>
                  <w:noWrap w:val="0"/>
                  <w:vAlign w:val="center"/>
                </w:tcPr>
                <w:p w14:paraId="7750A617">
                  <w:pPr>
                    <w:pStyle w:val="52"/>
                    <w:keepNext w:val="0"/>
                    <w:keepLines w:val="0"/>
                    <w:pageBreakBefore w:val="0"/>
                    <w:widowControl/>
                    <w:kinsoku/>
                    <w:wordWrap/>
                    <w:overflowPunct/>
                    <w:topLinePunct w:val="0"/>
                    <w:autoSpaceDE/>
                    <w:autoSpaceDN/>
                    <w:bidi w:val="0"/>
                    <w:jc w:val="center"/>
                    <w:textAlignment w:val="auto"/>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序号</w:t>
                  </w:r>
                </w:p>
              </w:tc>
              <w:tc>
                <w:tcPr>
                  <w:tcW w:w="304" w:type="pct"/>
                  <w:tcBorders>
                    <w:tl2br w:val="nil"/>
                    <w:tr2bl w:val="nil"/>
                  </w:tcBorders>
                  <w:noWrap w:val="0"/>
                  <w:vAlign w:val="center"/>
                </w:tcPr>
                <w:p w14:paraId="201D2D7D">
                  <w:pPr>
                    <w:pStyle w:val="52"/>
                    <w:keepNext w:val="0"/>
                    <w:keepLines w:val="0"/>
                    <w:pageBreakBefore w:val="0"/>
                    <w:widowControl/>
                    <w:kinsoku/>
                    <w:wordWrap/>
                    <w:overflowPunct/>
                    <w:topLinePunct w:val="0"/>
                    <w:autoSpaceDE/>
                    <w:autoSpaceDN/>
                    <w:bidi w:val="0"/>
                    <w:jc w:val="center"/>
                    <w:textAlignment w:val="auto"/>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类别</w:t>
                  </w:r>
                </w:p>
              </w:tc>
              <w:tc>
                <w:tcPr>
                  <w:tcW w:w="546" w:type="pct"/>
                  <w:tcBorders>
                    <w:tl2br w:val="nil"/>
                    <w:tr2bl w:val="nil"/>
                  </w:tcBorders>
                  <w:noWrap w:val="0"/>
                  <w:vAlign w:val="center"/>
                </w:tcPr>
                <w:p w14:paraId="32DA53DB">
                  <w:pPr>
                    <w:pStyle w:val="52"/>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snapToGrid w:val="0"/>
                      <w:color w:val="auto"/>
                      <w:sz w:val="21"/>
                      <w:szCs w:val="21"/>
                      <w:lang w:eastAsia="zh-CN"/>
                    </w:rPr>
                  </w:pPr>
                  <w:r>
                    <w:rPr>
                      <w:rFonts w:hint="default" w:ascii="Times New Roman" w:hAnsi="Times New Roman" w:cs="Times New Roman"/>
                      <w:snapToGrid w:val="0"/>
                      <w:color w:val="auto"/>
                      <w:sz w:val="21"/>
                      <w:szCs w:val="21"/>
                      <w:lang w:val="en-US" w:eastAsia="zh-CN"/>
                    </w:rPr>
                    <w:t>污染源</w:t>
                  </w:r>
                </w:p>
              </w:tc>
              <w:tc>
                <w:tcPr>
                  <w:tcW w:w="391" w:type="pct"/>
                  <w:tcBorders>
                    <w:tl2br w:val="nil"/>
                    <w:tr2bl w:val="nil"/>
                  </w:tcBorders>
                  <w:noWrap w:val="0"/>
                  <w:vAlign w:val="center"/>
                </w:tcPr>
                <w:p w14:paraId="25BA3515">
                  <w:pPr>
                    <w:pStyle w:val="52"/>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snapToGrid w:val="0"/>
                      <w:color w:val="auto"/>
                      <w:sz w:val="21"/>
                      <w:szCs w:val="21"/>
                      <w:lang w:val="en-US" w:eastAsia="zh-CN"/>
                    </w:rPr>
                  </w:pPr>
                  <w:r>
                    <w:rPr>
                      <w:rFonts w:hint="default" w:ascii="Times New Roman" w:hAnsi="Times New Roman" w:cs="Times New Roman"/>
                      <w:snapToGrid w:val="0"/>
                      <w:color w:val="auto"/>
                      <w:sz w:val="21"/>
                      <w:szCs w:val="21"/>
                      <w:lang w:val="en-US" w:eastAsia="zh-CN"/>
                    </w:rPr>
                    <w:t>排放形式</w:t>
                  </w:r>
                </w:p>
              </w:tc>
              <w:tc>
                <w:tcPr>
                  <w:tcW w:w="591" w:type="pct"/>
                  <w:tcBorders>
                    <w:tl2br w:val="nil"/>
                    <w:tr2bl w:val="nil"/>
                  </w:tcBorders>
                  <w:noWrap w:val="0"/>
                  <w:vAlign w:val="center"/>
                </w:tcPr>
                <w:p w14:paraId="62EF06C2">
                  <w:pPr>
                    <w:pStyle w:val="52"/>
                    <w:keepNext w:val="0"/>
                    <w:keepLines w:val="0"/>
                    <w:pageBreakBefore w:val="0"/>
                    <w:widowControl/>
                    <w:kinsoku/>
                    <w:wordWrap/>
                    <w:overflowPunct/>
                    <w:topLinePunct w:val="0"/>
                    <w:autoSpaceDE/>
                    <w:autoSpaceDN/>
                    <w:bidi w:val="0"/>
                    <w:jc w:val="center"/>
                    <w:textAlignment w:val="auto"/>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监测因子</w:t>
                  </w:r>
                </w:p>
              </w:tc>
              <w:tc>
                <w:tcPr>
                  <w:tcW w:w="839" w:type="pct"/>
                  <w:tcBorders>
                    <w:tl2br w:val="nil"/>
                    <w:tr2bl w:val="nil"/>
                  </w:tcBorders>
                  <w:noWrap w:val="0"/>
                  <w:vAlign w:val="center"/>
                </w:tcPr>
                <w:p w14:paraId="0B3F62BF">
                  <w:pPr>
                    <w:pStyle w:val="52"/>
                    <w:keepNext w:val="0"/>
                    <w:keepLines w:val="0"/>
                    <w:pageBreakBefore w:val="0"/>
                    <w:widowControl/>
                    <w:kinsoku/>
                    <w:wordWrap/>
                    <w:overflowPunct/>
                    <w:topLinePunct w:val="0"/>
                    <w:autoSpaceDE/>
                    <w:autoSpaceDN/>
                    <w:bidi w:val="0"/>
                    <w:jc w:val="center"/>
                    <w:textAlignment w:val="auto"/>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监测点位置</w:t>
                  </w:r>
                </w:p>
              </w:tc>
              <w:tc>
                <w:tcPr>
                  <w:tcW w:w="524" w:type="pct"/>
                  <w:tcBorders>
                    <w:tl2br w:val="nil"/>
                    <w:tr2bl w:val="nil"/>
                  </w:tcBorders>
                  <w:noWrap w:val="0"/>
                  <w:vAlign w:val="center"/>
                </w:tcPr>
                <w:p w14:paraId="272D2307">
                  <w:pPr>
                    <w:pStyle w:val="52"/>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snapToGrid w:val="0"/>
                      <w:color w:val="auto"/>
                      <w:sz w:val="21"/>
                      <w:szCs w:val="21"/>
                    </w:rPr>
                  </w:pPr>
                  <w:r>
                    <w:rPr>
                      <w:rFonts w:hint="default" w:ascii="Times New Roman" w:hAnsi="Times New Roman" w:eastAsia="宋体" w:cs="Times New Roman"/>
                      <w:snapToGrid w:val="0"/>
                      <w:color w:val="auto"/>
                      <w:sz w:val="21"/>
                      <w:szCs w:val="21"/>
                    </w:rPr>
                    <w:t>监测频率</w:t>
                  </w:r>
                </w:p>
              </w:tc>
              <w:tc>
                <w:tcPr>
                  <w:tcW w:w="1513" w:type="pct"/>
                  <w:tcBorders>
                    <w:tl2br w:val="nil"/>
                    <w:tr2bl w:val="nil"/>
                  </w:tcBorders>
                  <w:noWrap w:val="0"/>
                  <w:vAlign w:val="center"/>
                </w:tcPr>
                <w:p w14:paraId="104DEE8C">
                  <w:pPr>
                    <w:pStyle w:val="52"/>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snapToGrid w:val="0"/>
                      <w:color w:val="auto"/>
                      <w:sz w:val="21"/>
                      <w:szCs w:val="21"/>
                    </w:rPr>
                  </w:pPr>
                  <w:r>
                    <w:rPr>
                      <w:rFonts w:hint="default" w:ascii="Times New Roman" w:hAnsi="Times New Roman" w:eastAsia="宋体" w:cs="Times New Roman"/>
                      <w:snapToGrid w:val="0"/>
                      <w:color w:val="auto"/>
                      <w:sz w:val="21"/>
                      <w:szCs w:val="21"/>
                    </w:rPr>
                    <w:t>执行标准</w:t>
                  </w:r>
                </w:p>
              </w:tc>
            </w:tr>
            <w:tr w14:paraId="414A0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88" w:type="pct"/>
                  <w:tcBorders>
                    <w:tl2br w:val="nil"/>
                    <w:tr2bl w:val="nil"/>
                  </w:tcBorders>
                  <w:noWrap w:val="0"/>
                  <w:vAlign w:val="center"/>
                </w:tcPr>
                <w:p w14:paraId="63FC5EC9">
                  <w:pPr>
                    <w:pStyle w:val="52"/>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snapToGrid w:val="0"/>
                      <w:color w:val="auto"/>
                      <w:sz w:val="21"/>
                      <w:szCs w:val="21"/>
                      <w:lang w:eastAsia="zh-CN"/>
                    </w:rPr>
                  </w:pPr>
                  <w:r>
                    <w:rPr>
                      <w:rFonts w:hint="default" w:ascii="Times New Roman" w:hAnsi="Times New Roman" w:cs="Times New Roman"/>
                      <w:snapToGrid w:val="0"/>
                      <w:color w:val="auto"/>
                      <w:sz w:val="21"/>
                      <w:szCs w:val="21"/>
                      <w:lang w:val="en-US" w:eastAsia="zh-CN"/>
                    </w:rPr>
                    <w:t>1</w:t>
                  </w:r>
                </w:p>
              </w:tc>
              <w:tc>
                <w:tcPr>
                  <w:tcW w:w="304" w:type="pct"/>
                  <w:tcBorders>
                    <w:tl2br w:val="nil"/>
                    <w:tr2bl w:val="nil"/>
                  </w:tcBorders>
                  <w:noWrap w:val="0"/>
                  <w:vAlign w:val="center"/>
                </w:tcPr>
                <w:p w14:paraId="7D0F7328">
                  <w:pPr>
                    <w:pStyle w:val="52"/>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snapToGrid w:val="0"/>
                      <w:color w:val="auto"/>
                      <w:sz w:val="21"/>
                      <w:szCs w:val="21"/>
                      <w:lang w:val="en-US" w:eastAsia="zh-CN"/>
                    </w:rPr>
                  </w:pPr>
                  <w:r>
                    <w:rPr>
                      <w:rFonts w:hint="default" w:ascii="Times New Roman" w:hAnsi="Times New Roman" w:cs="Times New Roman"/>
                      <w:snapToGrid w:val="0"/>
                      <w:color w:val="auto"/>
                      <w:sz w:val="21"/>
                      <w:szCs w:val="21"/>
                      <w:lang w:val="en-US" w:eastAsia="zh-CN"/>
                    </w:rPr>
                    <w:t>废气</w:t>
                  </w:r>
                </w:p>
              </w:tc>
              <w:tc>
                <w:tcPr>
                  <w:tcW w:w="546" w:type="pct"/>
                  <w:tcBorders>
                    <w:tl2br w:val="nil"/>
                    <w:tr2bl w:val="nil"/>
                  </w:tcBorders>
                  <w:noWrap w:val="0"/>
                  <w:vAlign w:val="center"/>
                </w:tcPr>
                <w:p w14:paraId="15905143">
                  <w:pPr>
                    <w:pStyle w:val="52"/>
                    <w:keepNext w:val="0"/>
                    <w:keepLines w:val="0"/>
                    <w:pageBreakBefore w:val="0"/>
                    <w:widowControl/>
                    <w:kinsoku/>
                    <w:wordWrap/>
                    <w:overflowPunct/>
                    <w:topLinePunct w:val="0"/>
                    <w:autoSpaceDE/>
                    <w:autoSpaceDN/>
                    <w:bidi w:val="0"/>
                    <w:jc w:val="center"/>
                    <w:textAlignment w:val="auto"/>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厂界污染物</w:t>
                  </w:r>
                </w:p>
              </w:tc>
              <w:tc>
                <w:tcPr>
                  <w:tcW w:w="391" w:type="pct"/>
                  <w:tcBorders>
                    <w:tl2br w:val="nil"/>
                    <w:tr2bl w:val="nil"/>
                  </w:tcBorders>
                  <w:noWrap w:val="0"/>
                  <w:vAlign w:val="center"/>
                </w:tcPr>
                <w:p w14:paraId="371141E6">
                  <w:pPr>
                    <w:pStyle w:val="52"/>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snapToGrid w:val="0"/>
                      <w:color w:val="auto"/>
                      <w:sz w:val="21"/>
                      <w:szCs w:val="21"/>
                      <w:lang w:val="en-US" w:eastAsia="zh-CN"/>
                    </w:rPr>
                  </w:pPr>
                  <w:r>
                    <w:rPr>
                      <w:rFonts w:hint="default" w:ascii="Times New Roman" w:hAnsi="Times New Roman" w:eastAsia="宋体" w:cs="Times New Roman"/>
                      <w:snapToGrid w:val="0"/>
                      <w:color w:val="auto"/>
                      <w:sz w:val="21"/>
                      <w:szCs w:val="21"/>
                      <w:lang w:val="en-US" w:eastAsia="zh-CN"/>
                    </w:rPr>
                    <w:t>无组织</w:t>
                  </w:r>
                </w:p>
              </w:tc>
              <w:tc>
                <w:tcPr>
                  <w:tcW w:w="591" w:type="pct"/>
                  <w:tcBorders>
                    <w:tl2br w:val="nil"/>
                    <w:tr2bl w:val="nil"/>
                  </w:tcBorders>
                  <w:noWrap w:val="0"/>
                  <w:vAlign w:val="center"/>
                </w:tcPr>
                <w:p w14:paraId="79215ED2">
                  <w:pPr>
                    <w:pStyle w:val="52"/>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snapToGrid w:val="0"/>
                      <w:color w:val="auto"/>
                      <w:sz w:val="21"/>
                      <w:szCs w:val="21"/>
                      <w:lang w:val="en-US" w:eastAsia="zh-CN"/>
                    </w:rPr>
                  </w:pPr>
                  <w:r>
                    <w:rPr>
                      <w:rFonts w:hint="default" w:ascii="Times New Roman" w:hAnsi="Times New Roman" w:eastAsia="宋体" w:cs="Times New Roman"/>
                      <w:snapToGrid w:val="0"/>
                      <w:color w:val="auto"/>
                      <w:sz w:val="21"/>
                      <w:szCs w:val="21"/>
                      <w:lang w:val="en-US" w:eastAsia="zh-CN"/>
                    </w:rPr>
                    <w:t>颗粒物</w:t>
                  </w:r>
                </w:p>
              </w:tc>
              <w:tc>
                <w:tcPr>
                  <w:tcW w:w="839" w:type="pct"/>
                  <w:tcBorders>
                    <w:tl2br w:val="nil"/>
                    <w:tr2bl w:val="nil"/>
                  </w:tcBorders>
                  <w:noWrap w:val="0"/>
                  <w:vAlign w:val="center"/>
                </w:tcPr>
                <w:p w14:paraId="43EDDC28">
                  <w:pPr>
                    <w:keepNext w:val="0"/>
                    <w:keepLines w:val="0"/>
                    <w:pageBreakBefore w:val="0"/>
                    <w:widowControl/>
                    <w:suppressLineNumbers w:val="0"/>
                    <w:kinsoku/>
                    <w:wordWrap/>
                    <w:overflowPunct/>
                    <w:topLinePunct w:val="0"/>
                    <w:autoSpaceDE/>
                    <w:autoSpaceDN/>
                    <w:bidi w:val="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项目上风向1个对照点，下风向3个监控点</w:t>
                  </w:r>
                </w:p>
              </w:tc>
              <w:tc>
                <w:tcPr>
                  <w:tcW w:w="524" w:type="pct"/>
                  <w:tcBorders>
                    <w:tl2br w:val="nil"/>
                    <w:tr2bl w:val="nil"/>
                  </w:tcBorders>
                  <w:noWrap w:val="0"/>
                  <w:vAlign w:val="center"/>
                </w:tcPr>
                <w:p w14:paraId="140E4D7A">
                  <w:pPr>
                    <w:pStyle w:val="52"/>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snapToGrid w:val="0"/>
                      <w:color w:val="auto"/>
                      <w:sz w:val="21"/>
                      <w:szCs w:val="21"/>
                      <w:lang w:val="en-US" w:eastAsia="zh-CN"/>
                    </w:rPr>
                  </w:pPr>
                  <w:r>
                    <w:rPr>
                      <w:rFonts w:hint="default" w:ascii="Times New Roman" w:hAnsi="Times New Roman" w:eastAsia="宋体" w:cs="Times New Roman"/>
                      <w:color w:val="auto"/>
                      <w:sz w:val="21"/>
                      <w:szCs w:val="21"/>
                    </w:rPr>
                    <w:t>1次/</w:t>
                  </w:r>
                  <w:r>
                    <w:rPr>
                      <w:rFonts w:hint="default" w:ascii="Times New Roman" w:hAnsi="Times New Roman" w:eastAsia="宋体" w:cs="Times New Roman"/>
                      <w:color w:val="auto"/>
                      <w:sz w:val="21"/>
                      <w:szCs w:val="21"/>
                      <w:lang w:val="en-US" w:eastAsia="zh-CN"/>
                    </w:rPr>
                    <w:t>季</w:t>
                  </w:r>
                </w:p>
              </w:tc>
              <w:tc>
                <w:tcPr>
                  <w:tcW w:w="1513" w:type="pct"/>
                  <w:tcBorders>
                    <w:tl2br w:val="nil"/>
                    <w:tr2bl w:val="nil"/>
                  </w:tcBorders>
                  <w:noWrap w:val="0"/>
                  <w:vAlign w:val="center"/>
                </w:tcPr>
                <w:p w14:paraId="12A93249">
                  <w:pPr>
                    <w:pStyle w:val="52"/>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snapToGrid w:val="0"/>
                      <w:color w:val="auto"/>
                      <w:sz w:val="21"/>
                      <w:szCs w:val="21"/>
                    </w:rPr>
                  </w:pPr>
                  <w:r>
                    <w:rPr>
                      <w:rFonts w:hint="default" w:ascii="Times New Roman" w:hAnsi="Times New Roman" w:eastAsia="宋体" w:cs="Times New Roman"/>
                      <w:snapToGrid w:val="0"/>
                      <w:color w:val="auto"/>
                      <w:sz w:val="21"/>
                      <w:szCs w:val="21"/>
                      <w:lang w:val="en-US" w:eastAsia="zh-CN"/>
                    </w:rPr>
                    <w:t>《煤炭工业污染物排放标准》（GB20426-2006）表5煤炭工业无组织排放限值</w:t>
                  </w:r>
                </w:p>
              </w:tc>
            </w:tr>
            <w:tr w14:paraId="6B0F2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88" w:type="pct"/>
                  <w:tcBorders>
                    <w:tl2br w:val="nil"/>
                    <w:tr2bl w:val="nil"/>
                  </w:tcBorders>
                  <w:noWrap w:val="0"/>
                  <w:vAlign w:val="center"/>
                </w:tcPr>
                <w:p w14:paraId="67E05866">
                  <w:pPr>
                    <w:pStyle w:val="52"/>
                    <w:keepNext w:val="0"/>
                    <w:keepLines w:val="0"/>
                    <w:pageBreakBefore w:val="0"/>
                    <w:widowControl/>
                    <w:kinsoku/>
                    <w:wordWrap/>
                    <w:overflowPunct/>
                    <w:topLinePunct w:val="0"/>
                    <w:autoSpaceDE/>
                    <w:autoSpaceDN/>
                    <w:bidi w:val="0"/>
                    <w:jc w:val="center"/>
                    <w:textAlignment w:val="auto"/>
                    <w:rPr>
                      <w:rFonts w:hint="default" w:ascii="Times New Roman" w:hAnsi="Times New Roman" w:cs="Times New Roman"/>
                      <w:snapToGrid w:val="0"/>
                      <w:color w:val="auto"/>
                      <w:sz w:val="21"/>
                      <w:szCs w:val="21"/>
                      <w:lang w:val="en-US" w:eastAsia="zh-CN"/>
                    </w:rPr>
                  </w:pPr>
                  <w:r>
                    <w:rPr>
                      <w:rFonts w:hint="default" w:ascii="Times New Roman" w:hAnsi="Times New Roman" w:cs="Times New Roman"/>
                      <w:snapToGrid w:val="0"/>
                      <w:color w:val="auto"/>
                      <w:sz w:val="21"/>
                      <w:szCs w:val="21"/>
                      <w:lang w:val="en-US" w:eastAsia="zh-CN"/>
                    </w:rPr>
                    <w:t>2</w:t>
                  </w:r>
                </w:p>
              </w:tc>
              <w:tc>
                <w:tcPr>
                  <w:tcW w:w="479" w:type="dxa"/>
                  <w:tcBorders>
                    <w:tl2br w:val="nil"/>
                    <w:tr2bl w:val="nil"/>
                  </w:tcBorders>
                  <w:noWrap w:val="0"/>
                  <w:vAlign w:val="center"/>
                </w:tcPr>
                <w:p w14:paraId="722B6722">
                  <w:pPr>
                    <w:pStyle w:val="52"/>
                    <w:keepNext w:val="0"/>
                    <w:keepLines w:val="0"/>
                    <w:pageBreakBefore w:val="0"/>
                    <w:widowControl/>
                    <w:kinsoku/>
                    <w:wordWrap/>
                    <w:overflowPunct/>
                    <w:topLinePunct w:val="0"/>
                    <w:autoSpaceDE/>
                    <w:autoSpaceDN/>
                    <w:bidi w:val="0"/>
                    <w:jc w:val="center"/>
                    <w:textAlignment w:val="auto"/>
                    <w:rPr>
                      <w:rFonts w:hint="default" w:ascii="Times New Roman" w:hAnsi="Times New Roman" w:cs="Times New Roman"/>
                      <w:snapToGrid w:val="0"/>
                      <w:color w:val="auto"/>
                      <w:sz w:val="21"/>
                      <w:szCs w:val="21"/>
                      <w:lang w:val="en-US" w:eastAsia="zh-CN"/>
                    </w:rPr>
                  </w:pPr>
                  <w:r>
                    <w:rPr>
                      <w:rFonts w:hint="default" w:ascii="Times New Roman" w:hAnsi="Times New Roman" w:cs="Times New Roman"/>
                      <w:snapToGrid w:val="0"/>
                      <w:color w:val="auto"/>
                      <w:sz w:val="21"/>
                      <w:szCs w:val="21"/>
                      <w:lang w:val="en-US" w:eastAsia="zh-CN"/>
                    </w:rPr>
                    <w:t>废气</w:t>
                  </w:r>
                </w:p>
              </w:tc>
              <w:tc>
                <w:tcPr>
                  <w:tcW w:w="859" w:type="dxa"/>
                  <w:tcBorders>
                    <w:tl2br w:val="nil"/>
                    <w:tr2bl w:val="nil"/>
                  </w:tcBorders>
                  <w:noWrap w:val="0"/>
                  <w:vAlign w:val="center"/>
                </w:tcPr>
                <w:p w14:paraId="3DCE92AF">
                  <w:pPr>
                    <w:pStyle w:val="52"/>
                    <w:keepNext w:val="0"/>
                    <w:keepLines w:val="0"/>
                    <w:pageBreakBefore w:val="0"/>
                    <w:widowControl/>
                    <w:kinsoku/>
                    <w:wordWrap/>
                    <w:overflowPunct/>
                    <w:topLinePunct w:val="0"/>
                    <w:autoSpaceDE/>
                    <w:autoSpaceDN/>
                    <w:bidi w:val="0"/>
                    <w:jc w:val="center"/>
                    <w:textAlignment w:val="auto"/>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厂界污染物</w:t>
                  </w:r>
                </w:p>
              </w:tc>
              <w:tc>
                <w:tcPr>
                  <w:tcW w:w="615" w:type="dxa"/>
                  <w:tcBorders>
                    <w:tl2br w:val="nil"/>
                    <w:tr2bl w:val="nil"/>
                  </w:tcBorders>
                  <w:noWrap w:val="0"/>
                  <w:vAlign w:val="center"/>
                </w:tcPr>
                <w:p w14:paraId="39CE9D23">
                  <w:pPr>
                    <w:pStyle w:val="52"/>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snapToGrid w:val="0"/>
                      <w:color w:val="auto"/>
                      <w:sz w:val="21"/>
                      <w:szCs w:val="21"/>
                      <w:lang w:val="en-US" w:eastAsia="zh-CN"/>
                    </w:rPr>
                  </w:pPr>
                  <w:r>
                    <w:rPr>
                      <w:rFonts w:hint="default" w:ascii="Times New Roman" w:hAnsi="Times New Roman" w:eastAsia="宋体" w:cs="Times New Roman"/>
                      <w:snapToGrid w:val="0"/>
                      <w:color w:val="auto"/>
                      <w:sz w:val="21"/>
                      <w:szCs w:val="21"/>
                      <w:lang w:val="en-US" w:eastAsia="zh-CN"/>
                    </w:rPr>
                    <w:t>无组织</w:t>
                  </w:r>
                </w:p>
              </w:tc>
              <w:tc>
                <w:tcPr>
                  <w:tcW w:w="591" w:type="pct"/>
                  <w:tcBorders>
                    <w:tl2br w:val="nil"/>
                    <w:tr2bl w:val="nil"/>
                  </w:tcBorders>
                  <w:noWrap w:val="0"/>
                  <w:vAlign w:val="center"/>
                </w:tcPr>
                <w:p w14:paraId="1C07267C">
                  <w:pPr>
                    <w:pStyle w:val="52"/>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snapToGrid w:val="0"/>
                      <w:color w:val="auto"/>
                      <w:sz w:val="21"/>
                      <w:szCs w:val="21"/>
                      <w:lang w:val="en-US" w:eastAsia="zh-CN"/>
                    </w:rPr>
                  </w:pPr>
                  <w:r>
                    <w:rPr>
                      <w:rFonts w:hint="default" w:ascii="Times New Roman" w:hAnsi="Times New Roman" w:eastAsia="宋体" w:cs="Times New Roman"/>
                      <w:snapToGrid w:val="0"/>
                      <w:color w:val="auto"/>
                      <w:sz w:val="21"/>
                      <w:szCs w:val="21"/>
                      <w:lang w:val="en-US" w:eastAsia="zh-CN"/>
                    </w:rPr>
                    <w:t>非甲烷总烃</w:t>
                  </w:r>
                </w:p>
              </w:tc>
              <w:tc>
                <w:tcPr>
                  <w:tcW w:w="839" w:type="pct"/>
                  <w:tcBorders>
                    <w:tl2br w:val="nil"/>
                    <w:tr2bl w:val="nil"/>
                  </w:tcBorders>
                  <w:noWrap w:val="0"/>
                  <w:vAlign w:val="center"/>
                </w:tcPr>
                <w:p w14:paraId="7D8275E3">
                  <w:pPr>
                    <w:keepNext w:val="0"/>
                    <w:keepLines w:val="0"/>
                    <w:pageBreakBefore w:val="0"/>
                    <w:widowControl/>
                    <w:suppressLineNumbers w:val="0"/>
                    <w:kinsoku/>
                    <w:wordWrap/>
                    <w:overflowPunct/>
                    <w:topLinePunct w:val="0"/>
                    <w:autoSpaceDE/>
                    <w:autoSpaceDN/>
                    <w:bidi w:val="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项目上风向1个对照点，下风向3个监控点</w:t>
                  </w:r>
                </w:p>
              </w:tc>
              <w:tc>
                <w:tcPr>
                  <w:tcW w:w="524" w:type="pct"/>
                  <w:tcBorders>
                    <w:tl2br w:val="nil"/>
                    <w:tr2bl w:val="nil"/>
                  </w:tcBorders>
                  <w:noWrap w:val="0"/>
                  <w:vAlign w:val="center"/>
                </w:tcPr>
                <w:p w14:paraId="0EB7CA12">
                  <w:pPr>
                    <w:pStyle w:val="52"/>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1次/</w:t>
                  </w:r>
                  <w:r>
                    <w:rPr>
                      <w:rFonts w:hint="default" w:ascii="Times New Roman" w:hAnsi="Times New Roman" w:eastAsia="宋体" w:cs="Times New Roman"/>
                      <w:color w:val="auto"/>
                      <w:sz w:val="21"/>
                      <w:szCs w:val="21"/>
                      <w:lang w:val="en-US" w:eastAsia="zh-CN"/>
                    </w:rPr>
                    <w:t>半年</w:t>
                  </w:r>
                </w:p>
              </w:tc>
              <w:tc>
                <w:tcPr>
                  <w:tcW w:w="1513" w:type="pct"/>
                  <w:tcBorders>
                    <w:tl2br w:val="nil"/>
                    <w:tr2bl w:val="nil"/>
                  </w:tcBorders>
                  <w:noWrap w:val="0"/>
                  <w:vAlign w:val="center"/>
                </w:tcPr>
                <w:p w14:paraId="37F9275D">
                  <w:pPr>
                    <w:pStyle w:val="52"/>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snapToGrid w:val="0"/>
                      <w:color w:val="auto"/>
                      <w:sz w:val="21"/>
                      <w:szCs w:val="21"/>
                      <w:lang w:val="en-US" w:eastAsia="zh-CN"/>
                    </w:rPr>
                  </w:pPr>
                  <w:r>
                    <w:rPr>
                      <w:rFonts w:hint="default" w:ascii="Times New Roman" w:hAnsi="Times New Roman" w:cs="Times New Roman"/>
                      <w:sz w:val="21"/>
                      <w:szCs w:val="21"/>
                      <w:lang w:val="en-US" w:eastAsia="zh-CN"/>
                    </w:rPr>
                    <w:t>《大气污染物综合排放标准》（GB16297-1996）表2新污染源大气污染物排放限值</w:t>
                  </w:r>
                </w:p>
              </w:tc>
            </w:tr>
          </w:tbl>
          <w:p w14:paraId="1460A6FB">
            <w:pPr>
              <w:pStyle w:val="10"/>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2、废水</w:t>
            </w:r>
          </w:p>
          <w:p w14:paraId="023AFF60">
            <w:pPr>
              <w:pStyle w:val="10"/>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2.1废水源强核算</w:t>
            </w:r>
          </w:p>
          <w:p w14:paraId="1CA49A19">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kern w:val="2"/>
                <w:sz w:val="24"/>
                <w:szCs w:val="24"/>
                <w:lang w:val="en-US" w:eastAsia="zh-CN" w:bidi="ar-SA"/>
              </w:rPr>
              <w:t>本项目生产废水不外排，仅排放生活污水，由</w:t>
            </w:r>
            <w:r>
              <w:rPr>
                <w:rFonts w:hint="eastAsia" w:ascii="Times New Roman" w:hAnsi="Times New Roman" w:eastAsia="宋体" w:cs="Times New Roman"/>
                <w:color w:val="auto"/>
                <w:kern w:val="2"/>
                <w:sz w:val="24"/>
                <w:szCs w:val="24"/>
                <w:lang w:val="en-US" w:eastAsia="zh-CN" w:bidi="ar-SA"/>
              </w:rPr>
              <w:t>一体化污水处理设施</w:t>
            </w:r>
            <w:r>
              <w:rPr>
                <w:rFonts w:hint="default" w:ascii="Times New Roman" w:hAnsi="Times New Roman" w:eastAsia="宋体" w:cs="Times New Roman"/>
                <w:color w:val="auto"/>
                <w:kern w:val="2"/>
                <w:sz w:val="24"/>
                <w:szCs w:val="24"/>
                <w:lang w:val="en-US" w:eastAsia="zh-CN" w:bidi="ar-SA"/>
              </w:rPr>
              <w:t>处理，</w:t>
            </w:r>
            <w:r>
              <w:rPr>
                <w:rFonts w:hint="eastAsia" w:ascii="Times New Roman" w:hAnsi="Times New Roman" w:eastAsia="宋体" w:cs="Times New Roman"/>
                <w:color w:val="auto"/>
                <w:sz w:val="24"/>
                <w:highlight w:val="none"/>
                <w:lang w:val="en-US" w:eastAsia="zh-CN" w:bidi="ar"/>
              </w:rPr>
              <w:t>水质达到《农村生活污水处理排放标准》（DB654275-2019）表2的B级标准，</w:t>
            </w:r>
            <w:r>
              <w:rPr>
                <w:rFonts w:hint="eastAsia" w:ascii="Times New Roman" w:hAnsi="Times New Roman" w:eastAsia="宋体" w:cs="Times New Roman"/>
                <w:b w:val="0"/>
                <w:bCs w:val="0"/>
                <w:kern w:val="2"/>
                <w:sz w:val="24"/>
                <w:szCs w:val="24"/>
                <w:lang w:val="en-US" w:eastAsia="zh-CN" w:bidi="ar-SA"/>
              </w:rPr>
              <w:t>冬储夏灌，</w:t>
            </w:r>
            <w:r>
              <w:rPr>
                <w:rFonts w:hint="eastAsia" w:ascii="Times New Roman" w:hAnsi="Times New Roman" w:eastAsia="宋体" w:cs="Times New Roman"/>
                <w:color w:val="auto"/>
                <w:sz w:val="24"/>
                <w:highlight w:val="none"/>
                <w:lang w:val="en-US" w:eastAsia="zh-CN" w:bidi="ar"/>
              </w:rPr>
              <w:t>用于荒漠灌溉。</w:t>
            </w:r>
            <w:r>
              <w:rPr>
                <w:rFonts w:hint="default" w:ascii="Times New Roman" w:hAnsi="Times New Roman" w:eastAsia="宋体" w:cs="Times New Roman"/>
                <w:color w:val="auto"/>
                <w:kern w:val="2"/>
                <w:sz w:val="24"/>
                <w:szCs w:val="24"/>
                <w:lang w:val="en-US" w:eastAsia="zh-CN" w:bidi="ar-SA"/>
              </w:rPr>
              <w:t>项目废水污染源源强见下表</w:t>
            </w:r>
            <w:r>
              <w:rPr>
                <w:rFonts w:hint="default" w:ascii="Times New Roman" w:hAnsi="Times New Roman" w:eastAsia="宋体" w:cs="Times New Roman"/>
                <w:color w:val="auto"/>
                <w:sz w:val="24"/>
                <w:szCs w:val="24"/>
                <w:lang w:val="en-US" w:eastAsia="zh-CN"/>
              </w:rPr>
              <w:t>。</w:t>
            </w:r>
          </w:p>
          <w:p w14:paraId="29C5D25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imes New Roman" w:hAnsi="宋体" w:eastAsia="宋体" w:cs="Times New Roman"/>
                <w:b/>
                <w:bCs/>
                <w:color w:val="auto"/>
                <w:sz w:val="22"/>
                <w:szCs w:val="28"/>
                <w:lang w:val="en-US" w:eastAsia="zh-CN"/>
              </w:rPr>
            </w:pPr>
            <w:r>
              <w:rPr>
                <w:rFonts w:hint="default" w:ascii="Times New Roman" w:hAnsi="Times New Roman" w:eastAsia="宋体" w:cs="Times New Roman"/>
                <w:b/>
                <w:bCs/>
                <w:color w:val="auto"/>
                <w:kern w:val="2"/>
                <w:sz w:val="21"/>
                <w:szCs w:val="21"/>
                <w:lang w:val="en-US" w:eastAsia="zh-CN" w:bidi="ar-SA"/>
              </w:rPr>
              <w:t>表4-</w:t>
            </w:r>
            <w:r>
              <w:rPr>
                <w:rFonts w:hint="eastAsia" w:ascii="Times New Roman" w:hAnsi="Times New Roman" w:eastAsia="宋体" w:cs="Times New Roman"/>
                <w:b/>
                <w:bCs/>
                <w:color w:val="auto"/>
                <w:kern w:val="2"/>
                <w:sz w:val="21"/>
                <w:szCs w:val="21"/>
                <w:lang w:val="en-US" w:eastAsia="zh-CN" w:bidi="ar-SA"/>
              </w:rPr>
              <w:t>4</w:t>
            </w:r>
            <w:r>
              <w:rPr>
                <w:rFonts w:hint="default" w:ascii="Times New Roman" w:hAnsi="Times New Roman" w:eastAsia="宋体" w:cs="Times New Roman"/>
                <w:b/>
                <w:bCs/>
                <w:color w:val="auto"/>
                <w:kern w:val="2"/>
                <w:sz w:val="21"/>
                <w:szCs w:val="21"/>
                <w:lang w:val="en-US" w:eastAsia="zh-CN" w:bidi="ar-SA"/>
              </w:rPr>
              <w:t xml:space="preserve"> </w:t>
            </w:r>
            <w:r>
              <w:rPr>
                <w:rFonts w:hint="eastAsia" w:ascii="Times New Roman" w:hAnsi="宋体" w:eastAsia="宋体" w:cs="Times New Roman"/>
                <w:b/>
                <w:bCs/>
                <w:color w:val="auto"/>
                <w:sz w:val="21"/>
                <w:szCs w:val="21"/>
                <w:lang w:val="en-US" w:eastAsia="zh-CN"/>
              </w:rPr>
              <w:t>项目生活污水产生和排放情况一览表</w:t>
            </w:r>
          </w:p>
          <w:tbl>
            <w:tblPr>
              <w:tblStyle w:val="25"/>
              <w:tblW w:w="499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7"/>
              <w:gridCol w:w="630"/>
              <w:gridCol w:w="1097"/>
              <w:gridCol w:w="1155"/>
              <w:gridCol w:w="1235"/>
              <w:gridCol w:w="1127"/>
              <w:gridCol w:w="1613"/>
            </w:tblGrid>
            <w:tr w14:paraId="11531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0" w:type="pct"/>
                  <w:vMerge w:val="restart"/>
                  <w:noWrap w:val="0"/>
                  <w:vAlign w:val="center"/>
                </w:tcPr>
                <w:p w14:paraId="24A98D68">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污染物</w:t>
                  </w:r>
                </w:p>
              </w:tc>
              <w:tc>
                <w:tcPr>
                  <w:tcW w:w="1831" w:type="pct"/>
                  <w:gridSpan w:val="3"/>
                  <w:noWrap w:val="0"/>
                  <w:vAlign w:val="center"/>
                </w:tcPr>
                <w:p w14:paraId="6078C4A3">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污染物产生情况</w:t>
                  </w:r>
                </w:p>
              </w:tc>
              <w:tc>
                <w:tcPr>
                  <w:tcW w:w="1501" w:type="pct"/>
                  <w:gridSpan w:val="2"/>
                  <w:noWrap w:val="0"/>
                  <w:vAlign w:val="center"/>
                </w:tcPr>
                <w:p w14:paraId="137106C0">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污染物排放情况</w:t>
                  </w:r>
                </w:p>
              </w:tc>
              <w:tc>
                <w:tcPr>
                  <w:tcW w:w="1025" w:type="pct"/>
                  <w:vMerge w:val="restart"/>
                  <w:noWrap w:val="0"/>
                  <w:vAlign w:val="center"/>
                </w:tcPr>
                <w:p w14:paraId="4366E9E9">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治理措施与排放去向</w:t>
                  </w:r>
                </w:p>
              </w:tc>
            </w:tr>
            <w:tr w14:paraId="62E9C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0" w:type="pct"/>
                  <w:vMerge w:val="continue"/>
                  <w:noWrap w:val="0"/>
                  <w:vAlign w:val="center"/>
                </w:tcPr>
                <w:p w14:paraId="7C1D505A">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color w:val="auto"/>
                      <w:sz w:val="21"/>
                      <w:szCs w:val="21"/>
                    </w:rPr>
                  </w:pPr>
                </w:p>
              </w:tc>
              <w:tc>
                <w:tcPr>
                  <w:tcW w:w="400" w:type="pct"/>
                  <w:vMerge w:val="restart"/>
                  <w:noWrap w:val="0"/>
                  <w:vAlign w:val="center"/>
                </w:tcPr>
                <w:p w14:paraId="55F30857">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核算方法</w:t>
                  </w:r>
                </w:p>
              </w:tc>
              <w:tc>
                <w:tcPr>
                  <w:tcW w:w="1431" w:type="pct"/>
                  <w:gridSpan w:val="2"/>
                  <w:noWrap w:val="0"/>
                  <w:vAlign w:val="center"/>
                </w:tcPr>
                <w:p w14:paraId="47A04626">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生活污水</w:t>
                  </w:r>
                  <w:r>
                    <w:rPr>
                      <w:rFonts w:hint="default" w:ascii="Times New Roman" w:hAnsi="Times New Roman" w:cs="Times New Roman"/>
                      <w:color w:val="auto"/>
                      <w:sz w:val="21"/>
                      <w:szCs w:val="21"/>
                      <w:lang w:val="en-US" w:eastAsia="zh-CN"/>
                    </w:rPr>
                    <w:t>576</w:t>
                  </w:r>
                  <w:r>
                    <w:rPr>
                      <w:rFonts w:hint="default" w:ascii="Times New Roman" w:hAnsi="Times New Roman" w:cs="Times New Roman"/>
                      <w:color w:val="auto"/>
                      <w:sz w:val="21"/>
                      <w:szCs w:val="21"/>
                    </w:rPr>
                    <w:t>m</w:t>
                  </w:r>
                  <w:r>
                    <w:rPr>
                      <w:rFonts w:hint="default" w:ascii="Times New Roman" w:hAnsi="Times New Roman" w:cs="Times New Roman"/>
                      <w:color w:val="auto"/>
                      <w:sz w:val="21"/>
                      <w:szCs w:val="21"/>
                      <w:vertAlign w:val="superscript"/>
                    </w:rPr>
                    <w:t>3</w:t>
                  </w:r>
                  <w:r>
                    <w:rPr>
                      <w:rFonts w:hint="default" w:ascii="Times New Roman" w:hAnsi="Times New Roman" w:cs="Times New Roman"/>
                      <w:color w:val="auto"/>
                      <w:sz w:val="21"/>
                      <w:szCs w:val="21"/>
                    </w:rPr>
                    <w:t>/a</w:t>
                  </w:r>
                </w:p>
              </w:tc>
              <w:tc>
                <w:tcPr>
                  <w:tcW w:w="785" w:type="pct"/>
                  <w:vMerge w:val="restart"/>
                  <w:noWrap w:val="0"/>
                  <w:vAlign w:val="center"/>
                </w:tcPr>
                <w:p w14:paraId="65572DC0">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排放浓度mg/L</w:t>
                  </w:r>
                </w:p>
              </w:tc>
              <w:tc>
                <w:tcPr>
                  <w:tcW w:w="716" w:type="pct"/>
                  <w:vMerge w:val="restart"/>
                  <w:noWrap w:val="0"/>
                  <w:vAlign w:val="center"/>
                </w:tcPr>
                <w:p w14:paraId="63DD9988">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排放量</w:t>
                  </w:r>
                  <w:r>
                    <w:rPr>
                      <w:rFonts w:hint="default" w:ascii="Times New Roman" w:hAnsi="Times New Roman" w:cs="Times New Roman"/>
                      <w:color w:val="auto"/>
                      <w:kern w:val="0"/>
                      <w:sz w:val="21"/>
                      <w:szCs w:val="21"/>
                    </w:rPr>
                    <w:t>t/a</w:t>
                  </w:r>
                </w:p>
              </w:tc>
              <w:tc>
                <w:tcPr>
                  <w:tcW w:w="1025" w:type="pct"/>
                  <w:vMerge w:val="continue"/>
                  <w:noWrap w:val="0"/>
                  <w:vAlign w:val="center"/>
                </w:tcPr>
                <w:p w14:paraId="0987F700">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color w:val="auto"/>
                      <w:sz w:val="21"/>
                      <w:szCs w:val="21"/>
                    </w:rPr>
                  </w:pPr>
                </w:p>
              </w:tc>
            </w:tr>
            <w:tr w14:paraId="685F4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0" w:type="pct"/>
                  <w:vMerge w:val="continue"/>
                  <w:noWrap w:val="0"/>
                  <w:vAlign w:val="center"/>
                </w:tcPr>
                <w:p w14:paraId="0543B795">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color w:val="auto"/>
                      <w:sz w:val="21"/>
                      <w:szCs w:val="21"/>
                    </w:rPr>
                  </w:pPr>
                </w:p>
              </w:tc>
              <w:tc>
                <w:tcPr>
                  <w:tcW w:w="400" w:type="pct"/>
                  <w:vMerge w:val="continue"/>
                  <w:noWrap w:val="0"/>
                  <w:vAlign w:val="center"/>
                </w:tcPr>
                <w:p w14:paraId="50B4532A">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color w:val="auto"/>
                      <w:sz w:val="21"/>
                      <w:szCs w:val="21"/>
                    </w:rPr>
                  </w:pPr>
                </w:p>
              </w:tc>
              <w:tc>
                <w:tcPr>
                  <w:tcW w:w="697" w:type="pct"/>
                  <w:noWrap w:val="0"/>
                  <w:vAlign w:val="center"/>
                </w:tcPr>
                <w:p w14:paraId="66E3746E">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产生浓度mg/L</w:t>
                  </w:r>
                </w:p>
              </w:tc>
              <w:tc>
                <w:tcPr>
                  <w:tcW w:w="734" w:type="pct"/>
                  <w:noWrap w:val="0"/>
                  <w:vAlign w:val="center"/>
                </w:tcPr>
                <w:p w14:paraId="7D37DA08">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产生量t/a</w:t>
                  </w:r>
                </w:p>
              </w:tc>
              <w:tc>
                <w:tcPr>
                  <w:tcW w:w="785" w:type="pct"/>
                  <w:vMerge w:val="continue"/>
                  <w:noWrap w:val="0"/>
                  <w:vAlign w:val="center"/>
                </w:tcPr>
                <w:p w14:paraId="3DD7A154">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color w:val="auto"/>
                      <w:sz w:val="21"/>
                      <w:szCs w:val="21"/>
                    </w:rPr>
                  </w:pPr>
                </w:p>
              </w:tc>
              <w:tc>
                <w:tcPr>
                  <w:tcW w:w="716" w:type="pct"/>
                  <w:vMerge w:val="continue"/>
                  <w:noWrap w:val="0"/>
                  <w:vAlign w:val="center"/>
                </w:tcPr>
                <w:p w14:paraId="56DABA84">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color w:val="auto"/>
                      <w:sz w:val="21"/>
                      <w:szCs w:val="21"/>
                    </w:rPr>
                  </w:pPr>
                </w:p>
              </w:tc>
              <w:tc>
                <w:tcPr>
                  <w:tcW w:w="1025" w:type="pct"/>
                  <w:vMerge w:val="continue"/>
                  <w:noWrap w:val="0"/>
                  <w:vAlign w:val="center"/>
                </w:tcPr>
                <w:p w14:paraId="5D3DE3DC">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color w:val="auto"/>
                      <w:sz w:val="21"/>
                      <w:szCs w:val="21"/>
                    </w:rPr>
                  </w:pPr>
                </w:p>
              </w:tc>
            </w:tr>
            <w:tr w14:paraId="781A4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640" w:type="pct"/>
                  <w:noWrap w:val="0"/>
                  <w:vAlign w:val="center"/>
                </w:tcPr>
                <w:p w14:paraId="000EBF8D">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COD</w:t>
                  </w:r>
                </w:p>
              </w:tc>
              <w:tc>
                <w:tcPr>
                  <w:tcW w:w="400" w:type="pct"/>
                  <w:vMerge w:val="restart"/>
                  <w:noWrap w:val="0"/>
                  <w:vAlign w:val="center"/>
                </w:tcPr>
                <w:p w14:paraId="299EA842">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类比法</w:t>
                  </w:r>
                </w:p>
              </w:tc>
              <w:tc>
                <w:tcPr>
                  <w:tcW w:w="697" w:type="pct"/>
                  <w:noWrap w:val="0"/>
                  <w:vAlign w:val="center"/>
                </w:tcPr>
                <w:p w14:paraId="026C3E55">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kern w:val="0"/>
                      <w:sz w:val="21"/>
                      <w:szCs w:val="21"/>
                      <w:lang w:val="en-US" w:eastAsia="zh-CN"/>
                    </w:rPr>
                    <w:t>350</w:t>
                  </w:r>
                </w:p>
              </w:tc>
              <w:tc>
                <w:tcPr>
                  <w:tcW w:w="734" w:type="pct"/>
                  <w:noWrap w:val="0"/>
                  <w:vAlign w:val="center"/>
                </w:tcPr>
                <w:p w14:paraId="71D34202">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0.2016</w:t>
                  </w:r>
                </w:p>
              </w:tc>
              <w:tc>
                <w:tcPr>
                  <w:tcW w:w="785" w:type="pct"/>
                  <w:noWrap w:val="0"/>
                  <w:vAlign w:val="center"/>
                </w:tcPr>
                <w:p w14:paraId="6BB66473">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 w:val="21"/>
                      <w:szCs w:val="21"/>
                      <w:lang w:val="en-US" w:eastAsia="zh-CN"/>
                    </w:rPr>
                    <w:t>180</w:t>
                  </w:r>
                </w:p>
              </w:tc>
              <w:tc>
                <w:tcPr>
                  <w:tcW w:w="716" w:type="pct"/>
                  <w:noWrap w:val="0"/>
                  <w:vAlign w:val="center"/>
                </w:tcPr>
                <w:p w14:paraId="224CCD2B">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0.1037</w:t>
                  </w:r>
                </w:p>
              </w:tc>
              <w:tc>
                <w:tcPr>
                  <w:tcW w:w="1025" w:type="pct"/>
                  <w:vMerge w:val="restart"/>
                  <w:noWrap w:val="0"/>
                  <w:vAlign w:val="center"/>
                </w:tcPr>
                <w:p w14:paraId="42B93AC0">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color w:val="auto"/>
                      <w:sz w:val="21"/>
                      <w:szCs w:val="21"/>
                      <w:lang w:val="en-US"/>
                    </w:rPr>
                  </w:pPr>
                  <w:r>
                    <w:rPr>
                      <w:rFonts w:hint="default" w:ascii="Times New Roman" w:hAnsi="Times New Roman" w:cs="Times New Roman"/>
                      <w:color w:val="auto"/>
                      <w:sz w:val="21"/>
                      <w:szCs w:val="21"/>
                      <w:lang w:val="en-US" w:eastAsia="zh-CN"/>
                    </w:rPr>
                    <w:t>经一体化污水处理设施处理后用于</w:t>
                  </w:r>
                  <w:r>
                    <w:rPr>
                      <w:rFonts w:hint="eastAsia" w:ascii="Times New Roman" w:hAnsi="Times New Roman" w:cs="Times New Roman"/>
                      <w:color w:val="auto"/>
                      <w:sz w:val="21"/>
                      <w:szCs w:val="21"/>
                      <w:lang w:val="en-US" w:eastAsia="zh-CN"/>
                    </w:rPr>
                    <w:t>荒漠灌溉</w:t>
                  </w:r>
                </w:p>
              </w:tc>
            </w:tr>
            <w:tr w14:paraId="63336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0" w:type="pct"/>
                  <w:noWrap w:val="0"/>
                  <w:vAlign w:val="center"/>
                </w:tcPr>
                <w:p w14:paraId="454395A1">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bCs/>
                      <w:color w:val="auto"/>
                      <w:sz w:val="21"/>
                      <w:szCs w:val="21"/>
                    </w:rPr>
                  </w:pPr>
                  <w:r>
                    <w:rPr>
                      <w:rFonts w:hint="default" w:ascii="Times New Roman" w:hAnsi="Times New Roman" w:cs="Times New Roman"/>
                      <w:color w:val="auto"/>
                      <w:sz w:val="21"/>
                      <w:szCs w:val="21"/>
                    </w:rPr>
                    <w:t>SS</w:t>
                  </w:r>
                </w:p>
              </w:tc>
              <w:tc>
                <w:tcPr>
                  <w:tcW w:w="400" w:type="pct"/>
                  <w:vMerge w:val="continue"/>
                  <w:noWrap w:val="0"/>
                  <w:vAlign w:val="center"/>
                </w:tcPr>
                <w:p w14:paraId="416F4E8F">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color w:val="auto"/>
                      <w:sz w:val="21"/>
                      <w:szCs w:val="21"/>
                    </w:rPr>
                  </w:pPr>
                </w:p>
              </w:tc>
              <w:tc>
                <w:tcPr>
                  <w:tcW w:w="697" w:type="pct"/>
                  <w:noWrap w:val="0"/>
                  <w:vAlign w:val="center"/>
                </w:tcPr>
                <w:p w14:paraId="6FD42E65">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cs="Times New Roman"/>
                      <w:bCs/>
                      <w:color w:val="auto"/>
                      <w:sz w:val="21"/>
                      <w:szCs w:val="21"/>
                    </w:rPr>
                  </w:pPr>
                  <w:r>
                    <w:rPr>
                      <w:rFonts w:hint="default" w:ascii="Times New Roman" w:hAnsi="Times New Roman" w:cs="Times New Roman"/>
                      <w:color w:val="auto"/>
                      <w:sz w:val="21"/>
                      <w:szCs w:val="21"/>
                    </w:rPr>
                    <w:t>200</w:t>
                  </w:r>
                </w:p>
              </w:tc>
              <w:tc>
                <w:tcPr>
                  <w:tcW w:w="734" w:type="pct"/>
                  <w:noWrap w:val="0"/>
                  <w:vAlign w:val="center"/>
                </w:tcPr>
                <w:p w14:paraId="2FE0CAB6">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0.1152</w:t>
                  </w:r>
                </w:p>
              </w:tc>
              <w:tc>
                <w:tcPr>
                  <w:tcW w:w="785" w:type="pct"/>
                  <w:noWrap w:val="0"/>
                  <w:vAlign w:val="center"/>
                </w:tcPr>
                <w:p w14:paraId="526C532A">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cs="Times New Roman"/>
                      <w:color w:val="auto"/>
                      <w:sz w:val="21"/>
                      <w:szCs w:val="21"/>
                      <w:lang w:val="en-US" w:eastAsia="zh-CN"/>
                    </w:rPr>
                    <w:t>90</w:t>
                  </w:r>
                </w:p>
              </w:tc>
              <w:tc>
                <w:tcPr>
                  <w:tcW w:w="716" w:type="pct"/>
                  <w:noWrap w:val="0"/>
                  <w:vAlign w:val="center"/>
                </w:tcPr>
                <w:p w14:paraId="4FF55C6C">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0.0518</w:t>
                  </w:r>
                </w:p>
              </w:tc>
              <w:tc>
                <w:tcPr>
                  <w:tcW w:w="1025" w:type="pct"/>
                  <w:vMerge w:val="continue"/>
                  <w:noWrap w:val="0"/>
                  <w:vAlign w:val="center"/>
                </w:tcPr>
                <w:p w14:paraId="4006733C">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color w:val="auto"/>
                      <w:sz w:val="21"/>
                      <w:szCs w:val="21"/>
                    </w:rPr>
                  </w:pPr>
                </w:p>
              </w:tc>
            </w:tr>
          </w:tbl>
          <w:p w14:paraId="68E049A9">
            <w:pPr>
              <w:pStyle w:val="2"/>
              <w:keepNext w:val="0"/>
              <w:keepLines w:val="0"/>
              <w:pageBreakBefore w:val="0"/>
              <w:widowControl w:val="0"/>
              <w:numPr>
                <w:ilvl w:val="0"/>
                <w:numId w:val="0"/>
              </w:numPr>
              <w:kinsoku/>
              <w:wordWrap/>
              <w:overflowPunct/>
              <w:topLinePunct w:val="0"/>
              <w:autoSpaceDE/>
              <w:autoSpaceDN/>
              <w:bidi w:val="0"/>
              <w:adjustRightInd/>
              <w:spacing w:line="440" w:lineRule="exact"/>
              <w:ind w:firstLine="480" w:firstLineChars="200"/>
              <w:textAlignment w:val="auto"/>
              <w:rPr>
                <w:rFonts w:hint="default" w:ascii="Times New Roman" w:hAnsi="Times New Roman" w:eastAsia="宋体" w:cs="Times New Roman"/>
                <w:snapToGrid w:val="0"/>
                <w:color w:val="auto"/>
                <w:kern w:val="0"/>
                <w:sz w:val="24"/>
                <w:szCs w:val="24"/>
                <w:lang w:val="en-US" w:eastAsia="zh-CN" w:bidi="ar-SA"/>
              </w:rPr>
            </w:pPr>
            <w:r>
              <w:rPr>
                <w:rFonts w:hint="default" w:ascii="Times New Roman" w:hAnsi="Times New Roman" w:eastAsia="宋体" w:cs="Times New Roman"/>
                <w:snapToGrid w:val="0"/>
                <w:color w:val="auto"/>
                <w:kern w:val="0"/>
                <w:sz w:val="24"/>
                <w:szCs w:val="24"/>
                <w:lang w:val="en-US" w:eastAsia="zh-CN" w:bidi="ar-SA"/>
              </w:rPr>
              <w:t>由上表可知，项目生活污水经</w:t>
            </w:r>
            <w:r>
              <w:rPr>
                <w:rFonts w:hint="eastAsia" w:ascii="Times New Roman" w:hAnsi="Times New Roman" w:eastAsia="宋体" w:cs="Times New Roman"/>
                <w:snapToGrid w:val="0"/>
                <w:color w:val="auto"/>
                <w:kern w:val="0"/>
                <w:sz w:val="24"/>
                <w:szCs w:val="24"/>
                <w:lang w:val="en-US" w:eastAsia="zh-CN" w:bidi="ar-SA"/>
              </w:rPr>
              <w:t>一体化污水处理设施</w:t>
            </w:r>
            <w:r>
              <w:rPr>
                <w:rFonts w:hint="default" w:ascii="Times New Roman" w:hAnsi="Times New Roman" w:eastAsia="宋体" w:cs="Times New Roman"/>
                <w:snapToGrid w:val="0"/>
                <w:color w:val="auto"/>
                <w:kern w:val="0"/>
                <w:sz w:val="24"/>
                <w:szCs w:val="24"/>
                <w:lang w:val="en-US" w:eastAsia="zh-CN" w:bidi="ar-SA"/>
              </w:rPr>
              <w:t>处理后，排放浓度满足</w:t>
            </w:r>
            <w:r>
              <w:rPr>
                <w:rFonts w:hint="eastAsia" w:ascii="Times New Roman" w:hAnsi="Times New Roman" w:eastAsia="宋体" w:cs="Times New Roman"/>
                <w:color w:val="auto"/>
                <w:sz w:val="24"/>
                <w:highlight w:val="none"/>
                <w:lang w:val="en-US" w:eastAsia="zh-CN" w:bidi="ar"/>
              </w:rPr>
              <w:t>《农村生活污水处理排放标准》（DB654275-2019）表2的B级标准</w:t>
            </w:r>
            <w:r>
              <w:rPr>
                <w:rFonts w:hint="default" w:ascii="Times New Roman" w:hAnsi="Times New Roman" w:eastAsia="宋体" w:cs="Times New Roman"/>
                <w:snapToGrid w:val="0"/>
                <w:color w:val="auto"/>
                <w:kern w:val="0"/>
                <w:sz w:val="24"/>
                <w:szCs w:val="24"/>
                <w:lang w:val="en-US" w:eastAsia="zh-CN" w:bidi="ar-SA"/>
              </w:rPr>
              <w:t>。</w:t>
            </w:r>
          </w:p>
          <w:p w14:paraId="3702F367">
            <w:pPr>
              <w:pStyle w:val="3"/>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宋体" w:cs="Times New Roman"/>
                <w:snapToGrid w:val="0"/>
                <w:color w:val="auto"/>
                <w:kern w:val="0"/>
                <w:sz w:val="24"/>
                <w:szCs w:val="24"/>
                <w:lang w:val="en-US" w:eastAsia="zh-CN" w:bidi="ar-SA"/>
              </w:rPr>
            </w:pPr>
            <w:r>
              <w:rPr>
                <w:rFonts w:hint="default" w:ascii="Times New Roman" w:hAnsi="Times New Roman" w:eastAsia="宋体" w:cs="Times New Roman"/>
                <w:snapToGrid w:val="0"/>
                <w:color w:val="auto"/>
                <w:kern w:val="0"/>
                <w:sz w:val="24"/>
                <w:szCs w:val="24"/>
                <w:lang w:val="en-US" w:eastAsia="zh-CN" w:bidi="ar-SA"/>
              </w:rPr>
              <w:t>2.1废水治理措施的可行性</w:t>
            </w:r>
          </w:p>
          <w:p w14:paraId="4C045ADF">
            <w:pPr>
              <w:pStyle w:val="78"/>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snapToGrid w:val="0"/>
                <w:color w:val="auto"/>
                <w:kern w:val="0"/>
                <w:sz w:val="24"/>
                <w:szCs w:val="24"/>
                <w:lang w:val="en-US" w:eastAsia="zh-CN" w:bidi="ar-SA"/>
              </w:rPr>
              <w:t>本项目建设一体化污水处理设施采用</w:t>
            </w:r>
            <w:r>
              <w:rPr>
                <w:rFonts w:hint="eastAsia" w:ascii="Times New Roman" w:hAnsi="Times New Roman" w:eastAsia="宋体" w:cs="Times New Roman"/>
                <w:snapToGrid w:val="0"/>
                <w:color w:val="auto"/>
                <w:kern w:val="0"/>
                <w:sz w:val="24"/>
                <w:szCs w:val="24"/>
                <w:lang w:val="en-US" w:eastAsia="zh-CN" w:bidi="ar-SA"/>
              </w:rPr>
              <w:t>“</w:t>
            </w:r>
            <w:r>
              <w:rPr>
                <w:rFonts w:hint="default" w:ascii="Times New Roman" w:hAnsi="Times New Roman" w:eastAsia="宋体" w:cs="Times New Roman"/>
                <w:color w:val="auto"/>
                <w:sz w:val="24"/>
                <w:szCs w:val="24"/>
              </w:rPr>
              <w:t>化粪池+A/O</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rPr>
              <w:t>沉淀</w:t>
            </w:r>
            <w:r>
              <w:rPr>
                <w:rFonts w:hint="eastAsia" w:ascii="Times New Roman" w:hAnsi="Times New Roman" w:eastAsia="宋体" w:cs="Times New Roman"/>
                <w:color w:val="auto"/>
                <w:sz w:val="24"/>
                <w:szCs w:val="24"/>
                <w:lang w:val="en-US" w:eastAsia="zh-CN"/>
              </w:rPr>
              <w:t>+消毒</w:t>
            </w:r>
            <w:r>
              <w:rPr>
                <w:rFonts w:hint="default" w:ascii="Times New Roman" w:hAnsi="Times New Roman" w:eastAsia="宋体" w:cs="Times New Roman"/>
                <w:color w:val="auto"/>
                <w:sz w:val="24"/>
                <w:szCs w:val="24"/>
              </w:rPr>
              <w:t>一体化</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snapToGrid w:val="0"/>
                <w:color w:val="auto"/>
                <w:kern w:val="0"/>
                <w:sz w:val="24"/>
                <w:szCs w:val="24"/>
                <w:lang w:val="en-US" w:eastAsia="zh-CN" w:bidi="ar-SA"/>
              </w:rPr>
              <w:t>，即</w:t>
            </w:r>
            <w:r>
              <w:rPr>
                <w:rFonts w:hint="eastAsia" w:ascii="Times New Roman" w:hAnsi="Times New Roman" w:eastAsia="宋体" w:cs="Times New Roman"/>
                <w:snapToGrid w:val="0"/>
                <w:color w:val="auto"/>
                <w:kern w:val="0"/>
                <w:sz w:val="24"/>
                <w:szCs w:val="24"/>
                <w:lang w:val="en-US" w:eastAsia="zh-CN" w:bidi="ar-SA"/>
              </w:rPr>
              <w:t>工艺为</w:t>
            </w:r>
            <w:r>
              <w:rPr>
                <w:rFonts w:hint="default" w:ascii="Times New Roman" w:hAnsi="Times New Roman" w:eastAsia="宋体" w:cs="Times New Roman"/>
                <w:color w:val="auto"/>
                <w:sz w:val="24"/>
                <w:szCs w:val="24"/>
              </w:rPr>
              <w:t>污水</w:t>
            </w:r>
            <w:r>
              <w:rPr>
                <w:rFonts w:hint="default" w:ascii="Arial" w:hAnsi="Arial" w:eastAsia="宋体" w:cs="Arial"/>
                <w:color w:val="auto"/>
                <w:sz w:val="24"/>
                <w:szCs w:val="24"/>
              </w:rPr>
              <w:t>→</w:t>
            </w:r>
            <w:r>
              <w:rPr>
                <w:rFonts w:hint="default" w:ascii="Times New Roman" w:hAnsi="Times New Roman" w:eastAsia="宋体" w:cs="Times New Roman"/>
                <w:color w:val="auto"/>
                <w:sz w:val="24"/>
                <w:szCs w:val="24"/>
              </w:rPr>
              <w:t>格栅</w:t>
            </w:r>
            <w:r>
              <w:rPr>
                <w:rFonts w:hint="default" w:ascii="Arial" w:hAnsi="Arial" w:eastAsia="宋体" w:cs="Arial"/>
                <w:color w:val="auto"/>
                <w:sz w:val="24"/>
                <w:szCs w:val="24"/>
              </w:rPr>
              <w:t>→</w:t>
            </w:r>
            <w:r>
              <w:rPr>
                <w:rFonts w:hint="default" w:ascii="Times New Roman" w:hAnsi="Times New Roman" w:eastAsia="宋体" w:cs="Times New Roman"/>
                <w:color w:val="auto"/>
                <w:sz w:val="24"/>
                <w:szCs w:val="24"/>
              </w:rPr>
              <w:t>化粪池</w:t>
            </w:r>
            <w:r>
              <w:rPr>
                <w:rFonts w:hint="default" w:ascii="Arial" w:hAnsi="Arial" w:eastAsia="宋体" w:cs="Arial"/>
                <w:color w:val="auto"/>
                <w:sz w:val="24"/>
                <w:szCs w:val="24"/>
              </w:rPr>
              <w:t>→</w:t>
            </w:r>
            <w:r>
              <w:rPr>
                <w:rFonts w:hint="default" w:ascii="Times New Roman" w:hAnsi="Times New Roman" w:eastAsia="宋体" w:cs="Times New Roman"/>
                <w:color w:val="auto"/>
                <w:sz w:val="24"/>
                <w:szCs w:val="24"/>
              </w:rPr>
              <w:t>调节池</w:t>
            </w:r>
            <w:r>
              <w:rPr>
                <w:rFonts w:hint="default" w:ascii="Arial" w:hAnsi="Arial" w:eastAsia="宋体" w:cs="Arial"/>
                <w:color w:val="auto"/>
                <w:sz w:val="24"/>
                <w:szCs w:val="24"/>
              </w:rPr>
              <w:t>→</w:t>
            </w:r>
            <w:r>
              <w:rPr>
                <w:rFonts w:hint="default" w:ascii="Times New Roman" w:hAnsi="Times New Roman" w:eastAsia="宋体" w:cs="Times New Roman"/>
                <w:color w:val="auto"/>
                <w:sz w:val="24"/>
                <w:szCs w:val="24"/>
              </w:rPr>
              <w:t>缺氧池</w:t>
            </w:r>
            <w:r>
              <w:rPr>
                <w:rFonts w:hint="default" w:ascii="Arial" w:hAnsi="Arial" w:eastAsia="宋体" w:cs="Arial"/>
                <w:color w:val="auto"/>
                <w:sz w:val="24"/>
                <w:szCs w:val="24"/>
              </w:rPr>
              <w:t>→</w:t>
            </w:r>
            <w:r>
              <w:rPr>
                <w:rFonts w:hint="default" w:ascii="Times New Roman" w:hAnsi="Times New Roman" w:eastAsia="宋体" w:cs="Times New Roman"/>
                <w:color w:val="auto"/>
                <w:sz w:val="24"/>
                <w:szCs w:val="24"/>
              </w:rPr>
              <w:t>好氧池</w:t>
            </w:r>
            <w:r>
              <w:rPr>
                <w:rFonts w:hint="default" w:ascii="Arial" w:hAnsi="Arial" w:eastAsia="宋体" w:cs="Arial"/>
                <w:color w:val="auto"/>
                <w:sz w:val="24"/>
                <w:szCs w:val="24"/>
              </w:rPr>
              <w:t>→</w:t>
            </w:r>
            <w:r>
              <w:rPr>
                <w:rFonts w:hint="default" w:ascii="Times New Roman" w:hAnsi="Times New Roman" w:eastAsia="宋体" w:cs="Times New Roman"/>
                <w:color w:val="auto"/>
                <w:sz w:val="24"/>
                <w:szCs w:val="24"/>
              </w:rPr>
              <w:t>二沉池</w:t>
            </w:r>
            <w:r>
              <w:rPr>
                <w:rFonts w:hint="default" w:ascii="Arial" w:hAnsi="Arial" w:eastAsia="宋体" w:cs="Arial"/>
                <w:color w:val="auto"/>
                <w:sz w:val="24"/>
                <w:szCs w:val="24"/>
              </w:rPr>
              <w:t>→</w:t>
            </w:r>
            <w:r>
              <w:rPr>
                <w:rFonts w:hint="default" w:ascii="Times New Roman" w:hAnsi="Times New Roman" w:eastAsia="宋体" w:cs="Times New Roman"/>
                <w:color w:val="auto"/>
                <w:sz w:val="24"/>
                <w:szCs w:val="24"/>
              </w:rPr>
              <w:t>消毒</w:t>
            </w:r>
            <w:r>
              <w:rPr>
                <w:rFonts w:hint="default" w:ascii="Arial" w:hAnsi="Arial" w:eastAsia="宋体" w:cs="Arial"/>
                <w:color w:val="auto"/>
                <w:sz w:val="24"/>
                <w:szCs w:val="24"/>
              </w:rPr>
              <w:t>→</w:t>
            </w:r>
            <w:r>
              <w:rPr>
                <w:rFonts w:hint="default" w:ascii="Times New Roman" w:hAnsi="Times New Roman" w:eastAsia="宋体" w:cs="Times New Roman"/>
                <w:color w:val="auto"/>
                <w:sz w:val="24"/>
                <w:szCs w:val="24"/>
              </w:rPr>
              <w:t>出水</w:t>
            </w:r>
            <w:r>
              <w:rPr>
                <w:rFonts w:hint="default" w:ascii="Times New Roman" w:hAnsi="Times New Roman" w:eastAsia="宋体" w:cs="Times New Roman"/>
                <w:snapToGrid w:val="0"/>
                <w:color w:val="auto"/>
                <w:kern w:val="0"/>
                <w:sz w:val="24"/>
                <w:szCs w:val="24"/>
                <w:lang w:val="en-US" w:eastAsia="zh-CN" w:bidi="ar-SA"/>
              </w:rPr>
              <w:t>。参照《排污许可证申请与核发技术规范 水处理通用工序》（HJ1120-2020）表A.1污水处理可行技术参照表中采矿类排污单位废水，生活污水采用</w:t>
            </w:r>
            <w:r>
              <w:rPr>
                <w:rFonts w:hint="default" w:ascii="Times New Roman" w:hAnsi="Times New Roman" w:eastAsia="宋体" w:cs="Times New Roman"/>
                <w:color w:val="auto"/>
                <w:sz w:val="24"/>
                <w:szCs w:val="24"/>
              </w:rPr>
              <w:t>污水→格栅→化粪池→调节池→缺氧池→好氧池→二沉池→消毒→出水</w:t>
            </w:r>
            <w:r>
              <w:rPr>
                <w:rFonts w:hint="default" w:ascii="Times New Roman" w:hAnsi="Times New Roman" w:eastAsia="宋体" w:cs="Times New Roman"/>
                <w:color w:val="auto"/>
                <w:sz w:val="24"/>
                <w:szCs w:val="24"/>
                <w:lang w:val="en-US" w:eastAsia="zh-CN"/>
              </w:rPr>
              <w:t>的</w:t>
            </w:r>
            <w:r>
              <w:rPr>
                <w:rFonts w:hint="default" w:ascii="Times New Roman" w:hAnsi="Times New Roman" w:eastAsia="宋体" w:cs="Times New Roman"/>
                <w:snapToGrid w:val="0"/>
                <w:color w:val="auto"/>
                <w:kern w:val="0"/>
                <w:sz w:val="24"/>
                <w:szCs w:val="24"/>
                <w:lang w:val="en-US" w:eastAsia="zh-CN" w:bidi="ar-SA"/>
              </w:rPr>
              <w:t>工艺属于可行性技术，参照同类处理生活污水项目，本项目采用</w:t>
            </w:r>
            <w:r>
              <w:rPr>
                <w:rFonts w:hint="eastAsia" w:ascii="Times New Roman" w:hAnsi="Times New Roman" w:eastAsia="宋体" w:cs="Times New Roman"/>
                <w:snapToGrid w:val="0"/>
                <w:color w:val="auto"/>
                <w:kern w:val="0"/>
                <w:sz w:val="24"/>
                <w:szCs w:val="24"/>
                <w:lang w:val="en-US" w:eastAsia="zh-CN" w:bidi="ar-SA"/>
              </w:rPr>
              <w:t>“</w:t>
            </w:r>
            <w:r>
              <w:rPr>
                <w:rFonts w:hint="default" w:ascii="Times New Roman" w:hAnsi="Times New Roman" w:eastAsia="宋体" w:cs="Times New Roman"/>
                <w:color w:val="auto"/>
                <w:sz w:val="24"/>
                <w:szCs w:val="24"/>
              </w:rPr>
              <w:t>化粪池+A/O</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rPr>
              <w:t>沉淀</w:t>
            </w:r>
            <w:r>
              <w:rPr>
                <w:rFonts w:hint="eastAsia" w:ascii="Times New Roman" w:hAnsi="Times New Roman" w:eastAsia="宋体" w:cs="Times New Roman"/>
                <w:color w:val="auto"/>
                <w:sz w:val="24"/>
                <w:szCs w:val="24"/>
                <w:lang w:val="en-US" w:eastAsia="zh-CN"/>
              </w:rPr>
              <w:t>+消毒</w:t>
            </w:r>
            <w:r>
              <w:rPr>
                <w:rFonts w:hint="default" w:ascii="Times New Roman" w:hAnsi="Times New Roman" w:eastAsia="宋体" w:cs="Times New Roman"/>
                <w:color w:val="auto"/>
                <w:sz w:val="24"/>
                <w:szCs w:val="24"/>
              </w:rPr>
              <w:t>一体化</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highlight w:val="none"/>
                <w:lang w:val="en-US" w:eastAsia="zh-CN"/>
              </w:rPr>
              <w:t>处理后水质可达到《农村生活污水处理排放标准》（DB654275-2019）表2的B级标准</w:t>
            </w:r>
            <w:r>
              <w:rPr>
                <w:rFonts w:hint="eastAsia" w:ascii="Times New Roman" w:hAnsi="Times New Roman" w:eastAsia="宋体" w:cs="Times New Roman"/>
                <w:color w:val="auto"/>
                <w:highlight w:val="none"/>
                <w:lang w:val="en-US" w:eastAsia="zh-CN"/>
              </w:rPr>
              <w:t>限值要求</w:t>
            </w:r>
            <w:r>
              <w:rPr>
                <w:rFonts w:hint="default" w:ascii="Times New Roman" w:hAnsi="Times New Roman" w:eastAsia="宋体" w:cs="Times New Roman"/>
                <w:color w:val="auto"/>
                <w:highlight w:val="none"/>
                <w:lang w:val="en-US" w:eastAsia="zh-CN"/>
              </w:rPr>
              <w:t>。本项目所在区域为荒漠，主要生长荒漠植被，可用于荒漠灌溉。</w:t>
            </w:r>
            <w:r>
              <w:rPr>
                <w:rFonts w:hint="eastAsia" w:ascii="Times New Roman" w:hAnsi="Times New Roman" w:cs="Times New Roman"/>
                <w:color w:val="auto"/>
                <w:highlight w:val="none"/>
                <w:lang w:val="en-US" w:eastAsia="zh-CN"/>
              </w:rPr>
              <w:t>同时</w:t>
            </w:r>
            <w:r>
              <w:rPr>
                <w:rFonts w:hint="eastAsia" w:ascii="Times New Roman" w:hAnsi="Times New Roman" w:eastAsia="宋体" w:cs="Times New Roman"/>
                <w:b w:val="0"/>
                <w:bCs w:val="0"/>
                <w:kern w:val="2"/>
                <w:sz w:val="24"/>
                <w:szCs w:val="24"/>
                <w:lang w:val="en-US" w:eastAsia="zh-CN" w:bidi="ar-SA"/>
              </w:rPr>
              <w:t>项目区</w:t>
            </w:r>
            <w:r>
              <w:rPr>
                <w:rFonts w:hint="default" w:ascii="Times New Roman" w:hAnsi="Times New Roman" w:eastAsia="宋体" w:cs="Times New Roman"/>
                <w:b w:val="0"/>
                <w:bCs w:val="0"/>
                <w:kern w:val="2"/>
                <w:sz w:val="24"/>
                <w:szCs w:val="24"/>
                <w:lang w:val="en-US" w:eastAsia="zh-CN" w:bidi="ar-SA"/>
              </w:rPr>
              <w:t>冬季荒漠沙质土壤表层冻结，水分入渗受阻，荒漠植被冬季休眠</w:t>
            </w:r>
            <w:r>
              <w:rPr>
                <w:rFonts w:hint="eastAsia" w:ascii="Times New Roman" w:hAnsi="Times New Roman" w:eastAsia="宋体" w:cs="Times New Roman"/>
                <w:b w:val="0"/>
                <w:bCs w:val="0"/>
                <w:kern w:val="2"/>
                <w:sz w:val="24"/>
                <w:szCs w:val="24"/>
                <w:lang w:val="en-US" w:eastAsia="zh-CN" w:bidi="ar-SA"/>
              </w:rPr>
              <w:t>，不适合进行灌溉，考虑本项目生活污水产生量较少，</w:t>
            </w:r>
            <w:r>
              <w:rPr>
                <w:rFonts w:hint="eastAsia" w:ascii="Times New Roman" w:hAnsi="Times New Roman" w:cs="Times New Roman"/>
                <w:b w:val="0"/>
                <w:bCs w:val="0"/>
                <w:kern w:val="2"/>
                <w:sz w:val="24"/>
                <w:szCs w:val="24"/>
                <w:lang w:val="en-US" w:eastAsia="zh-CN" w:bidi="ar-SA"/>
              </w:rPr>
              <w:t>冬季经处理过的生活污水暂存于生活污水暂存池（200m</w:t>
            </w:r>
            <w:r>
              <w:rPr>
                <w:rFonts w:hint="eastAsia" w:ascii="Times New Roman" w:hAnsi="Times New Roman" w:cs="Times New Roman"/>
                <w:b w:val="0"/>
                <w:bCs w:val="0"/>
                <w:kern w:val="2"/>
                <w:sz w:val="24"/>
                <w:szCs w:val="24"/>
                <w:vertAlign w:val="superscript"/>
                <w:lang w:val="en-US" w:eastAsia="zh-CN" w:bidi="ar-SA"/>
              </w:rPr>
              <w:t>3</w:t>
            </w:r>
            <w:r>
              <w:rPr>
                <w:rFonts w:hint="eastAsia" w:ascii="Times New Roman" w:hAnsi="Times New Roman" w:cs="Times New Roman"/>
                <w:b w:val="0"/>
                <w:bCs w:val="0"/>
                <w:kern w:val="2"/>
                <w:sz w:val="24"/>
                <w:szCs w:val="24"/>
                <w:lang w:val="en-US" w:eastAsia="zh-CN" w:bidi="ar-SA"/>
              </w:rPr>
              <w:t>），来年春季进行荒漠灌溉，灌溉时间为9个月。</w:t>
            </w:r>
          </w:p>
          <w:p w14:paraId="2C6D0629">
            <w:pPr>
              <w:pStyle w:val="78"/>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表4-</w:t>
            </w:r>
            <w:r>
              <w:rPr>
                <w:rFonts w:hint="eastAsia" w:ascii="Times New Roman" w:hAnsi="Times New Roman" w:eastAsia="宋体" w:cs="Times New Roman"/>
                <w:b/>
                <w:bCs/>
                <w:color w:val="auto"/>
                <w:sz w:val="21"/>
                <w:szCs w:val="21"/>
                <w:highlight w:val="none"/>
                <w:lang w:val="en-US" w:eastAsia="zh-CN"/>
              </w:rPr>
              <w:t>5</w:t>
            </w:r>
            <w:r>
              <w:rPr>
                <w:rFonts w:hint="default" w:ascii="Times New Roman" w:hAnsi="Times New Roman" w:eastAsia="宋体" w:cs="Times New Roman"/>
                <w:b/>
                <w:bCs/>
                <w:color w:val="auto"/>
                <w:sz w:val="21"/>
                <w:szCs w:val="21"/>
                <w:highlight w:val="none"/>
                <w:lang w:val="en-US" w:eastAsia="zh-CN"/>
              </w:rPr>
              <w:t xml:space="preserve"> 荒漠灌溉消纳地情况</w:t>
            </w:r>
          </w:p>
          <w:tbl>
            <w:tblPr>
              <w:tblStyle w:val="26"/>
              <w:tblW w:w="78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8"/>
              <w:gridCol w:w="1051"/>
              <w:gridCol w:w="2206"/>
              <w:gridCol w:w="2524"/>
              <w:gridCol w:w="1189"/>
            </w:tblGrid>
            <w:tr w14:paraId="36E11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22" w:type="dxa"/>
                  <w:noWrap w:val="0"/>
                  <w:vAlign w:val="center"/>
                </w:tcPr>
                <w:p w14:paraId="52B4D313">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序号</w:t>
                  </w:r>
                </w:p>
              </w:tc>
              <w:tc>
                <w:tcPr>
                  <w:tcW w:w="1063" w:type="dxa"/>
                  <w:noWrap w:val="0"/>
                  <w:vAlign w:val="center"/>
                </w:tcPr>
                <w:p w14:paraId="1F63D191">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消纳地点</w:t>
                  </w:r>
                </w:p>
              </w:tc>
              <w:tc>
                <w:tcPr>
                  <w:tcW w:w="2250" w:type="dxa"/>
                  <w:noWrap w:val="0"/>
                  <w:vAlign w:val="center"/>
                </w:tcPr>
                <w:p w14:paraId="21D151A0">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植被情况</w:t>
                  </w:r>
                </w:p>
              </w:tc>
              <w:tc>
                <w:tcPr>
                  <w:tcW w:w="2537" w:type="dxa"/>
                  <w:noWrap w:val="0"/>
                  <w:vAlign w:val="center"/>
                </w:tcPr>
                <w:p w14:paraId="340EE25B">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执行标准</w:t>
                  </w:r>
                </w:p>
              </w:tc>
              <w:tc>
                <w:tcPr>
                  <w:tcW w:w="1106" w:type="dxa"/>
                  <w:noWrap w:val="0"/>
                  <w:vAlign w:val="center"/>
                </w:tcPr>
                <w:p w14:paraId="742A9BA5">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灌溉制度</w:t>
                  </w:r>
                </w:p>
              </w:tc>
            </w:tr>
            <w:tr w14:paraId="64077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22" w:type="dxa"/>
                  <w:noWrap w:val="0"/>
                  <w:vAlign w:val="center"/>
                </w:tcPr>
                <w:p w14:paraId="0325D4D3">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1</w:t>
                  </w:r>
                </w:p>
              </w:tc>
              <w:tc>
                <w:tcPr>
                  <w:tcW w:w="1063" w:type="dxa"/>
                  <w:noWrap w:val="0"/>
                  <w:vAlign w:val="center"/>
                </w:tcPr>
                <w:p w14:paraId="1916A094">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厂区东侧、南侧空地</w:t>
                  </w:r>
                </w:p>
              </w:tc>
              <w:tc>
                <w:tcPr>
                  <w:tcW w:w="2250" w:type="dxa"/>
                  <w:noWrap w:val="0"/>
                  <w:vAlign w:val="center"/>
                </w:tcPr>
                <w:p w14:paraId="01C56923">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cs="Times New Roman"/>
                      <w:kern w:val="0"/>
                      <w:sz w:val="21"/>
                      <w:szCs w:val="21"/>
                    </w:rPr>
                    <w:t>盐穗木、骆驼刺等</w:t>
                  </w:r>
                  <w:r>
                    <w:rPr>
                      <w:rFonts w:hint="default" w:ascii="Times New Roman" w:hAnsi="Times New Roman" w:cs="Times New Roman"/>
                      <w:kern w:val="0"/>
                      <w:sz w:val="21"/>
                      <w:szCs w:val="21"/>
                      <w:lang w:eastAsia="zh-CN"/>
                    </w:rPr>
                    <w:t>，</w:t>
                  </w:r>
                  <w:r>
                    <w:rPr>
                      <w:rFonts w:hint="default" w:ascii="Times New Roman" w:hAnsi="Times New Roman" w:cs="Times New Roman"/>
                      <w:kern w:val="0"/>
                      <w:sz w:val="21"/>
                      <w:szCs w:val="21"/>
                      <w:lang w:val="en-US" w:eastAsia="zh-CN"/>
                    </w:rPr>
                    <w:t>植被稀疏，覆盖度约10%</w:t>
                  </w:r>
                </w:p>
              </w:tc>
              <w:tc>
                <w:tcPr>
                  <w:tcW w:w="2537" w:type="dxa"/>
                  <w:noWrap w:val="0"/>
                  <w:vAlign w:val="center"/>
                </w:tcPr>
                <w:p w14:paraId="0A7133BD">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lang w:val="en-US" w:eastAsia="zh-CN"/>
                    </w:rPr>
                    <w:t>《农村生活污水处理排放标准》（DB654275-2019）表2的B级标准限值</w:t>
                  </w:r>
                </w:p>
              </w:tc>
              <w:tc>
                <w:tcPr>
                  <w:tcW w:w="1106" w:type="dxa"/>
                  <w:noWrap w:val="0"/>
                  <w:vAlign w:val="center"/>
                </w:tcPr>
                <w:p w14:paraId="4435FF51">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cs="Times New Roman"/>
                      <w:b w:val="0"/>
                      <w:bCs w:val="0"/>
                      <w:color w:val="auto"/>
                      <w:sz w:val="21"/>
                      <w:szCs w:val="21"/>
                      <w:highlight w:val="none"/>
                      <w:vertAlign w:val="baseline"/>
                      <w:lang w:val="en-US" w:eastAsia="zh-CN"/>
                    </w:rPr>
                    <w:t>2.13</w:t>
                  </w:r>
                  <w:r>
                    <w:rPr>
                      <w:rFonts w:hint="default" w:ascii="Times New Roman" w:hAnsi="Times New Roman" w:cs="Times New Roman"/>
                      <w:color w:val="auto"/>
                      <w:sz w:val="21"/>
                      <w:szCs w:val="21"/>
                    </w:rPr>
                    <w:t>m</w:t>
                  </w:r>
                  <w:r>
                    <w:rPr>
                      <w:rFonts w:hint="default" w:ascii="Times New Roman" w:hAnsi="Times New Roman" w:cs="Times New Roman"/>
                      <w:color w:val="auto"/>
                      <w:sz w:val="21"/>
                      <w:szCs w:val="21"/>
                      <w:vertAlign w:val="superscript"/>
                    </w:rPr>
                    <w:t>3</w:t>
                  </w:r>
                  <w:r>
                    <w:rPr>
                      <w:rFonts w:hint="default" w:ascii="Times New Roman" w:hAnsi="Times New Roman" w:cs="Times New Roman"/>
                      <w:color w:val="auto"/>
                      <w:sz w:val="21"/>
                      <w:szCs w:val="21"/>
                    </w:rPr>
                    <w:t>/</w:t>
                  </w:r>
                  <w:r>
                    <w:rPr>
                      <w:rFonts w:hint="eastAsia" w:ascii="Times New Roman" w:hAnsi="Times New Roman" w:cs="Times New Roman"/>
                      <w:color w:val="auto"/>
                      <w:sz w:val="21"/>
                      <w:szCs w:val="21"/>
                      <w:lang w:val="en-US" w:eastAsia="zh-CN"/>
                    </w:rPr>
                    <w:t>d</w:t>
                  </w:r>
                  <w:r>
                    <w:rPr>
                      <w:rFonts w:hint="eastAsia" w:ascii="Times New Roman" w:hAnsi="Times New Roman" w:cs="Times New Roman"/>
                      <w:color w:val="auto"/>
                      <w:sz w:val="21"/>
                      <w:szCs w:val="21"/>
                      <w:lang w:eastAsia="zh-CN"/>
                    </w:rPr>
                    <w:t>，</w:t>
                  </w:r>
                  <w:r>
                    <w:rPr>
                      <w:rFonts w:hint="eastAsia" w:ascii="Times New Roman" w:hAnsi="Times New Roman" w:cs="Times New Roman"/>
                      <w:color w:val="auto"/>
                      <w:sz w:val="21"/>
                      <w:szCs w:val="21"/>
                      <w:lang w:val="en-US" w:eastAsia="zh-CN"/>
                    </w:rPr>
                    <w:t>间歇</w:t>
                  </w:r>
                </w:p>
              </w:tc>
            </w:tr>
          </w:tbl>
          <w:p w14:paraId="65244C36">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b w:val="0"/>
                <w:bCs/>
                <w:color w:val="auto"/>
                <w:sz w:val="24"/>
                <w:szCs w:val="24"/>
                <w:lang w:val="en-US" w:eastAsia="zh-CN"/>
              </w:rPr>
            </w:pPr>
            <w:r>
              <w:rPr>
                <w:rFonts w:hint="default" w:ascii="Times New Roman" w:hAnsi="Times New Roman" w:cs="Times New Roman"/>
                <w:b w:val="0"/>
                <w:bCs/>
                <w:color w:val="auto"/>
                <w:sz w:val="24"/>
                <w:szCs w:val="24"/>
                <w:lang w:val="en-US" w:eastAsia="zh-CN"/>
              </w:rPr>
              <w:t>3、噪声</w:t>
            </w:r>
          </w:p>
          <w:p w14:paraId="31EE08D6">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cs="Times New Roman"/>
                <w:b w:val="0"/>
                <w:bCs/>
                <w:color w:val="auto"/>
                <w:sz w:val="24"/>
                <w:szCs w:val="24"/>
              </w:rPr>
            </w:pPr>
            <w:r>
              <w:rPr>
                <w:rFonts w:hint="default" w:ascii="Times New Roman" w:hAnsi="Times New Roman" w:cs="Times New Roman"/>
                <w:b w:val="0"/>
                <w:bCs/>
                <w:color w:val="auto"/>
                <w:sz w:val="24"/>
                <w:szCs w:val="24"/>
                <w:lang w:val="en-US" w:eastAsia="zh-CN"/>
              </w:rPr>
              <w:t>3.</w:t>
            </w:r>
            <w:r>
              <w:rPr>
                <w:rFonts w:hint="default" w:ascii="Times New Roman" w:hAnsi="Times New Roman" w:cs="Times New Roman"/>
                <w:b w:val="0"/>
                <w:bCs/>
                <w:color w:val="auto"/>
                <w:sz w:val="24"/>
                <w:szCs w:val="24"/>
              </w:rPr>
              <w:t>1噪声产生排放情况</w:t>
            </w:r>
          </w:p>
          <w:p w14:paraId="3CBF6926">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default" w:ascii="Times New Roman" w:hAnsi="Times New Roman" w:cs="Times New Roman"/>
                <w:b w:val="0"/>
                <w:bCs/>
                <w:color w:val="000000"/>
                <w:sz w:val="24"/>
                <w:szCs w:val="24"/>
              </w:rPr>
            </w:pPr>
            <w:r>
              <w:rPr>
                <w:rFonts w:hint="default" w:ascii="Times New Roman" w:hAnsi="Times New Roman" w:eastAsia="宋体" w:cs="Times New Roman"/>
                <w:color w:val="auto"/>
                <w:sz w:val="24"/>
                <w:szCs w:val="24"/>
                <w:lang w:val="en-US" w:eastAsia="zh-CN"/>
              </w:rPr>
              <w:t>本项目噪声主要为离心清水泵、除杂脱水筛等，其噪声级大</w:t>
            </w:r>
            <w:r>
              <w:rPr>
                <w:rFonts w:hint="default" w:ascii="Times New Roman" w:hAnsi="Times New Roman" w:cs="Times New Roman"/>
                <w:b w:val="0"/>
                <w:bCs/>
                <w:color w:val="000000"/>
                <w:spacing w:val="6"/>
                <w:sz w:val="24"/>
                <w:szCs w:val="24"/>
              </w:rPr>
              <w:t>致在7</w:t>
            </w:r>
            <w:r>
              <w:rPr>
                <w:rFonts w:hint="default" w:ascii="Times New Roman" w:hAnsi="Times New Roman" w:cs="Times New Roman"/>
                <w:b w:val="0"/>
                <w:bCs/>
                <w:color w:val="000000"/>
                <w:spacing w:val="6"/>
                <w:sz w:val="24"/>
                <w:szCs w:val="24"/>
                <w:lang w:val="en-US" w:eastAsia="zh-CN"/>
              </w:rPr>
              <w:t>5</w:t>
            </w:r>
            <w:r>
              <w:rPr>
                <w:rFonts w:hint="default" w:ascii="Times New Roman" w:hAnsi="Times New Roman" w:cs="Times New Roman"/>
                <w:b w:val="0"/>
                <w:bCs/>
                <w:color w:val="000000"/>
                <w:spacing w:val="6"/>
                <w:sz w:val="24"/>
                <w:szCs w:val="24"/>
              </w:rPr>
              <w:t>～8</w:t>
            </w:r>
            <w:r>
              <w:rPr>
                <w:rFonts w:hint="eastAsia" w:ascii="Times New Roman" w:hAnsi="Times New Roman" w:cs="Times New Roman"/>
                <w:b w:val="0"/>
                <w:bCs/>
                <w:color w:val="000000"/>
                <w:spacing w:val="6"/>
                <w:sz w:val="24"/>
                <w:szCs w:val="24"/>
                <w:lang w:val="en-US" w:eastAsia="zh-CN"/>
              </w:rPr>
              <w:t>0</w:t>
            </w:r>
            <w:r>
              <w:rPr>
                <w:rFonts w:hint="default" w:ascii="Times New Roman" w:hAnsi="Times New Roman" w:cs="Times New Roman"/>
                <w:b w:val="0"/>
                <w:bCs/>
                <w:color w:val="000000"/>
                <w:spacing w:val="6"/>
                <w:sz w:val="24"/>
                <w:szCs w:val="24"/>
              </w:rPr>
              <w:t>dB（A）之间</w:t>
            </w:r>
            <w:r>
              <w:rPr>
                <w:rFonts w:hint="default" w:ascii="Times New Roman" w:hAnsi="Times New Roman" w:cs="Times New Roman"/>
                <w:b w:val="0"/>
                <w:bCs/>
                <w:color w:val="000000"/>
                <w:sz w:val="24"/>
                <w:szCs w:val="24"/>
              </w:rPr>
              <w:t>。本项目噪声采取减振、隔声、消声措施。本项目噪声源强详见表</w:t>
            </w:r>
            <w:r>
              <w:rPr>
                <w:rFonts w:hint="default" w:ascii="Times New Roman" w:hAnsi="Times New Roman" w:cs="Times New Roman"/>
                <w:b w:val="0"/>
                <w:bCs/>
                <w:color w:val="000000"/>
                <w:sz w:val="24"/>
                <w:szCs w:val="24"/>
                <w:lang w:val="en-US" w:eastAsia="zh-CN"/>
              </w:rPr>
              <w:t>4-</w:t>
            </w:r>
            <w:r>
              <w:rPr>
                <w:rFonts w:hint="eastAsia" w:ascii="Times New Roman" w:hAnsi="Times New Roman" w:cs="Times New Roman"/>
                <w:b w:val="0"/>
                <w:bCs/>
                <w:color w:val="000000"/>
                <w:sz w:val="24"/>
                <w:szCs w:val="24"/>
                <w:lang w:val="en-US" w:eastAsia="zh-CN"/>
              </w:rPr>
              <w:t>5</w:t>
            </w:r>
            <w:r>
              <w:rPr>
                <w:rFonts w:hint="default" w:ascii="Times New Roman" w:hAnsi="Times New Roman" w:cs="Times New Roman"/>
                <w:b w:val="0"/>
                <w:bCs/>
                <w:color w:val="000000"/>
                <w:sz w:val="24"/>
                <w:szCs w:val="24"/>
              </w:rPr>
              <w:t>。</w:t>
            </w:r>
          </w:p>
          <w:p w14:paraId="29D9E069">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表</w:t>
            </w:r>
            <w:r>
              <w:rPr>
                <w:rFonts w:hint="eastAsia" w:ascii="Times New Roman" w:hAnsi="Times New Roman" w:eastAsia="宋体" w:cs="Times New Roman"/>
                <w:b/>
                <w:bCs/>
                <w:color w:val="auto"/>
                <w:sz w:val="21"/>
                <w:szCs w:val="21"/>
                <w:lang w:val="en-US" w:eastAsia="zh-CN"/>
              </w:rPr>
              <w:t>4-5</w:t>
            </w:r>
            <w:r>
              <w:rPr>
                <w:rFonts w:hint="default" w:ascii="Times New Roman" w:hAnsi="Times New Roman" w:eastAsia="宋体" w:cs="Times New Roman"/>
                <w:b/>
                <w:bCs/>
                <w:color w:val="auto"/>
                <w:sz w:val="21"/>
                <w:szCs w:val="21"/>
                <w:lang w:val="en-US" w:eastAsia="zh-CN"/>
              </w:rPr>
              <w:t xml:space="preserve"> </w:t>
            </w:r>
            <w:r>
              <w:rPr>
                <w:rFonts w:hint="eastAsia" w:ascii="Times New Roman" w:hAnsi="Times New Roman" w:eastAsia="宋体" w:cs="Times New Roman"/>
                <w:b/>
                <w:bCs/>
                <w:color w:val="auto"/>
                <w:sz w:val="21"/>
                <w:szCs w:val="21"/>
                <w:lang w:val="en-US" w:eastAsia="zh-CN"/>
              </w:rPr>
              <w:t xml:space="preserve"> </w:t>
            </w:r>
            <w:r>
              <w:rPr>
                <w:rFonts w:hint="default" w:ascii="Times New Roman" w:hAnsi="Times New Roman" w:eastAsia="宋体" w:cs="Times New Roman"/>
                <w:b/>
                <w:bCs/>
                <w:color w:val="auto"/>
                <w:sz w:val="21"/>
                <w:szCs w:val="21"/>
                <w:lang w:val="en-US" w:eastAsia="zh-CN"/>
              </w:rPr>
              <w:t>本项目主要噪声源强一览表（室</w:t>
            </w:r>
            <w:r>
              <w:rPr>
                <w:rFonts w:hint="eastAsia" w:ascii="Times New Roman" w:hAnsi="Times New Roman" w:eastAsia="宋体" w:cs="Times New Roman"/>
                <w:b/>
                <w:bCs/>
                <w:color w:val="auto"/>
                <w:sz w:val="21"/>
                <w:szCs w:val="21"/>
                <w:lang w:val="en-US" w:eastAsia="zh-CN"/>
              </w:rPr>
              <w:t>内</w:t>
            </w:r>
            <w:r>
              <w:rPr>
                <w:rFonts w:hint="default" w:ascii="Times New Roman" w:hAnsi="Times New Roman" w:eastAsia="宋体" w:cs="Times New Roman"/>
                <w:b/>
                <w:bCs/>
                <w:color w:val="auto"/>
                <w:sz w:val="21"/>
                <w:szCs w:val="21"/>
                <w:lang w:val="en-US" w:eastAsia="zh-CN"/>
              </w:rPr>
              <w:t>）</w:t>
            </w:r>
          </w:p>
          <w:tbl>
            <w:tblPr>
              <w:tblStyle w:val="25"/>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49"/>
              <w:gridCol w:w="373"/>
              <w:gridCol w:w="720"/>
              <w:gridCol w:w="477"/>
              <w:gridCol w:w="582"/>
              <w:gridCol w:w="635"/>
              <w:gridCol w:w="553"/>
              <w:gridCol w:w="658"/>
              <w:gridCol w:w="373"/>
              <w:gridCol w:w="544"/>
              <w:gridCol w:w="582"/>
              <w:gridCol w:w="452"/>
              <w:gridCol w:w="640"/>
              <w:gridCol w:w="582"/>
              <w:gridCol w:w="449"/>
            </w:tblGrid>
            <w:tr w14:paraId="1F3E6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72" w:type="pct"/>
                  <w:vMerge w:val="restart"/>
                  <w:tcBorders>
                    <w:tl2br w:val="nil"/>
                    <w:tr2bl w:val="nil"/>
                  </w:tcBorders>
                  <w:noWrap w:val="0"/>
                  <w:vAlign w:val="center"/>
                </w:tcPr>
                <w:p w14:paraId="6CF85D9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序号</w:t>
                  </w:r>
                </w:p>
              </w:tc>
              <w:tc>
                <w:tcPr>
                  <w:tcW w:w="251" w:type="pct"/>
                  <w:vMerge w:val="restart"/>
                  <w:tcBorders>
                    <w:tl2br w:val="nil"/>
                    <w:tr2bl w:val="nil"/>
                  </w:tcBorders>
                  <w:noWrap w:val="0"/>
                  <w:vAlign w:val="center"/>
                </w:tcPr>
                <w:p w14:paraId="23C813B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建筑物名称</w:t>
                  </w:r>
                </w:p>
              </w:tc>
              <w:tc>
                <w:tcPr>
                  <w:tcW w:w="471" w:type="pct"/>
                  <w:vMerge w:val="restart"/>
                  <w:tcBorders>
                    <w:tl2br w:val="nil"/>
                    <w:tr2bl w:val="nil"/>
                  </w:tcBorders>
                  <w:noWrap w:val="0"/>
                  <w:vAlign w:val="center"/>
                </w:tcPr>
                <w:p w14:paraId="08EA0E5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声源名称</w:t>
                  </w:r>
                </w:p>
              </w:tc>
              <w:tc>
                <w:tcPr>
                  <w:tcW w:w="317" w:type="pct"/>
                  <w:vMerge w:val="restart"/>
                  <w:tcBorders>
                    <w:tl2br w:val="nil"/>
                    <w:tr2bl w:val="nil"/>
                  </w:tcBorders>
                  <w:noWrap w:val="0"/>
                  <w:vAlign w:val="center"/>
                </w:tcPr>
                <w:p w14:paraId="1F41DCF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数量</w:t>
                  </w:r>
                </w:p>
              </w:tc>
              <w:tc>
                <w:tcPr>
                  <w:tcW w:w="351" w:type="pct"/>
                  <w:vMerge w:val="restart"/>
                  <w:tcBorders>
                    <w:tl2br w:val="nil"/>
                    <w:tr2bl w:val="nil"/>
                  </w:tcBorders>
                  <w:noWrap w:val="0"/>
                  <w:vAlign w:val="center"/>
                </w:tcPr>
                <w:p w14:paraId="71D0011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声源源强dB（A）</w:t>
                  </w:r>
                </w:p>
              </w:tc>
              <w:tc>
                <w:tcPr>
                  <w:tcW w:w="417" w:type="pct"/>
                  <w:vMerge w:val="restart"/>
                  <w:tcBorders>
                    <w:tl2br w:val="nil"/>
                    <w:tr2bl w:val="nil"/>
                  </w:tcBorders>
                  <w:noWrap w:val="0"/>
                  <w:vAlign w:val="center"/>
                </w:tcPr>
                <w:p w14:paraId="44EC77E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声源控制措施</w:t>
                  </w:r>
                </w:p>
              </w:tc>
              <w:tc>
                <w:tcPr>
                  <w:tcW w:w="917" w:type="pct"/>
                  <w:gridSpan w:val="3"/>
                  <w:tcBorders>
                    <w:tl2br w:val="nil"/>
                    <w:tr2bl w:val="nil"/>
                  </w:tcBorders>
                  <w:noWrap w:val="0"/>
                  <w:vAlign w:val="center"/>
                </w:tcPr>
                <w:p w14:paraId="5DE90EA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空间相对位置/m</w:t>
                  </w:r>
                </w:p>
              </w:tc>
              <w:tc>
                <w:tcPr>
                  <w:tcW w:w="359" w:type="pct"/>
                  <w:vMerge w:val="restart"/>
                  <w:tcBorders>
                    <w:tl2br w:val="nil"/>
                    <w:tr2bl w:val="nil"/>
                  </w:tcBorders>
                  <w:noWrap w:val="0"/>
                  <w:vAlign w:val="center"/>
                </w:tcPr>
                <w:p w14:paraId="61643A4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距室内边界距离/m</w:t>
                  </w:r>
                </w:p>
              </w:tc>
              <w:tc>
                <w:tcPr>
                  <w:tcW w:w="351" w:type="pct"/>
                  <w:vMerge w:val="restart"/>
                  <w:tcBorders>
                    <w:tl2br w:val="nil"/>
                    <w:tr2bl w:val="nil"/>
                  </w:tcBorders>
                  <w:noWrap w:val="0"/>
                  <w:vAlign w:val="center"/>
                </w:tcPr>
                <w:p w14:paraId="2BC6706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室内边界声级/dB（A）</w:t>
                  </w:r>
                </w:p>
              </w:tc>
              <w:tc>
                <w:tcPr>
                  <w:tcW w:w="301" w:type="pct"/>
                  <w:vMerge w:val="restart"/>
                  <w:tcBorders>
                    <w:tl2br w:val="nil"/>
                    <w:tr2bl w:val="nil"/>
                  </w:tcBorders>
                  <w:noWrap w:val="0"/>
                  <w:vAlign w:val="center"/>
                </w:tcPr>
                <w:p w14:paraId="456C4B1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运行时段</w:t>
                  </w:r>
                </w:p>
              </w:tc>
              <w:tc>
                <w:tcPr>
                  <w:tcW w:w="420" w:type="pct"/>
                  <w:vMerge w:val="restart"/>
                  <w:tcBorders>
                    <w:tl2br w:val="nil"/>
                    <w:tr2bl w:val="nil"/>
                  </w:tcBorders>
                  <w:noWrap w:val="0"/>
                  <w:vAlign w:val="center"/>
                </w:tcPr>
                <w:p w14:paraId="3FF1F80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建筑物插入损失/dB（A、有窗）</w:t>
                  </w:r>
                </w:p>
              </w:tc>
              <w:tc>
                <w:tcPr>
                  <w:tcW w:w="667" w:type="pct"/>
                  <w:gridSpan w:val="2"/>
                  <w:tcBorders>
                    <w:tl2br w:val="nil"/>
                    <w:tr2bl w:val="nil"/>
                  </w:tcBorders>
                  <w:noWrap w:val="0"/>
                  <w:vAlign w:val="center"/>
                </w:tcPr>
                <w:p w14:paraId="28C9209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建筑物外噪声</w:t>
                  </w:r>
                </w:p>
              </w:tc>
            </w:tr>
            <w:tr w14:paraId="58CE7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72" w:type="pct"/>
                  <w:vMerge w:val="continue"/>
                  <w:tcBorders>
                    <w:tl2br w:val="nil"/>
                    <w:tr2bl w:val="nil"/>
                  </w:tcBorders>
                  <w:noWrap w:val="0"/>
                  <w:vAlign w:val="center"/>
                </w:tcPr>
                <w:p w14:paraId="3ACD9FA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251" w:type="pct"/>
                  <w:vMerge w:val="continue"/>
                  <w:tcBorders>
                    <w:tl2br w:val="nil"/>
                    <w:tr2bl w:val="nil"/>
                  </w:tcBorders>
                  <w:noWrap w:val="0"/>
                  <w:vAlign w:val="center"/>
                </w:tcPr>
                <w:p w14:paraId="50D3CF3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471" w:type="pct"/>
                  <w:vMerge w:val="continue"/>
                  <w:tcBorders>
                    <w:tl2br w:val="nil"/>
                    <w:tr2bl w:val="nil"/>
                  </w:tcBorders>
                  <w:noWrap w:val="0"/>
                  <w:vAlign w:val="center"/>
                </w:tcPr>
                <w:p w14:paraId="2944062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317" w:type="pct"/>
                  <w:vMerge w:val="continue"/>
                  <w:tcBorders>
                    <w:tl2br w:val="nil"/>
                    <w:tr2bl w:val="nil"/>
                  </w:tcBorders>
                  <w:noWrap w:val="0"/>
                  <w:vAlign w:val="center"/>
                </w:tcPr>
                <w:p w14:paraId="22B2199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351" w:type="pct"/>
                  <w:vMerge w:val="continue"/>
                  <w:tcBorders>
                    <w:tl2br w:val="nil"/>
                    <w:tr2bl w:val="nil"/>
                  </w:tcBorders>
                  <w:noWrap w:val="0"/>
                  <w:vAlign w:val="center"/>
                </w:tcPr>
                <w:p w14:paraId="7CE8CBB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417" w:type="pct"/>
                  <w:vMerge w:val="continue"/>
                  <w:tcBorders>
                    <w:tl2br w:val="nil"/>
                    <w:tr2bl w:val="nil"/>
                  </w:tcBorders>
                  <w:noWrap w:val="0"/>
                  <w:vAlign w:val="center"/>
                </w:tcPr>
                <w:p w14:paraId="2273009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333" w:type="pct"/>
                  <w:tcBorders>
                    <w:tl2br w:val="nil"/>
                    <w:tr2bl w:val="nil"/>
                  </w:tcBorders>
                  <w:noWrap w:val="0"/>
                  <w:vAlign w:val="center"/>
                </w:tcPr>
                <w:p w14:paraId="440D2F5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X</w:t>
                  </w:r>
                </w:p>
              </w:tc>
              <w:tc>
                <w:tcPr>
                  <w:tcW w:w="333" w:type="pct"/>
                  <w:tcBorders>
                    <w:tl2br w:val="nil"/>
                    <w:tr2bl w:val="nil"/>
                  </w:tcBorders>
                  <w:noWrap w:val="0"/>
                  <w:vAlign w:val="center"/>
                </w:tcPr>
                <w:p w14:paraId="2142959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Y</w:t>
                  </w:r>
                </w:p>
              </w:tc>
              <w:tc>
                <w:tcPr>
                  <w:tcW w:w="251" w:type="pct"/>
                  <w:tcBorders>
                    <w:tl2br w:val="nil"/>
                    <w:tr2bl w:val="nil"/>
                  </w:tcBorders>
                  <w:noWrap w:val="0"/>
                  <w:vAlign w:val="center"/>
                </w:tcPr>
                <w:p w14:paraId="190BEFF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Z</w:t>
                  </w:r>
                </w:p>
              </w:tc>
              <w:tc>
                <w:tcPr>
                  <w:tcW w:w="359" w:type="pct"/>
                  <w:vMerge w:val="continue"/>
                  <w:tcBorders>
                    <w:tl2br w:val="nil"/>
                    <w:tr2bl w:val="nil"/>
                  </w:tcBorders>
                  <w:noWrap w:val="0"/>
                  <w:vAlign w:val="center"/>
                </w:tcPr>
                <w:p w14:paraId="59DFF63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351" w:type="pct"/>
                  <w:vMerge w:val="continue"/>
                  <w:tcBorders>
                    <w:tl2br w:val="nil"/>
                    <w:tr2bl w:val="nil"/>
                  </w:tcBorders>
                  <w:noWrap w:val="0"/>
                  <w:vAlign w:val="center"/>
                </w:tcPr>
                <w:p w14:paraId="3986A48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301" w:type="pct"/>
                  <w:vMerge w:val="continue"/>
                  <w:tcBorders>
                    <w:tl2br w:val="nil"/>
                    <w:tr2bl w:val="nil"/>
                  </w:tcBorders>
                  <w:noWrap w:val="0"/>
                  <w:vAlign w:val="center"/>
                </w:tcPr>
                <w:p w14:paraId="0D12587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420" w:type="pct"/>
                  <w:vMerge w:val="continue"/>
                  <w:tcBorders>
                    <w:tl2br w:val="nil"/>
                    <w:tr2bl w:val="nil"/>
                  </w:tcBorders>
                  <w:noWrap w:val="0"/>
                  <w:vAlign w:val="center"/>
                </w:tcPr>
                <w:p w14:paraId="50C0A44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369" w:type="pct"/>
                  <w:tcBorders>
                    <w:tl2br w:val="nil"/>
                    <w:tr2bl w:val="nil"/>
                  </w:tcBorders>
                  <w:noWrap w:val="0"/>
                  <w:vAlign w:val="center"/>
                </w:tcPr>
                <w:p w14:paraId="571837A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声压级/dB（A）</w:t>
                  </w:r>
                </w:p>
              </w:tc>
              <w:tc>
                <w:tcPr>
                  <w:tcW w:w="297" w:type="pct"/>
                  <w:tcBorders>
                    <w:tl2br w:val="nil"/>
                    <w:tr2bl w:val="nil"/>
                  </w:tcBorders>
                  <w:noWrap w:val="0"/>
                  <w:vAlign w:val="center"/>
                </w:tcPr>
                <w:p w14:paraId="72BDBE8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建筑物外距离</w:t>
                  </w:r>
                </w:p>
              </w:tc>
            </w:tr>
            <w:tr w14:paraId="455F7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72" w:type="pct"/>
                  <w:tcBorders>
                    <w:tl2br w:val="nil"/>
                    <w:tr2bl w:val="nil"/>
                  </w:tcBorders>
                  <w:noWrap w:val="0"/>
                  <w:vAlign w:val="center"/>
                </w:tcPr>
                <w:p w14:paraId="3AFB9B8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w:t>
                  </w:r>
                </w:p>
              </w:tc>
              <w:tc>
                <w:tcPr>
                  <w:tcW w:w="251" w:type="pct"/>
                  <w:vMerge w:val="restart"/>
                  <w:tcBorders>
                    <w:tl2br w:val="nil"/>
                    <w:tr2bl w:val="nil"/>
                  </w:tcBorders>
                  <w:noWrap w:val="0"/>
                  <w:vAlign w:val="center"/>
                </w:tcPr>
                <w:p w14:paraId="4C8F0C1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洗煤车间</w:t>
                  </w:r>
                </w:p>
              </w:tc>
              <w:tc>
                <w:tcPr>
                  <w:tcW w:w="471" w:type="pct"/>
                  <w:tcBorders>
                    <w:tl2br w:val="nil"/>
                    <w:tr2bl w:val="nil"/>
                  </w:tcBorders>
                  <w:noWrap w:val="0"/>
                  <w:vAlign w:val="center"/>
                </w:tcPr>
                <w:p w14:paraId="03FCD7C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cs="Times New Roman"/>
                      <w:color w:val="auto"/>
                      <w:sz w:val="21"/>
                      <w:szCs w:val="21"/>
                      <w:lang w:val="en-US" w:eastAsia="zh-CN" w:bidi="ar-SA"/>
                    </w:rPr>
                  </w:pPr>
                  <w:r>
                    <w:rPr>
                      <w:rFonts w:hint="default" w:ascii="Times New Roman" w:hAnsi="Times New Roman" w:eastAsia="宋体" w:cs="Times New Roman"/>
                      <w:b w:val="0"/>
                      <w:bCs w:val="0"/>
                      <w:i w:val="0"/>
                      <w:iCs w:val="0"/>
                      <w:color w:val="000000"/>
                      <w:kern w:val="0"/>
                      <w:sz w:val="21"/>
                      <w:szCs w:val="21"/>
                      <w:u w:val="none"/>
                      <w:lang w:val="en-US" w:eastAsia="zh-CN" w:bidi="ar"/>
                    </w:rPr>
                    <w:t>离心清水泵</w:t>
                  </w:r>
                </w:p>
              </w:tc>
              <w:tc>
                <w:tcPr>
                  <w:tcW w:w="317" w:type="pct"/>
                  <w:tcBorders>
                    <w:tl2br w:val="nil"/>
                    <w:tr2bl w:val="nil"/>
                  </w:tcBorders>
                  <w:noWrap w:val="0"/>
                  <w:vAlign w:val="center"/>
                </w:tcPr>
                <w:p w14:paraId="0A25A9CD">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default" w:ascii="Times New Roman" w:hAnsi="Times New Roman" w:cs="Times New Roman"/>
                      <w:color w:val="auto"/>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351" w:type="pct"/>
                  <w:tcBorders>
                    <w:tl2br w:val="nil"/>
                    <w:tr2bl w:val="nil"/>
                  </w:tcBorders>
                  <w:noWrap w:val="0"/>
                  <w:vAlign w:val="center"/>
                </w:tcPr>
                <w:p w14:paraId="611B3AF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80</w:t>
                  </w:r>
                </w:p>
              </w:tc>
              <w:tc>
                <w:tcPr>
                  <w:tcW w:w="417" w:type="pct"/>
                  <w:vMerge w:val="restart"/>
                  <w:tcBorders>
                    <w:tl2br w:val="nil"/>
                    <w:tr2bl w:val="nil"/>
                  </w:tcBorders>
                  <w:noWrap w:val="0"/>
                  <w:vAlign w:val="center"/>
                </w:tcPr>
                <w:p w14:paraId="25C7A43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消声，减振，噪声源设置在厂房内、利用平面布置使高噪声远离厂界</w:t>
                  </w:r>
                </w:p>
              </w:tc>
              <w:tc>
                <w:tcPr>
                  <w:tcW w:w="333" w:type="pct"/>
                  <w:tcBorders>
                    <w:tl2br w:val="nil"/>
                    <w:tr2bl w:val="nil"/>
                  </w:tcBorders>
                  <w:noWrap w:val="0"/>
                  <w:vAlign w:val="center"/>
                </w:tcPr>
                <w:p w14:paraId="55C99E8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-19.55</w:t>
                  </w:r>
                </w:p>
              </w:tc>
              <w:tc>
                <w:tcPr>
                  <w:tcW w:w="333" w:type="pct"/>
                  <w:tcBorders>
                    <w:tl2br w:val="nil"/>
                    <w:tr2bl w:val="nil"/>
                  </w:tcBorders>
                  <w:noWrap w:val="0"/>
                  <w:vAlign w:val="center"/>
                </w:tcPr>
                <w:p w14:paraId="08ECD35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-128.99</w:t>
                  </w:r>
                </w:p>
              </w:tc>
              <w:tc>
                <w:tcPr>
                  <w:tcW w:w="251" w:type="pct"/>
                  <w:tcBorders>
                    <w:tl2br w:val="nil"/>
                    <w:tr2bl w:val="nil"/>
                  </w:tcBorders>
                  <w:noWrap w:val="0"/>
                  <w:vAlign w:val="center"/>
                </w:tcPr>
                <w:p w14:paraId="274EF6E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w:t>
                  </w:r>
                </w:p>
              </w:tc>
              <w:tc>
                <w:tcPr>
                  <w:tcW w:w="359" w:type="pct"/>
                  <w:tcBorders>
                    <w:tl2br w:val="nil"/>
                    <w:tr2bl w:val="nil"/>
                  </w:tcBorders>
                  <w:noWrap w:val="0"/>
                  <w:vAlign w:val="center"/>
                </w:tcPr>
                <w:p w14:paraId="75EEAF6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w:t>
                  </w:r>
                </w:p>
              </w:tc>
              <w:tc>
                <w:tcPr>
                  <w:tcW w:w="351" w:type="pct"/>
                  <w:tcBorders>
                    <w:tl2br w:val="nil"/>
                    <w:tr2bl w:val="nil"/>
                  </w:tcBorders>
                  <w:noWrap w:val="0"/>
                  <w:vAlign w:val="center"/>
                </w:tcPr>
                <w:p w14:paraId="5763B91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47.8</w:t>
                  </w:r>
                </w:p>
              </w:tc>
              <w:tc>
                <w:tcPr>
                  <w:tcW w:w="301" w:type="pct"/>
                  <w:vMerge w:val="restart"/>
                  <w:tcBorders>
                    <w:tl2br w:val="nil"/>
                    <w:tr2bl w:val="nil"/>
                  </w:tcBorders>
                  <w:noWrap w:val="0"/>
                  <w:vAlign w:val="center"/>
                </w:tcPr>
                <w:p w14:paraId="1D01F6C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昼</w:t>
                  </w:r>
                  <w:r>
                    <w:rPr>
                      <w:rFonts w:hint="eastAsia" w:ascii="Times New Roman" w:hAnsi="Times New Roman" w:eastAsia="宋体" w:cs="Times New Roman"/>
                      <w:color w:val="auto"/>
                      <w:sz w:val="21"/>
                      <w:szCs w:val="21"/>
                      <w:lang w:val="en-US" w:eastAsia="zh-CN"/>
                    </w:rPr>
                    <w:t>间</w:t>
                  </w:r>
                </w:p>
                <w:p w14:paraId="7AE54E7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频发</w:t>
                  </w:r>
                </w:p>
              </w:tc>
              <w:tc>
                <w:tcPr>
                  <w:tcW w:w="420" w:type="pct"/>
                  <w:tcBorders>
                    <w:tl2br w:val="nil"/>
                    <w:tr2bl w:val="nil"/>
                  </w:tcBorders>
                  <w:noWrap w:val="0"/>
                  <w:vAlign w:val="center"/>
                </w:tcPr>
                <w:p w14:paraId="4C31C7C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20</w:t>
                  </w:r>
                </w:p>
              </w:tc>
              <w:tc>
                <w:tcPr>
                  <w:tcW w:w="369" w:type="pct"/>
                  <w:tcBorders>
                    <w:tl2br w:val="nil"/>
                    <w:tr2bl w:val="nil"/>
                  </w:tcBorders>
                  <w:noWrap w:val="0"/>
                  <w:vAlign w:val="center"/>
                </w:tcPr>
                <w:p w14:paraId="17F2D39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27.8</w:t>
                  </w:r>
                </w:p>
              </w:tc>
              <w:tc>
                <w:tcPr>
                  <w:tcW w:w="297" w:type="pct"/>
                  <w:vMerge w:val="restart"/>
                  <w:tcBorders>
                    <w:tl2br w:val="nil"/>
                    <w:tr2bl w:val="nil"/>
                  </w:tcBorders>
                  <w:noWrap w:val="0"/>
                  <w:vAlign w:val="center"/>
                </w:tcPr>
                <w:p w14:paraId="55912C7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w:t>
                  </w:r>
                </w:p>
              </w:tc>
            </w:tr>
            <w:tr w14:paraId="4FD91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72" w:type="pct"/>
                  <w:tcBorders>
                    <w:tl2br w:val="nil"/>
                    <w:tr2bl w:val="nil"/>
                  </w:tcBorders>
                  <w:noWrap w:val="0"/>
                  <w:vAlign w:val="center"/>
                </w:tcPr>
                <w:p w14:paraId="4F5784E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w:t>
                  </w:r>
                </w:p>
              </w:tc>
              <w:tc>
                <w:tcPr>
                  <w:tcW w:w="251" w:type="pct"/>
                  <w:vMerge w:val="continue"/>
                  <w:tcBorders>
                    <w:tl2br w:val="nil"/>
                    <w:tr2bl w:val="nil"/>
                  </w:tcBorders>
                  <w:noWrap w:val="0"/>
                  <w:vAlign w:val="center"/>
                </w:tcPr>
                <w:p w14:paraId="64DE421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471" w:type="pct"/>
                  <w:tcBorders>
                    <w:tl2br w:val="nil"/>
                    <w:tr2bl w:val="nil"/>
                  </w:tcBorders>
                  <w:noWrap w:val="0"/>
                  <w:vAlign w:val="center"/>
                </w:tcPr>
                <w:p w14:paraId="5665521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cs="Times New Roman"/>
                      <w:color w:val="auto"/>
                      <w:sz w:val="21"/>
                      <w:szCs w:val="21"/>
                      <w:lang w:val="en-US" w:eastAsia="zh-CN" w:bidi="ar-SA"/>
                    </w:rPr>
                  </w:pPr>
                  <w:r>
                    <w:rPr>
                      <w:rFonts w:hint="default" w:ascii="Times New Roman" w:hAnsi="Times New Roman" w:eastAsia="宋体" w:cs="Times New Roman"/>
                      <w:b w:val="0"/>
                      <w:bCs w:val="0"/>
                      <w:i w:val="0"/>
                      <w:iCs w:val="0"/>
                      <w:color w:val="000000"/>
                      <w:kern w:val="0"/>
                      <w:sz w:val="21"/>
                      <w:szCs w:val="21"/>
                      <w:u w:val="none"/>
                      <w:lang w:val="en-US" w:eastAsia="zh-CN" w:bidi="ar"/>
                    </w:rPr>
                    <w:t>除杂脱水筛</w:t>
                  </w:r>
                </w:p>
              </w:tc>
              <w:tc>
                <w:tcPr>
                  <w:tcW w:w="317" w:type="pct"/>
                  <w:tcBorders>
                    <w:tl2br w:val="nil"/>
                    <w:tr2bl w:val="nil"/>
                  </w:tcBorders>
                  <w:noWrap w:val="0"/>
                  <w:vAlign w:val="center"/>
                </w:tcPr>
                <w:p w14:paraId="63EC5AED">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default" w:ascii="Times New Roman" w:hAnsi="Times New Roman" w:cs="Times New Roman"/>
                      <w:color w:val="auto"/>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351" w:type="pct"/>
                  <w:tcBorders>
                    <w:tl2br w:val="nil"/>
                    <w:tr2bl w:val="nil"/>
                  </w:tcBorders>
                  <w:noWrap w:val="0"/>
                  <w:vAlign w:val="center"/>
                </w:tcPr>
                <w:p w14:paraId="6577E24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75</w:t>
                  </w:r>
                </w:p>
              </w:tc>
              <w:tc>
                <w:tcPr>
                  <w:tcW w:w="417" w:type="pct"/>
                  <w:vMerge w:val="continue"/>
                  <w:tcBorders>
                    <w:tl2br w:val="nil"/>
                    <w:tr2bl w:val="nil"/>
                  </w:tcBorders>
                  <w:noWrap w:val="0"/>
                  <w:vAlign w:val="center"/>
                </w:tcPr>
                <w:p w14:paraId="50C91FC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333" w:type="pct"/>
                  <w:tcBorders>
                    <w:tl2br w:val="nil"/>
                    <w:tr2bl w:val="nil"/>
                  </w:tcBorders>
                  <w:noWrap w:val="0"/>
                  <w:vAlign w:val="center"/>
                </w:tcPr>
                <w:p w14:paraId="3ED975F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11.79</w:t>
                  </w:r>
                </w:p>
              </w:tc>
              <w:tc>
                <w:tcPr>
                  <w:tcW w:w="333" w:type="pct"/>
                  <w:tcBorders>
                    <w:tl2br w:val="nil"/>
                    <w:tr2bl w:val="nil"/>
                  </w:tcBorders>
                  <w:noWrap w:val="0"/>
                  <w:vAlign w:val="center"/>
                </w:tcPr>
                <w:p w14:paraId="1B76022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-124.10</w:t>
                  </w:r>
                </w:p>
              </w:tc>
              <w:tc>
                <w:tcPr>
                  <w:tcW w:w="251" w:type="pct"/>
                  <w:tcBorders>
                    <w:tl2br w:val="nil"/>
                    <w:tr2bl w:val="nil"/>
                  </w:tcBorders>
                  <w:noWrap w:val="0"/>
                  <w:vAlign w:val="center"/>
                </w:tcPr>
                <w:p w14:paraId="48891B7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1</w:t>
                  </w:r>
                </w:p>
              </w:tc>
              <w:tc>
                <w:tcPr>
                  <w:tcW w:w="359" w:type="pct"/>
                  <w:tcBorders>
                    <w:tl2br w:val="nil"/>
                    <w:tr2bl w:val="nil"/>
                  </w:tcBorders>
                  <w:noWrap w:val="0"/>
                  <w:vAlign w:val="center"/>
                </w:tcPr>
                <w:p w14:paraId="473BB2F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7</w:t>
                  </w:r>
                </w:p>
              </w:tc>
              <w:tc>
                <w:tcPr>
                  <w:tcW w:w="351" w:type="pct"/>
                  <w:tcBorders>
                    <w:tl2br w:val="nil"/>
                    <w:tr2bl w:val="nil"/>
                  </w:tcBorders>
                  <w:noWrap w:val="0"/>
                  <w:vAlign w:val="center"/>
                </w:tcPr>
                <w:p w14:paraId="0C3C50C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47.8</w:t>
                  </w:r>
                </w:p>
              </w:tc>
              <w:tc>
                <w:tcPr>
                  <w:tcW w:w="301" w:type="pct"/>
                  <w:vMerge w:val="continue"/>
                  <w:tcBorders>
                    <w:tl2br w:val="nil"/>
                    <w:tr2bl w:val="nil"/>
                  </w:tcBorders>
                  <w:noWrap w:val="0"/>
                  <w:vAlign w:val="center"/>
                </w:tcPr>
                <w:p w14:paraId="3D41779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420" w:type="pct"/>
                  <w:tcBorders>
                    <w:tl2br w:val="nil"/>
                    <w:tr2bl w:val="nil"/>
                  </w:tcBorders>
                  <w:noWrap w:val="0"/>
                  <w:vAlign w:val="center"/>
                </w:tcPr>
                <w:p w14:paraId="0D9062A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20</w:t>
                  </w:r>
                </w:p>
              </w:tc>
              <w:tc>
                <w:tcPr>
                  <w:tcW w:w="369" w:type="pct"/>
                  <w:tcBorders>
                    <w:tl2br w:val="nil"/>
                    <w:tr2bl w:val="nil"/>
                  </w:tcBorders>
                  <w:noWrap w:val="0"/>
                  <w:vAlign w:val="center"/>
                </w:tcPr>
                <w:p w14:paraId="7D8E629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27.8</w:t>
                  </w:r>
                </w:p>
              </w:tc>
              <w:tc>
                <w:tcPr>
                  <w:tcW w:w="297" w:type="pct"/>
                  <w:vMerge w:val="continue"/>
                  <w:tcBorders>
                    <w:tl2br w:val="nil"/>
                    <w:tr2bl w:val="nil"/>
                  </w:tcBorders>
                  <w:noWrap w:val="0"/>
                  <w:vAlign w:val="center"/>
                </w:tcPr>
                <w:p w14:paraId="0582429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r>
            <w:tr w14:paraId="261B0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72" w:type="pct"/>
                  <w:tcBorders>
                    <w:tl2br w:val="nil"/>
                    <w:tr2bl w:val="nil"/>
                  </w:tcBorders>
                  <w:noWrap w:val="0"/>
                  <w:vAlign w:val="center"/>
                </w:tcPr>
                <w:p w14:paraId="1129ECE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w:t>
                  </w:r>
                </w:p>
              </w:tc>
              <w:tc>
                <w:tcPr>
                  <w:tcW w:w="251" w:type="pct"/>
                  <w:vMerge w:val="continue"/>
                  <w:tcBorders>
                    <w:tl2br w:val="nil"/>
                    <w:tr2bl w:val="nil"/>
                  </w:tcBorders>
                  <w:noWrap w:val="0"/>
                  <w:vAlign w:val="center"/>
                </w:tcPr>
                <w:p w14:paraId="0B5A2B9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471" w:type="pct"/>
                  <w:tcBorders>
                    <w:tl2br w:val="nil"/>
                    <w:tr2bl w:val="nil"/>
                  </w:tcBorders>
                  <w:noWrap w:val="0"/>
                  <w:vAlign w:val="center"/>
                </w:tcPr>
                <w:p w14:paraId="467C78B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cs="Times New Roman"/>
                      <w:color w:val="auto"/>
                      <w:sz w:val="21"/>
                      <w:szCs w:val="21"/>
                      <w:lang w:val="en-US" w:eastAsia="zh-CN" w:bidi="ar-SA"/>
                    </w:rPr>
                  </w:pPr>
                  <w:r>
                    <w:rPr>
                      <w:rFonts w:hint="default" w:ascii="Times New Roman" w:hAnsi="Times New Roman" w:eastAsia="宋体" w:cs="Times New Roman"/>
                      <w:b w:val="0"/>
                      <w:bCs w:val="0"/>
                      <w:i w:val="0"/>
                      <w:iCs w:val="0"/>
                      <w:color w:val="000000"/>
                      <w:kern w:val="0"/>
                      <w:sz w:val="21"/>
                      <w:szCs w:val="21"/>
                      <w:u w:val="none"/>
                      <w:lang w:val="en-US" w:eastAsia="zh-CN" w:bidi="ar"/>
                    </w:rPr>
                    <w:t>旋流器入料渣浆泵</w:t>
                  </w:r>
                </w:p>
              </w:tc>
              <w:tc>
                <w:tcPr>
                  <w:tcW w:w="317" w:type="pct"/>
                  <w:tcBorders>
                    <w:tl2br w:val="nil"/>
                    <w:tr2bl w:val="nil"/>
                  </w:tcBorders>
                  <w:noWrap w:val="0"/>
                  <w:vAlign w:val="center"/>
                </w:tcPr>
                <w:p w14:paraId="740C2985">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default" w:ascii="Times New Roman" w:hAnsi="Times New Roman" w:cs="Times New Roman"/>
                      <w:color w:val="auto"/>
                      <w:sz w:val="21"/>
                      <w:szCs w:val="21"/>
                      <w:lang w:val="en-US" w:eastAsia="zh-CN" w:bidi="ar-SA"/>
                    </w:rPr>
                  </w:pPr>
                  <w:r>
                    <w:rPr>
                      <w:rFonts w:hint="eastAsia" w:ascii="Times New Roman" w:hAnsi="Times New Roman" w:eastAsia="宋体" w:cs="Times New Roman"/>
                      <w:i w:val="0"/>
                      <w:iCs w:val="0"/>
                      <w:color w:val="000000"/>
                      <w:kern w:val="0"/>
                      <w:sz w:val="21"/>
                      <w:szCs w:val="21"/>
                      <w:u w:val="none"/>
                      <w:lang w:val="en-US" w:eastAsia="zh-CN" w:bidi="ar"/>
                    </w:rPr>
                    <w:t>1</w:t>
                  </w:r>
                </w:p>
              </w:tc>
              <w:tc>
                <w:tcPr>
                  <w:tcW w:w="351" w:type="pct"/>
                  <w:tcBorders>
                    <w:tl2br w:val="nil"/>
                    <w:tr2bl w:val="nil"/>
                  </w:tcBorders>
                  <w:noWrap w:val="0"/>
                  <w:vAlign w:val="center"/>
                </w:tcPr>
                <w:p w14:paraId="2163642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75</w:t>
                  </w:r>
                </w:p>
              </w:tc>
              <w:tc>
                <w:tcPr>
                  <w:tcW w:w="417" w:type="pct"/>
                  <w:vMerge w:val="continue"/>
                  <w:tcBorders>
                    <w:tl2br w:val="nil"/>
                    <w:tr2bl w:val="nil"/>
                  </w:tcBorders>
                  <w:noWrap w:val="0"/>
                  <w:vAlign w:val="center"/>
                </w:tcPr>
                <w:p w14:paraId="24CDF4E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333" w:type="pct"/>
                  <w:tcBorders>
                    <w:tl2br w:val="nil"/>
                    <w:tr2bl w:val="nil"/>
                  </w:tcBorders>
                  <w:noWrap w:val="0"/>
                  <w:vAlign w:val="center"/>
                </w:tcPr>
                <w:p w14:paraId="09FC299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3.96</w:t>
                  </w:r>
                </w:p>
              </w:tc>
              <w:tc>
                <w:tcPr>
                  <w:tcW w:w="333" w:type="pct"/>
                  <w:tcBorders>
                    <w:tl2br w:val="nil"/>
                    <w:tr2bl w:val="nil"/>
                  </w:tcBorders>
                  <w:noWrap w:val="0"/>
                  <w:vAlign w:val="center"/>
                </w:tcPr>
                <w:p w14:paraId="287186C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-156.42</w:t>
                  </w:r>
                </w:p>
              </w:tc>
              <w:tc>
                <w:tcPr>
                  <w:tcW w:w="251" w:type="pct"/>
                  <w:tcBorders>
                    <w:tl2br w:val="nil"/>
                    <w:tr2bl w:val="nil"/>
                  </w:tcBorders>
                  <w:noWrap w:val="0"/>
                  <w:vAlign w:val="center"/>
                </w:tcPr>
                <w:p w14:paraId="5D3CF51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w:t>
                  </w:r>
                </w:p>
              </w:tc>
              <w:tc>
                <w:tcPr>
                  <w:tcW w:w="359" w:type="pct"/>
                  <w:tcBorders>
                    <w:tl2br w:val="nil"/>
                    <w:tr2bl w:val="nil"/>
                  </w:tcBorders>
                  <w:noWrap w:val="0"/>
                  <w:vAlign w:val="center"/>
                </w:tcPr>
                <w:p w14:paraId="5B08AB0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w:t>
                  </w:r>
                </w:p>
              </w:tc>
              <w:tc>
                <w:tcPr>
                  <w:tcW w:w="351" w:type="pct"/>
                  <w:tcBorders>
                    <w:tl2br w:val="nil"/>
                    <w:tr2bl w:val="nil"/>
                  </w:tcBorders>
                  <w:noWrap w:val="0"/>
                  <w:vAlign w:val="center"/>
                </w:tcPr>
                <w:p w14:paraId="10BB0E8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47.8</w:t>
                  </w:r>
                </w:p>
              </w:tc>
              <w:tc>
                <w:tcPr>
                  <w:tcW w:w="301" w:type="pct"/>
                  <w:vMerge w:val="continue"/>
                  <w:tcBorders>
                    <w:tl2br w:val="nil"/>
                    <w:tr2bl w:val="nil"/>
                  </w:tcBorders>
                  <w:noWrap w:val="0"/>
                  <w:vAlign w:val="center"/>
                </w:tcPr>
                <w:p w14:paraId="1081895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420" w:type="pct"/>
                  <w:tcBorders>
                    <w:tl2br w:val="nil"/>
                    <w:tr2bl w:val="nil"/>
                  </w:tcBorders>
                  <w:noWrap w:val="0"/>
                  <w:vAlign w:val="center"/>
                </w:tcPr>
                <w:p w14:paraId="4B4C150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20</w:t>
                  </w:r>
                </w:p>
              </w:tc>
              <w:tc>
                <w:tcPr>
                  <w:tcW w:w="369" w:type="pct"/>
                  <w:tcBorders>
                    <w:tl2br w:val="nil"/>
                    <w:tr2bl w:val="nil"/>
                  </w:tcBorders>
                  <w:noWrap w:val="0"/>
                  <w:vAlign w:val="center"/>
                </w:tcPr>
                <w:p w14:paraId="5A7F110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27.8</w:t>
                  </w:r>
                </w:p>
              </w:tc>
              <w:tc>
                <w:tcPr>
                  <w:tcW w:w="297" w:type="pct"/>
                  <w:vMerge w:val="continue"/>
                  <w:tcBorders>
                    <w:tl2br w:val="nil"/>
                    <w:tr2bl w:val="nil"/>
                  </w:tcBorders>
                  <w:noWrap w:val="0"/>
                  <w:vAlign w:val="center"/>
                </w:tcPr>
                <w:p w14:paraId="2784618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r>
            <w:tr w14:paraId="1029E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72" w:type="pct"/>
                  <w:tcBorders>
                    <w:tl2br w:val="nil"/>
                    <w:tr2bl w:val="nil"/>
                  </w:tcBorders>
                  <w:noWrap w:val="0"/>
                  <w:vAlign w:val="center"/>
                </w:tcPr>
                <w:p w14:paraId="1F7035E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w:t>
                  </w:r>
                </w:p>
              </w:tc>
              <w:tc>
                <w:tcPr>
                  <w:tcW w:w="251" w:type="pct"/>
                  <w:vMerge w:val="continue"/>
                  <w:tcBorders>
                    <w:tl2br w:val="nil"/>
                    <w:tr2bl w:val="nil"/>
                  </w:tcBorders>
                  <w:noWrap w:val="0"/>
                  <w:vAlign w:val="center"/>
                </w:tcPr>
                <w:p w14:paraId="5012BDC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471" w:type="pct"/>
                  <w:tcBorders>
                    <w:tl2br w:val="nil"/>
                    <w:tr2bl w:val="nil"/>
                  </w:tcBorders>
                  <w:noWrap w:val="0"/>
                  <w:vAlign w:val="center"/>
                </w:tcPr>
                <w:p w14:paraId="34F54C7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cs="Times New Roman"/>
                      <w:color w:val="auto"/>
                      <w:sz w:val="21"/>
                      <w:szCs w:val="21"/>
                      <w:lang w:val="en-US" w:eastAsia="zh-CN" w:bidi="ar-SA"/>
                    </w:rPr>
                  </w:pPr>
                  <w:r>
                    <w:rPr>
                      <w:rFonts w:hint="default" w:ascii="Times New Roman" w:hAnsi="Times New Roman" w:eastAsia="宋体" w:cs="Times New Roman"/>
                      <w:b w:val="0"/>
                      <w:bCs w:val="0"/>
                      <w:i w:val="0"/>
                      <w:iCs w:val="0"/>
                      <w:color w:val="000000"/>
                      <w:kern w:val="0"/>
                      <w:sz w:val="21"/>
                      <w:szCs w:val="21"/>
                      <w:u w:val="none"/>
                      <w:lang w:val="en-US" w:eastAsia="zh-CN" w:bidi="ar"/>
                    </w:rPr>
                    <w:t>一螺螺旋分离机</w:t>
                  </w:r>
                </w:p>
              </w:tc>
              <w:tc>
                <w:tcPr>
                  <w:tcW w:w="317" w:type="pct"/>
                  <w:tcBorders>
                    <w:tl2br w:val="nil"/>
                    <w:tr2bl w:val="nil"/>
                  </w:tcBorders>
                  <w:noWrap w:val="0"/>
                  <w:vAlign w:val="center"/>
                </w:tcPr>
                <w:p w14:paraId="15E529EE">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default" w:ascii="Times New Roman" w:hAnsi="Times New Roman" w:cs="Times New Roman"/>
                      <w:color w:val="auto"/>
                      <w:sz w:val="21"/>
                      <w:szCs w:val="21"/>
                      <w:lang w:val="en-US" w:eastAsia="zh-CN" w:bidi="ar-SA"/>
                    </w:rPr>
                  </w:pPr>
                  <w:r>
                    <w:rPr>
                      <w:rFonts w:hint="eastAsia" w:ascii="Times New Roman" w:hAnsi="Times New Roman" w:eastAsia="宋体" w:cs="Times New Roman"/>
                      <w:i w:val="0"/>
                      <w:iCs w:val="0"/>
                      <w:color w:val="000000"/>
                      <w:kern w:val="0"/>
                      <w:sz w:val="21"/>
                      <w:szCs w:val="21"/>
                      <w:u w:val="none"/>
                      <w:lang w:val="en-US" w:eastAsia="zh-CN" w:bidi="ar"/>
                    </w:rPr>
                    <w:t>12</w:t>
                  </w:r>
                </w:p>
              </w:tc>
              <w:tc>
                <w:tcPr>
                  <w:tcW w:w="351" w:type="pct"/>
                  <w:tcBorders>
                    <w:tl2br w:val="nil"/>
                    <w:tr2bl w:val="nil"/>
                  </w:tcBorders>
                  <w:noWrap w:val="0"/>
                  <w:vAlign w:val="center"/>
                </w:tcPr>
                <w:p w14:paraId="406F67C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75</w:t>
                  </w:r>
                </w:p>
              </w:tc>
              <w:tc>
                <w:tcPr>
                  <w:tcW w:w="417" w:type="pct"/>
                  <w:vMerge w:val="continue"/>
                  <w:tcBorders>
                    <w:tl2br w:val="nil"/>
                    <w:tr2bl w:val="nil"/>
                  </w:tcBorders>
                  <w:noWrap w:val="0"/>
                  <w:vAlign w:val="center"/>
                </w:tcPr>
                <w:p w14:paraId="7FA4421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333" w:type="pct"/>
                  <w:tcBorders>
                    <w:tl2br w:val="nil"/>
                    <w:tr2bl w:val="nil"/>
                  </w:tcBorders>
                  <w:noWrap w:val="0"/>
                  <w:vAlign w:val="center"/>
                </w:tcPr>
                <w:p w14:paraId="4B229F5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26.48</w:t>
                  </w:r>
                </w:p>
              </w:tc>
              <w:tc>
                <w:tcPr>
                  <w:tcW w:w="333" w:type="pct"/>
                  <w:tcBorders>
                    <w:tl2br w:val="nil"/>
                    <w:tr2bl w:val="nil"/>
                  </w:tcBorders>
                  <w:noWrap w:val="0"/>
                  <w:vAlign w:val="center"/>
                </w:tcPr>
                <w:p w14:paraId="72071E1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-108.43</w:t>
                  </w:r>
                </w:p>
              </w:tc>
              <w:tc>
                <w:tcPr>
                  <w:tcW w:w="251" w:type="pct"/>
                  <w:tcBorders>
                    <w:tl2br w:val="nil"/>
                    <w:tr2bl w:val="nil"/>
                  </w:tcBorders>
                  <w:noWrap w:val="0"/>
                  <w:vAlign w:val="center"/>
                </w:tcPr>
                <w:p w14:paraId="364170D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w:t>
                  </w:r>
                </w:p>
              </w:tc>
              <w:tc>
                <w:tcPr>
                  <w:tcW w:w="359" w:type="pct"/>
                  <w:tcBorders>
                    <w:tl2br w:val="nil"/>
                    <w:tr2bl w:val="nil"/>
                  </w:tcBorders>
                  <w:noWrap w:val="0"/>
                  <w:vAlign w:val="center"/>
                </w:tcPr>
                <w:p w14:paraId="2D41ACE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w:t>
                  </w:r>
                </w:p>
              </w:tc>
              <w:tc>
                <w:tcPr>
                  <w:tcW w:w="351" w:type="pct"/>
                  <w:tcBorders>
                    <w:tl2br w:val="nil"/>
                    <w:tr2bl w:val="nil"/>
                  </w:tcBorders>
                  <w:noWrap w:val="0"/>
                  <w:vAlign w:val="center"/>
                </w:tcPr>
                <w:p w14:paraId="0F24364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47.8</w:t>
                  </w:r>
                </w:p>
              </w:tc>
              <w:tc>
                <w:tcPr>
                  <w:tcW w:w="301" w:type="pct"/>
                  <w:vMerge w:val="continue"/>
                  <w:tcBorders>
                    <w:tl2br w:val="nil"/>
                    <w:tr2bl w:val="nil"/>
                  </w:tcBorders>
                  <w:noWrap w:val="0"/>
                  <w:vAlign w:val="center"/>
                </w:tcPr>
                <w:p w14:paraId="1302028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420" w:type="pct"/>
                  <w:tcBorders>
                    <w:tl2br w:val="nil"/>
                    <w:tr2bl w:val="nil"/>
                  </w:tcBorders>
                  <w:noWrap w:val="0"/>
                  <w:vAlign w:val="center"/>
                </w:tcPr>
                <w:p w14:paraId="2A50768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20</w:t>
                  </w:r>
                </w:p>
              </w:tc>
              <w:tc>
                <w:tcPr>
                  <w:tcW w:w="369" w:type="pct"/>
                  <w:tcBorders>
                    <w:tl2br w:val="nil"/>
                    <w:tr2bl w:val="nil"/>
                  </w:tcBorders>
                  <w:noWrap w:val="0"/>
                  <w:vAlign w:val="center"/>
                </w:tcPr>
                <w:p w14:paraId="49EE96F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27.8</w:t>
                  </w:r>
                </w:p>
              </w:tc>
              <w:tc>
                <w:tcPr>
                  <w:tcW w:w="297" w:type="pct"/>
                  <w:vMerge w:val="continue"/>
                  <w:tcBorders>
                    <w:tl2br w:val="nil"/>
                    <w:tr2bl w:val="nil"/>
                  </w:tcBorders>
                  <w:noWrap w:val="0"/>
                  <w:vAlign w:val="center"/>
                </w:tcPr>
                <w:p w14:paraId="343B24C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r>
            <w:tr w14:paraId="16EEC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72" w:type="pct"/>
                  <w:tcBorders>
                    <w:tl2br w:val="nil"/>
                    <w:tr2bl w:val="nil"/>
                  </w:tcBorders>
                  <w:noWrap w:val="0"/>
                  <w:vAlign w:val="center"/>
                </w:tcPr>
                <w:p w14:paraId="7B123D3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w:t>
                  </w:r>
                </w:p>
              </w:tc>
              <w:tc>
                <w:tcPr>
                  <w:tcW w:w="251" w:type="pct"/>
                  <w:vMerge w:val="continue"/>
                  <w:tcBorders>
                    <w:tl2br w:val="nil"/>
                    <w:tr2bl w:val="nil"/>
                  </w:tcBorders>
                  <w:noWrap w:val="0"/>
                  <w:vAlign w:val="center"/>
                </w:tcPr>
                <w:p w14:paraId="59621F6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471" w:type="pct"/>
                  <w:tcBorders>
                    <w:tl2br w:val="nil"/>
                    <w:tr2bl w:val="nil"/>
                  </w:tcBorders>
                  <w:noWrap w:val="0"/>
                  <w:vAlign w:val="center"/>
                </w:tcPr>
                <w:p w14:paraId="7502605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cs="Times New Roman"/>
                      <w:color w:val="auto"/>
                      <w:sz w:val="21"/>
                      <w:szCs w:val="21"/>
                      <w:lang w:val="en-US" w:eastAsia="zh-CN" w:bidi="ar-SA"/>
                    </w:rPr>
                  </w:pPr>
                  <w:r>
                    <w:rPr>
                      <w:rFonts w:hint="default" w:ascii="Times New Roman" w:hAnsi="Times New Roman" w:eastAsia="宋体" w:cs="Times New Roman"/>
                      <w:b w:val="0"/>
                      <w:bCs w:val="0"/>
                      <w:i w:val="0"/>
                      <w:iCs w:val="0"/>
                      <w:color w:val="000000"/>
                      <w:kern w:val="0"/>
                      <w:sz w:val="21"/>
                      <w:szCs w:val="21"/>
                      <w:u w:val="none"/>
                      <w:lang w:val="en-US" w:eastAsia="zh-CN" w:bidi="ar"/>
                    </w:rPr>
                    <w:t>二螺螺旋分离机</w:t>
                  </w:r>
                </w:p>
              </w:tc>
              <w:tc>
                <w:tcPr>
                  <w:tcW w:w="317" w:type="pct"/>
                  <w:tcBorders>
                    <w:tl2br w:val="nil"/>
                    <w:tr2bl w:val="nil"/>
                  </w:tcBorders>
                  <w:noWrap w:val="0"/>
                  <w:vAlign w:val="center"/>
                </w:tcPr>
                <w:p w14:paraId="252AF5F2">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default" w:ascii="Times New Roman" w:hAnsi="Times New Roman" w:cs="Times New Roman"/>
                      <w:color w:val="auto"/>
                      <w:sz w:val="21"/>
                      <w:szCs w:val="21"/>
                      <w:lang w:val="en-US" w:eastAsia="zh-CN" w:bidi="ar-SA"/>
                    </w:rPr>
                  </w:pPr>
                  <w:r>
                    <w:rPr>
                      <w:rFonts w:hint="eastAsia" w:ascii="Times New Roman" w:hAnsi="Times New Roman" w:eastAsia="宋体" w:cs="Times New Roman"/>
                      <w:i w:val="0"/>
                      <w:iCs w:val="0"/>
                      <w:color w:val="000000"/>
                      <w:kern w:val="0"/>
                      <w:sz w:val="21"/>
                      <w:szCs w:val="21"/>
                      <w:u w:val="none"/>
                      <w:lang w:val="en-US" w:eastAsia="zh-CN" w:bidi="ar"/>
                    </w:rPr>
                    <w:t>6</w:t>
                  </w:r>
                </w:p>
              </w:tc>
              <w:tc>
                <w:tcPr>
                  <w:tcW w:w="351" w:type="pct"/>
                  <w:tcBorders>
                    <w:tl2br w:val="nil"/>
                    <w:tr2bl w:val="nil"/>
                  </w:tcBorders>
                  <w:noWrap w:val="0"/>
                  <w:vAlign w:val="center"/>
                </w:tcPr>
                <w:p w14:paraId="14434A7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75</w:t>
                  </w:r>
                </w:p>
              </w:tc>
              <w:tc>
                <w:tcPr>
                  <w:tcW w:w="417" w:type="pct"/>
                  <w:vMerge w:val="continue"/>
                  <w:tcBorders>
                    <w:tl2br w:val="nil"/>
                    <w:tr2bl w:val="nil"/>
                  </w:tcBorders>
                  <w:noWrap w:val="0"/>
                  <w:vAlign w:val="center"/>
                </w:tcPr>
                <w:p w14:paraId="758447C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333" w:type="pct"/>
                  <w:tcBorders>
                    <w:tl2br w:val="nil"/>
                    <w:tr2bl w:val="nil"/>
                  </w:tcBorders>
                  <w:noWrap w:val="0"/>
                  <w:vAlign w:val="center"/>
                </w:tcPr>
                <w:p w14:paraId="4888EA3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10.81</w:t>
                  </w:r>
                </w:p>
              </w:tc>
              <w:tc>
                <w:tcPr>
                  <w:tcW w:w="333" w:type="pct"/>
                  <w:tcBorders>
                    <w:tl2br w:val="nil"/>
                    <w:tr2bl w:val="nil"/>
                  </w:tcBorders>
                  <w:noWrap w:val="0"/>
                  <w:vAlign w:val="center"/>
                </w:tcPr>
                <w:p w14:paraId="7F293F0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-98.63</w:t>
                  </w:r>
                </w:p>
              </w:tc>
              <w:tc>
                <w:tcPr>
                  <w:tcW w:w="251" w:type="pct"/>
                  <w:tcBorders>
                    <w:tl2br w:val="nil"/>
                    <w:tr2bl w:val="nil"/>
                  </w:tcBorders>
                  <w:noWrap w:val="0"/>
                  <w:vAlign w:val="center"/>
                </w:tcPr>
                <w:p w14:paraId="6C48380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1</w:t>
                  </w:r>
                </w:p>
              </w:tc>
              <w:tc>
                <w:tcPr>
                  <w:tcW w:w="359" w:type="pct"/>
                  <w:tcBorders>
                    <w:tl2br w:val="nil"/>
                    <w:tr2bl w:val="nil"/>
                  </w:tcBorders>
                  <w:noWrap w:val="0"/>
                  <w:vAlign w:val="center"/>
                </w:tcPr>
                <w:p w14:paraId="26473BA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w:t>
                  </w:r>
                </w:p>
              </w:tc>
              <w:tc>
                <w:tcPr>
                  <w:tcW w:w="351" w:type="pct"/>
                  <w:tcBorders>
                    <w:tl2br w:val="nil"/>
                    <w:tr2bl w:val="nil"/>
                  </w:tcBorders>
                  <w:noWrap w:val="0"/>
                  <w:vAlign w:val="center"/>
                </w:tcPr>
                <w:p w14:paraId="3CFB144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51.7</w:t>
                  </w:r>
                </w:p>
              </w:tc>
              <w:tc>
                <w:tcPr>
                  <w:tcW w:w="301" w:type="pct"/>
                  <w:vMerge w:val="continue"/>
                  <w:tcBorders>
                    <w:tl2br w:val="nil"/>
                    <w:tr2bl w:val="nil"/>
                  </w:tcBorders>
                  <w:noWrap w:val="0"/>
                  <w:vAlign w:val="center"/>
                </w:tcPr>
                <w:p w14:paraId="1DE4B0F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420" w:type="pct"/>
                  <w:tcBorders>
                    <w:tl2br w:val="nil"/>
                    <w:tr2bl w:val="nil"/>
                  </w:tcBorders>
                  <w:noWrap w:val="0"/>
                  <w:vAlign w:val="center"/>
                </w:tcPr>
                <w:p w14:paraId="57E4C3F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20</w:t>
                  </w:r>
                </w:p>
              </w:tc>
              <w:tc>
                <w:tcPr>
                  <w:tcW w:w="369" w:type="pct"/>
                  <w:tcBorders>
                    <w:tl2br w:val="nil"/>
                    <w:tr2bl w:val="nil"/>
                  </w:tcBorders>
                  <w:noWrap w:val="0"/>
                  <w:vAlign w:val="center"/>
                </w:tcPr>
                <w:p w14:paraId="2B4FFFB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31.7</w:t>
                  </w:r>
                </w:p>
              </w:tc>
              <w:tc>
                <w:tcPr>
                  <w:tcW w:w="297" w:type="pct"/>
                  <w:vMerge w:val="continue"/>
                  <w:tcBorders>
                    <w:tl2br w:val="nil"/>
                    <w:tr2bl w:val="nil"/>
                  </w:tcBorders>
                  <w:noWrap w:val="0"/>
                  <w:vAlign w:val="center"/>
                </w:tcPr>
                <w:p w14:paraId="74088C5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r>
            <w:tr w14:paraId="5A0FC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72" w:type="pct"/>
                  <w:tcBorders>
                    <w:tl2br w:val="nil"/>
                    <w:tr2bl w:val="nil"/>
                  </w:tcBorders>
                  <w:noWrap w:val="0"/>
                  <w:vAlign w:val="center"/>
                </w:tcPr>
                <w:p w14:paraId="0604A0D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6</w:t>
                  </w:r>
                </w:p>
              </w:tc>
              <w:tc>
                <w:tcPr>
                  <w:tcW w:w="251" w:type="pct"/>
                  <w:vMerge w:val="continue"/>
                  <w:tcBorders>
                    <w:tl2br w:val="nil"/>
                    <w:tr2bl w:val="nil"/>
                  </w:tcBorders>
                  <w:noWrap w:val="0"/>
                  <w:vAlign w:val="center"/>
                </w:tcPr>
                <w:p w14:paraId="54545F1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471" w:type="pct"/>
                  <w:tcBorders>
                    <w:tl2br w:val="nil"/>
                    <w:tr2bl w:val="nil"/>
                  </w:tcBorders>
                  <w:noWrap w:val="0"/>
                  <w:vAlign w:val="center"/>
                </w:tcPr>
                <w:p w14:paraId="7539012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一次机械搅拌式浮选机</w:t>
                  </w:r>
                </w:p>
              </w:tc>
              <w:tc>
                <w:tcPr>
                  <w:tcW w:w="317" w:type="pct"/>
                  <w:tcBorders>
                    <w:tl2br w:val="nil"/>
                    <w:tr2bl w:val="nil"/>
                  </w:tcBorders>
                  <w:noWrap w:val="0"/>
                  <w:vAlign w:val="center"/>
                </w:tcPr>
                <w:p w14:paraId="7BC7281A">
                  <w:pPr>
                    <w:keepNext w:val="0"/>
                    <w:keepLines w:val="0"/>
                    <w:pageBreakBefore w:val="0"/>
                    <w:widowControl/>
                    <w:suppressLineNumbers w:val="0"/>
                    <w:kinsoku/>
                    <w:wordWrap/>
                    <w:overflowPunct/>
                    <w:topLinePunct w:val="0"/>
                    <w:autoSpaceDE/>
                    <w:autoSpaceDN/>
                    <w:bidi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1</w:t>
                  </w:r>
                </w:p>
              </w:tc>
              <w:tc>
                <w:tcPr>
                  <w:tcW w:w="351" w:type="pct"/>
                  <w:tcBorders>
                    <w:tl2br w:val="nil"/>
                    <w:tr2bl w:val="nil"/>
                  </w:tcBorders>
                  <w:noWrap w:val="0"/>
                  <w:vAlign w:val="center"/>
                </w:tcPr>
                <w:p w14:paraId="7BC89B5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75</w:t>
                  </w:r>
                </w:p>
              </w:tc>
              <w:tc>
                <w:tcPr>
                  <w:tcW w:w="417" w:type="pct"/>
                  <w:vMerge w:val="continue"/>
                  <w:tcBorders>
                    <w:tl2br w:val="nil"/>
                    <w:tr2bl w:val="nil"/>
                  </w:tcBorders>
                  <w:noWrap w:val="0"/>
                  <w:vAlign w:val="center"/>
                </w:tcPr>
                <w:p w14:paraId="11AF805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333" w:type="pct"/>
                  <w:tcBorders>
                    <w:tl2br w:val="nil"/>
                    <w:tr2bl w:val="nil"/>
                  </w:tcBorders>
                  <w:noWrap w:val="0"/>
                  <w:vAlign w:val="center"/>
                </w:tcPr>
                <w:p w14:paraId="1F62495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-28.36</w:t>
                  </w:r>
                </w:p>
              </w:tc>
              <w:tc>
                <w:tcPr>
                  <w:tcW w:w="333" w:type="pct"/>
                  <w:tcBorders>
                    <w:tl2br w:val="nil"/>
                    <w:tr2bl w:val="nil"/>
                  </w:tcBorders>
                  <w:noWrap w:val="0"/>
                  <w:vAlign w:val="center"/>
                </w:tcPr>
                <w:p w14:paraId="288C866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-100.59</w:t>
                  </w:r>
                </w:p>
              </w:tc>
              <w:tc>
                <w:tcPr>
                  <w:tcW w:w="251" w:type="pct"/>
                  <w:tcBorders>
                    <w:tl2br w:val="nil"/>
                    <w:tr2bl w:val="nil"/>
                  </w:tcBorders>
                  <w:noWrap w:val="0"/>
                  <w:vAlign w:val="center"/>
                </w:tcPr>
                <w:p w14:paraId="0D3C214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w:t>
                  </w:r>
                </w:p>
              </w:tc>
              <w:tc>
                <w:tcPr>
                  <w:tcW w:w="359" w:type="pct"/>
                  <w:tcBorders>
                    <w:tl2br w:val="nil"/>
                    <w:tr2bl w:val="nil"/>
                  </w:tcBorders>
                  <w:noWrap w:val="0"/>
                  <w:vAlign w:val="center"/>
                </w:tcPr>
                <w:p w14:paraId="7A12478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8</w:t>
                  </w:r>
                </w:p>
              </w:tc>
              <w:tc>
                <w:tcPr>
                  <w:tcW w:w="351" w:type="pct"/>
                  <w:tcBorders>
                    <w:tl2br w:val="nil"/>
                    <w:tr2bl w:val="nil"/>
                  </w:tcBorders>
                  <w:noWrap w:val="0"/>
                  <w:vAlign w:val="center"/>
                </w:tcPr>
                <w:p w14:paraId="23008E2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53.5</w:t>
                  </w:r>
                </w:p>
              </w:tc>
              <w:tc>
                <w:tcPr>
                  <w:tcW w:w="301" w:type="pct"/>
                  <w:vMerge w:val="continue"/>
                  <w:tcBorders>
                    <w:tl2br w:val="nil"/>
                    <w:tr2bl w:val="nil"/>
                  </w:tcBorders>
                  <w:noWrap w:val="0"/>
                  <w:vAlign w:val="center"/>
                </w:tcPr>
                <w:p w14:paraId="53B8EE4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420" w:type="pct"/>
                  <w:tcBorders>
                    <w:tl2br w:val="nil"/>
                    <w:tr2bl w:val="nil"/>
                  </w:tcBorders>
                  <w:noWrap w:val="0"/>
                  <w:vAlign w:val="center"/>
                </w:tcPr>
                <w:p w14:paraId="55F0B1C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20</w:t>
                  </w:r>
                </w:p>
              </w:tc>
              <w:tc>
                <w:tcPr>
                  <w:tcW w:w="369" w:type="pct"/>
                  <w:tcBorders>
                    <w:tl2br w:val="nil"/>
                    <w:tr2bl w:val="nil"/>
                  </w:tcBorders>
                  <w:noWrap w:val="0"/>
                  <w:vAlign w:val="center"/>
                </w:tcPr>
                <w:p w14:paraId="60D9456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33.5</w:t>
                  </w:r>
                </w:p>
              </w:tc>
              <w:tc>
                <w:tcPr>
                  <w:tcW w:w="297" w:type="pct"/>
                  <w:vMerge w:val="continue"/>
                  <w:tcBorders>
                    <w:tl2br w:val="nil"/>
                    <w:tr2bl w:val="nil"/>
                  </w:tcBorders>
                  <w:noWrap w:val="0"/>
                  <w:vAlign w:val="center"/>
                </w:tcPr>
                <w:p w14:paraId="0241392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r>
            <w:tr w14:paraId="20190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72" w:type="pct"/>
                  <w:tcBorders>
                    <w:tl2br w:val="nil"/>
                    <w:tr2bl w:val="nil"/>
                  </w:tcBorders>
                  <w:noWrap w:val="0"/>
                  <w:vAlign w:val="center"/>
                </w:tcPr>
                <w:p w14:paraId="545B388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7</w:t>
                  </w:r>
                </w:p>
              </w:tc>
              <w:tc>
                <w:tcPr>
                  <w:tcW w:w="251" w:type="pct"/>
                  <w:vMerge w:val="continue"/>
                  <w:tcBorders>
                    <w:tl2br w:val="nil"/>
                    <w:tr2bl w:val="nil"/>
                  </w:tcBorders>
                  <w:noWrap w:val="0"/>
                  <w:vAlign w:val="center"/>
                </w:tcPr>
                <w:p w14:paraId="51FFDF4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471" w:type="pct"/>
                  <w:tcBorders>
                    <w:tl2br w:val="nil"/>
                    <w:tr2bl w:val="nil"/>
                  </w:tcBorders>
                  <w:noWrap w:val="0"/>
                  <w:vAlign w:val="center"/>
                </w:tcPr>
                <w:p w14:paraId="77A927C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二次机械搅拌式浮选机</w:t>
                  </w:r>
                </w:p>
              </w:tc>
              <w:tc>
                <w:tcPr>
                  <w:tcW w:w="317" w:type="pct"/>
                  <w:tcBorders>
                    <w:tl2br w:val="nil"/>
                    <w:tr2bl w:val="nil"/>
                  </w:tcBorders>
                  <w:noWrap w:val="0"/>
                  <w:vAlign w:val="center"/>
                </w:tcPr>
                <w:p w14:paraId="2B7DC46C">
                  <w:pPr>
                    <w:keepNext w:val="0"/>
                    <w:keepLines w:val="0"/>
                    <w:pageBreakBefore w:val="0"/>
                    <w:widowControl/>
                    <w:suppressLineNumbers w:val="0"/>
                    <w:kinsoku/>
                    <w:wordWrap/>
                    <w:overflowPunct/>
                    <w:topLinePunct w:val="0"/>
                    <w:autoSpaceDE/>
                    <w:autoSpaceDN/>
                    <w:bidi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1</w:t>
                  </w:r>
                </w:p>
              </w:tc>
              <w:tc>
                <w:tcPr>
                  <w:tcW w:w="351" w:type="pct"/>
                  <w:tcBorders>
                    <w:tl2br w:val="nil"/>
                    <w:tr2bl w:val="nil"/>
                  </w:tcBorders>
                  <w:noWrap w:val="0"/>
                  <w:vAlign w:val="center"/>
                </w:tcPr>
                <w:p w14:paraId="59D9DEB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75</w:t>
                  </w:r>
                </w:p>
              </w:tc>
              <w:tc>
                <w:tcPr>
                  <w:tcW w:w="417" w:type="pct"/>
                  <w:vMerge w:val="continue"/>
                  <w:tcBorders>
                    <w:tl2br w:val="nil"/>
                    <w:tr2bl w:val="nil"/>
                  </w:tcBorders>
                  <w:noWrap w:val="0"/>
                  <w:vAlign w:val="center"/>
                </w:tcPr>
                <w:p w14:paraId="6ED4A71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333" w:type="pct"/>
                  <w:tcBorders>
                    <w:tl2br w:val="nil"/>
                    <w:tr2bl w:val="nil"/>
                  </w:tcBorders>
                  <w:noWrap w:val="0"/>
                  <w:vAlign w:val="center"/>
                </w:tcPr>
                <w:p w14:paraId="7389DEA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-30.32</w:t>
                  </w:r>
                </w:p>
              </w:tc>
              <w:tc>
                <w:tcPr>
                  <w:tcW w:w="333" w:type="pct"/>
                  <w:tcBorders>
                    <w:tl2br w:val="nil"/>
                    <w:tr2bl w:val="nil"/>
                  </w:tcBorders>
                  <w:noWrap w:val="0"/>
                  <w:vAlign w:val="center"/>
                </w:tcPr>
                <w:p w14:paraId="58C35DC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-177.97</w:t>
                  </w:r>
                </w:p>
              </w:tc>
              <w:tc>
                <w:tcPr>
                  <w:tcW w:w="251" w:type="pct"/>
                  <w:tcBorders>
                    <w:tl2br w:val="nil"/>
                    <w:tr2bl w:val="nil"/>
                  </w:tcBorders>
                  <w:noWrap w:val="0"/>
                  <w:vAlign w:val="center"/>
                </w:tcPr>
                <w:p w14:paraId="480057E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w:t>
                  </w:r>
                </w:p>
              </w:tc>
              <w:tc>
                <w:tcPr>
                  <w:tcW w:w="359" w:type="pct"/>
                  <w:tcBorders>
                    <w:tl2br w:val="nil"/>
                    <w:tr2bl w:val="nil"/>
                  </w:tcBorders>
                  <w:noWrap w:val="0"/>
                  <w:vAlign w:val="center"/>
                </w:tcPr>
                <w:p w14:paraId="776C75A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15</w:t>
                  </w:r>
                </w:p>
              </w:tc>
              <w:tc>
                <w:tcPr>
                  <w:tcW w:w="351" w:type="pct"/>
                  <w:tcBorders>
                    <w:tl2br w:val="nil"/>
                    <w:tr2bl w:val="nil"/>
                  </w:tcBorders>
                  <w:noWrap w:val="0"/>
                  <w:vAlign w:val="center"/>
                </w:tcPr>
                <w:p w14:paraId="5342849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51.6</w:t>
                  </w:r>
                </w:p>
              </w:tc>
              <w:tc>
                <w:tcPr>
                  <w:tcW w:w="301" w:type="pct"/>
                  <w:vMerge w:val="continue"/>
                  <w:tcBorders>
                    <w:tl2br w:val="nil"/>
                    <w:tr2bl w:val="nil"/>
                  </w:tcBorders>
                  <w:noWrap w:val="0"/>
                  <w:vAlign w:val="center"/>
                </w:tcPr>
                <w:p w14:paraId="0328376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420" w:type="pct"/>
                  <w:tcBorders>
                    <w:tl2br w:val="nil"/>
                    <w:tr2bl w:val="nil"/>
                  </w:tcBorders>
                  <w:noWrap w:val="0"/>
                  <w:vAlign w:val="center"/>
                </w:tcPr>
                <w:p w14:paraId="3B2AF03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20</w:t>
                  </w:r>
                </w:p>
              </w:tc>
              <w:tc>
                <w:tcPr>
                  <w:tcW w:w="369" w:type="pct"/>
                  <w:tcBorders>
                    <w:tl2br w:val="nil"/>
                    <w:tr2bl w:val="nil"/>
                  </w:tcBorders>
                  <w:noWrap w:val="0"/>
                  <w:vAlign w:val="center"/>
                </w:tcPr>
                <w:p w14:paraId="2232188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31.6</w:t>
                  </w:r>
                </w:p>
              </w:tc>
              <w:tc>
                <w:tcPr>
                  <w:tcW w:w="297" w:type="pct"/>
                  <w:vMerge w:val="continue"/>
                  <w:tcBorders>
                    <w:tl2br w:val="nil"/>
                    <w:tr2bl w:val="nil"/>
                  </w:tcBorders>
                  <w:noWrap w:val="0"/>
                  <w:vAlign w:val="center"/>
                </w:tcPr>
                <w:p w14:paraId="357AE5A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r>
            <w:tr w14:paraId="353F0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72" w:type="pct"/>
                  <w:tcBorders>
                    <w:tl2br w:val="nil"/>
                    <w:tr2bl w:val="nil"/>
                  </w:tcBorders>
                  <w:noWrap w:val="0"/>
                  <w:vAlign w:val="center"/>
                </w:tcPr>
                <w:p w14:paraId="2152361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8</w:t>
                  </w:r>
                </w:p>
              </w:tc>
              <w:tc>
                <w:tcPr>
                  <w:tcW w:w="251" w:type="pct"/>
                  <w:vMerge w:val="continue"/>
                  <w:tcBorders>
                    <w:tl2br w:val="nil"/>
                    <w:tr2bl w:val="nil"/>
                  </w:tcBorders>
                  <w:noWrap w:val="0"/>
                  <w:vAlign w:val="center"/>
                </w:tcPr>
                <w:p w14:paraId="311E99D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471" w:type="pct"/>
                  <w:tcBorders>
                    <w:tl2br w:val="nil"/>
                    <w:tr2bl w:val="nil"/>
                  </w:tcBorders>
                  <w:noWrap w:val="0"/>
                  <w:vAlign w:val="center"/>
                </w:tcPr>
                <w:p w14:paraId="5002B1B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搅拌驱动电动机</w:t>
                  </w:r>
                </w:p>
              </w:tc>
              <w:tc>
                <w:tcPr>
                  <w:tcW w:w="317" w:type="pct"/>
                  <w:tcBorders>
                    <w:tl2br w:val="nil"/>
                    <w:tr2bl w:val="nil"/>
                  </w:tcBorders>
                  <w:noWrap w:val="0"/>
                  <w:vAlign w:val="center"/>
                </w:tcPr>
                <w:p w14:paraId="2645F7E2">
                  <w:pPr>
                    <w:keepNext w:val="0"/>
                    <w:keepLines w:val="0"/>
                    <w:pageBreakBefore w:val="0"/>
                    <w:widowControl/>
                    <w:suppressLineNumbers w:val="0"/>
                    <w:kinsoku/>
                    <w:wordWrap/>
                    <w:overflowPunct/>
                    <w:topLinePunct w:val="0"/>
                    <w:autoSpaceDE/>
                    <w:autoSpaceDN/>
                    <w:bidi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4</w:t>
                  </w:r>
                </w:p>
              </w:tc>
              <w:tc>
                <w:tcPr>
                  <w:tcW w:w="351" w:type="pct"/>
                  <w:tcBorders>
                    <w:tl2br w:val="nil"/>
                    <w:tr2bl w:val="nil"/>
                  </w:tcBorders>
                  <w:noWrap w:val="0"/>
                  <w:vAlign w:val="center"/>
                </w:tcPr>
                <w:p w14:paraId="12C4767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80</w:t>
                  </w:r>
                </w:p>
              </w:tc>
              <w:tc>
                <w:tcPr>
                  <w:tcW w:w="417" w:type="pct"/>
                  <w:vMerge w:val="continue"/>
                  <w:tcBorders>
                    <w:tl2br w:val="nil"/>
                    <w:tr2bl w:val="nil"/>
                  </w:tcBorders>
                  <w:noWrap w:val="0"/>
                  <w:vAlign w:val="center"/>
                </w:tcPr>
                <w:p w14:paraId="2C2BC26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333" w:type="pct"/>
                  <w:tcBorders>
                    <w:tl2br w:val="nil"/>
                    <w:tr2bl w:val="nil"/>
                  </w:tcBorders>
                  <w:noWrap w:val="0"/>
                  <w:vAlign w:val="center"/>
                </w:tcPr>
                <w:p w14:paraId="2420655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-16.61</w:t>
                  </w:r>
                </w:p>
              </w:tc>
              <w:tc>
                <w:tcPr>
                  <w:tcW w:w="333" w:type="pct"/>
                  <w:tcBorders>
                    <w:tl2br w:val="nil"/>
                    <w:tr2bl w:val="nil"/>
                  </w:tcBorders>
                  <w:noWrap w:val="0"/>
                  <w:vAlign w:val="center"/>
                </w:tcPr>
                <w:p w14:paraId="4E62A54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-169.15</w:t>
                  </w:r>
                </w:p>
              </w:tc>
              <w:tc>
                <w:tcPr>
                  <w:tcW w:w="251" w:type="pct"/>
                  <w:tcBorders>
                    <w:tl2br w:val="nil"/>
                    <w:tr2bl w:val="nil"/>
                  </w:tcBorders>
                  <w:noWrap w:val="0"/>
                  <w:vAlign w:val="center"/>
                </w:tcPr>
                <w:p w14:paraId="2D8C672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w:t>
                  </w:r>
                </w:p>
              </w:tc>
              <w:tc>
                <w:tcPr>
                  <w:tcW w:w="359" w:type="pct"/>
                  <w:tcBorders>
                    <w:tl2br w:val="nil"/>
                    <w:tr2bl w:val="nil"/>
                  </w:tcBorders>
                  <w:noWrap w:val="0"/>
                  <w:vAlign w:val="center"/>
                </w:tcPr>
                <w:p w14:paraId="0FFA9D8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12</w:t>
                  </w:r>
                </w:p>
              </w:tc>
              <w:tc>
                <w:tcPr>
                  <w:tcW w:w="351" w:type="pct"/>
                  <w:tcBorders>
                    <w:tl2br w:val="nil"/>
                    <w:tr2bl w:val="nil"/>
                  </w:tcBorders>
                  <w:noWrap w:val="0"/>
                  <w:vAlign w:val="center"/>
                </w:tcPr>
                <w:p w14:paraId="00B651A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65.2</w:t>
                  </w:r>
                </w:p>
              </w:tc>
              <w:tc>
                <w:tcPr>
                  <w:tcW w:w="301" w:type="pct"/>
                  <w:vMerge w:val="continue"/>
                  <w:tcBorders>
                    <w:tl2br w:val="nil"/>
                    <w:tr2bl w:val="nil"/>
                  </w:tcBorders>
                  <w:noWrap w:val="0"/>
                  <w:vAlign w:val="center"/>
                </w:tcPr>
                <w:p w14:paraId="4E75A04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420" w:type="pct"/>
                  <w:tcBorders>
                    <w:tl2br w:val="nil"/>
                    <w:tr2bl w:val="nil"/>
                  </w:tcBorders>
                  <w:noWrap w:val="0"/>
                  <w:vAlign w:val="center"/>
                </w:tcPr>
                <w:p w14:paraId="15CA178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20</w:t>
                  </w:r>
                </w:p>
              </w:tc>
              <w:tc>
                <w:tcPr>
                  <w:tcW w:w="369" w:type="pct"/>
                  <w:tcBorders>
                    <w:tl2br w:val="nil"/>
                    <w:tr2bl w:val="nil"/>
                  </w:tcBorders>
                  <w:noWrap w:val="0"/>
                  <w:vAlign w:val="center"/>
                </w:tcPr>
                <w:p w14:paraId="0257DF8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45.2</w:t>
                  </w:r>
                </w:p>
              </w:tc>
              <w:tc>
                <w:tcPr>
                  <w:tcW w:w="297" w:type="pct"/>
                  <w:vMerge w:val="continue"/>
                  <w:tcBorders>
                    <w:tl2br w:val="nil"/>
                    <w:tr2bl w:val="nil"/>
                  </w:tcBorders>
                  <w:noWrap w:val="0"/>
                  <w:vAlign w:val="center"/>
                </w:tcPr>
                <w:p w14:paraId="3212F77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r>
            <w:tr w14:paraId="7A7D9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72" w:type="pct"/>
                  <w:tcBorders>
                    <w:tl2br w:val="nil"/>
                    <w:tr2bl w:val="nil"/>
                  </w:tcBorders>
                  <w:noWrap w:val="0"/>
                  <w:vAlign w:val="center"/>
                </w:tcPr>
                <w:p w14:paraId="04EC9FA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9</w:t>
                  </w:r>
                </w:p>
              </w:tc>
              <w:tc>
                <w:tcPr>
                  <w:tcW w:w="251" w:type="pct"/>
                  <w:vMerge w:val="continue"/>
                  <w:tcBorders>
                    <w:tl2br w:val="nil"/>
                    <w:tr2bl w:val="nil"/>
                  </w:tcBorders>
                  <w:noWrap w:val="0"/>
                  <w:vAlign w:val="center"/>
                </w:tcPr>
                <w:p w14:paraId="69C8704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471" w:type="pct"/>
                  <w:tcBorders>
                    <w:tl2br w:val="nil"/>
                    <w:tr2bl w:val="nil"/>
                  </w:tcBorders>
                  <w:noWrap w:val="0"/>
                  <w:vAlign w:val="center"/>
                </w:tcPr>
                <w:p w14:paraId="3EF2A31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top"/>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箱式程控压滤机</w:t>
                  </w:r>
                </w:p>
              </w:tc>
              <w:tc>
                <w:tcPr>
                  <w:tcW w:w="317" w:type="pct"/>
                  <w:tcBorders>
                    <w:tl2br w:val="nil"/>
                    <w:tr2bl w:val="nil"/>
                  </w:tcBorders>
                  <w:noWrap w:val="0"/>
                  <w:vAlign w:val="center"/>
                </w:tcPr>
                <w:p w14:paraId="2C4CFBCE">
                  <w:pPr>
                    <w:keepNext w:val="0"/>
                    <w:keepLines w:val="0"/>
                    <w:pageBreakBefore w:val="0"/>
                    <w:widowControl/>
                    <w:suppressLineNumbers w:val="0"/>
                    <w:kinsoku/>
                    <w:wordWrap/>
                    <w:overflowPunct/>
                    <w:topLinePunct w:val="0"/>
                    <w:autoSpaceDE/>
                    <w:autoSpaceDN/>
                    <w:bidi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2</w:t>
                  </w:r>
                </w:p>
              </w:tc>
              <w:tc>
                <w:tcPr>
                  <w:tcW w:w="351" w:type="pct"/>
                  <w:tcBorders>
                    <w:tl2br w:val="nil"/>
                    <w:tr2bl w:val="nil"/>
                  </w:tcBorders>
                  <w:noWrap w:val="0"/>
                  <w:vAlign w:val="center"/>
                </w:tcPr>
                <w:p w14:paraId="026BAD4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80</w:t>
                  </w:r>
                </w:p>
              </w:tc>
              <w:tc>
                <w:tcPr>
                  <w:tcW w:w="417" w:type="pct"/>
                  <w:vMerge w:val="continue"/>
                  <w:tcBorders>
                    <w:tl2br w:val="nil"/>
                    <w:tr2bl w:val="nil"/>
                  </w:tcBorders>
                  <w:noWrap w:val="0"/>
                  <w:vAlign w:val="center"/>
                </w:tcPr>
                <w:p w14:paraId="48F2414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333" w:type="pct"/>
                  <w:tcBorders>
                    <w:tl2br w:val="nil"/>
                    <w:tr2bl w:val="nil"/>
                  </w:tcBorders>
                  <w:noWrap w:val="0"/>
                  <w:vAlign w:val="center"/>
                </w:tcPr>
                <w:p w14:paraId="72676AA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-13.67</w:t>
                  </w:r>
                </w:p>
              </w:tc>
              <w:tc>
                <w:tcPr>
                  <w:tcW w:w="333" w:type="pct"/>
                  <w:tcBorders>
                    <w:tl2br w:val="nil"/>
                    <w:tr2bl w:val="nil"/>
                  </w:tcBorders>
                  <w:noWrap w:val="0"/>
                  <w:vAlign w:val="center"/>
                </w:tcPr>
                <w:p w14:paraId="4FFB92C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-100.59</w:t>
                  </w:r>
                </w:p>
              </w:tc>
              <w:tc>
                <w:tcPr>
                  <w:tcW w:w="251" w:type="pct"/>
                  <w:tcBorders>
                    <w:tl2br w:val="nil"/>
                    <w:tr2bl w:val="nil"/>
                  </w:tcBorders>
                  <w:noWrap w:val="0"/>
                  <w:vAlign w:val="center"/>
                </w:tcPr>
                <w:p w14:paraId="2E33566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w:t>
                  </w:r>
                </w:p>
              </w:tc>
              <w:tc>
                <w:tcPr>
                  <w:tcW w:w="359" w:type="pct"/>
                  <w:tcBorders>
                    <w:tl2br w:val="nil"/>
                    <w:tr2bl w:val="nil"/>
                  </w:tcBorders>
                  <w:noWrap w:val="0"/>
                  <w:vAlign w:val="center"/>
                </w:tcPr>
                <w:p w14:paraId="797A493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9</w:t>
                  </w:r>
                </w:p>
              </w:tc>
              <w:tc>
                <w:tcPr>
                  <w:tcW w:w="351" w:type="pct"/>
                  <w:tcBorders>
                    <w:tl2br w:val="nil"/>
                    <w:tr2bl w:val="nil"/>
                  </w:tcBorders>
                  <w:noWrap w:val="0"/>
                  <w:vAlign w:val="center"/>
                </w:tcPr>
                <w:p w14:paraId="4D98157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57.3</w:t>
                  </w:r>
                </w:p>
              </w:tc>
              <w:tc>
                <w:tcPr>
                  <w:tcW w:w="301" w:type="pct"/>
                  <w:vMerge w:val="continue"/>
                  <w:tcBorders>
                    <w:tl2br w:val="nil"/>
                    <w:tr2bl w:val="nil"/>
                  </w:tcBorders>
                  <w:noWrap w:val="0"/>
                  <w:vAlign w:val="center"/>
                </w:tcPr>
                <w:p w14:paraId="3FD8871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420" w:type="pct"/>
                  <w:tcBorders>
                    <w:tl2br w:val="nil"/>
                    <w:tr2bl w:val="nil"/>
                  </w:tcBorders>
                  <w:noWrap w:val="0"/>
                  <w:vAlign w:val="center"/>
                </w:tcPr>
                <w:p w14:paraId="08494A2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20</w:t>
                  </w:r>
                </w:p>
              </w:tc>
              <w:tc>
                <w:tcPr>
                  <w:tcW w:w="369" w:type="pct"/>
                  <w:tcBorders>
                    <w:tl2br w:val="nil"/>
                    <w:tr2bl w:val="nil"/>
                  </w:tcBorders>
                  <w:noWrap w:val="0"/>
                  <w:vAlign w:val="center"/>
                </w:tcPr>
                <w:p w14:paraId="067AD82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37.3</w:t>
                  </w:r>
                </w:p>
              </w:tc>
              <w:tc>
                <w:tcPr>
                  <w:tcW w:w="297" w:type="pct"/>
                  <w:vMerge w:val="continue"/>
                  <w:tcBorders>
                    <w:tl2br w:val="nil"/>
                    <w:tr2bl w:val="nil"/>
                  </w:tcBorders>
                  <w:noWrap w:val="0"/>
                  <w:vAlign w:val="center"/>
                </w:tcPr>
                <w:p w14:paraId="6B8AA7F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r>
            <w:tr w14:paraId="3DB35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72" w:type="pct"/>
                  <w:tcBorders>
                    <w:tl2br w:val="nil"/>
                    <w:tr2bl w:val="nil"/>
                  </w:tcBorders>
                  <w:noWrap w:val="0"/>
                  <w:vAlign w:val="center"/>
                </w:tcPr>
                <w:p w14:paraId="6174B23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10</w:t>
                  </w:r>
                </w:p>
              </w:tc>
              <w:tc>
                <w:tcPr>
                  <w:tcW w:w="251" w:type="pct"/>
                  <w:vMerge w:val="continue"/>
                  <w:tcBorders>
                    <w:tl2br w:val="nil"/>
                    <w:tr2bl w:val="nil"/>
                  </w:tcBorders>
                  <w:noWrap w:val="0"/>
                  <w:vAlign w:val="center"/>
                </w:tcPr>
                <w:p w14:paraId="04164CE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471" w:type="pct"/>
                  <w:tcBorders>
                    <w:tl2br w:val="nil"/>
                    <w:tr2bl w:val="nil"/>
                  </w:tcBorders>
                  <w:noWrap w:val="0"/>
                  <w:vAlign w:val="center"/>
                </w:tcPr>
                <w:p w14:paraId="25C3E4A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top"/>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中煤箱式程控压滤机</w:t>
                  </w:r>
                </w:p>
              </w:tc>
              <w:tc>
                <w:tcPr>
                  <w:tcW w:w="317" w:type="pct"/>
                  <w:tcBorders>
                    <w:tl2br w:val="nil"/>
                    <w:tr2bl w:val="nil"/>
                  </w:tcBorders>
                  <w:noWrap w:val="0"/>
                  <w:vAlign w:val="center"/>
                </w:tcPr>
                <w:p w14:paraId="5AF848C9">
                  <w:pPr>
                    <w:keepNext w:val="0"/>
                    <w:keepLines w:val="0"/>
                    <w:pageBreakBefore w:val="0"/>
                    <w:widowControl/>
                    <w:suppressLineNumbers w:val="0"/>
                    <w:kinsoku/>
                    <w:wordWrap/>
                    <w:overflowPunct/>
                    <w:topLinePunct w:val="0"/>
                    <w:autoSpaceDE/>
                    <w:autoSpaceDN/>
                    <w:bidi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1</w:t>
                  </w:r>
                </w:p>
              </w:tc>
              <w:tc>
                <w:tcPr>
                  <w:tcW w:w="351" w:type="pct"/>
                  <w:tcBorders>
                    <w:tl2br w:val="nil"/>
                    <w:tr2bl w:val="nil"/>
                  </w:tcBorders>
                  <w:noWrap w:val="0"/>
                  <w:vAlign w:val="center"/>
                </w:tcPr>
                <w:p w14:paraId="541FC19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80</w:t>
                  </w:r>
                </w:p>
              </w:tc>
              <w:tc>
                <w:tcPr>
                  <w:tcW w:w="417" w:type="pct"/>
                  <w:vMerge w:val="continue"/>
                  <w:tcBorders>
                    <w:tl2br w:val="nil"/>
                    <w:tr2bl w:val="nil"/>
                  </w:tcBorders>
                  <w:noWrap w:val="0"/>
                  <w:vAlign w:val="center"/>
                </w:tcPr>
                <w:p w14:paraId="3586DF7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333" w:type="pct"/>
                  <w:tcBorders>
                    <w:tl2br w:val="nil"/>
                    <w:tr2bl w:val="nil"/>
                  </w:tcBorders>
                  <w:noWrap w:val="0"/>
                  <w:vAlign w:val="center"/>
                </w:tcPr>
                <w:p w14:paraId="01E28EB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22.57</w:t>
                  </w:r>
                </w:p>
              </w:tc>
              <w:tc>
                <w:tcPr>
                  <w:tcW w:w="333" w:type="pct"/>
                  <w:tcBorders>
                    <w:tl2br w:val="nil"/>
                    <w:tr2bl w:val="nil"/>
                  </w:tcBorders>
                  <w:noWrap w:val="0"/>
                  <w:vAlign w:val="center"/>
                </w:tcPr>
                <w:p w14:paraId="654FEF3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95.69</w:t>
                  </w:r>
                </w:p>
              </w:tc>
              <w:tc>
                <w:tcPr>
                  <w:tcW w:w="251" w:type="pct"/>
                  <w:tcBorders>
                    <w:tl2br w:val="nil"/>
                    <w:tr2bl w:val="nil"/>
                  </w:tcBorders>
                  <w:noWrap w:val="0"/>
                  <w:vAlign w:val="center"/>
                </w:tcPr>
                <w:p w14:paraId="7CCD3AD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w:t>
                  </w:r>
                </w:p>
              </w:tc>
              <w:tc>
                <w:tcPr>
                  <w:tcW w:w="359" w:type="pct"/>
                  <w:tcBorders>
                    <w:tl2br w:val="nil"/>
                    <w:tr2bl w:val="nil"/>
                  </w:tcBorders>
                  <w:noWrap w:val="0"/>
                  <w:vAlign w:val="center"/>
                </w:tcPr>
                <w:p w14:paraId="1A7045E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6</w:t>
                  </w:r>
                </w:p>
              </w:tc>
              <w:tc>
                <w:tcPr>
                  <w:tcW w:w="351" w:type="pct"/>
                  <w:tcBorders>
                    <w:tl2br w:val="nil"/>
                    <w:tr2bl w:val="nil"/>
                  </w:tcBorders>
                  <w:noWrap w:val="0"/>
                  <w:vAlign w:val="center"/>
                </w:tcPr>
                <w:p w14:paraId="026382B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49.8</w:t>
                  </w:r>
                </w:p>
              </w:tc>
              <w:tc>
                <w:tcPr>
                  <w:tcW w:w="301" w:type="pct"/>
                  <w:vMerge w:val="continue"/>
                  <w:tcBorders>
                    <w:tl2br w:val="nil"/>
                    <w:tr2bl w:val="nil"/>
                  </w:tcBorders>
                  <w:noWrap w:val="0"/>
                  <w:vAlign w:val="center"/>
                </w:tcPr>
                <w:p w14:paraId="324AA2A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420" w:type="pct"/>
                  <w:tcBorders>
                    <w:tl2br w:val="nil"/>
                    <w:tr2bl w:val="nil"/>
                  </w:tcBorders>
                  <w:noWrap w:val="0"/>
                  <w:vAlign w:val="center"/>
                </w:tcPr>
                <w:p w14:paraId="45D5C97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20</w:t>
                  </w:r>
                </w:p>
              </w:tc>
              <w:tc>
                <w:tcPr>
                  <w:tcW w:w="369" w:type="pct"/>
                  <w:tcBorders>
                    <w:tl2br w:val="nil"/>
                    <w:tr2bl w:val="nil"/>
                  </w:tcBorders>
                  <w:noWrap w:val="0"/>
                  <w:vAlign w:val="center"/>
                </w:tcPr>
                <w:p w14:paraId="0C501DB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29.8</w:t>
                  </w:r>
                </w:p>
              </w:tc>
              <w:tc>
                <w:tcPr>
                  <w:tcW w:w="297" w:type="pct"/>
                  <w:vMerge w:val="continue"/>
                  <w:tcBorders>
                    <w:tl2br w:val="nil"/>
                    <w:tr2bl w:val="nil"/>
                  </w:tcBorders>
                  <w:noWrap w:val="0"/>
                  <w:vAlign w:val="center"/>
                </w:tcPr>
                <w:p w14:paraId="316B40E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r>
            <w:tr w14:paraId="1BC77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72" w:type="pct"/>
                  <w:tcBorders>
                    <w:tl2br w:val="nil"/>
                    <w:tr2bl w:val="nil"/>
                  </w:tcBorders>
                  <w:noWrap w:val="0"/>
                  <w:vAlign w:val="center"/>
                </w:tcPr>
                <w:p w14:paraId="55AED10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11</w:t>
                  </w:r>
                </w:p>
              </w:tc>
              <w:tc>
                <w:tcPr>
                  <w:tcW w:w="251" w:type="pct"/>
                  <w:vMerge w:val="continue"/>
                  <w:tcBorders>
                    <w:tl2br w:val="nil"/>
                    <w:tr2bl w:val="nil"/>
                  </w:tcBorders>
                  <w:noWrap w:val="0"/>
                  <w:vAlign w:val="center"/>
                </w:tcPr>
                <w:p w14:paraId="0C55661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471" w:type="pct"/>
                  <w:tcBorders>
                    <w:tl2br w:val="nil"/>
                    <w:tr2bl w:val="nil"/>
                  </w:tcBorders>
                  <w:noWrap w:val="0"/>
                  <w:vAlign w:val="center"/>
                </w:tcPr>
                <w:p w14:paraId="50CB8AE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top"/>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螺杆空压机</w:t>
                  </w:r>
                </w:p>
              </w:tc>
              <w:tc>
                <w:tcPr>
                  <w:tcW w:w="317" w:type="pct"/>
                  <w:tcBorders>
                    <w:tl2br w:val="nil"/>
                    <w:tr2bl w:val="nil"/>
                  </w:tcBorders>
                  <w:noWrap w:val="0"/>
                  <w:vAlign w:val="center"/>
                </w:tcPr>
                <w:p w14:paraId="3D6BFE0C">
                  <w:pPr>
                    <w:keepNext w:val="0"/>
                    <w:keepLines w:val="0"/>
                    <w:pageBreakBefore w:val="0"/>
                    <w:widowControl/>
                    <w:suppressLineNumbers w:val="0"/>
                    <w:kinsoku/>
                    <w:wordWrap/>
                    <w:overflowPunct/>
                    <w:topLinePunct w:val="0"/>
                    <w:autoSpaceDE/>
                    <w:autoSpaceDN/>
                    <w:bidi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1</w:t>
                  </w:r>
                </w:p>
              </w:tc>
              <w:tc>
                <w:tcPr>
                  <w:tcW w:w="351" w:type="pct"/>
                  <w:tcBorders>
                    <w:tl2br w:val="nil"/>
                    <w:tr2bl w:val="nil"/>
                  </w:tcBorders>
                  <w:noWrap w:val="0"/>
                  <w:vAlign w:val="center"/>
                </w:tcPr>
                <w:p w14:paraId="30F5EA1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75</w:t>
                  </w:r>
                </w:p>
              </w:tc>
              <w:tc>
                <w:tcPr>
                  <w:tcW w:w="417" w:type="pct"/>
                  <w:vMerge w:val="continue"/>
                  <w:tcBorders>
                    <w:tl2br w:val="nil"/>
                    <w:tr2bl w:val="nil"/>
                  </w:tcBorders>
                  <w:noWrap w:val="0"/>
                  <w:vAlign w:val="center"/>
                </w:tcPr>
                <w:p w14:paraId="5C33ABB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333" w:type="pct"/>
                  <w:tcBorders>
                    <w:tl2br w:val="nil"/>
                    <w:tr2bl w:val="nil"/>
                  </w:tcBorders>
                  <w:noWrap w:val="0"/>
                  <w:vAlign w:val="center"/>
                </w:tcPr>
                <w:p w14:paraId="38D676D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-22.67</w:t>
                  </w:r>
                </w:p>
              </w:tc>
              <w:tc>
                <w:tcPr>
                  <w:tcW w:w="333" w:type="pct"/>
                  <w:tcBorders>
                    <w:tl2br w:val="nil"/>
                    <w:tr2bl w:val="nil"/>
                  </w:tcBorders>
                  <w:noWrap w:val="0"/>
                  <w:vAlign w:val="center"/>
                </w:tcPr>
                <w:p w14:paraId="06F5409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-181.23</w:t>
                  </w:r>
                </w:p>
              </w:tc>
              <w:tc>
                <w:tcPr>
                  <w:tcW w:w="251" w:type="pct"/>
                  <w:tcBorders>
                    <w:tl2br w:val="nil"/>
                    <w:tr2bl w:val="nil"/>
                  </w:tcBorders>
                  <w:noWrap w:val="0"/>
                  <w:vAlign w:val="center"/>
                </w:tcPr>
                <w:p w14:paraId="3400CCF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w:t>
                  </w:r>
                </w:p>
              </w:tc>
              <w:tc>
                <w:tcPr>
                  <w:tcW w:w="359" w:type="pct"/>
                  <w:tcBorders>
                    <w:tl2br w:val="nil"/>
                    <w:tr2bl w:val="nil"/>
                  </w:tcBorders>
                  <w:noWrap w:val="0"/>
                  <w:vAlign w:val="center"/>
                </w:tcPr>
                <w:p w14:paraId="018B13D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7</w:t>
                  </w:r>
                </w:p>
              </w:tc>
              <w:tc>
                <w:tcPr>
                  <w:tcW w:w="351" w:type="pct"/>
                  <w:tcBorders>
                    <w:tl2br w:val="nil"/>
                    <w:tr2bl w:val="nil"/>
                  </w:tcBorders>
                  <w:noWrap w:val="0"/>
                  <w:vAlign w:val="center"/>
                </w:tcPr>
                <w:p w14:paraId="4364560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56.3</w:t>
                  </w:r>
                </w:p>
              </w:tc>
              <w:tc>
                <w:tcPr>
                  <w:tcW w:w="301" w:type="pct"/>
                  <w:vMerge w:val="continue"/>
                  <w:tcBorders>
                    <w:tl2br w:val="nil"/>
                    <w:tr2bl w:val="nil"/>
                  </w:tcBorders>
                  <w:noWrap w:val="0"/>
                  <w:vAlign w:val="center"/>
                </w:tcPr>
                <w:p w14:paraId="5C5A875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420" w:type="pct"/>
                  <w:tcBorders>
                    <w:tl2br w:val="nil"/>
                    <w:tr2bl w:val="nil"/>
                  </w:tcBorders>
                  <w:noWrap w:val="0"/>
                  <w:vAlign w:val="center"/>
                </w:tcPr>
                <w:p w14:paraId="3F8584D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20</w:t>
                  </w:r>
                </w:p>
              </w:tc>
              <w:tc>
                <w:tcPr>
                  <w:tcW w:w="369" w:type="pct"/>
                  <w:tcBorders>
                    <w:tl2br w:val="nil"/>
                    <w:tr2bl w:val="nil"/>
                  </w:tcBorders>
                  <w:noWrap w:val="0"/>
                  <w:vAlign w:val="center"/>
                </w:tcPr>
                <w:p w14:paraId="74B206F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36.3</w:t>
                  </w:r>
                </w:p>
              </w:tc>
              <w:tc>
                <w:tcPr>
                  <w:tcW w:w="297" w:type="pct"/>
                  <w:vMerge w:val="continue"/>
                  <w:tcBorders>
                    <w:tl2br w:val="nil"/>
                    <w:tr2bl w:val="nil"/>
                  </w:tcBorders>
                  <w:noWrap w:val="0"/>
                  <w:vAlign w:val="center"/>
                </w:tcPr>
                <w:p w14:paraId="01164FB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r>
          </w:tbl>
          <w:p w14:paraId="47B41854">
            <w:pPr>
              <w:pStyle w:val="77"/>
              <w:keepNext w:val="0"/>
              <w:keepLines w:val="0"/>
              <w:pageBreakBefore w:val="0"/>
              <w:widowControl/>
              <w:kinsoku/>
              <w:wordWrap/>
              <w:overflowPunct/>
              <w:topLinePunct w:val="0"/>
              <w:autoSpaceDE/>
              <w:autoSpaceDN/>
              <w:bidi w:val="0"/>
              <w:adjustRightInd w:val="0"/>
              <w:snapToGrid w:val="0"/>
              <w:spacing w:after="0" w:line="240" w:lineRule="auto"/>
              <w:jc w:val="left"/>
              <w:textAlignment w:val="auto"/>
              <w:rPr>
                <w:rFonts w:hint="default" w:ascii="Times New Roman" w:hAnsi="Times New Roman" w:eastAsia="宋体" w:cs="Times New Roman"/>
                <w:b/>
                <w:bCs/>
                <w:color w:val="auto"/>
                <w:sz w:val="18"/>
                <w:szCs w:val="18"/>
                <w:lang w:val="en-US" w:eastAsia="zh-CN"/>
              </w:rPr>
            </w:pPr>
            <w:r>
              <w:rPr>
                <w:rFonts w:hint="default" w:ascii="Times New Roman" w:hAnsi="Times New Roman" w:eastAsia="宋体" w:cs="Times New Roman"/>
                <w:b/>
                <w:bCs/>
                <w:color w:val="auto"/>
                <w:sz w:val="18"/>
                <w:szCs w:val="18"/>
                <w:lang w:val="en-US" w:eastAsia="zh-CN"/>
              </w:rPr>
              <w:t>注：以</w:t>
            </w:r>
            <w:r>
              <w:rPr>
                <w:rFonts w:hint="eastAsia" w:ascii="Times New Roman" w:hAnsi="Times New Roman" w:eastAsia="宋体" w:cs="Times New Roman"/>
                <w:b/>
                <w:bCs/>
                <w:color w:val="auto"/>
                <w:sz w:val="18"/>
                <w:szCs w:val="18"/>
                <w:lang w:val="en-US" w:eastAsia="zh-CN"/>
              </w:rPr>
              <w:t>生产车间为</w:t>
            </w:r>
            <w:r>
              <w:rPr>
                <w:rFonts w:hint="default" w:ascii="Times New Roman" w:hAnsi="Times New Roman" w:eastAsia="宋体" w:cs="Times New Roman"/>
                <w:b/>
                <w:bCs/>
                <w:color w:val="auto"/>
                <w:sz w:val="18"/>
                <w:szCs w:val="18"/>
                <w:lang w:val="en-US" w:eastAsia="zh-CN"/>
              </w:rPr>
              <w:t>坐标原点（E86°18′3.289″，N41°51′7.464″）</w:t>
            </w:r>
            <w:r>
              <w:rPr>
                <w:rFonts w:hint="eastAsia" w:ascii="Times New Roman" w:hAnsi="Times New Roman" w:eastAsia="宋体" w:cs="Times New Roman"/>
                <w:b/>
                <w:bCs/>
                <w:color w:val="auto"/>
                <w:sz w:val="18"/>
                <w:szCs w:val="18"/>
                <w:lang w:val="en-US" w:eastAsia="zh-CN"/>
              </w:rPr>
              <w:t>为坐标原点</w:t>
            </w:r>
            <w:r>
              <w:rPr>
                <w:rFonts w:hint="default" w:ascii="Times New Roman" w:hAnsi="Times New Roman" w:eastAsia="宋体" w:cs="Times New Roman"/>
                <w:b/>
                <w:bCs/>
                <w:color w:val="auto"/>
                <w:sz w:val="18"/>
                <w:szCs w:val="18"/>
                <w:lang w:val="en-US" w:eastAsia="zh-CN"/>
              </w:rPr>
              <w:t>，x轴正方向为正</w:t>
            </w:r>
            <w:r>
              <w:rPr>
                <w:rFonts w:hint="eastAsia" w:ascii="Times New Roman" w:hAnsi="Times New Roman" w:eastAsia="宋体" w:cs="Times New Roman"/>
                <w:b/>
                <w:bCs/>
                <w:color w:val="auto"/>
                <w:sz w:val="18"/>
                <w:szCs w:val="18"/>
                <w:lang w:val="en-US" w:eastAsia="zh-CN"/>
              </w:rPr>
              <w:t>北</w:t>
            </w:r>
            <w:r>
              <w:rPr>
                <w:rFonts w:hint="default" w:ascii="Times New Roman" w:hAnsi="Times New Roman" w:eastAsia="宋体" w:cs="Times New Roman"/>
                <w:b/>
                <w:bCs/>
                <w:color w:val="auto"/>
                <w:sz w:val="18"/>
                <w:szCs w:val="18"/>
                <w:lang w:val="en-US" w:eastAsia="zh-CN"/>
              </w:rPr>
              <w:t>向，y轴正方向为正</w:t>
            </w:r>
            <w:r>
              <w:rPr>
                <w:rFonts w:hint="eastAsia" w:ascii="Times New Roman" w:hAnsi="Times New Roman" w:eastAsia="宋体" w:cs="Times New Roman"/>
                <w:b/>
                <w:bCs/>
                <w:color w:val="auto"/>
                <w:sz w:val="18"/>
                <w:szCs w:val="18"/>
                <w:lang w:val="en-US" w:eastAsia="zh-CN"/>
              </w:rPr>
              <w:t>东</w:t>
            </w:r>
            <w:r>
              <w:rPr>
                <w:rFonts w:hint="default" w:ascii="Times New Roman" w:hAnsi="Times New Roman" w:eastAsia="宋体" w:cs="Times New Roman"/>
                <w:b/>
                <w:bCs/>
                <w:color w:val="auto"/>
                <w:sz w:val="18"/>
                <w:szCs w:val="18"/>
                <w:lang w:val="en-US" w:eastAsia="zh-CN"/>
              </w:rPr>
              <w:t>向。</w:t>
            </w:r>
          </w:p>
          <w:p w14:paraId="5C7D9511">
            <w:pPr>
              <w:keepNext w:val="0"/>
              <w:keepLines w:val="0"/>
              <w:pageBreakBefore w:val="0"/>
              <w:widowControl w:val="0"/>
              <w:suppressLineNumbers w:val="0"/>
              <w:kinsoku/>
              <w:wordWrap/>
              <w:overflowPunct/>
              <w:topLinePunct w:val="0"/>
              <w:autoSpaceDE/>
              <w:autoSpaceDN/>
              <w:bidi w:val="0"/>
              <w:spacing w:before="0" w:beforeAutospacing="0" w:after="0" w:afterAutospacing="0" w:line="440" w:lineRule="exact"/>
              <w:ind w:right="0" w:firstLine="480" w:firstLineChars="200"/>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lang w:val="en-US" w:eastAsia="zh-CN"/>
              </w:rPr>
              <w:t>3.</w:t>
            </w:r>
            <w:r>
              <w:rPr>
                <w:rFonts w:hint="default" w:ascii="Times New Roman" w:hAnsi="Times New Roman" w:cs="Times New Roman"/>
                <w:b w:val="0"/>
                <w:bCs w:val="0"/>
                <w:sz w:val="24"/>
                <w:szCs w:val="24"/>
                <w:lang w:eastAsia="zh-CN"/>
              </w:rPr>
              <w:t>2</w:t>
            </w:r>
            <w:r>
              <w:rPr>
                <w:rFonts w:hint="default" w:ascii="Times New Roman" w:hAnsi="Times New Roman" w:cs="Times New Roman"/>
                <w:b w:val="0"/>
                <w:bCs w:val="0"/>
                <w:sz w:val="24"/>
                <w:szCs w:val="24"/>
              </w:rPr>
              <w:t>噪声污染防治措施及环境影响分析</w:t>
            </w:r>
          </w:p>
          <w:p w14:paraId="1D84B164">
            <w:pPr>
              <w:keepNext w:val="0"/>
              <w:keepLines w:val="0"/>
              <w:pageBreakBefore w:val="0"/>
              <w:widowControl w:val="0"/>
              <w:suppressLineNumbers w:val="0"/>
              <w:kinsoku/>
              <w:wordWrap/>
              <w:overflowPunct/>
              <w:topLinePunct w:val="0"/>
              <w:autoSpaceDE/>
              <w:autoSpaceDN/>
              <w:bidi w:val="0"/>
              <w:spacing w:before="0" w:beforeAutospacing="0" w:after="0" w:afterAutospacing="0" w:line="440" w:lineRule="exact"/>
              <w:ind w:left="0" w:right="0"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（1）拟采取的噪声污染防治措施</w:t>
            </w:r>
          </w:p>
          <w:p w14:paraId="52EE50F0">
            <w:pPr>
              <w:keepNext w:val="0"/>
              <w:keepLines w:val="0"/>
              <w:pageBreakBefore w:val="0"/>
              <w:widowControl w:val="0"/>
              <w:suppressLineNumbers w:val="0"/>
              <w:kinsoku/>
              <w:wordWrap/>
              <w:overflowPunct/>
              <w:topLinePunct w:val="0"/>
              <w:autoSpaceDE/>
              <w:autoSpaceDN/>
              <w:bidi w:val="0"/>
              <w:spacing w:before="0" w:beforeAutospacing="0" w:after="0" w:afterAutospacing="0" w:line="440" w:lineRule="exact"/>
              <w:ind w:left="0" w:right="0"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Ⅰ合理布局，应将</w:t>
            </w:r>
            <w:r>
              <w:rPr>
                <w:rFonts w:hint="default" w:ascii="Times New Roman" w:hAnsi="Times New Roman" w:cs="Times New Roman"/>
                <w:sz w:val="24"/>
                <w:szCs w:val="24"/>
                <w:lang w:eastAsia="zh-CN"/>
              </w:rPr>
              <w:t>厂内</w:t>
            </w:r>
            <w:r>
              <w:rPr>
                <w:rFonts w:hint="default" w:ascii="Times New Roman" w:hAnsi="Times New Roman" w:cs="Times New Roman"/>
                <w:sz w:val="24"/>
                <w:szCs w:val="24"/>
              </w:rPr>
              <w:t>噪声较大设备安装减震垫、隔声装置。</w:t>
            </w:r>
          </w:p>
          <w:p w14:paraId="74DA7CE8">
            <w:pPr>
              <w:keepNext w:val="0"/>
              <w:keepLines w:val="0"/>
              <w:pageBreakBefore w:val="0"/>
              <w:widowControl w:val="0"/>
              <w:suppressLineNumbers w:val="0"/>
              <w:kinsoku/>
              <w:wordWrap/>
              <w:overflowPunct/>
              <w:topLinePunct w:val="0"/>
              <w:autoSpaceDE/>
              <w:autoSpaceDN/>
              <w:bidi w:val="0"/>
              <w:spacing w:before="0" w:beforeAutospacing="0" w:after="0" w:afterAutospacing="0" w:line="440" w:lineRule="exact"/>
              <w:ind w:left="0" w:right="0"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Ⅱ合理设计绿化，以阻隔噪声的传播和干扰。</w:t>
            </w:r>
          </w:p>
          <w:p w14:paraId="564DBB9F">
            <w:pPr>
              <w:keepNext w:val="0"/>
              <w:keepLines w:val="0"/>
              <w:pageBreakBefore w:val="0"/>
              <w:widowControl w:val="0"/>
              <w:suppressLineNumbers w:val="0"/>
              <w:kinsoku/>
              <w:wordWrap/>
              <w:overflowPunct/>
              <w:topLinePunct w:val="0"/>
              <w:autoSpaceDE/>
              <w:autoSpaceDN/>
              <w:bidi w:val="0"/>
              <w:spacing w:before="0" w:beforeAutospacing="0" w:after="0" w:afterAutospacing="0" w:line="440" w:lineRule="exact"/>
              <w:ind w:left="0" w:right="0"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Ⅲ平时加强生产管理和设备维护保养；加强工人的生产操作管理，减少或降低人为噪声的产生。</w:t>
            </w:r>
          </w:p>
          <w:p w14:paraId="5D3521D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（2）预测模式</w:t>
            </w:r>
          </w:p>
          <w:p w14:paraId="68B5666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预测方法采用多声源至受声点声压级估算法，先用衰减模式分别计算出每个噪声源对某受声点的声压级，然后再叠加，即得到该点的总声压级。预测公式如下：</w:t>
            </w:r>
          </w:p>
          <w:p w14:paraId="1BBC64A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480" w:firstLineChars="200"/>
              <w:textAlignment w:val="auto"/>
              <w:outlineLvl w:val="0"/>
              <w:rPr>
                <w:rFonts w:hint="default" w:ascii="Times New Roman" w:hAnsi="Times New Roman" w:cs="Times New Roman"/>
                <w:sz w:val="24"/>
                <w:szCs w:val="24"/>
              </w:rPr>
            </w:pPr>
            <w:r>
              <w:rPr>
                <w:rFonts w:hint="default" w:ascii="Times New Roman" w:hAnsi="Times New Roman" w:cs="Times New Roman"/>
                <w:sz w:val="24"/>
                <w:szCs w:val="24"/>
              </w:rPr>
              <w:t>①点源传播衰减模式：</w:t>
            </w:r>
          </w:p>
          <w:p w14:paraId="6E4CBFE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480" w:firstLineChars="200"/>
              <w:textAlignment w:val="auto"/>
              <w:outlineLvl w:val="0"/>
              <w:rPr>
                <w:rFonts w:hint="default" w:ascii="Times New Roman" w:hAnsi="Times New Roman" w:cs="Times New Roman"/>
                <w:sz w:val="24"/>
                <w:szCs w:val="24"/>
              </w:rPr>
            </w:pPr>
            <w:r>
              <w:rPr>
                <w:rFonts w:hint="default" w:ascii="Times New Roman" w:hAnsi="Times New Roman" w:cs="Times New Roman"/>
                <w:position w:val="-12"/>
                <w:sz w:val="24"/>
                <w:szCs w:val="24"/>
              </w:rPr>
              <w:drawing>
                <wp:inline distT="0" distB="0" distL="114300" distR="114300">
                  <wp:extent cx="1708150" cy="233045"/>
                  <wp:effectExtent l="0" t="0" r="6350" b="15240"/>
                  <wp:docPr id="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9"/>
                          <pic:cNvPicPr>
                            <a:picLocks noChangeAspect="1"/>
                          </pic:cNvPicPr>
                        </pic:nvPicPr>
                        <pic:blipFill>
                          <a:blip r:embed="rId17"/>
                          <a:stretch>
                            <a:fillRect/>
                          </a:stretch>
                        </pic:blipFill>
                        <pic:spPr>
                          <a:xfrm>
                            <a:off x="0" y="0"/>
                            <a:ext cx="1708150" cy="233045"/>
                          </a:xfrm>
                          <a:prstGeom prst="rect">
                            <a:avLst/>
                          </a:prstGeom>
                          <a:noFill/>
                          <a:ln>
                            <a:noFill/>
                          </a:ln>
                        </pic:spPr>
                      </pic:pic>
                    </a:graphicData>
                  </a:graphic>
                </wp:inline>
              </w:drawing>
            </w:r>
          </w:p>
          <w:p w14:paraId="7EBACAD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式中；Lp—距声源r米处声压级，dB（A）；</w:t>
            </w:r>
          </w:p>
          <w:p w14:paraId="0FBABAF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      Lp</w:t>
            </w:r>
            <w:r>
              <w:rPr>
                <w:rFonts w:hint="default" w:ascii="Times New Roman" w:hAnsi="Times New Roman" w:cs="Times New Roman"/>
                <w:sz w:val="24"/>
                <w:szCs w:val="24"/>
                <w:vertAlign w:val="subscript"/>
              </w:rPr>
              <w:t>o</w:t>
            </w:r>
            <w:r>
              <w:rPr>
                <w:rFonts w:hint="default" w:ascii="Times New Roman" w:hAnsi="Times New Roman" w:cs="Times New Roman"/>
                <w:sz w:val="24"/>
                <w:szCs w:val="24"/>
              </w:rPr>
              <w:t>—距声源r</w:t>
            </w:r>
            <w:r>
              <w:rPr>
                <w:rFonts w:hint="default" w:ascii="Times New Roman" w:hAnsi="Times New Roman" w:cs="Times New Roman"/>
                <w:sz w:val="24"/>
                <w:szCs w:val="24"/>
                <w:vertAlign w:val="subscript"/>
              </w:rPr>
              <w:t>0</w:t>
            </w:r>
            <w:r>
              <w:rPr>
                <w:rFonts w:hint="default" w:ascii="Times New Roman" w:hAnsi="Times New Roman" w:cs="Times New Roman"/>
                <w:sz w:val="24"/>
                <w:szCs w:val="24"/>
              </w:rPr>
              <w:t>米处的声压级，dB（A）；</w:t>
            </w:r>
          </w:p>
          <w:p w14:paraId="2F15FCD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      r—距声源的距离，m；</w:t>
            </w:r>
          </w:p>
          <w:p w14:paraId="009E0F7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      r</w:t>
            </w:r>
            <w:r>
              <w:rPr>
                <w:rFonts w:hint="default" w:ascii="Times New Roman" w:hAnsi="Times New Roman" w:cs="Times New Roman"/>
                <w:sz w:val="24"/>
                <w:szCs w:val="24"/>
                <w:vertAlign w:val="subscript"/>
              </w:rPr>
              <w:t>0</w:t>
            </w:r>
            <w:r>
              <w:rPr>
                <w:rFonts w:hint="default" w:ascii="Times New Roman" w:hAnsi="Times New Roman" w:cs="Times New Roman"/>
                <w:sz w:val="24"/>
                <w:szCs w:val="24"/>
              </w:rPr>
              <w:t>—距声源1m；</w:t>
            </w:r>
          </w:p>
          <w:p w14:paraId="5AA6A72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      ΔL—各种衰减量，dB（A）。</w:t>
            </w:r>
          </w:p>
          <w:p w14:paraId="3619E11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480" w:firstLineChars="200"/>
              <w:textAlignment w:val="auto"/>
              <w:outlineLvl w:val="0"/>
              <w:rPr>
                <w:rFonts w:hint="default" w:ascii="Times New Roman" w:hAnsi="Times New Roman" w:cs="Times New Roman"/>
                <w:sz w:val="24"/>
                <w:szCs w:val="24"/>
              </w:rPr>
            </w:pPr>
            <w:r>
              <w:rPr>
                <w:rFonts w:hint="default" w:ascii="Times New Roman" w:hAnsi="Times New Roman" w:cs="Times New Roman"/>
                <w:sz w:val="24"/>
                <w:szCs w:val="24"/>
              </w:rPr>
              <w:t>②噪声叠加公式</w:t>
            </w:r>
          </w:p>
          <w:p w14:paraId="4E47761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480" w:firstLineChars="200"/>
              <w:jc w:val="center"/>
              <w:textAlignment w:val="auto"/>
              <w:outlineLvl w:val="0"/>
              <w:rPr>
                <w:rFonts w:hint="default" w:ascii="Times New Roman" w:hAnsi="Times New Roman" w:cs="Times New Roman"/>
                <w:sz w:val="24"/>
                <w:szCs w:val="24"/>
              </w:rPr>
            </w:pPr>
            <w:r>
              <w:rPr>
                <w:rFonts w:hint="default" w:ascii="Times New Roman" w:hAnsi="Times New Roman" w:cs="Times New Roman"/>
                <w:sz w:val="24"/>
                <w:szCs w:val="24"/>
              </w:rPr>
              <w:t>对于多点源存在时，给予某个评价点的噪声贡献，可用下式计算：</w:t>
            </w:r>
            <w:r>
              <w:rPr>
                <w:rFonts w:hint="default" w:ascii="Times New Roman" w:hAnsi="Times New Roman" w:cs="Times New Roman"/>
                <w:sz w:val="24"/>
                <w:szCs w:val="24"/>
              </w:rPr>
              <w:drawing>
                <wp:inline distT="0" distB="0" distL="114300" distR="114300">
                  <wp:extent cx="2324100" cy="228600"/>
                  <wp:effectExtent l="0" t="0" r="0" b="0"/>
                  <wp:docPr id="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0"/>
                          <pic:cNvPicPr>
                            <a:picLocks noChangeAspect="1"/>
                          </pic:cNvPicPr>
                        </pic:nvPicPr>
                        <pic:blipFill>
                          <a:blip r:embed="rId18"/>
                          <a:stretch>
                            <a:fillRect/>
                          </a:stretch>
                        </pic:blipFill>
                        <pic:spPr>
                          <a:xfrm>
                            <a:off x="0" y="0"/>
                            <a:ext cx="2324100" cy="228600"/>
                          </a:xfrm>
                          <a:prstGeom prst="rect">
                            <a:avLst/>
                          </a:prstGeom>
                          <a:noFill/>
                          <a:ln>
                            <a:noFill/>
                          </a:ln>
                        </pic:spPr>
                      </pic:pic>
                    </a:graphicData>
                  </a:graphic>
                </wp:inline>
              </w:drawing>
            </w:r>
          </w:p>
          <w:p w14:paraId="41B446F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480" w:firstLineChars="200"/>
              <w:textAlignment w:val="auto"/>
              <w:outlineLvl w:val="0"/>
              <w:rPr>
                <w:rFonts w:hint="default" w:ascii="Times New Roman" w:hAnsi="Times New Roman" w:cs="Times New Roman"/>
                <w:sz w:val="24"/>
                <w:szCs w:val="24"/>
              </w:rPr>
            </w:pPr>
            <w:r>
              <w:rPr>
                <w:rFonts w:hint="default" w:ascii="Times New Roman" w:hAnsi="Times New Roman" w:cs="Times New Roman"/>
                <w:sz w:val="24"/>
                <w:szCs w:val="24"/>
              </w:rPr>
              <w:t>式中：L─总等效声级；</w:t>
            </w:r>
          </w:p>
          <w:p w14:paraId="35ABB2F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480" w:firstLineChars="200"/>
              <w:textAlignment w:val="auto"/>
              <w:outlineLvl w:val="0"/>
              <w:rPr>
                <w:rFonts w:hint="default" w:ascii="Times New Roman" w:hAnsi="Times New Roman" w:cs="Times New Roman"/>
                <w:sz w:val="24"/>
                <w:szCs w:val="24"/>
              </w:rPr>
            </w:pPr>
            <w:r>
              <w:rPr>
                <w:rFonts w:hint="default" w:ascii="Times New Roman" w:hAnsi="Times New Roman" w:cs="Times New Roman"/>
                <w:sz w:val="24"/>
                <w:szCs w:val="24"/>
              </w:rPr>
              <w:t xml:space="preserve">      L1,L2</w:t>
            </w:r>
            <w:r>
              <w:rPr>
                <w:rFonts w:hint="default" w:ascii="Times New Roman" w:hAnsi="Times New Roman" w:cs="Times New Roman"/>
                <w:sz w:val="24"/>
                <w:szCs w:val="24"/>
                <w:lang w:eastAsia="zh-CN"/>
              </w:rPr>
              <w:t>…</w:t>
            </w:r>
            <w:r>
              <w:rPr>
                <w:rFonts w:hint="default" w:ascii="Times New Roman" w:hAnsi="Times New Roman" w:cs="Times New Roman"/>
                <w:sz w:val="24"/>
                <w:szCs w:val="24"/>
              </w:rPr>
              <w:t>Ln─分别为n个噪声的等效声级。</w:t>
            </w:r>
          </w:p>
          <w:p w14:paraId="04CD356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 3 \* GB3 \* MERGEFORMAT </w:instrText>
            </w:r>
            <w:r>
              <w:rPr>
                <w:rFonts w:hint="default" w:ascii="Times New Roman" w:hAnsi="Times New Roman" w:eastAsia="宋体" w:cs="Times New Roman"/>
                <w:sz w:val="24"/>
                <w:szCs w:val="24"/>
              </w:rPr>
              <w:fldChar w:fldCharType="separate"/>
            </w:r>
            <w:r>
              <w:rPr>
                <w:rFonts w:hint="default" w:ascii="Times New Roman" w:hAnsi="Times New Roman" w:cs="Times New Roman"/>
                <w:sz w:val="24"/>
                <w:szCs w:val="24"/>
              </w:rPr>
              <w:t>③</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rPr>
              <w:t>预测结果及评价</w:t>
            </w:r>
          </w:p>
          <w:p w14:paraId="465AA172">
            <w:pPr>
              <w:keepNext w:val="0"/>
              <w:keepLines w:val="0"/>
              <w:pageBreakBefore w:val="0"/>
              <w:widowControl/>
              <w:kinsoku/>
              <w:wordWrap/>
              <w:overflowPunct/>
              <w:topLinePunct w:val="0"/>
              <w:autoSpaceDE/>
              <w:autoSpaceDN/>
              <w:bidi w:val="0"/>
              <w:adjustRightInd/>
              <w:snapToGrid/>
              <w:spacing w:line="440" w:lineRule="exact"/>
              <w:ind w:firstLine="480" w:firstLineChars="200"/>
              <w:jc w:val="center"/>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sz w:val="24"/>
                <w:szCs w:val="24"/>
              </w:rPr>
              <w:t>根据预测模式计算出各噪声源传播至厂界的总声压级，结果</w:t>
            </w:r>
            <w:r>
              <w:rPr>
                <w:rFonts w:hint="default" w:ascii="Times New Roman" w:hAnsi="Times New Roman" w:eastAsia="宋体" w:cs="Times New Roman"/>
                <w:sz w:val="24"/>
                <w:szCs w:val="24"/>
                <w:lang w:eastAsia="zh-CN"/>
              </w:rPr>
              <w:t>见表</w:t>
            </w:r>
            <w:r>
              <w:rPr>
                <w:rFonts w:hint="default" w:ascii="Times New Roman" w:hAnsi="Times New Roman" w:eastAsia="宋体" w:cs="Times New Roman"/>
                <w:sz w:val="24"/>
                <w:szCs w:val="24"/>
                <w:lang w:val="en-US" w:eastAsia="zh-CN"/>
              </w:rPr>
              <w:t>4-</w:t>
            </w:r>
            <w:r>
              <w:rPr>
                <w:rFonts w:hint="eastAsia" w:ascii="Times New Roman" w:hAnsi="Times New Roman" w:cs="Times New Roman"/>
                <w:sz w:val="24"/>
                <w:szCs w:val="24"/>
                <w:lang w:val="en-US" w:eastAsia="zh-CN"/>
              </w:rPr>
              <w:t>6。</w:t>
            </w:r>
          </w:p>
          <w:p w14:paraId="6188DBAC">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表4-</w:t>
            </w:r>
            <w:r>
              <w:rPr>
                <w:rFonts w:hint="eastAsia" w:ascii="Times New Roman" w:hAnsi="Times New Roman" w:eastAsia="宋体" w:cs="Times New Roman"/>
                <w:b/>
                <w:bCs/>
                <w:color w:val="auto"/>
                <w:sz w:val="21"/>
                <w:szCs w:val="21"/>
                <w:lang w:val="en-US" w:eastAsia="zh-CN"/>
              </w:rPr>
              <w:t>6</w:t>
            </w:r>
            <w:r>
              <w:rPr>
                <w:rFonts w:hint="default" w:ascii="Times New Roman" w:hAnsi="Times New Roman" w:eastAsia="宋体" w:cs="Times New Roman"/>
                <w:b/>
                <w:bCs/>
                <w:color w:val="auto"/>
                <w:sz w:val="21"/>
                <w:szCs w:val="21"/>
                <w:lang w:val="en-US" w:eastAsia="zh-CN"/>
              </w:rPr>
              <w:t xml:space="preserve">  本项目噪声预测一览表  单位：dB(A)</w:t>
            </w:r>
          </w:p>
          <w:tbl>
            <w:tblPr>
              <w:tblStyle w:val="2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8"/>
              <w:gridCol w:w="1612"/>
              <w:gridCol w:w="1023"/>
              <w:gridCol w:w="976"/>
              <w:gridCol w:w="1009"/>
              <w:gridCol w:w="1108"/>
              <w:gridCol w:w="1529"/>
            </w:tblGrid>
            <w:tr w14:paraId="6309E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393" w:type="pct"/>
                  <w:vMerge w:val="restart"/>
                  <w:tcBorders>
                    <w:tl2br w:val="nil"/>
                    <w:tr2bl w:val="nil"/>
                  </w:tcBorders>
                  <w:noWrap w:val="0"/>
                  <w:vAlign w:val="center"/>
                </w:tcPr>
                <w:p w14:paraId="7E1B6915">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噪声源</w:t>
                  </w:r>
                </w:p>
              </w:tc>
              <w:tc>
                <w:tcPr>
                  <w:tcW w:w="1023" w:type="pct"/>
                  <w:vMerge w:val="restart"/>
                  <w:tcBorders>
                    <w:tl2br w:val="nil"/>
                    <w:tr2bl w:val="nil"/>
                  </w:tcBorders>
                  <w:noWrap w:val="0"/>
                  <w:vAlign w:val="center"/>
                </w:tcPr>
                <w:p w14:paraId="7696613A">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项目预测点</w:t>
                  </w:r>
                </w:p>
              </w:tc>
              <w:tc>
                <w:tcPr>
                  <w:tcW w:w="1268" w:type="pct"/>
                  <w:gridSpan w:val="2"/>
                  <w:tcBorders>
                    <w:tl2br w:val="nil"/>
                    <w:tr2bl w:val="nil"/>
                  </w:tcBorders>
                  <w:noWrap w:val="0"/>
                  <w:vAlign w:val="center"/>
                </w:tcPr>
                <w:p w14:paraId="456D1CD1">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贡献值</w:t>
                  </w:r>
                </w:p>
              </w:tc>
              <w:tc>
                <w:tcPr>
                  <w:tcW w:w="1343" w:type="pct"/>
                  <w:gridSpan w:val="2"/>
                  <w:tcBorders>
                    <w:tl2br w:val="nil"/>
                    <w:tr2bl w:val="nil"/>
                  </w:tcBorders>
                  <w:noWrap w:val="0"/>
                  <w:vAlign w:val="center"/>
                </w:tcPr>
                <w:p w14:paraId="4486A73E">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标准限值</w:t>
                  </w:r>
                </w:p>
              </w:tc>
              <w:tc>
                <w:tcPr>
                  <w:tcW w:w="970" w:type="pct"/>
                  <w:vMerge w:val="restart"/>
                  <w:tcBorders>
                    <w:tl2br w:val="nil"/>
                    <w:tr2bl w:val="nil"/>
                  </w:tcBorders>
                  <w:noWrap w:val="0"/>
                  <w:vAlign w:val="center"/>
                </w:tcPr>
                <w:p w14:paraId="6BD37B8F">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预测结果</w:t>
                  </w:r>
                </w:p>
              </w:tc>
            </w:tr>
            <w:tr w14:paraId="1192A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3" w:type="pct"/>
                  <w:vMerge w:val="continue"/>
                  <w:tcBorders>
                    <w:tl2br w:val="nil"/>
                    <w:tr2bl w:val="nil"/>
                  </w:tcBorders>
                  <w:noWrap w:val="0"/>
                  <w:vAlign w:val="center"/>
                </w:tcPr>
                <w:p w14:paraId="3B4E8D1B">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color w:val="auto"/>
                      <w:sz w:val="21"/>
                      <w:szCs w:val="21"/>
                    </w:rPr>
                  </w:pPr>
                </w:p>
              </w:tc>
              <w:tc>
                <w:tcPr>
                  <w:tcW w:w="1023" w:type="pct"/>
                  <w:vMerge w:val="continue"/>
                  <w:tcBorders>
                    <w:tl2br w:val="nil"/>
                    <w:tr2bl w:val="nil"/>
                  </w:tcBorders>
                  <w:noWrap w:val="0"/>
                  <w:vAlign w:val="center"/>
                </w:tcPr>
                <w:p w14:paraId="29CD9455">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color w:val="auto"/>
                      <w:sz w:val="21"/>
                      <w:szCs w:val="21"/>
                    </w:rPr>
                  </w:pPr>
                </w:p>
              </w:tc>
              <w:tc>
                <w:tcPr>
                  <w:tcW w:w="649" w:type="pct"/>
                  <w:tcBorders>
                    <w:tl2br w:val="nil"/>
                    <w:tr2bl w:val="nil"/>
                  </w:tcBorders>
                  <w:noWrap w:val="0"/>
                  <w:vAlign w:val="center"/>
                </w:tcPr>
                <w:p w14:paraId="35D4AAB5">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昼间</w:t>
                  </w:r>
                </w:p>
              </w:tc>
              <w:tc>
                <w:tcPr>
                  <w:tcW w:w="619" w:type="pct"/>
                  <w:tcBorders>
                    <w:tl2br w:val="nil"/>
                    <w:tr2bl w:val="nil"/>
                  </w:tcBorders>
                  <w:noWrap w:val="0"/>
                  <w:vAlign w:val="center"/>
                </w:tcPr>
                <w:p w14:paraId="51981F9A">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夜</w:t>
                  </w:r>
                  <w:r>
                    <w:rPr>
                      <w:rFonts w:hint="default" w:ascii="Times New Roman" w:hAnsi="Times New Roman" w:eastAsia="宋体" w:cs="Times New Roman"/>
                      <w:color w:val="auto"/>
                      <w:sz w:val="21"/>
                      <w:szCs w:val="21"/>
                    </w:rPr>
                    <w:t>间</w:t>
                  </w:r>
                </w:p>
              </w:tc>
              <w:tc>
                <w:tcPr>
                  <w:tcW w:w="640" w:type="pct"/>
                  <w:tcBorders>
                    <w:tl2br w:val="nil"/>
                    <w:tr2bl w:val="nil"/>
                  </w:tcBorders>
                  <w:noWrap w:val="0"/>
                  <w:vAlign w:val="center"/>
                </w:tcPr>
                <w:p w14:paraId="1DEB677C">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昼间</w:t>
                  </w:r>
                </w:p>
              </w:tc>
              <w:tc>
                <w:tcPr>
                  <w:tcW w:w="703" w:type="pct"/>
                  <w:tcBorders>
                    <w:tl2br w:val="nil"/>
                    <w:tr2bl w:val="nil"/>
                  </w:tcBorders>
                  <w:noWrap w:val="0"/>
                  <w:vAlign w:val="center"/>
                </w:tcPr>
                <w:p w14:paraId="636C3EB0">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夜</w:t>
                  </w:r>
                  <w:r>
                    <w:rPr>
                      <w:rFonts w:hint="default" w:ascii="Times New Roman" w:hAnsi="Times New Roman" w:eastAsia="宋体" w:cs="Times New Roman"/>
                      <w:color w:val="auto"/>
                      <w:sz w:val="21"/>
                      <w:szCs w:val="21"/>
                    </w:rPr>
                    <w:t>间</w:t>
                  </w:r>
                </w:p>
              </w:tc>
              <w:tc>
                <w:tcPr>
                  <w:tcW w:w="970" w:type="pct"/>
                  <w:vMerge w:val="continue"/>
                  <w:tcBorders>
                    <w:tl2br w:val="nil"/>
                    <w:tr2bl w:val="nil"/>
                  </w:tcBorders>
                  <w:noWrap w:val="0"/>
                  <w:vAlign w:val="center"/>
                </w:tcPr>
                <w:p w14:paraId="1D8EA3AB">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Times New Roman" w:hAnsi="Times New Roman" w:eastAsia="宋体" w:cs="Times New Roman"/>
                      <w:color w:val="auto"/>
                      <w:sz w:val="21"/>
                      <w:szCs w:val="21"/>
                      <w:lang w:val="en-US" w:eastAsia="zh-CN"/>
                    </w:rPr>
                  </w:pPr>
                </w:p>
              </w:tc>
            </w:tr>
            <w:tr w14:paraId="6BC44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3" w:type="pct"/>
                  <w:vMerge w:val="restart"/>
                  <w:tcBorders>
                    <w:tl2br w:val="nil"/>
                    <w:tr2bl w:val="nil"/>
                  </w:tcBorders>
                  <w:noWrap w:val="0"/>
                  <w:vAlign w:val="center"/>
                </w:tcPr>
                <w:p w14:paraId="3AD458E2">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预测</w:t>
                  </w:r>
                  <w:r>
                    <w:rPr>
                      <w:rFonts w:hint="default" w:ascii="Times New Roman" w:hAnsi="Times New Roman" w:eastAsia="宋体" w:cs="Times New Roman"/>
                      <w:color w:val="auto"/>
                      <w:sz w:val="21"/>
                      <w:szCs w:val="21"/>
                    </w:rPr>
                    <w:t>声源</w:t>
                  </w:r>
                </w:p>
              </w:tc>
              <w:tc>
                <w:tcPr>
                  <w:tcW w:w="1023" w:type="pct"/>
                  <w:tcBorders>
                    <w:tl2br w:val="nil"/>
                    <w:tr2bl w:val="nil"/>
                  </w:tcBorders>
                  <w:noWrap w:val="0"/>
                  <w:vAlign w:val="center"/>
                </w:tcPr>
                <w:p w14:paraId="51BE729C">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东侧厂界</w:t>
                  </w:r>
                </w:p>
              </w:tc>
              <w:tc>
                <w:tcPr>
                  <w:tcW w:w="649" w:type="pct"/>
                  <w:tcBorders>
                    <w:tl2br w:val="nil"/>
                    <w:tr2bl w:val="nil"/>
                  </w:tcBorders>
                  <w:noWrap w:val="0"/>
                  <w:vAlign w:val="center"/>
                </w:tcPr>
                <w:p w14:paraId="1A9406E6">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rPr>
                    <w:t>18.35</w:t>
                  </w:r>
                </w:p>
              </w:tc>
              <w:tc>
                <w:tcPr>
                  <w:tcW w:w="619" w:type="pct"/>
                  <w:tcBorders>
                    <w:tl2br w:val="nil"/>
                    <w:tr2bl w:val="nil"/>
                  </w:tcBorders>
                  <w:noWrap w:val="0"/>
                  <w:vAlign w:val="center"/>
                </w:tcPr>
                <w:p w14:paraId="73814DAD">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rPr>
                    <w:t>/</w:t>
                  </w:r>
                </w:p>
              </w:tc>
              <w:tc>
                <w:tcPr>
                  <w:tcW w:w="640" w:type="pct"/>
                  <w:tcBorders>
                    <w:tl2br w:val="nil"/>
                    <w:tr2bl w:val="nil"/>
                  </w:tcBorders>
                  <w:noWrap w:val="0"/>
                  <w:vAlign w:val="center"/>
                </w:tcPr>
                <w:p w14:paraId="10AF8911">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65</w:t>
                  </w:r>
                </w:p>
              </w:tc>
              <w:tc>
                <w:tcPr>
                  <w:tcW w:w="703" w:type="pct"/>
                  <w:tcBorders>
                    <w:tl2br w:val="nil"/>
                    <w:tr2bl w:val="nil"/>
                  </w:tcBorders>
                  <w:noWrap w:val="0"/>
                  <w:vAlign w:val="center"/>
                </w:tcPr>
                <w:p w14:paraId="5D7E3045">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55</w:t>
                  </w:r>
                </w:p>
              </w:tc>
              <w:tc>
                <w:tcPr>
                  <w:tcW w:w="970" w:type="pct"/>
                  <w:tcBorders>
                    <w:tl2br w:val="nil"/>
                    <w:tr2bl w:val="nil"/>
                  </w:tcBorders>
                  <w:noWrap w:val="0"/>
                  <w:vAlign w:val="center"/>
                </w:tcPr>
                <w:p w14:paraId="3EAEEA84">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达标</w:t>
                  </w:r>
                </w:p>
              </w:tc>
            </w:tr>
            <w:tr w14:paraId="0CE1F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3" w:type="pct"/>
                  <w:vMerge w:val="continue"/>
                  <w:tcBorders>
                    <w:tl2br w:val="nil"/>
                    <w:tr2bl w:val="nil"/>
                  </w:tcBorders>
                  <w:noWrap w:val="0"/>
                  <w:vAlign w:val="center"/>
                </w:tcPr>
                <w:p w14:paraId="33A9A15F">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color w:val="auto"/>
                      <w:sz w:val="21"/>
                      <w:szCs w:val="21"/>
                    </w:rPr>
                  </w:pPr>
                </w:p>
              </w:tc>
              <w:tc>
                <w:tcPr>
                  <w:tcW w:w="1023" w:type="pct"/>
                  <w:tcBorders>
                    <w:tl2br w:val="nil"/>
                    <w:tr2bl w:val="nil"/>
                  </w:tcBorders>
                  <w:noWrap w:val="0"/>
                  <w:vAlign w:val="center"/>
                </w:tcPr>
                <w:p w14:paraId="0DB7B228">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南侧厂界</w:t>
                  </w:r>
                </w:p>
              </w:tc>
              <w:tc>
                <w:tcPr>
                  <w:tcW w:w="649" w:type="pct"/>
                  <w:tcBorders>
                    <w:tl2br w:val="nil"/>
                    <w:tr2bl w:val="nil"/>
                  </w:tcBorders>
                  <w:noWrap w:val="0"/>
                  <w:vAlign w:val="center"/>
                </w:tcPr>
                <w:p w14:paraId="14462499">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rPr>
                    <w:t>23.43</w:t>
                  </w:r>
                </w:p>
              </w:tc>
              <w:tc>
                <w:tcPr>
                  <w:tcW w:w="619" w:type="pct"/>
                  <w:tcBorders>
                    <w:tl2br w:val="nil"/>
                    <w:tr2bl w:val="nil"/>
                  </w:tcBorders>
                  <w:noWrap w:val="0"/>
                  <w:vAlign w:val="center"/>
                </w:tcPr>
                <w:p w14:paraId="32145DFC">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rPr>
                    <w:t>/</w:t>
                  </w:r>
                </w:p>
              </w:tc>
              <w:tc>
                <w:tcPr>
                  <w:tcW w:w="640" w:type="pct"/>
                  <w:tcBorders>
                    <w:tl2br w:val="nil"/>
                    <w:tr2bl w:val="nil"/>
                  </w:tcBorders>
                  <w:noWrap w:val="0"/>
                  <w:vAlign w:val="center"/>
                </w:tcPr>
                <w:p w14:paraId="5469995C">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65</w:t>
                  </w:r>
                </w:p>
              </w:tc>
              <w:tc>
                <w:tcPr>
                  <w:tcW w:w="703" w:type="pct"/>
                  <w:tcBorders>
                    <w:tl2br w:val="nil"/>
                    <w:tr2bl w:val="nil"/>
                  </w:tcBorders>
                  <w:noWrap w:val="0"/>
                  <w:vAlign w:val="center"/>
                </w:tcPr>
                <w:p w14:paraId="68564745">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55</w:t>
                  </w:r>
                </w:p>
              </w:tc>
              <w:tc>
                <w:tcPr>
                  <w:tcW w:w="970" w:type="pct"/>
                  <w:tcBorders>
                    <w:tl2br w:val="nil"/>
                    <w:tr2bl w:val="nil"/>
                  </w:tcBorders>
                  <w:noWrap w:val="0"/>
                  <w:vAlign w:val="center"/>
                </w:tcPr>
                <w:p w14:paraId="0AD26905">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达标</w:t>
                  </w:r>
                </w:p>
              </w:tc>
            </w:tr>
            <w:tr w14:paraId="44BD8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3" w:type="pct"/>
                  <w:vMerge w:val="continue"/>
                  <w:tcBorders>
                    <w:tl2br w:val="nil"/>
                    <w:tr2bl w:val="nil"/>
                  </w:tcBorders>
                  <w:noWrap w:val="0"/>
                  <w:vAlign w:val="center"/>
                </w:tcPr>
                <w:p w14:paraId="0DD4EF20">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color w:val="auto"/>
                      <w:sz w:val="21"/>
                      <w:szCs w:val="21"/>
                    </w:rPr>
                  </w:pPr>
                </w:p>
              </w:tc>
              <w:tc>
                <w:tcPr>
                  <w:tcW w:w="1023" w:type="pct"/>
                  <w:tcBorders>
                    <w:tl2br w:val="nil"/>
                    <w:tr2bl w:val="nil"/>
                  </w:tcBorders>
                  <w:noWrap w:val="0"/>
                  <w:vAlign w:val="center"/>
                </w:tcPr>
                <w:p w14:paraId="344A1454">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西侧厂界</w:t>
                  </w:r>
                </w:p>
              </w:tc>
              <w:tc>
                <w:tcPr>
                  <w:tcW w:w="649" w:type="pct"/>
                  <w:tcBorders>
                    <w:tl2br w:val="nil"/>
                    <w:tr2bl w:val="nil"/>
                  </w:tcBorders>
                  <w:noWrap w:val="0"/>
                  <w:vAlign w:val="center"/>
                </w:tcPr>
                <w:p w14:paraId="7F49ABE6">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rPr>
                    <w:t>26.87</w:t>
                  </w:r>
                </w:p>
              </w:tc>
              <w:tc>
                <w:tcPr>
                  <w:tcW w:w="619" w:type="pct"/>
                  <w:tcBorders>
                    <w:tl2br w:val="nil"/>
                    <w:tr2bl w:val="nil"/>
                  </w:tcBorders>
                  <w:noWrap w:val="0"/>
                  <w:vAlign w:val="center"/>
                </w:tcPr>
                <w:p w14:paraId="4506FC61">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rPr>
                    <w:t>/</w:t>
                  </w:r>
                </w:p>
              </w:tc>
              <w:tc>
                <w:tcPr>
                  <w:tcW w:w="640" w:type="pct"/>
                  <w:tcBorders>
                    <w:tl2br w:val="nil"/>
                    <w:tr2bl w:val="nil"/>
                  </w:tcBorders>
                  <w:noWrap w:val="0"/>
                  <w:vAlign w:val="center"/>
                </w:tcPr>
                <w:p w14:paraId="19237E23">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65</w:t>
                  </w:r>
                </w:p>
              </w:tc>
              <w:tc>
                <w:tcPr>
                  <w:tcW w:w="703" w:type="pct"/>
                  <w:tcBorders>
                    <w:tl2br w:val="nil"/>
                    <w:tr2bl w:val="nil"/>
                  </w:tcBorders>
                  <w:noWrap w:val="0"/>
                  <w:vAlign w:val="center"/>
                </w:tcPr>
                <w:p w14:paraId="6BD004D1">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55</w:t>
                  </w:r>
                </w:p>
              </w:tc>
              <w:tc>
                <w:tcPr>
                  <w:tcW w:w="970" w:type="pct"/>
                  <w:tcBorders>
                    <w:tl2br w:val="nil"/>
                    <w:tr2bl w:val="nil"/>
                  </w:tcBorders>
                  <w:noWrap w:val="0"/>
                  <w:vAlign w:val="center"/>
                </w:tcPr>
                <w:p w14:paraId="2BF6A3CF">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达标</w:t>
                  </w:r>
                </w:p>
              </w:tc>
            </w:tr>
            <w:tr w14:paraId="1A6E7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3" w:type="pct"/>
                  <w:vMerge w:val="continue"/>
                  <w:tcBorders>
                    <w:tl2br w:val="nil"/>
                    <w:tr2bl w:val="nil"/>
                  </w:tcBorders>
                  <w:noWrap w:val="0"/>
                  <w:vAlign w:val="center"/>
                </w:tcPr>
                <w:p w14:paraId="761D3761">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color w:val="auto"/>
                      <w:sz w:val="21"/>
                      <w:szCs w:val="21"/>
                    </w:rPr>
                  </w:pPr>
                </w:p>
              </w:tc>
              <w:tc>
                <w:tcPr>
                  <w:tcW w:w="1023" w:type="pct"/>
                  <w:tcBorders>
                    <w:tl2br w:val="nil"/>
                    <w:tr2bl w:val="nil"/>
                  </w:tcBorders>
                  <w:noWrap w:val="0"/>
                  <w:vAlign w:val="center"/>
                </w:tcPr>
                <w:p w14:paraId="750311FF">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北侧厂界</w:t>
                  </w:r>
                </w:p>
              </w:tc>
              <w:tc>
                <w:tcPr>
                  <w:tcW w:w="649" w:type="pct"/>
                  <w:tcBorders>
                    <w:tl2br w:val="nil"/>
                    <w:tr2bl w:val="nil"/>
                  </w:tcBorders>
                  <w:noWrap w:val="0"/>
                  <w:vAlign w:val="center"/>
                </w:tcPr>
                <w:p w14:paraId="6048CF80">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rPr>
                    <w:t>27.21</w:t>
                  </w:r>
                </w:p>
              </w:tc>
              <w:tc>
                <w:tcPr>
                  <w:tcW w:w="619" w:type="pct"/>
                  <w:tcBorders>
                    <w:tl2br w:val="nil"/>
                    <w:tr2bl w:val="nil"/>
                  </w:tcBorders>
                  <w:noWrap w:val="0"/>
                  <w:vAlign w:val="center"/>
                </w:tcPr>
                <w:p w14:paraId="57821AA8">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rPr>
                    <w:t>/</w:t>
                  </w:r>
                </w:p>
              </w:tc>
              <w:tc>
                <w:tcPr>
                  <w:tcW w:w="640" w:type="pct"/>
                  <w:tcBorders>
                    <w:tl2br w:val="nil"/>
                    <w:tr2bl w:val="nil"/>
                  </w:tcBorders>
                  <w:noWrap w:val="0"/>
                  <w:vAlign w:val="center"/>
                </w:tcPr>
                <w:p w14:paraId="25B9D78F">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65</w:t>
                  </w:r>
                </w:p>
              </w:tc>
              <w:tc>
                <w:tcPr>
                  <w:tcW w:w="703" w:type="pct"/>
                  <w:tcBorders>
                    <w:tl2br w:val="nil"/>
                    <w:tr2bl w:val="nil"/>
                  </w:tcBorders>
                  <w:noWrap w:val="0"/>
                  <w:vAlign w:val="center"/>
                </w:tcPr>
                <w:p w14:paraId="3D4FD9AC">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55</w:t>
                  </w:r>
                </w:p>
              </w:tc>
              <w:tc>
                <w:tcPr>
                  <w:tcW w:w="970" w:type="pct"/>
                  <w:tcBorders>
                    <w:tl2br w:val="nil"/>
                    <w:tr2bl w:val="nil"/>
                  </w:tcBorders>
                  <w:noWrap w:val="0"/>
                  <w:vAlign w:val="center"/>
                </w:tcPr>
                <w:p w14:paraId="07130500">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达标</w:t>
                  </w:r>
                </w:p>
              </w:tc>
            </w:tr>
          </w:tbl>
          <w:p w14:paraId="5137C3CC">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由上表可知，本项目投产后，通过相应的降噪措施和距离衰减后，各厂界昼间噪声的贡献值能满足《工业企业厂界环境噪声排放标准》（GB12348-2008）中</w:t>
            </w:r>
            <w:r>
              <w:rPr>
                <w:rFonts w:hint="default" w:ascii="Times New Roman" w:hAnsi="Times New Roman" w:eastAsia="宋体" w:cs="Times New Roman"/>
                <w:color w:val="auto"/>
                <w:sz w:val="24"/>
                <w:szCs w:val="24"/>
                <w:lang w:val="en-US" w:eastAsia="zh-CN"/>
              </w:rPr>
              <w:t>3</w:t>
            </w:r>
            <w:r>
              <w:rPr>
                <w:rFonts w:hint="default" w:ascii="Times New Roman" w:hAnsi="Times New Roman" w:eastAsia="宋体" w:cs="Times New Roman"/>
                <w:color w:val="auto"/>
                <w:sz w:val="24"/>
                <w:szCs w:val="24"/>
              </w:rPr>
              <w:t>类标准要求。</w:t>
            </w:r>
          </w:p>
          <w:p w14:paraId="4B8B7A9D">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cs="Times New Roman"/>
                <w:b w:val="0"/>
                <w:bCs/>
                <w:color w:val="auto"/>
                <w:sz w:val="24"/>
                <w:szCs w:val="24"/>
              </w:rPr>
            </w:pPr>
            <w:r>
              <w:rPr>
                <w:rFonts w:hint="default" w:ascii="Times New Roman" w:hAnsi="Times New Roman" w:cs="Times New Roman"/>
                <w:b w:val="0"/>
                <w:bCs/>
                <w:color w:val="auto"/>
                <w:sz w:val="24"/>
                <w:szCs w:val="24"/>
              </w:rPr>
              <w:t>3</w:t>
            </w:r>
            <w:r>
              <w:rPr>
                <w:rFonts w:hint="default" w:ascii="Times New Roman" w:hAnsi="Times New Roman" w:cs="Times New Roman"/>
                <w:b w:val="0"/>
                <w:bCs/>
                <w:color w:val="auto"/>
                <w:sz w:val="24"/>
                <w:szCs w:val="24"/>
                <w:lang w:val="en-US" w:eastAsia="zh-CN"/>
              </w:rPr>
              <w:t>.3</w:t>
            </w:r>
            <w:r>
              <w:rPr>
                <w:rFonts w:hint="default" w:ascii="Times New Roman" w:hAnsi="Times New Roman" w:cs="Times New Roman"/>
                <w:b w:val="0"/>
                <w:bCs/>
                <w:color w:val="auto"/>
                <w:sz w:val="24"/>
                <w:szCs w:val="24"/>
              </w:rPr>
              <w:t>噪声例行监测要求</w:t>
            </w:r>
          </w:p>
          <w:p w14:paraId="32C1236A">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default" w:ascii="Times New Roman" w:hAnsi="Times New Roman" w:cs="Times New Roman"/>
                <w:b w:val="0"/>
                <w:bCs/>
                <w:color w:val="auto"/>
                <w:sz w:val="24"/>
                <w:szCs w:val="24"/>
              </w:rPr>
            </w:pPr>
            <w:r>
              <w:rPr>
                <w:rFonts w:hint="default" w:ascii="Times New Roman" w:hAnsi="Times New Roman" w:cs="Times New Roman"/>
                <w:b w:val="0"/>
                <w:bCs/>
                <w:color w:val="auto"/>
                <w:sz w:val="24"/>
                <w:szCs w:val="24"/>
              </w:rPr>
              <w:t>根据项目的排污特点，企业应遵循《排污单位自行监测技术指南 总则》（HJ819-2017）要求对项目采取监测计划，具体如表</w:t>
            </w:r>
            <w:r>
              <w:rPr>
                <w:rFonts w:hint="default" w:ascii="Times New Roman" w:hAnsi="Times New Roman" w:cs="Times New Roman"/>
                <w:b w:val="0"/>
                <w:bCs/>
                <w:color w:val="auto"/>
                <w:sz w:val="24"/>
                <w:szCs w:val="24"/>
                <w:lang w:val="en-US" w:eastAsia="zh-CN"/>
              </w:rPr>
              <w:t>4-</w:t>
            </w:r>
            <w:r>
              <w:rPr>
                <w:rFonts w:hint="eastAsia" w:ascii="Times New Roman" w:hAnsi="Times New Roman" w:cs="Times New Roman"/>
                <w:b w:val="0"/>
                <w:bCs/>
                <w:color w:val="auto"/>
                <w:sz w:val="24"/>
                <w:szCs w:val="24"/>
                <w:lang w:val="en-US" w:eastAsia="zh-CN"/>
              </w:rPr>
              <w:t>7</w:t>
            </w:r>
            <w:r>
              <w:rPr>
                <w:rFonts w:hint="default" w:ascii="Times New Roman" w:hAnsi="Times New Roman" w:cs="Times New Roman"/>
                <w:b w:val="0"/>
                <w:bCs/>
                <w:color w:val="auto"/>
                <w:sz w:val="24"/>
                <w:szCs w:val="24"/>
              </w:rPr>
              <w:t>所示：</w:t>
            </w:r>
          </w:p>
          <w:p w14:paraId="03F3A52A">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表</w:t>
            </w:r>
            <w:r>
              <w:rPr>
                <w:rFonts w:hint="eastAsia" w:ascii="Times New Roman" w:hAnsi="Times New Roman" w:eastAsia="宋体" w:cs="Times New Roman"/>
                <w:b/>
                <w:bCs/>
                <w:color w:val="auto"/>
                <w:sz w:val="21"/>
                <w:szCs w:val="21"/>
                <w:lang w:val="en-US" w:eastAsia="zh-CN"/>
              </w:rPr>
              <w:t xml:space="preserve">4-7 </w:t>
            </w:r>
            <w:r>
              <w:rPr>
                <w:rFonts w:hint="default" w:ascii="Times New Roman" w:hAnsi="Times New Roman" w:eastAsia="宋体" w:cs="Times New Roman"/>
                <w:b/>
                <w:bCs/>
                <w:color w:val="auto"/>
                <w:sz w:val="21"/>
                <w:szCs w:val="21"/>
                <w:lang w:val="en-US" w:eastAsia="zh-CN"/>
              </w:rPr>
              <w:t xml:space="preserve"> 本项目噪声监测计划</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0"/>
              <w:gridCol w:w="1876"/>
              <w:gridCol w:w="1876"/>
              <w:gridCol w:w="2996"/>
            </w:tblGrid>
            <w:tr w14:paraId="5B835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7" w:type="pct"/>
                  <w:tcBorders>
                    <w:tl2br w:val="nil"/>
                    <w:tr2bl w:val="nil"/>
                  </w:tcBorders>
                  <w:noWrap w:val="0"/>
                  <w:vAlign w:val="center"/>
                </w:tcPr>
                <w:p w14:paraId="30C466D6">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ascii="Times New Roman" w:hAnsi="Times New Roman" w:cs="Times New Roman"/>
                      <w:snapToGrid w:val="0"/>
                      <w:color w:val="auto"/>
                      <w:sz w:val="21"/>
                      <w:szCs w:val="21"/>
                    </w:rPr>
                  </w:pPr>
                  <w:r>
                    <w:rPr>
                      <w:rFonts w:ascii="Times New Roman" w:hAnsi="Times New Roman" w:cs="Times New Roman"/>
                      <w:snapToGrid w:val="0"/>
                      <w:color w:val="auto"/>
                      <w:sz w:val="21"/>
                      <w:szCs w:val="21"/>
                    </w:rPr>
                    <w:t>项目</w:t>
                  </w:r>
                </w:p>
              </w:tc>
              <w:tc>
                <w:tcPr>
                  <w:tcW w:w="1190" w:type="pct"/>
                  <w:tcBorders>
                    <w:tl2br w:val="nil"/>
                    <w:tr2bl w:val="nil"/>
                  </w:tcBorders>
                  <w:noWrap w:val="0"/>
                  <w:vAlign w:val="center"/>
                </w:tcPr>
                <w:p w14:paraId="023A179F">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ascii="Times New Roman" w:hAnsi="Times New Roman" w:cs="Times New Roman"/>
                      <w:snapToGrid w:val="0"/>
                      <w:color w:val="auto"/>
                      <w:sz w:val="21"/>
                      <w:szCs w:val="21"/>
                    </w:rPr>
                  </w:pPr>
                  <w:r>
                    <w:rPr>
                      <w:rFonts w:ascii="Times New Roman" w:hAnsi="Times New Roman" w:cs="Times New Roman"/>
                      <w:snapToGrid w:val="0"/>
                      <w:color w:val="auto"/>
                      <w:sz w:val="21"/>
                      <w:szCs w:val="21"/>
                    </w:rPr>
                    <w:t>监测指标</w:t>
                  </w:r>
                </w:p>
              </w:tc>
              <w:tc>
                <w:tcPr>
                  <w:tcW w:w="1190" w:type="pct"/>
                  <w:tcBorders>
                    <w:tl2br w:val="nil"/>
                    <w:tr2bl w:val="nil"/>
                  </w:tcBorders>
                  <w:noWrap w:val="0"/>
                  <w:vAlign w:val="center"/>
                </w:tcPr>
                <w:p w14:paraId="6857F798">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ascii="Times New Roman" w:hAnsi="Times New Roman" w:cs="Times New Roman"/>
                      <w:snapToGrid w:val="0"/>
                      <w:color w:val="auto"/>
                      <w:sz w:val="21"/>
                      <w:szCs w:val="21"/>
                    </w:rPr>
                  </w:pPr>
                  <w:r>
                    <w:rPr>
                      <w:rFonts w:ascii="Times New Roman" w:hAnsi="Times New Roman" w:cs="Times New Roman"/>
                      <w:snapToGrid w:val="0"/>
                      <w:color w:val="auto"/>
                      <w:sz w:val="21"/>
                      <w:szCs w:val="21"/>
                    </w:rPr>
                    <w:t>监测布点</w:t>
                  </w:r>
                </w:p>
              </w:tc>
              <w:tc>
                <w:tcPr>
                  <w:tcW w:w="1901" w:type="pct"/>
                  <w:tcBorders>
                    <w:tl2br w:val="nil"/>
                    <w:tr2bl w:val="nil"/>
                  </w:tcBorders>
                  <w:noWrap w:val="0"/>
                  <w:vAlign w:val="center"/>
                </w:tcPr>
                <w:p w14:paraId="00E7B94D">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ascii="Times New Roman" w:hAnsi="Times New Roman" w:cs="Times New Roman"/>
                      <w:snapToGrid w:val="0"/>
                      <w:color w:val="auto"/>
                      <w:sz w:val="21"/>
                      <w:szCs w:val="21"/>
                    </w:rPr>
                  </w:pPr>
                  <w:r>
                    <w:rPr>
                      <w:rFonts w:ascii="Times New Roman" w:hAnsi="Times New Roman" w:cs="Times New Roman"/>
                      <w:snapToGrid w:val="0"/>
                      <w:color w:val="auto"/>
                      <w:sz w:val="21"/>
                      <w:szCs w:val="21"/>
                    </w:rPr>
                    <w:t>监测周期与频率</w:t>
                  </w:r>
                </w:p>
              </w:tc>
            </w:tr>
            <w:tr w14:paraId="37D8E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7" w:type="pct"/>
                  <w:tcBorders>
                    <w:tl2br w:val="nil"/>
                    <w:tr2bl w:val="nil"/>
                  </w:tcBorders>
                  <w:noWrap w:val="0"/>
                  <w:vAlign w:val="center"/>
                </w:tcPr>
                <w:p w14:paraId="2C86C83C">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ascii="Times New Roman" w:hAnsi="Times New Roman" w:cs="Times New Roman"/>
                      <w:snapToGrid w:val="0"/>
                      <w:color w:val="auto"/>
                      <w:sz w:val="21"/>
                      <w:szCs w:val="21"/>
                    </w:rPr>
                  </w:pPr>
                  <w:r>
                    <w:rPr>
                      <w:rFonts w:ascii="Times New Roman" w:hAnsi="Times New Roman" w:cs="Times New Roman"/>
                      <w:snapToGrid w:val="0"/>
                      <w:color w:val="auto"/>
                      <w:sz w:val="21"/>
                      <w:szCs w:val="21"/>
                    </w:rPr>
                    <w:t>噪声</w:t>
                  </w:r>
                </w:p>
              </w:tc>
              <w:tc>
                <w:tcPr>
                  <w:tcW w:w="1190" w:type="pct"/>
                  <w:tcBorders>
                    <w:tl2br w:val="nil"/>
                    <w:tr2bl w:val="nil"/>
                  </w:tcBorders>
                  <w:noWrap w:val="0"/>
                  <w:vAlign w:val="center"/>
                </w:tcPr>
                <w:p w14:paraId="0D16CC55">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ascii="Times New Roman" w:hAnsi="Times New Roman" w:cs="Times New Roman"/>
                      <w:snapToGrid w:val="0"/>
                      <w:color w:val="auto"/>
                      <w:sz w:val="21"/>
                      <w:szCs w:val="21"/>
                    </w:rPr>
                  </w:pPr>
                  <w:r>
                    <w:rPr>
                      <w:rFonts w:ascii="Times New Roman" w:hAnsi="Times New Roman" w:cs="Times New Roman"/>
                      <w:color w:val="auto"/>
                      <w:sz w:val="21"/>
                      <w:szCs w:val="21"/>
                    </w:rPr>
                    <w:t>连续等效A声级</w:t>
                  </w:r>
                </w:p>
              </w:tc>
              <w:tc>
                <w:tcPr>
                  <w:tcW w:w="1190" w:type="pct"/>
                  <w:tcBorders>
                    <w:tl2br w:val="nil"/>
                    <w:tr2bl w:val="nil"/>
                  </w:tcBorders>
                  <w:noWrap w:val="0"/>
                  <w:vAlign w:val="center"/>
                </w:tcPr>
                <w:p w14:paraId="183727AC">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ascii="Times New Roman" w:hAnsi="Times New Roman" w:cs="Times New Roman"/>
                      <w:snapToGrid w:val="0"/>
                      <w:color w:val="auto"/>
                      <w:sz w:val="21"/>
                      <w:szCs w:val="21"/>
                    </w:rPr>
                  </w:pPr>
                  <w:r>
                    <w:rPr>
                      <w:rFonts w:ascii="Times New Roman" w:hAnsi="Times New Roman" w:cs="Times New Roman"/>
                      <w:snapToGrid w:val="0"/>
                      <w:color w:val="auto"/>
                      <w:sz w:val="21"/>
                      <w:szCs w:val="21"/>
                    </w:rPr>
                    <w:t>厂界四周</w:t>
                  </w:r>
                </w:p>
              </w:tc>
              <w:tc>
                <w:tcPr>
                  <w:tcW w:w="1901" w:type="pct"/>
                  <w:tcBorders>
                    <w:tl2br w:val="nil"/>
                    <w:tr2bl w:val="nil"/>
                  </w:tcBorders>
                  <w:noWrap w:val="0"/>
                  <w:vAlign w:val="center"/>
                </w:tcPr>
                <w:p w14:paraId="0A83A1F4">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ascii="Times New Roman" w:hAnsi="Times New Roman" w:cs="Times New Roman"/>
                      <w:snapToGrid w:val="0"/>
                      <w:color w:val="auto"/>
                      <w:sz w:val="21"/>
                      <w:szCs w:val="21"/>
                    </w:rPr>
                  </w:pPr>
                  <w:r>
                    <w:rPr>
                      <w:rFonts w:ascii="Times New Roman" w:hAnsi="Times New Roman" w:cs="Times New Roman"/>
                      <w:color w:val="auto"/>
                      <w:sz w:val="21"/>
                      <w:szCs w:val="21"/>
                    </w:rPr>
                    <w:t>每季昼间一次</w:t>
                  </w:r>
                </w:p>
              </w:tc>
            </w:tr>
          </w:tbl>
          <w:p w14:paraId="3E5E576E">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40" w:firstLineChars="200"/>
              <w:textAlignment w:val="auto"/>
              <w:rPr>
                <w:rFonts w:hint="default" w:ascii="Times New Roman" w:hAnsi="Times New Roman" w:cs="Times New Roman"/>
                <w:bCs/>
                <w:spacing w:val="-10"/>
                <w:sz w:val="24"/>
                <w:szCs w:val="24"/>
                <w:lang w:val="en-US" w:eastAsia="zh-CN"/>
              </w:rPr>
            </w:pPr>
            <w:r>
              <w:rPr>
                <w:rFonts w:hint="default" w:ascii="Times New Roman" w:hAnsi="Times New Roman" w:cs="Times New Roman"/>
                <w:bCs/>
                <w:spacing w:val="-10"/>
                <w:kern w:val="2"/>
                <w:sz w:val="24"/>
                <w:szCs w:val="24"/>
                <w:lang w:val="en-US" w:eastAsia="zh-CN" w:bidi="ar-SA"/>
              </w:rPr>
              <w:t>4、</w:t>
            </w:r>
            <w:r>
              <w:rPr>
                <w:rFonts w:hint="default" w:ascii="Times New Roman" w:hAnsi="Times New Roman" w:cs="Times New Roman"/>
                <w:bCs/>
                <w:spacing w:val="-10"/>
                <w:sz w:val="24"/>
                <w:szCs w:val="24"/>
                <w:lang w:val="en-US" w:eastAsia="zh-CN"/>
              </w:rPr>
              <w:t>固废</w:t>
            </w:r>
          </w:p>
          <w:p w14:paraId="69DEC7BB">
            <w:pPr>
              <w:pStyle w:val="4"/>
              <w:keepNext w:val="0"/>
              <w:keepLines w:val="0"/>
              <w:pageBreakBefore w:val="0"/>
              <w:widowControl w:val="0"/>
              <w:numPr>
                <w:ilvl w:val="0"/>
                <w:numId w:val="0"/>
              </w:numPr>
              <w:kinsoku/>
              <w:wordWrap/>
              <w:overflowPunct/>
              <w:topLinePunct w:val="0"/>
              <w:autoSpaceDE/>
              <w:autoSpaceDN/>
              <w:bidi w:val="0"/>
              <w:adjustRightInd/>
              <w:snapToGrid w:val="0"/>
              <w:spacing w:before="0" w:after="0" w:line="440" w:lineRule="exact"/>
              <w:ind w:right="0" w:rightChars="0" w:firstLine="480" w:firstLineChars="200"/>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4.1固废产生处置情况</w:t>
            </w:r>
          </w:p>
          <w:p w14:paraId="14C30FB0">
            <w:pPr>
              <w:pStyle w:val="2"/>
              <w:keepNext w:val="0"/>
              <w:keepLines w:val="0"/>
              <w:pageBreakBefore w:val="0"/>
              <w:widowControl w:val="0"/>
              <w:numPr>
                <w:ilvl w:val="0"/>
                <w:numId w:val="0"/>
              </w:numPr>
              <w:kinsoku/>
              <w:wordWrap/>
              <w:overflowPunct/>
              <w:topLinePunct w:val="0"/>
              <w:autoSpaceDE/>
              <w:autoSpaceDN/>
              <w:bidi w:val="0"/>
              <w:spacing w:line="440" w:lineRule="exact"/>
              <w:ind w:firstLine="480" w:firstLineChars="200"/>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 1 \* GB3 \* MERGEFORMAT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rPr>
              <w:t>①</w:t>
            </w:r>
            <w:r>
              <w:rPr>
                <w:rFonts w:hint="default" w:ascii="Times New Roman" w:hAnsi="Times New Roman" w:cs="Times New Roman"/>
                <w:sz w:val="24"/>
                <w:szCs w:val="24"/>
                <w:lang w:val="en-US" w:eastAsia="zh-CN"/>
              </w:rPr>
              <w:fldChar w:fldCharType="end"/>
            </w:r>
            <w:r>
              <w:rPr>
                <w:rFonts w:hint="default" w:ascii="Times New Roman" w:hAnsi="Times New Roman" w:cs="Times New Roman"/>
                <w:sz w:val="24"/>
                <w:szCs w:val="24"/>
                <w:lang w:val="en-US" w:eastAsia="zh-CN"/>
              </w:rPr>
              <w:t>煤泥除杂筛分杂质</w:t>
            </w:r>
          </w:p>
          <w:p w14:paraId="5AC43D28">
            <w:pPr>
              <w:pStyle w:val="2"/>
              <w:keepNext w:val="0"/>
              <w:keepLines w:val="0"/>
              <w:pageBreakBefore w:val="0"/>
              <w:widowControl w:val="0"/>
              <w:numPr>
                <w:ilvl w:val="0"/>
                <w:numId w:val="0"/>
              </w:numPr>
              <w:kinsoku/>
              <w:wordWrap/>
              <w:overflowPunct/>
              <w:topLinePunct w:val="0"/>
              <w:autoSpaceDE/>
              <w:autoSpaceDN/>
              <w:bidi w:val="0"/>
              <w:spacing w:line="440" w:lineRule="exact"/>
              <w:ind w:firstLine="480" w:firstLineChars="200"/>
              <w:textAlignment w:val="auto"/>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一期</w:t>
            </w:r>
            <w:r>
              <w:rPr>
                <w:rFonts w:hint="default" w:ascii="Times New Roman" w:hAnsi="Times New Roman" w:cs="Times New Roman"/>
                <w:sz w:val="24"/>
                <w:szCs w:val="24"/>
                <w:lang w:val="en-US" w:eastAsia="zh-CN"/>
              </w:rPr>
              <w:t>洗选工艺产生的煤泥杂质量约为</w:t>
            </w:r>
            <w:r>
              <w:rPr>
                <w:rFonts w:hint="eastAsia" w:ascii="Times New Roman" w:hAnsi="Times New Roman" w:cs="Times New Roman"/>
                <w:sz w:val="24"/>
                <w:szCs w:val="24"/>
                <w:lang w:val="en-US" w:eastAsia="zh-CN"/>
              </w:rPr>
              <w:t>1.65</w:t>
            </w:r>
            <w:r>
              <w:rPr>
                <w:rFonts w:hint="default" w:ascii="Times New Roman" w:hAnsi="Times New Roman" w:cs="Times New Roman"/>
                <w:sz w:val="24"/>
                <w:szCs w:val="24"/>
                <w:lang w:val="en-US" w:eastAsia="zh-CN"/>
              </w:rPr>
              <w:t>/a，</w:t>
            </w:r>
            <w:r>
              <w:rPr>
                <w:rFonts w:hint="eastAsia" w:ascii="Times New Roman" w:hAnsi="Times New Roman" w:cs="Times New Roman"/>
                <w:sz w:val="24"/>
                <w:szCs w:val="24"/>
                <w:lang w:val="en-US" w:eastAsia="zh-CN"/>
              </w:rPr>
              <w:t>二期</w:t>
            </w:r>
            <w:r>
              <w:rPr>
                <w:rFonts w:hint="default" w:ascii="Times New Roman" w:hAnsi="Times New Roman" w:cs="Times New Roman"/>
                <w:sz w:val="24"/>
                <w:szCs w:val="24"/>
                <w:lang w:val="en-US" w:eastAsia="zh-CN"/>
              </w:rPr>
              <w:t>洗选工艺产生的煤泥杂质量约为</w:t>
            </w:r>
            <w:r>
              <w:rPr>
                <w:rFonts w:hint="eastAsia" w:ascii="Times New Roman" w:hAnsi="Times New Roman" w:cs="Times New Roman"/>
                <w:sz w:val="24"/>
                <w:szCs w:val="24"/>
                <w:lang w:val="en-US" w:eastAsia="zh-CN"/>
              </w:rPr>
              <w:t>2.74</w:t>
            </w:r>
            <w:r>
              <w:rPr>
                <w:rFonts w:hint="default" w:ascii="Times New Roman" w:hAnsi="Times New Roman" w:cs="Times New Roman"/>
                <w:sz w:val="24"/>
                <w:szCs w:val="24"/>
                <w:lang w:val="en-US" w:eastAsia="zh-CN"/>
              </w:rPr>
              <w:t>t/a</w:t>
            </w:r>
            <w:r>
              <w:rPr>
                <w:rFonts w:hint="eastAsia" w:ascii="Times New Roman" w:hAnsi="Times New Roman" w:cs="Times New Roman"/>
                <w:sz w:val="24"/>
                <w:szCs w:val="24"/>
                <w:lang w:val="en-US" w:eastAsia="zh-CN"/>
              </w:rPr>
              <w:t>，三期</w:t>
            </w:r>
            <w:r>
              <w:rPr>
                <w:rFonts w:hint="default" w:ascii="Times New Roman" w:hAnsi="Times New Roman" w:cs="Times New Roman"/>
                <w:sz w:val="24"/>
                <w:szCs w:val="24"/>
                <w:lang w:val="en-US" w:eastAsia="zh-CN"/>
              </w:rPr>
              <w:t>洗选工艺产生的煤泥杂质量约为</w:t>
            </w:r>
            <w:r>
              <w:rPr>
                <w:rFonts w:hint="eastAsia" w:ascii="Times New Roman" w:hAnsi="Times New Roman" w:cs="Times New Roman"/>
                <w:sz w:val="24"/>
                <w:szCs w:val="24"/>
                <w:lang w:val="en-US" w:eastAsia="zh-CN"/>
              </w:rPr>
              <w:t>14.33</w:t>
            </w:r>
            <w:r>
              <w:rPr>
                <w:rFonts w:hint="default" w:ascii="Times New Roman" w:hAnsi="Times New Roman" w:cs="Times New Roman"/>
                <w:sz w:val="24"/>
                <w:szCs w:val="24"/>
                <w:lang w:val="en-US" w:eastAsia="zh-CN"/>
              </w:rPr>
              <w:t>t/a</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lang w:val="en-US" w:eastAsia="zh-CN"/>
              </w:rPr>
              <w:t>主要为石块、木屑、塑料、铁丝等，交由环卫部门统一处理。根</w:t>
            </w:r>
            <w:r>
              <w:rPr>
                <w:rFonts w:hint="default" w:ascii="Times New Roman" w:hAnsi="Times New Roman" w:eastAsia="宋体" w:cs="Times New Roman"/>
                <w:color w:val="auto"/>
                <w:sz w:val="24"/>
                <w:szCs w:val="24"/>
                <w:lang w:val="en-US" w:eastAsia="zh-CN"/>
              </w:rPr>
              <w:t>据《固体废物分类与代码目录》（生态环境部公告第24号），</w:t>
            </w:r>
            <w:r>
              <w:rPr>
                <w:rFonts w:hint="default" w:ascii="Times New Roman" w:hAnsi="Times New Roman" w:cs="Times New Roman"/>
                <w:sz w:val="24"/>
                <w:szCs w:val="24"/>
                <w:lang w:val="en-US" w:eastAsia="zh-CN"/>
              </w:rPr>
              <w:t>煤泥除杂筛分杂质</w:t>
            </w:r>
            <w:r>
              <w:rPr>
                <w:rFonts w:hint="default" w:ascii="Times New Roman" w:hAnsi="Times New Roman" w:eastAsia="宋体" w:cs="Times New Roman"/>
                <w:color w:val="auto"/>
                <w:sz w:val="24"/>
                <w:szCs w:val="24"/>
                <w:lang w:val="en-US" w:eastAsia="zh-CN"/>
              </w:rPr>
              <w:t>种类为SW59其他工业固体废物，固废代码为</w:t>
            </w:r>
            <w:r>
              <w:rPr>
                <w:rFonts w:hint="default" w:ascii="Times New Roman" w:hAnsi="Times New Roman" w:eastAsia="宋体" w:cs="Times New Roman"/>
                <w:sz w:val="24"/>
                <w:szCs w:val="24"/>
              </w:rPr>
              <w:t>900-</w:t>
            </w:r>
            <w:r>
              <w:rPr>
                <w:rFonts w:hint="default" w:ascii="Times New Roman" w:hAnsi="Times New Roman" w:eastAsia="宋体" w:cs="Times New Roman"/>
                <w:sz w:val="24"/>
                <w:szCs w:val="24"/>
                <w:lang w:val="en-US" w:eastAsia="zh-CN"/>
              </w:rPr>
              <w:t>099</w:t>
            </w:r>
            <w:r>
              <w:rPr>
                <w:rFonts w:hint="default" w:ascii="Times New Roman" w:hAnsi="Times New Roman" w:eastAsia="宋体" w:cs="Times New Roman"/>
                <w:sz w:val="24"/>
                <w:szCs w:val="24"/>
              </w:rPr>
              <w:t>-S</w:t>
            </w:r>
            <w:r>
              <w:rPr>
                <w:rFonts w:hint="default" w:ascii="Times New Roman" w:hAnsi="Times New Roman" w:eastAsia="宋体" w:cs="Times New Roman"/>
                <w:sz w:val="24"/>
                <w:szCs w:val="24"/>
                <w:lang w:val="en-US" w:eastAsia="zh-CN"/>
              </w:rPr>
              <w:t>59</w:t>
            </w:r>
            <w:r>
              <w:rPr>
                <w:rFonts w:hint="default" w:ascii="Times New Roman" w:hAnsi="Times New Roman" w:eastAsia="宋体" w:cs="Times New Roman"/>
                <w:color w:val="auto"/>
                <w:sz w:val="24"/>
                <w:szCs w:val="24"/>
                <w:lang w:val="en-US" w:eastAsia="zh-CN"/>
              </w:rPr>
              <w:t>。</w:t>
            </w:r>
          </w:p>
          <w:p w14:paraId="01EC1230">
            <w:pPr>
              <w:pStyle w:val="4"/>
              <w:keepNext w:val="0"/>
              <w:keepLines w:val="0"/>
              <w:pageBreakBefore w:val="0"/>
              <w:widowControl w:val="0"/>
              <w:kinsoku/>
              <w:wordWrap/>
              <w:overflowPunct/>
              <w:topLinePunct w:val="0"/>
              <w:autoSpaceDE/>
              <w:autoSpaceDN/>
              <w:bidi w:val="0"/>
              <w:adjustRightInd/>
              <w:snapToGrid w:val="0"/>
              <w:spacing w:before="0" w:after="0" w:line="440" w:lineRule="exact"/>
              <w:ind w:right="0" w:firstLine="480" w:firstLineChars="200"/>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②尾煤</w:t>
            </w:r>
            <w:r>
              <w:rPr>
                <w:rFonts w:hint="eastAsia" w:ascii="Times New Roman" w:hAnsi="Times New Roman" w:cs="Times New Roman"/>
                <w:sz w:val="24"/>
                <w:szCs w:val="24"/>
                <w:lang w:val="en-US" w:eastAsia="zh-CN"/>
              </w:rPr>
              <w:t>泥</w:t>
            </w:r>
          </w:p>
          <w:p w14:paraId="3806A5A5">
            <w:pPr>
              <w:pStyle w:val="4"/>
              <w:keepNext w:val="0"/>
              <w:keepLines w:val="0"/>
              <w:pageBreakBefore w:val="0"/>
              <w:widowControl w:val="0"/>
              <w:kinsoku/>
              <w:wordWrap/>
              <w:overflowPunct/>
              <w:topLinePunct w:val="0"/>
              <w:autoSpaceDE/>
              <w:autoSpaceDN/>
              <w:bidi w:val="0"/>
              <w:adjustRightInd/>
              <w:snapToGrid w:val="0"/>
              <w:spacing w:before="0" w:after="0" w:line="440" w:lineRule="exact"/>
              <w:ind w:right="0" w:firstLine="480" w:firstLineChars="200"/>
              <w:textAlignment w:val="auto"/>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二期</w:t>
            </w:r>
            <w:r>
              <w:rPr>
                <w:rFonts w:hint="default" w:ascii="Times New Roman" w:hAnsi="Times New Roman" w:cs="Times New Roman"/>
                <w:sz w:val="24"/>
                <w:szCs w:val="24"/>
                <w:lang w:val="en-US" w:eastAsia="zh-CN"/>
              </w:rPr>
              <w:t>洗选产生的最终尾煤</w:t>
            </w:r>
            <w:r>
              <w:rPr>
                <w:rFonts w:hint="eastAsia" w:ascii="Times New Roman" w:hAnsi="Times New Roman" w:cs="Times New Roman"/>
                <w:sz w:val="24"/>
                <w:szCs w:val="24"/>
                <w:lang w:val="en-US" w:eastAsia="zh-CN"/>
              </w:rPr>
              <w:t>泥</w:t>
            </w:r>
            <w:r>
              <w:rPr>
                <w:rFonts w:hint="default" w:ascii="Times New Roman" w:hAnsi="Times New Roman" w:cs="Times New Roman"/>
                <w:sz w:val="24"/>
                <w:szCs w:val="24"/>
                <w:lang w:val="en-US" w:eastAsia="zh-CN"/>
              </w:rPr>
              <w:t>量</w:t>
            </w:r>
            <w:r>
              <w:rPr>
                <w:rFonts w:hint="default" w:ascii="Times New Roman" w:hAnsi="Times New Roman" w:eastAsia="宋体" w:cs="Times New Roman"/>
                <w:color w:val="auto"/>
                <w:kern w:val="2"/>
                <w:sz w:val="24"/>
                <w:szCs w:val="24"/>
                <w:lang w:val="en-US" w:eastAsia="zh-CN" w:bidi="ar-SA"/>
              </w:rPr>
              <w:t>为80831.56t/a，</w:t>
            </w:r>
            <w:r>
              <w:rPr>
                <w:rFonts w:hint="eastAsia" w:ascii="Times New Roman" w:hAnsi="Times New Roman" w:eastAsia="宋体" w:cs="Times New Roman"/>
                <w:color w:val="auto"/>
                <w:kern w:val="2"/>
                <w:sz w:val="24"/>
                <w:szCs w:val="24"/>
                <w:lang w:val="en-US" w:eastAsia="zh-CN" w:bidi="ar-SA"/>
              </w:rPr>
              <w:t>三</w:t>
            </w:r>
            <w:r>
              <w:rPr>
                <w:rFonts w:hint="eastAsia" w:ascii="Times New Roman" w:hAnsi="Times New Roman" w:cs="Times New Roman"/>
                <w:sz w:val="24"/>
                <w:szCs w:val="24"/>
                <w:lang w:val="en-US" w:eastAsia="zh-CN"/>
              </w:rPr>
              <w:t>期</w:t>
            </w:r>
            <w:r>
              <w:rPr>
                <w:rFonts w:hint="default" w:ascii="Times New Roman" w:hAnsi="Times New Roman" w:cs="Times New Roman"/>
                <w:sz w:val="24"/>
                <w:szCs w:val="24"/>
                <w:lang w:val="en-US" w:eastAsia="zh-CN"/>
              </w:rPr>
              <w:t>洗选产生的最终尾煤</w:t>
            </w:r>
            <w:r>
              <w:rPr>
                <w:rFonts w:hint="eastAsia" w:ascii="Times New Roman" w:hAnsi="Times New Roman" w:cs="Times New Roman"/>
                <w:sz w:val="24"/>
                <w:szCs w:val="24"/>
                <w:lang w:val="en-US" w:eastAsia="zh-CN"/>
              </w:rPr>
              <w:t>泥</w:t>
            </w:r>
            <w:r>
              <w:rPr>
                <w:rFonts w:hint="default" w:ascii="Times New Roman" w:hAnsi="Times New Roman" w:cs="Times New Roman"/>
                <w:sz w:val="24"/>
                <w:szCs w:val="24"/>
                <w:lang w:val="en-US" w:eastAsia="zh-CN"/>
              </w:rPr>
              <w:t>量为220429.17t/a</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lang w:val="en-US" w:eastAsia="zh-CN"/>
              </w:rPr>
              <w:t>外售至砖厂制砖。根</w:t>
            </w:r>
            <w:r>
              <w:rPr>
                <w:rFonts w:hint="default" w:ascii="Times New Roman" w:hAnsi="Times New Roman" w:eastAsia="宋体" w:cs="Times New Roman"/>
                <w:color w:val="auto"/>
                <w:sz w:val="24"/>
                <w:szCs w:val="24"/>
                <w:lang w:val="en-US" w:eastAsia="zh-CN"/>
              </w:rPr>
              <w:t>据《固体废物分类与代码目录》（生态环境部公告第24号），</w:t>
            </w:r>
            <w:r>
              <w:rPr>
                <w:rFonts w:hint="default" w:ascii="Times New Roman" w:hAnsi="Times New Roman" w:cs="Times New Roman"/>
                <w:sz w:val="24"/>
                <w:szCs w:val="24"/>
                <w:lang w:val="en-US" w:eastAsia="zh-CN"/>
              </w:rPr>
              <w:t>尾煤</w:t>
            </w:r>
            <w:r>
              <w:rPr>
                <w:rFonts w:hint="default" w:ascii="Times New Roman" w:hAnsi="Times New Roman" w:eastAsia="宋体" w:cs="Times New Roman"/>
                <w:color w:val="auto"/>
                <w:sz w:val="24"/>
                <w:szCs w:val="24"/>
                <w:lang w:val="en-US" w:eastAsia="zh-CN"/>
              </w:rPr>
              <w:t>种类为SW59其他工业固体废物，固废代码为</w:t>
            </w:r>
            <w:r>
              <w:rPr>
                <w:rFonts w:hint="default" w:ascii="Times New Roman" w:hAnsi="Times New Roman" w:eastAsia="宋体" w:cs="Times New Roman"/>
                <w:sz w:val="24"/>
                <w:szCs w:val="24"/>
              </w:rPr>
              <w:t>900-</w:t>
            </w:r>
            <w:r>
              <w:rPr>
                <w:rFonts w:hint="default" w:ascii="Times New Roman" w:hAnsi="Times New Roman" w:eastAsia="宋体" w:cs="Times New Roman"/>
                <w:sz w:val="24"/>
                <w:szCs w:val="24"/>
                <w:lang w:val="en-US" w:eastAsia="zh-CN"/>
              </w:rPr>
              <w:t>099</w:t>
            </w:r>
            <w:r>
              <w:rPr>
                <w:rFonts w:hint="default" w:ascii="Times New Roman" w:hAnsi="Times New Roman" w:eastAsia="宋体" w:cs="Times New Roman"/>
                <w:sz w:val="24"/>
                <w:szCs w:val="24"/>
              </w:rPr>
              <w:t>-S</w:t>
            </w:r>
            <w:r>
              <w:rPr>
                <w:rFonts w:hint="default" w:ascii="Times New Roman" w:hAnsi="Times New Roman" w:eastAsia="宋体" w:cs="Times New Roman"/>
                <w:sz w:val="24"/>
                <w:szCs w:val="24"/>
                <w:lang w:val="en-US" w:eastAsia="zh-CN"/>
              </w:rPr>
              <w:t>59</w:t>
            </w:r>
            <w:r>
              <w:rPr>
                <w:rFonts w:hint="default" w:ascii="Times New Roman" w:hAnsi="Times New Roman" w:eastAsia="宋体" w:cs="Times New Roman"/>
                <w:color w:val="auto"/>
                <w:sz w:val="24"/>
                <w:szCs w:val="24"/>
                <w:lang w:val="en-US" w:eastAsia="zh-CN"/>
              </w:rPr>
              <w:t>。</w:t>
            </w:r>
          </w:p>
          <w:p w14:paraId="36DD7322">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fldChar w:fldCharType="begin"/>
            </w:r>
            <w:r>
              <w:rPr>
                <w:rFonts w:hint="default" w:ascii="Times New Roman" w:hAnsi="Times New Roman" w:cs="Times New Roman"/>
                <w:color w:val="auto"/>
                <w:sz w:val="24"/>
                <w:szCs w:val="24"/>
                <w:lang w:val="en-US" w:eastAsia="zh-CN"/>
              </w:rPr>
              <w:instrText xml:space="preserve"> = 3 \* GB3 \* MERGEFORMAT </w:instrText>
            </w:r>
            <w:r>
              <w:rPr>
                <w:rFonts w:hint="default" w:ascii="Times New Roman" w:hAnsi="Times New Roman" w:cs="Times New Roman"/>
                <w:color w:val="auto"/>
                <w:sz w:val="24"/>
                <w:szCs w:val="24"/>
                <w:lang w:val="en-US" w:eastAsia="zh-CN"/>
              </w:rPr>
              <w:fldChar w:fldCharType="separate"/>
            </w:r>
            <w:r>
              <w:rPr>
                <w:rFonts w:hint="default" w:ascii="Times New Roman" w:hAnsi="Times New Roman" w:cs="Times New Roman"/>
                <w:color w:val="auto"/>
                <w:sz w:val="24"/>
                <w:szCs w:val="24"/>
              </w:rPr>
              <w:t>③</w:t>
            </w:r>
            <w:r>
              <w:rPr>
                <w:rFonts w:hint="default" w:ascii="Times New Roman" w:hAnsi="Times New Roman" w:cs="Times New Roman"/>
                <w:color w:val="auto"/>
                <w:sz w:val="24"/>
                <w:szCs w:val="24"/>
                <w:lang w:val="en-US" w:eastAsia="zh-CN"/>
              </w:rPr>
              <w:fldChar w:fldCharType="end"/>
            </w:r>
            <w:r>
              <w:rPr>
                <w:rFonts w:hint="eastAsia" w:ascii="Times New Roman" w:hAnsi="Times New Roman" w:cs="Times New Roman"/>
                <w:color w:val="auto"/>
                <w:sz w:val="24"/>
                <w:szCs w:val="24"/>
                <w:lang w:val="en-US" w:eastAsia="zh-CN"/>
              </w:rPr>
              <w:t>废柴油桶</w:t>
            </w:r>
          </w:p>
          <w:p w14:paraId="3AA1B997">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default"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本项目二期</w:t>
            </w:r>
            <w:r>
              <w:rPr>
                <w:rFonts w:hint="default" w:ascii="Times New Roman" w:hAnsi="Times New Roman" w:cs="Times New Roman"/>
                <w:color w:val="auto"/>
                <w:sz w:val="24"/>
                <w:szCs w:val="24"/>
                <w:lang w:val="en-US" w:eastAsia="zh-CN"/>
              </w:rPr>
              <w:t>煤泥洗选过程中使用</w:t>
            </w:r>
            <w:r>
              <w:rPr>
                <w:rFonts w:hint="eastAsia" w:ascii="Times New Roman" w:hAnsi="Times New Roman" w:cs="Times New Roman"/>
                <w:color w:val="auto"/>
                <w:sz w:val="24"/>
                <w:szCs w:val="24"/>
                <w:lang w:val="en-US" w:eastAsia="zh-CN"/>
              </w:rPr>
              <w:t>柴油作为捕收剂，</w:t>
            </w:r>
            <w:r>
              <w:rPr>
                <w:rFonts w:hint="default" w:ascii="Times New Roman" w:hAnsi="Times New Roman" w:cs="Times New Roman"/>
                <w:color w:val="auto"/>
                <w:sz w:val="24"/>
                <w:szCs w:val="24"/>
                <w:lang w:val="en-US" w:eastAsia="zh-CN"/>
              </w:rPr>
              <w:t>根据企业经验，本项目</w:t>
            </w:r>
            <w:r>
              <w:rPr>
                <w:rFonts w:hint="eastAsia" w:ascii="Times New Roman" w:hAnsi="Times New Roman" w:cs="Times New Roman"/>
                <w:color w:val="auto"/>
                <w:sz w:val="24"/>
                <w:szCs w:val="24"/>
                <w:lang w:val="en-US" w:eastAsia="zh-CN"/>
              </w:rPr>
              <w:t>废柴油桶</w:t>
            </w:r>
            <w:r>
              <w:rPr>
                <w:rFonts w:hint="default" w:ascii="Times New Roman" w:hAnsi="Times New Roman" w:cs="Times New Roman"/>
                <w:color w:val="auto"/>
                <w:sz w:val="24"/>
                <w:szCs w:val="24"/>
                <w:lang w:val="en-US" w:eastAsia="zh-CN"/>
              </w:rPr>
              <w:t>产生量为</w:t>
            </w:r>
            <w:r>
              <w:rPr>
                <w:rFonts w:hint="eastAsia" w:ascii="Times New Roman" w:hAnsi="Times New Roman" w:cs="Times New Roman"/>
                <w:color w:val="auto"/>
                <w:sz w:val="24"/>
                <w:szCs w:val="24"/>
                <w:lang w:val="en-US" w:eastAsia="zh-CN"/>
              </w:rPr>
              <w:t>0.3</w:t>
            </w:r>
            <w:r>
              <w:rPr>
                <w:rFonts w:hint="default" w:ascii="Times New Roman" w:hAnsi="Times New Roman" w:cs="Times New Roman"/>
                <w:color w:val="auto"/>
                <w:sz w:val="24"/>
                <w:szCs w:val="24"/>
                <w:lang w:val="en-US" w:eastAsia="zh-CN"/>
              </w:rPr>
              <w:t>t/a，</w:t>
            </w:r>
            <w:r>
              <w:rPr>
                <w:rFonts w:hint="eastAsia" w:ascii="Times New Roman" w:hAnsi="Times New Roman" w:cs="Times New Roman"/>
                <w:color w:val="auto"/>
                <w:sz w:val="24"/>
                <w:szCs w:val="24"/>
                <w:lang w:val="en-US" w:eastAsia="zh-CN"/>
              </w:rPr>
              <w:t>三期产生量为1</w:t>
            </w:r>
            <w:r>
              <w:rPr>
                <w:rFonts w:hint="default" w:ascii="Times New Roman" w:hAnsi="Times New Roman" w:cs="Times New Roman"/>
                <w:color w:val="auto"/>
                <w:sz w:val="24"/>
                <w:szCs w:val="24"/>
                <w:lang w:val="en-US" w:eastAsia="zh-CN"/>
              </w:rPr>
              <w:t>t/a</w:t>
            </w:r>
            <w:r>
              <w:rPr>
                <w:rFonts w:hint="eastAsia" w:ascii="Times New Roman" w:hAnsi="Times New Roman"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根据《国家危险废物名录（2025年版）》，</w:t>
            </w:r>
            <w:r>
              <w:rPr>
                <w:rFonts w:hint="eastAsia" w:ascii="Times New Roman" w:hAnsi="Times New Roman" w:cs="Times New Roman"/>
                <w:color w:val="auto"/>
                <w:sz w:val="24"/>
                <w:szCs w:val="24"/>
                <w:lang w:val="en-US" w:eastAsia="zh-CN"/>
              </w:rPr>
              <w:t>废柴油桶</w:t>
            </w:r>
            <w:r>
              <w:rPr>
                <w:rFonts w:hint="default" w:ascii="Times New Roman" w:hAnsi="Times New Roman" w:eastAsia="宋体" w:cs="Times New Roman"/>
                <w:color w:val="auto"/>
                <w:sz w:val="24"/>
                <w:szCs w:val="24"/>
                <w:lang w:val="en-US" w:eastAsia="zh-CN"/>
              </w:rPr>
              <w:t>类别为HW08废矿物油与含矿物油废物，废物代码为900-</w:t>
            </w:r>
            <w:r>
              <w:rPr>
                <w:rFonts w:hint="eastAsia" w:ascii="Times New Roman" w:hAnsi="Times New Roman" w:eastAsia="宋体" w:cs="Times New Roman"/>
                <w:color w:val="auto"/>
                <w:sz w:val="24"/>
                <w:szCs w:val="24"/>
                <w:lang w:val="en-US" w:eastAsia="zh-CN"/>
              </w:rPr>
              <w:t>249</w:t>
            </w:r>
            <w:r>
              <w:rPr>
                <w:rFonts w:hint="default"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08</w:t>
            </w:r>
            <w:r>
              <w:rPr>
                <w:rFonts w:hint="default" w:ascii="Times New Roman" w:hAnsi="Times New Roman" w:eastAsia="宋体" w:cs="Times New Roman"/>
                <w:color w:val="auto"/>
                <w:sz w:val="24"/>
                <w:szCs w:val="24"/>
                <w:lang w:val="en-US" w:eastAsia="zh-CN"/>
              </w:rPr>
              <w:t>。</w:t>
            </w:r>
          </w:p>
          <w:p w14:paraId="5D07679F">
            <w:pPr>
              <w:pStyle w:val="2"/>
              <w:keepNext w:val="0"/>
              <w:keepLines w:val="0"/>
              <w:pageBreakBefore w:val="0"/>
              <w:widowControl w:val="0"/>
              <w:kinsoku/>
              <w:wordWrap/>
              <w:overflowPunct/>
              <w:topLinePunct w:val="0"/>
              <w:autoSpaceDE/>
              <w:autoSpaceDN/>
              <w:bidi w:val="0"/>
              <w:adjustRightInd/>
              <w:spacing w:line="440" w:lineRule="exact"/>
              <w:ind w:firstLine="480" w:firstLineChars="200"/>
              <w:textAlignment w:val="auto"/>
              <w:rPr>
                <w:rFonts w:hint="default" w:ascii="Times New Roman" w:hAnsi="Times New Roman" w:cs="Times New Roman"/>
                <w:color w:val="auto"/>
                <w:sz w:val="24"/>
                <w:szCs w:val="24"/>
                <w:lang w:val="en-US" w:eastAsia="zh-CN"/>
              </w:rPr>
            </w:pPr>
            <w:r>
              <w:rPr>
                <w:rFonts w:hint="default" w:ascii="Times New Roman" w:hAnsi="Times New Roman" w:eastAsia="宋体" w:cs="Times New Roman"/>
                <w:color w:val="auto"/>
                <w:kern w:val="2"/>
                <w:sz w:val="24"/>
                <w:szCs w:val="24"/>
                <w:lang w:val="en-US" w:eastAsia="zh-CN" w:bidi="ar-SA"/>
              </w:rPr>
              <w:fldChar w:fldCharType="begin"/>
            </w:r>
            <w:r>
              <w:rPr>
                <w:rFonts w:hint="default" w:ascii="Times New Roman" w:hAnsi="Times New Roman" w:eastAsia="宋体" w:cs="Times New Roman"/>
                <w:color w:val="auto"/>
                <w:kern w:val="2"/>
                <w:sz w:val="24"/>
                <w:szCs w:val="24"/>
                <w:lang w:val="en-US" w:eastAsia="zh-CN" w:bidi="ar-SA"/>
              </w:rPr>
              <w:instrText xml:space="preserve"> = 4 \* GB3 \* MERGEFORMAT </w:instrText>
            </w:r>
            <w:r>
              <w:rPr>
                <w:rFonts w:hint="default" w:ascii="Times New Roman" w:hAnsi="Times New Roman" w:eastAsia="宋体" w:cs="Times New Roman"/>
                <w:color w:val="auto"/>
                <w:kern w:val="2"/>
                <w:sz w:val="24"/>
                <w:szCs w:val="24"/>
                <w:lang w:val="en-US" w:eastAsia="zh-CN" w:bidi="ar-SA"/>
              </w:rPr>
              <w:fldChar w:fldCharType="separate"/>
            </w:r>
            <w:r>
              <w:rPr>
                <w:rFonts w:hint="default" w:ascii="Times New Roman" w:hAnsi="Times New Roman" w:cs="Times New Roman"/>
                <w:color w:val="auto"/>
                <w:sz w:val="24"/>
                <w:szCs w:val="24"/>
              </w:rPr>
              <w:t>④</w:t>
            </w:r>
            <w:r>
              <w:rPr>
                <w:rFonts w:hint="default" w:ascii="Times New Roman" w:hAnsi="Times New Roman" w:eastAsia="宋体" w:cs="Times New Roman"/>
                <w:color w:val="auto"/>
                <w:kern w:val="2"/>
                <w:sz w:val="24"/>
                <w:szCs w:val="24"/>
                <w:lang w:val="en-US" w:eastAsia="zh-CN" w:bidi="ar-SA"/>
              </w:rPr>
              <w:fldChar w:fldCharType="end"/>
            </w:r>
            <w:r>
              <w:rPr>
                <w:rFonts w:hint="default" w:ascii="Times New Roman" w:hAnsi="Times New Roman" w:eastAsia="宋体" w:cs="Times New Roman"/>
                <w:color w:val="auto"/>
                <w:kern w:val="2"/>
                <w:sz w:val="24"/>
                <w:szCs w:val="24"/>
                <w:lang w:val="en-US" w:eastAsia="zh-CN" w:bidi="ar-SA"/>
              </w:rPr>
              <w:t>废</w:t>
            </w:r>
            <w:r>
              <w:rPr>
                <w:rFonts w:hint="default" w:ascii="Times New Roman" w:hAnsi="Times New Roman" w:cs="Times New Roman"/>
                <w:color w:val="auto"/>
                <w:sz w:val="24"/>
                <w:szCs w:val="24"/>
                <w:lang w:val="en-US" w:eastAsia="zh-CN"/>
              </w:rPr>
              <w:t>机油</w:t>
            </w:r>
          </w:p>
          <w:p w14:paraId="5F74F1F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本项目生产过程中使用的机械设备需定期更换机油以保证设备正常运转，</w:t>
            </w:r>
            <w:r>
              <w:rPr>
                <w:rFonts w:hint="eastAsia" w:ascii="Times New Roman" w:hAnsi="Times New Roman" w:eastAsia="宋体" w:cs="Times New Roman"/>
                <w:color w:val="auto"/>
                <w:sz w:val="24"/>
                <w:szCs w:val="24"/>
                <w:lang w:val="en-US" w:eastAsia="zh-CN"/>
              </w:rPr>
              <w:t>一期项目</w:t>
            </w:r>
            <w:r>
              <w:rPr>
                <w:rFonts w:hint="default" w:ascii="Times New Roman" w:hAnsi="Times New Roman" w:eastAsia="宋体" w:cs="Times New Roman"/>
                <w:color w:val="auto"/>
                <w:sz w:val="24"/>
                <w:szCs w:val="24"/>
                <w:lang w:val="en-US" w:eastAsia="zh-CN"/>
              </w:rPr>
              <w:t>预计每年需更换机油</w:t>
            </w:r>
            <w:r>
              <w:rPr>
                <w:rFonts w:hint="eastAsia" w:ascii="Times New Roman" w:hAnsi="Times New Roman" w:eastAsia="宋体" w:cs="Times New Roman"/>
                <w:color w:val="auto"/>
                <w:sz w:val="24"/>
                <w:szCs w:val="24"/>
                <w:lang w:val="en-US" w:eastAsia="zh-CN"/>
              </w:rPr>
              <w:t>0.2</w:t>
            </w:r>
            <w:r>
              <w:rPr>
                <w:rFonts w:hint="default" w:ascii="Times New Roman" w:hAnsi="Times New Roman" w:eastAsia="宋体" w:cs="Times New Roman"/>
                <w:color w:val="auto"/>
                <w:sz w:val="24"/>
                <w:szCs w:val="24"/>
                <w:lang w:val="en-US" w:eastAsia="zh-CN"/>
              </w:rPr>
              <w:t>t</w:t>
            </w:r>
            <w:r>
              <w:rPr>
                <w:rFonts w:hint="eastAsia" w:ascii="Times New Roman" w:hAnsi="Times New Roman" w:eastAsia="宋体" w:cs="Times New Roman"/>
                <w:color w:val="auto"/>
                <w:sz w:val="24"/>
                <w:szCs w:val="24"/>
                <w:lang w:val="en-US" w:eastAsia="zh-CN"/>
              </w:rPr>
              <w:t>，二期项目</w:t>
            </w:r>
            <w:r>
              <w:rPr>
                <w:rFonts w:hint="default" w:ascii="Times New Roman" w:hAnsi="Times New Roman" w:eastAsia="宋体" w:cs="Times New Roman"/>
                <w:color w:val="auto"/>
                <w:sz w:val="24"/>
                <w:szCs w:val="24"/>
                <w:lang w:val="en-US" w:eastAsia="zh-CN"/>
              </w:rPr>
              <w:t>预计每年需更换机油</w:t>
            </w:r>
            <w:r>
              <w:rPr>
                <w:rFonts w:hint="eastAsia" w:ascii="Times New Roman" w:hAnsi="Times New Roman" w:eastAsia="宋体" w:cs="Times New Roman"/>
                <w:color w:val="auto"/>
                <w:sz w:val="24"/>
                <w:szCs w:val="24"/>
                <w:lang w:val="en-US" w:eastAsia="zh-CN"/>
              </w:rPr>
              <w:t>0.4</w:t>
            </w:r>
            <w:r>
              <w:rPr>
                <w:rFonts w:hint="default" w:ascii="Times New Roman" w:hAnsi="Times New Roman" w:eastAsia="宋体" w:cs="Times New Roman"/>
                <w:color w:val="auto"/>
                <w:sz w:val="24"/>
                <w:szCs w:val="24"/>
                <w:lang w:val="en-US" w:eastAsia="zh-CN"/>
              </w:rPr>
              <w:t>t</w:t>
            </w:r>
            <w:r>
              <w:rPr>
                <w:rFonts w:hint="eastAsia" w:ascii="Times New Roman" w:hAnsi="Times New Roman" w:eastAsia="宋体" w:cs="Times New Roman"/>
                <w:color w:val="auto"/>
                <w:sz w:val="24"/>
                <w:szCs w:val="24"/>
                <w:lang w:val="en-US" w:eastAsia="zh-CN"/>
              </w:rPr>
              <w:t>，三期项目</w:t>
            </w:r>
            <w:r>
              <w:rPr>
                <w:rFonts w:hint="default" w:ascii="Times New Roman" w:hAnsi="Times New Roman" w:eastAsia="宋体" w:cs="Times New Roman"/>
                <w:color w:val="auto"/>
                <w:sz w:val="24"/>
                <w:szCs w:val="24"/>
                <w:lang w:val="en-US" w:eastAsia="zh-CN"/>
              </w:rPr>
              <w:t>预计每年需更换机油</w:t>
            </w:r>
            <w:r>
              <w:rPr>
                <w:rFonts w:hint="eastAsia"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lang w:val="en-US" w:eastAsia="zh-CN"/>
              </w:rPr>
              <w:t>t</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根据《国家危险废物名录（2025年版）》，废机油废物类别为HW08废矿物油与含矿物油废物，废物代码为900-214-08。</w:t>
            </w:r>
          </w:p>
          <w:p w14:paraId="58AE0121">
            <w:pPr>
              <w:pStyle w:val="2"/>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 5 \* GB3 \* MERGEFORMAT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rPr>
              <w:t>⑤</w:t>
            </w:r>
            <w:r>
              <w:rPr>
                <w:rFonts w:hint="default" w:ascii="Times New Roman" w:hAnsi="Times New Roman" w:cs="Times New Roman"/>
                <w:sz w:val="24"/>
                <w:szCs w:val="24"/>
                <w:lang w:val="en-US" w:eastAsia="zh-CN"/>
              </w:rPr>
              <w:fldChar w:fldCharType="end"/>
            </w:r>
            <w:r>
              <w:rPr>
                <w:rFonts w:hint="default" w:ascii="Times New Roman" w:hAnsi="Times New Roman" w:cs="Times New Roman"/>
                <w:sz w:val="24"/>
                <w:szCs w:val="24"/>
                <w:lang w:val="en-US" w:eastAsia="zh-CN"/>
              </w:rPr>
              <w:t>洗车沉淀池沉渣</w:t>
            </w:r>
          </w:p>
          <w:p w14:paraId="0E7F0287">
            <w:pPr>
              <w:pStyle w:val="2"/>
              <w:keepNext w:val="0"/>
              <w:keepLines w:val="0"/>
              <w:pageBreakBefore w:val="0"/>
              <w:widowControl w:val="0"/>
              <w:numPr>
                <w:ilvl w:val="0"/>
                <w:numId w:val="0"/>
              </w:numPr>
              <w:kinsoku/>
              <w:wordWrap/>
              <w:overflowPunct/>
              <w:topLinePunct w:val="0"/>
              <w:autoSpaceDE/>
              <w:autoSpaceDN/>
              <w:bidi w:val="0"/>
              <w:spacing w:line="440" w:lineRule="exact"/>
              <w:ind w:firstLine="480" w:firstLineChars="200"/>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本项目厂区出口洗车平台内沉淀池会产生少量洗车沉淀池沉渣（成分主要为SS），根据企业生产经验，</w:t>
            </w:r>
            <w:r>
              <w:rPr>
                <w:rFonts w:hint="eastAsia" w:ascii="Times New Roman" w:hAnsi="Times New Roman" w:cs="Times New Roman"/>
                <w:sz w:val="24"/>
                <w:szCs w:val="24"/>
                <w:lang w:val="en-US" w:eastAsia="zh-CN"/>
              </w:rPr>
              <w:t>一期项目</w:t>
            </w:r>
            <w:r>
              <w:rPr>
                <w:rFonts w:hint="default" w:ascii="Times New Roman" w:hAnsi="Times New Roman" w:cs="Times New Roman"/>
                <w:sz w:val="24"/>
                <w:szCs w:val="24"/>
                <w:lang w:val="en-US" w:eastAsia="zh-CN"/>
              </w:rPr>
              <w:t>洗车沉淀池沉渣产生量为</w:t>
            </w:r>
            <w:r>
              <w:rPr>
                <w:rFonts w:hint="eastAsia" w:ascii="Times New Roman" w:hAnsi="Times New Roman" w:cs="Times New Roman"/>
                <w:sz w:val="24"/>
                <w:szCs w:val="24"/>
                <w:lang w:val="en-US" w:eastAsia="zh-CN"/>
              </w:rPr>
              <w:t>1.5</w:t>
            </w:r>
            <w:r>
              <w:rPr>
                <w:rFonts w:hint="default" w:ascii="Times New Roman" w:hAnsi="Times New Roman" w:cs="Times New Roman"/>
                <w:sz w:val="24"/>
                <w:szCs w:val="24"/>
                <w:lang w:val="en-US" w:eastAsia="zh-CN"/>
              </w:rPr>
              <w:t>t/a</w:t>
            </w:r>
            <w:r>
              <w:rPr>
                <w:rFonts w:hint="eastAsia" w:ascii="Times New Roman" w:hAnsi="Times New Roman" w:cs="Times New Roman"/>
                <w:sz w:val="24"/>
                <w:szCs w:val="24"/>
                <w:lang w:val="en-US" w:eastAsia="zh-CN"/>
              </w:rPr>
              <w:t>，二期项目</w:t>
            </w:r>
            <w:r>
              <w:rPr>
                <w:rFonts w:hint="default" w:ascii="Times New Roman" w:hAnsi="Times New Roman" w:cs="Times New Roman"/>
                <w:sz w:val="24"/>
                <w:szCs w:val="24"/>
                <w:lang w:val="en-US" w:eastAsia="zh-CN"/>
              </w:rPr>
              <w:t>洗车沉淀池沉渣产生量为</w:t>
            </w:r>
            <w:r>
              <w:rPr>
                <w:rFonts w:hint="eastAsia" w:ascii="Times New Roman" w:hAnsi="Times New Roman" w:cs="Times New Roman"/>
                <w:sz w:val="24"/>
                <w:szCs w:val="24"/>
                <w:lang w:val="en-US" w:eastAsia="zh-CN"/>
              </w:rPr>
              <w:t>3</w:t>
            </w:r>
            <w:r>
              <w:rPr>
                <w:rFonts w:hint="default" w:ascii="Times New Roman" w:hAnsi="Times New Roman" w:cs="Times New Roman"/>
                <w:sz w:val="24"/>
                <w:szCs w:val="24"/>
                <w:lang w:val="en-US" w:eastAsia="zh-CN"/>
              </w:rPr>
              <w:t>t/a</w:t>
            </w:r>
            <w:r>
              <w:rPr>
                <w:rFonts w:hint="eastAsia" w:ascii="Times New Roman" w:hAnsi="Times New Roman" w:cs="Times New Roman"/>
                <w:sz w:val="24"/>
                <w:szCs w:val="24"/>
                <w:lang w:val="en-US" w:eastAsia="zh-CN"/>
              </w:rPr>
              <w:t>，三期项目</w:t>
            </w:r>
            <w:r>
              <w:rPr>
                <w:rFonts w:hint="default" w:ascii="Times New Roman" w:hAnsi="Times New Roman" w:cs="Times New Roman"/>
                <w:sz w:val="24"/>
                <w:szCs w:val="24"/>
                <w:lang w:val="en-US" w:eastAsia="zh-CN"/>
              </w:rPr>
              <w:t>洗车沉淀池沉渣产生量为</w:t>
            </w:r>
            <w:r>
              <w:rPr>
                <w:rFonts w:hint="eastAsia" w:ascii="Times New Roman" w:hAnsi="Times New Roman" w:cs="Times New Roman"/>
                <w:sz w:val="24"/>
                <w:szCs w:val="24"/>
                <w:lang w:val="en-US" w:eastAsia="zh-CN"/>
              </w:rPr>
              <w:t>7</w:t>
            </w:r>
            <w:r>
              <w:rPr>
                <w:rFonts w:hint="default" w:ascii="Times New Roman" w:hAnsi="Times New Roman" w:cs="Times New Roman"/>
                <w:sz w:val="24"/>
                <w:szCs w:val="24"/>
                <w:lang w:val="en-US" w:eastAsia="zh-CN"/>
              </w:rPr>
              <w:t>t/a</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lang w:val="en-US" w:eastAsia="zh-CN"/>
              </w:rPr>
              <w:t>企业定期清淘，浓缩压滤后混入尾煤压滤机制成尾煤，定期清运至有资质单位处理。根</w:t>
            </w:r>
            <w:r>
              <w:rPr>
                <w:rFonts w:hint="default" w:ascii="Times New Roman" w:hAnsi="Times New Roman" w:eastAsia="宋体" w:cs="Times New Roman"/>
                <w:color w:val="auto"/>
                <w:sz w:val="24"/>
                <w:szCs w:val="24"/>
                <w:lang w:val="en-US" w:eastAsia="zh-CN"/>
              </w:rPr>
              <w:t>据《固体废物分类与代码目录》（生态环境部公告第24号），</w:t>
            </w:r>
            <w:r>
              <w:rPr>
                <w:rFonts w:hint="default" w:ascii="Times New Roman" w:hAnsi="Times New Roman" w:cs="Times New Roman"/>
                <w:sz w:val="24"/>
                <w:szCs w:val="24"/>
                <w:lang w:val="en-US" w:eastAsia="zh-CN"/>
              </w:rPr>
              <w:t>煤泥除杂筛分杂质</w:t>
            </w:r>
            <w:r>
              <w:rPr>
                <w:rFonts w:hint="default" w:ascii="Times New Roman" w:hAnsi="Times New Roman" w:eastAsia="宋体" w:cs="Times New Roman"/>
                <w:color w:val="auto"/>
                <w:sz w:val="24"/>
                <w:szCs w:val="24"/>
                <w:lang w:val="en-US" w:eastAsia="zh-CN"/>
              </w:rPr>
              <w:t>种类为SW59其他工业固体废物，固废代码为</w:t>
            </w:r>
            <w:r>
              <w:rPr>
                <w:rFonts w:hint="default" w:ascii="Times New Roman" w:hAnsi="Times New Roman" w:eastAsia="宋体" w:cs="Times New Roman"/>
                <w:sz w:val="24"/>
                <w:szCs w:val="24"/>
              </w:rPr>
              <w:t>900-</w:t>
            </w:r>
            <w:r>
              <w:rPr>
                <w:rFonts w:hint="default" w:ascii="Times New Roman" w:hAnsi="Times New Roman" w:eastAsia="宋体" w:cs="Times New Roman"/>
                <w:sz w:val="24"/>
                <w:szCs w:val="24"/>
                <w:lang w:val="en-US" w:eastAsia="zh-CN"/>
              </w:rPr>
              <w:t>099</w:t>
            </w:r>
            <w:r>
              <w:rPr>
                <w:rFonts w:hint="default" w:ascii="Times New Roman" w:hAnsi="Times New Roman" w:eastAsia="宋体" w:cs="Times New Roman"/>
                <w:sz w:val="24"/>
                <w:szCs w:val="24"/>
              </w:rPr>
              <w:t>-S</w:t>
            </w:r>
            <w:r>
              <w:rPr>
                <w:rFonts w:hint="default" w:ascii="Times New Roman" w:hAnsi="Times New Roman" w:eastAsia="宋体" w:cs="Times New Roman"/>
                <w:sz w:val="24"/>
                <w:szCs w:val="24"/>
                <w:lang w:val="en-US" w:eastAsia="zh-CN"/>
              </w:rPr>
              <w:t>59</w:t>
            </w:r>
            <w:r>
              <w:rPr>
                <w:rFonts w:hint="default" w:ascii="Times New Roman" w:hAnsi="Times New Roman" w:eastAsia="宋体" w:cs="Times New Roman"/>
                <w:color w:val="auto"/>
                <w:sz w:val="24"/>
                <w:szCs w:val="24"/>
                <w:lang w:val="en-US" w:eastAsia="zh-CN"/>
              </w:rPr>
              <w:t>。</w:t>
            </w:r>
          </w:p>
          <w:p w14:paraId="6E7083EE">
            <w:pPr>
              <w:pStyle w:val="2"/>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 6 \* GB3 \* MERGEFORMAT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rPr>
              <w:t>⑥</w:t>
            </w:r>
            <w:r>
              <w:rPr>
                <w:rFonts w:hint="default" w:ascii="Times New Roman" w:hAnsi="Times New Roman" w:cs="Times New Roman"/>
                <w:sz w:val="24"/>
                <w:szCs w:val="24"/>
                <w:lang w:val="en-US" w:eastAsia="zh-CN"/>
              </w:rPr>
              <w:fldChar w:fldCharType="end"/>
            </w:r>
            <w:r>
              <w:rPr>
                <w:rFonts w:hint="default" w:ascii="Times New Roman" w:hAnsi="Times New Roman" w:cs="Times New Roman"/>
                <w:sz w:val="24"/>
                <w:szCs w:val="24"/>
                <w:lang w:val="en-US" w:eastAsia="zh-CN"/>
              </w:rPr>
              <w:t>循环水池底泥</w:t>
            </w:r>
          </w:p>
          <w:p w14:paraId="2F64C7FA">
            <w:pPr>
              <w:pStyle w:val="2"/>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煤泥洗选线废水排入循环水池经沉淀后回用，根据企业生产经验，</w:t>
            </w:r>
            <w:r>
              <w:rPr>
                <w:rFonts w:hint="eastAsia" w:ascii="Times New Roman" w:hAnsi="Times New Roman" w:cs="Times New Roman"/>
                <w:sz w:val="24"/>
                <w:szCs w:val="24"/>
                <w:lang w:val="en-US" w:eastAsia="zh-CN"/>
              </w:rPr>
              <w:t>一期</w:t>
            </w:r>
            <w:r>
              <w:rPr>
                <w:rFonts w:hint="default" w:ascii="Times New Roman" w:hAnsi="Times New Roman" w:cs="Times New Roman"/>
                <w:sz w:val="24"/>
                <w:szCs w:val="24"/>
                <w:lang w:val="en-US" w:eastAsia="zh-CN"/>
              </w:rPr>
              <w:t>循环水池底泥产生量为</w:t>
            </w:r>
            <w:r>
              <w:rPr>
                <w:rFonts w:hint="eastAsia" w:ascii="Times New Roman" w:hAnsi="Times New Roman" w:cs="Times New Roman"/>
                <w:sz w:val="24"/>
                <w:szCs w:val="24"/>
                <w:lang w:val="en-US" w:eastAsia="zh-CN"/>
              </w:rPr>
              <w:t>2</w:t>
            </w:r>
            <w:r>
              <w:rPr>
                <w:rFonts w:hint="default" w:ascii="Times New Roman" w:hAnsi="Times New Roman" w:cs="Times New Roman"/>
                <w:sz w:val="24"/>
                <w:szCs w:val="24"/>
                <w:lang w:val="en-US" w:eastAsia="zh-CN"/>
              </w:rPr>
              <w:t>t/a</w:t>
            </w:r>
            <w:r>
              <w:rPr>
                <w:rFonts w:hint="eastAsia" w:ascii="Times New Roman" w:hAnsi="Times New Roman" w:cs="Times New Roman"/>
                <w:sz w:val="24"/>
                <w:szCs w:val="24"/>
                <w:lang w:val="en-US" w:eastAsia="zh-CN"/>
              </w:rPr>
              <w:t>，二期</w:t>
            </w:r>
            <w:r>
              <w:rPr>
                <w:rFonts w:hint="default" w:ascii="Times New Roman" w:hAnsi="Times New Roman" w:cs="Times New Roman"/>
                <w:sz w:val="24"/>
                <w:szCs w:val="24"/>
                <w:lang w:val="en-US" w:eastAsia="zh-CN"/>
              </w:rPr>
              <w:t>循环水池底泥产生量为</w:t>
            </w:r>
            <w:r>
              <w:rPr>
                <w:rFonts w:hint="eastAsia" w:ascii="Times New Roman" w:hAnsi="Times New Roman" w:cs="Times New Roman"/>
                <w:sz w:val="24"/>
                <w:szCs w:val="24"/>
                <w:lang w:val="en-US" w:eastAsia="zh-CN"/>
              </w:rPr>
              <w:t>4</w:t>
            </w:r>
            <w:r>
              <w:rPr>
                <w:rFonts w:hint="default" w:ascii="Times New Roman" w:hAnsi="Times New Roman" w:cs="Times New Roman"/>
                <w:sz w:val="24"/>
                <w:szCs w:val="24"/>
                <w:lang w:val="en-US" w:eastAsia="zh-CN"/>
              </w:rPr>
              <w:t>t/a</w:t>
            </w:r>
            <w:r>
              <w:rPr>
                <w:rFonts w:hint="eastAsia" w:ascii="Times New Roman" w:hAnsi="Times New Roman" w:cs="Times New Roman"/>
                <w:sz w:val="24"/>
                <w:szCs w:val="24"/>
                <w:lang w:val="en-US" w:eastAsia="zh-CN"/>
              </w:rPr>
              <w:t>，三期</w:t>
            </w:r>
            <w:r>
              <w:rPr>
                <w:rFonts w:hint="default" w:ascii="Times New Roman" w:hAnsi="Times New Roman" w:cs="Times New Roman"/>
                <w:sz w:val="24"/>
                <w:szCs w:val="24"/>
                <w:lang w:val="en-US" w:eastAsia="zh-CN"/>
              </w:rPr>
              <w:t>循环水池底泥产生量为</w:t>
            </w:r>
            <w:r>
              <w:rPr>
                <w:rFonts w:hint="eastAsia" w:ascii="Times New Roman" w:hAnsi="Times New Roman" w:cs="Times New Roman"/>
                <w:sz w:val="24"/>
                <w:szCs w:val="24"/>
                <w:lang w:val="en-US" w:eastAsia="zh-CN"/>
              </w:rPr>
              <w:t>10</w:t>
            </w:r>
            <w:r>
              <w:rPr>
                <w:rFonts w:hint="default" w:ascii="Times New Roman" w:hAnsi="Times New Roman" w:cs="Times New Roman"/>
                <w:sz w:val="24"/>
                <w:szCs w:val="24"/>
                <w:lang w:val="en-US" w:eastAsia="zh-CN"/>
              </w:rPr>
              <w:t>t/a</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lang w:val="en-US" w:eastAsia="zh-CN"/>
              </w:rPr>
              <w:t>循环水池底泥需定期清掏，浓缩压滤后混入尾煤压滤机制成尾</w:t>
            </w:r>
            <w:r>
              <w:rPr>
                <w:rFonts w:hint="default" w:ascii="Times New Roman" w:hAnsi="Times New Roman" w:eastAsia="宋体" w:cs="Times New Roman"/>
                <w:sz w:val="24"/>
                <w:szCs w:val="24"/>
                <w:lang w:val="en-US" w:eastAsia="zh-CN"/>
              </w:rPr>
              <w:t>煤，外售至砖厂制砖。根据《固体</w:t>
            </w:r>
            <w:r>
              <w:rPr>
                <w:rFonts w:hint="default" w:ascii="Times New Roman" w:hAnsi="Times New Roman" w:eastAsia="宋体" w:cs="Times New Roman"/>
                <w:color w:val="auto"/>
                <w:sz w:val="24"/>
                <w:szCs w:val="24"/>
                <w:lang w:val="en-US" w:eastAsia="zh-CN"/>
              </w:rPr>
              <w:t>废物分类与代码目录》（生态环境部公告第24号），</w:t>
            </w:r>
            <w:r>
              <w:rPr>
                <w:rFonts w:hint="default" w:ascii="Times New Roman" w:hAnsi="Times New Roman" w:cs="Times New Roman"/>
                <w:sz w:val="24"/>
                <w:szCs w:val="24"/>
                <w:lang w:val="en-US" w:eastAsia="zh-CN"/>
              </w:rPr>
              <w:t>煤泥除杂筛分杂质</w:t>
            </w:r>
            <w:r>
              <w:rPr>
                <w:rFonts w:hint="default" w:ascii="Times New Roman" w:hAnsi="Times New Roman" w:eastAsia="宋体" w:cs="Times New Roman"/>
                <w:color w:val="auto"/>
                <w:sz w:val="24"/>
                <w:szCs w:val="24"/>
                <w:lang w:val="en-US" w:eastAsia="zh-CN"/>
              </w:rPr>
              <w:t>种类为SW59其他工业固体废物，固废代码为</w:t>
            </w:r>
            <w:r>
              <w:rPr>
                <w:rFonts w:hint="default" w:ascii="Times New Roman" w:hAnsi="Times New Roman" w:eastAsia="宋体" w:cs="Times New Roman"/>
                <w:sz w:val="24"/>
                <w:szCs w:val="24"/>
              </w:rPr>
              <w:t>900-</w:t>
            </w:r>
            <w:r>
              <w:rPr>
                <w:rFonts w:hint="default" w:ascii="Times New Roman" w:hAnsi="Times New Roman" w:eastAsia="宋体" w:cs="Times New Roman"/>
                <w:sz w:val="24"/>
                <w:szCs w:val="24"/>
                <w:lang w:val="en-US" w:eastAsia="zh-CN"/>
              </w:rPr>
              <w:t>099</w:t>
            </w:r>
            <w:r>
              <w:rPr>
                <w:rFonts w:hint="default" w:ascii="Times New Roman" w:hAnsi="Times New Roman" w:eastAsia="宋体" w:cs="Times New Roman"/>
                <w:sz w:val="24"/>
                <w:szCs w:val="24"/>
              </w:rPr>
              <w:t>-S</w:t>
            </w:r>
            <w:r>
              <w:rPr>
                <w:rFonts w:hint="default" w:ascii="Times New Roman" w:hAnsi="Times New Roman" w:eastAsia="宋体" w:cs="Times New Roman"/>
                <w:sz w:val="24"/>
                <w:szCs w:val="24"/>
                <w:lang w:val="en-US" w:eastAsia="zh-CN"/>
              </w:rPr>
              <w:t>59</w:t>
            </w:r>
            <w:r>
              <w:rPr>
                <w:rFonts w:hint="default" w:ascii="Times New Roman" w:hAnsi="Times New Roman" w:eastAsia="宋体" w:cs="Times New Roman"/>
                <w:color w:val="auto"/>
                <w:sz w:val="24"/>
                <w:szCs w:val="24"/>
                <w:lang w:val="en-US" w:eastAsia="zh-CN"/>
              </w:rPr>
              <w:t>。</w:t>
            </w:r>
          </w:p>
          <w:p w14:paraId="2EF1B2B3">
            <w:pPr>
              <w:pStyle w:val="3"/>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 7 \* GB3 \* MERGEFORMAT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rPr>
              <w:t>⑦</w:t>
            </w:r>
            <w:r>
              <w:rPr>
                <w:rFonts w:hint="default" w:ascii="Times New Roman" w:hAnsi="Times New Roman" w:cs="Times New Roman"/>
                <w:sz w:val="24"/>
                <w:szCs w:val="24"/>
                <w:lang w:val="en-US" w:eastAsia="zh-CN"/>
              </w:rPr>
              <w:fldChar w:fldCharType="end"/>
            </w:r>
            <w:r>
              <w:rPr>
                <w:rFonts w:hint="default" w:ascii="Times New Roman" w:hAnsi="Times New Roman" w:cs="Times New Roman"/>
                <w:sz w:val="24"/>
                <w:szCs w:val="24"/>
                <w:lang w:val="en-US" w:eastAsia="zh-CN"/>
              </w:rPr>
              <w:t>生活垃圾</w:t>
            </w:r>
          </w:p>
          <w:p w14:paraId="69CFF47A">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项目工作人员30人，垃圾产生量按0.5kg/人/d计，生活垃圾总产生量为4.5t/a，生活垃圾由环卫部门统一清运处理。根据《固体废物分类与代码目录》（生态环境部公告第24号），生活垃圾废物种类为SW61厨余垃圾，固废代码为900-002-S61。</w:t>
            </w:r>
          </w:p>
          <w:p w14:paraId="578E8B76">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bCs w:val="0"/>
                <w:color w:val="auto"/>
                <w:sz w:val="24"/>
                <w:szCs w:val="24"/>
                <w:lang w:val="en-US" w:eastAsia="zh-CN"/>
              </w:rPr>
            </w:pPr>
            <w:r>
              <w:rPr>
                <w:rFonts w:hint="default" w:ascii="Times New Roman" w:hAnsi="Times New Roman" w:eastAsia="宋体" w:cs="Times New Roman"/>
                <w:color w:val="auto"/>
                <w:sz w:val="24"/>
                <w:szCs w:val="24"/>
                <w:lang w:val="en-US" w:eastAsia="zh-CN"/>
              </w:rPr>
              <w:t>项目固体废物产生情况见下表4-</w:t>
            </w:r>
            <w:r>
              <w:rPr>
                <w:rFonts w:hint="eastAsia" w:ascii="Times New Roman" w:hAnsi="Times New Roman" w:eastAsia="宋体" w:cs="Times New Roman"/>
                <w:color w:val="auto"/>
                <w:sz w:val="24"/>
                <w:szCs w:val="24"/>
                <w:lang w:val="en-US" w:eastAsia="zh-CN"/>
              </w:rPr>
              <w:t>8</w:t>
            </w:r>
            <w:r>
              <w:rPr>
                <w:rFonts w:hint="default" w:ascii="Times New Roman" w:hAnsi="Times New Roman" w:eastAsia="宋体" w:cs="Times New Roman"/>
                <w:color w:val="auto"/>
                <w:sz w:val="24"/>
                <w:szCs w:val="24"/>
                <w:lang w:val="en-US" w:eastAsia="zh-CN"/>
              </w:rPr>
              <w:t>。</w:t>
            </w:r>
          </w:p>
          <w:p w14:paraId="6B6D515A">
            <w:pPr>
              <w:spacing w:line="440" w:lineRule="exact"/>
              <w:jc w:val="center"/>
              <w:rPr>
                <w:rFonts w:hint="default" w:ascii="Times New Roman" w:hAnsi="Times New Roman" w:eastAsia="宋体" w:cs="Times New Roman"/>
                <w:b/>
                <w:bCs w:val="0"/>
                <w:color w:val="auto"/>
                <w:sz w:val="21"/>
                <w:szCs w:val="21"/>
                <w:lang w:val="en-US" w:eastAsia="zh-CN"/>
              </w:rPr>
            </w:pPr>
            <w:r>
              <w:rPr>
                <w:rFonts w:hint="default" w:ascii="Times New Roman" w:hAnsi="Times New Roman" w:eastAsia="宋体" w:cs="Times New Roman"/>
                <w:b/>
                <w:bCs w:val="0"/>
                <w:color w:val="auto"/>
                <w:sz w:val="21"/>
                <w:szCs w:val="21"/>
                <w:lang w:val="en-US" w:eastAsia="zh-CN"/>
              </w:rPr>
              <w:t>表4-</w:t>
            </w:r>
            <w:r>
              <w:rPr>
                <w:rFonts w:hint="eastAsia" w:ascii="Times New Roman" w:hAnsi="Times New Roman" w:eastAsia="宋体" w:cs="Times New Roman"/>
                <w:b/>
                <w:bCs w:val="0"/>
                <w:color w:val="auto"/>
                <w:sz w:val="21"/>
                <w:szCs w:val="21"/>
                <w:lang w:val="en-US" w:eastAsia="zh-CN"/>
              </w:rPr>
              <w:t>8</w:t>
            </w:r>
            <w:r>
              <w:rPr>
                <w:rFonts w:hint="default" w:ascii="Times New Roman" w:hAnsi="Times New Roman" w:eastAsia="宋体" w:cs="Times New Roman"/>
                <w:b/>
                <w:bCs w:val="0"/>
                <w:color w:val="auto"/>
                <w:sz w:val="21"/>
                <w:szCs w:val="21"/>
                <w:lang w:val="en-US" w:eastAsia="zh-CN"/>
              </w:rPr>
              <w:t xml:space="preserve">  本项目固体废物产生情况</w:t>
            </w:r>
          </w:p>
          <w:tbl>
            <w:tblPr>
              <w:tblStyle w:val="67"/>
              <w:tblW w:w="499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47"/>
              <w:gridCol w:w="548"/>
              <w:gridCol w:w="1134"/>
              <w:gridCol w:w="487"/>
              <w:gridCol w:w="1135"/>
              <w:gridCol w:w="903"/>
              <w:gridCol w:w="461"/>
              <w:gridCol w:w="675"/>
              <w:gridCol w:w="553"/>
              <w:gridCol w:w="1421"/>
            </w:tblGrid>
            <w:tr w14:paraId="69CB9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3" w:type="pct"/>
                  <w:tcBorders>
                    <w:tl2br w:val="nil"/>
                    <w:tr2bl w:val="nil"/>
                  </w:tcBorders>
                  <w:noWrap w:val="0"/>
                  <w:vAlign w:val="center"/>
                </w:tcPr>
                <w:p w14:paraId="4BC5574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序号</w:t>
                  </w:r>
                </w:p>
              </w:tc>
              <w:tc>
                <w:tcPr>
                  <w:tcW w:w="364" w:type="pct"/>
                  <w:tcBorders>
                    <w:tl2br w:val="nil"/>
                    <w:tr2bl w:val="nil"/>
                  </w:tcBorders>
                  <w:noWrap w:val="0"/>
                  <w:vAlign w:val="center"/>
                </w:tcPr>
                <w:p w14:paraId="51248D0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产污环节</w:t>
                  </w:r>
                </w:p>
              </w:tc>
              <w:tc>
                <w:tcPr>
                  <w:tcW w:w="736" w:type="pct"/>
                  <w:tcBorders>
                    <w:tl2br w:val="nil"/>
                    <w:tr2bl w:val="nil"/>
                  </w:tcBorders>
                  <w:noWrap w:val="0"/>
                  <w:vAlign w:val="center"/>
                </w:tcPr>
                <w:p w14:paraId="0F40C4D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固废名称</w:t>
                  </w:r>
                </w:p>
              </w:tc>
              <w:tc>
                <w:tcPr>
                  <w:tcW w:w="324" w:type="pct"/>
                  <w:tcBorders>
                    <w:tl2br w:val="nil"/>
                    <w:tr2bl w:val="nil"/>
                  </w:tcBorders>
                  <w:noWrap w:val="0"/>
                  <w:vAlign w:val="center"/>
                </w:tcPr>
                <w:p w14:paraId="570E504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固废性质</w:t>
                  </w:r>
                </w:p>
              </w:tc>
              <w:tc>
                <w:tcPr>
                  <w:tcW w:w="736" w:type="pct"/>
                  <w:tcBorders>
                    <w:tl2br w:val="nil"/>
                    <w:tr2bl w:val="nil"/>
                  </w:tcBorders>
                  <w:noWrap w:val="0"/>
                  <w:vAlign w:val="center"/>
                </w:tcPr>
                <w:p w14:paraId="5B7EB37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固废编号</w:t>
                  </w:r>
                </w:p>
              </w:tc>
              <w:tc>
                <w:tcPr>
                  <w:tcW w:w="441" w:type="pct"/>
                  <w:tcBorders>
                    <w:tl2br w:val="nil"/>
                    <w:tr2bl w:val="nil"/>
                  </w:tcBorders>
                  <w:noWrap w:val="0"/>
                  <w:vAlign w:val="center"/>
                </w:tcPr>
                <w:p w14:paraId="3E16028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产生量</w:t>
                  </w:r>
                </w:p>
              </w:tc>
              <w:tc>
                <w:tcPr>
                  <w:tcW w:w="308" w:type="pct"/>
                  <w:tcBorders>
                    <w:tl2br w:val="nil"/>
                    <w:tr2bl w:val="nil"/>
                  </w:tcBorders>
                  <w:noWrap w:val="0"/>
                  <w:vAlign w:val="center"/>
                </w:tcPr>
                <w:p w14:paraId="02BB482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固废状态</w:t>
                  </w:r>
                </w:p>
              </w:tc>
              <w:tc>
                <w:tcPr>
                  <w:tcW w:w="444" w:type="pct"/>
                  <w:tcBorders>
                    <w:tl2br w:val="nil"/>
                    <w:tr2bl w:val="nil"/>
                  </w:tcBorders>
                  <w:noWrap w:val="0"/>
                  <w:vAlign w:val="center"/>
                </w:tcPr>
                <w:p w14:paraId="0226A3B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固废成分</w:t>
                  </w:r>
                </w:p>
              </w:tc>
              <w:tc>
                <w:tcPr>
                  <w:tcW w:w="366" w:type="pct"/>
                  <w:tcBorders>
                    <w:tl2br w:val="nil"/>
                    <w:tr2bl w:val="nil"/>
                  </w:tcBorders>
                  <w:noWrap w:val="0"/>
                  <w:vAlign w:val="center"/>
                </w:tcPr>
                <w:p w14:paraId="4E8D533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贮存设施</w:t>
                  </w:r>
                </w:p>
              </w:tc>
              <w:tc>
                <w:tcPr>
                  <w:tcW w:w="915" w:type="pct"/>
                  <w:tcBorders>
                    <w:tl2br w:val="nil"/>
                    <w:tr2bl w:val="nil"/>
                  </w:tcBorders>
                  <w:noWrap w:val="0"/>
                  <w:vAlign w:val="center"/>
                </w:tcPr>
                <w:p w14:paraId="42D78AD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处置去向</w:t>
                  </w:r>
                </w:p>
              </w:tc>
            </w:tr>
            <w:tr w14:paraId="2EEAF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3" w:type="pct"/>
                  <w:tcBorders>
                    <w:tl2br w:val="nil"/>
                    <w:tr2bl w:val="nil"/>
                  </w:tcBorders>
                  <w:noWrap w:val="0"/>
                  <w:vAlign w:val="center"/>
                </w:tcPr>
                <w:p w14:paraId="25BD4DB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1</w:t>
                  </w:r>
                </w:p>
              </w:tc>
              <w:tc>
                <w:tcPr>
                  <w:tcW w:w="364" w:type="pct"/>
                  <w:tcBorders>
                    <w:tl2br w:val="nil"/>
                    <w:tr2bl w:val="nil"/>
                  </w:tcBorders>
                  <w:noWrap w:val="0"/>
                  <w:vAlign w:val="center"/>
                </w:tcPr>
                <w:p w14:paraId="5C38ECE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生产生活</w:t>
                  </w:r>
                </w:p>
              </w:tc>
              <w:tc>
                <w:tcPr>
                  <w:tcW w:w="736" w:type="pct"/>
                  <w:tcBorders>
                    <w:tl2br w:val="nil"/>
                    <w:tr2bl w:val="nil"/>
                  </w:tcBorders>
                  <w:noWrap w:val="0"/>
                  <w:vAlign w:val="center"/>
                </w:tcPr>
                <w:p w14:paraId="352B8B75">
                  <w:pPr>
                    <w:pStyle w:val="3"/>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sz w:val="21"/>
                      <w:szCs w:val="21"/>
                      <w:lang w:val="en-US" w:eastAsia="zh-CN"/>
                    </w:rPr>
                    <w:t>生活垃圾</w:t>
                  </w:r>
                </w:p>
              </w:tc>
              <w:tc>
                <w:tcPr>
                  <w:tcW w:w="324" w:type="pct"/>
                  <w:tcBorders>
                    <w:tl2br w:val="nil"/>
                    <w:tr2bl w:val="nil"/>
                  </w:tcBorders>
                  <w:noWrap w:val="0"/>
                  <w:vAlign w:val="center"/>
                </w:tcPr>
                <w:p w14:paraId="4765D13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一般固废</w:t>
                  </w:r>
                </w:p>
              </w:tc>
              <w:tc>
                <w:tcPr>
                  <w:tcW w:w="736" w:type="pct"/>
                  <w:tcBorders>
                    <w:tl2br w:val="nil"/>
                    <w:tr2bl w:val="nil"/>
                  </w:tcBorders>
                  <w:noWrap w:val="0"/>
                  <w:vAlign w:val="center"/>
                </w:tcPr>
                <w:p w14:paraId="1F613B1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900-002-S61</w:t>
                  </w:r>
                </w:p>
              </w:tc>
              <w:tc>
                <w:tcPr>
                  <w:tcW w:w="441" w:type="pct"/>
                  <w:tcBorders>
                    <w:tl2br w:val="nil"/>
                    <w:tr2bl w:val="nil"/>
                  </w:tcBorders>
                  <w:noWrap w:val="0"/>
                  <w:vAlign w:val="center"/>
                </w:tcPr>
                <w:p w14:paraId="2A0109D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4.5</w:t>
                  </w:r>
                </w:p>
              </w:tc>
              <w:tc>
                <w:tcPr>
                  <w:tcW w:w="308" w:type="pct"/>
                  <w:tcBorders>
                    <w:tl2br w:val="nil"/>
                    <w:tr2bl w:val="nil"/>
                  </w:tcBorders>
                  <w:noWrap w:val="0"/>
                  <w:vAlign w:val="center"/>
                </w:tcPr>
                <w:p w14:paraId="32CC6C6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固态</w:t>
                  </w:r>
                </w:p>
              </w:tc>
              <w:tc>
                <w:tcPr>
                  <w:tcW w:w="444" w:type="pct"/>
                  <w:tcBorders>
                    <w:tl2br w:val="nil"/>
                    <w:tr2bl w:val="nil"/>
                  </w:tcBorders>
                  <w:noWrap w:val="0"/>
                  <w:vAlign w:val="center"/>
                </w:tcPr>
                <w:p w14:paraId="5C5A204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rPr>
                    <w:t>生活垃圾</w:t>
                  </w:r>
                </w:p>
              </w:tc>
              <w:tc>
                <w:tcPr>
                  <w:tcW w:w="366" w:type="pct"/>
                  <w:tcBorders>
                    <w:tl2br w:val="nil"/>
                    <w:tr2bl w:val="nil"/>
                  </w:tcBorders>
                  <w:noWrap w:val="0"/>
                  <w:vAlign w:val="center"/>
                </w:tcPr>
                <w:p w14:paraId="0FDDA82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垃圾桶</w:t>
                  </w:r>
                </w:p>
              </w:tc>
              <w:tc>
                <w:tcPr>
                  <w:tcW w:w="915" w:type="pct"/>
                  <w:tcBorders>
                    <w:tl2br w:val="nil"/>
                    <w:tr2bl w:val="nil"/>
                  </w:tcBorders>
                  <w:noWrap w:val="0"/>
                  <w:vAlign w:val="center"/>
                </w:tcPr>
                <w:p w14:paraId="25B2F45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由环卫部门统一处理</w:t>
                  </w:r>
                </w:p>
              </w:tc>
            </w:tr>
            <w:tr w14:paraId="68649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000" w:type="pct"/>
                  <w:gridSpan w:val="10"/>
                  <w:tcBorders>
                    <w:tl2br w:val="nil"/>
                    <w:tr2bl w:val="nil"/>
                  </w:tcBorders>
                  <w:noWrap w:val="0"/>
                  <w:vAlign w:val="center"/>
                </w:tcPr>
                <w:p w14:paraId="75832AD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sz w:val="21"/>
                      <w:szCs w:val="21"/>
                      <w:lang w:val="en-US" w:eastAsia="zh-CN"/>
                    </w:rPr>
                    <w:t>一期</w:t>
                  </w:r>
                </w:p>
              </w:tc>
            </w:tr>
            <w:tr w14:paraId="44EB2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3" w:type="pct"/>
                  <w:tcBorders>
                    <w:tl2br w:val="nil"/>
                    <w:tr2bl w:val="nil"/>
                  </w:tcBorders>
                  <w:noWrap w:val="0"/>
                  <w:vAlign w:val="center"/>
                </w:tcPr>
                <w:p w14:paraId="7ED4606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1</w:t>
                  </w:r>
                </w:p>
              </w:tc>
              <w:tc>
                <w:tcPr>
                  <w:tcW w:w="364" w:type="pct"/>
                  <w:tcBorders>
                    <w:tl2br w:val="nil"/>
                    <w:tr2bl w:val="nil"/>
                  </w:tcBorders>
                  <w:noWrap w:val="0"/>
                  <w:vAlign w:val="center"/>
                </w:tcPr>
                <w:p w14:paraId="49E65F0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除杂筛分</w:t>
                  </w:r>
                </w:p>
              </w:tc>
              <w:tc>
                <w:tcPr>
                  <w:tcW w:w="736" w:type="pct"/>
                  <w:tcBorders>
                    <w:tl2br w:val="nil"/>
                    <w:tr2bl w:val="nil"/>
                  </w:tcBorders>
                  <w:noWrap w:val="0"/>
                  <w:vAlign w:val="center"/>
                </w:tcPr>
                <w:p w14:paraId="2652DF55">
                  <w:pPr>
                    <w:pStyle w:val="2"/>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sz w:val="21"/>
                      <w:szCs w:val="21"/>
                      <w:lang w:val="en-US" w:eastAsia="zh-CN"/>
                    </w:rPr>
                    <w:t>煤泥除杂筛分杂质</w:t>
                  </w:r>
                </w:p>
              </w:tc>
              <w:tc>
                <w:tcPr>
                  <w:tcW w:w="324" w:type="pct"/>
                  <w:tcBorders>
                    <w:tl2br w:val="nil"/>
                    <w:tr2bl w:val="nil"/>
                  </w:tcBorders>
                  <w:noWrap w:val="0"/>
                  <w:vAlign w:val="center"/>
                </w:tcPr>
                <w:p w14:paraId="62EAC89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rPr>
                    <w:t>一般固废</w:t>
                  </w:r>
                </w:p>
              </w:tc>
              <w:tc>
                <w:tcPr>
                  <w:tcW w:w="736" w:type="pct"/>
                  <w:tcBorders>
                    <w:tl2br w:val="nil"/>
                    <w:tr2bl w:val="nil"/>
                  </w:tcBorders>
                  <w:noWrap w:val="0"/>
                  <w:vAlign w:val="center"/>
                </w:tcPr>
                <w:p w14:paraId="6FAD5AC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sz w:val="21"/>
                      <w:szCs w:val="21"/>
                    </w:rPr>
                    <w:t>900-</w:t>
                  </w:r>
                  <w:r>
                    <w:rPr>
                      <w:rFonts w:hint="default" w:ascii="Times New Roman" w:hAnsi="Times New Roman" w:eastAsia="宋体" w:cs="Times New Roman"/>
                      <w:sz w:val="21"/>
                      <w:szCs w:val="21"/>
                      <w:lang w:val="en-US" w:eastAsia="zh-CN"/>
                    </w:rPr>
                    <w:t>099</w:t>
                  </w:r>
                  <w:r>
                    <w:rPr>
                      <w:rFonts w:hint="default" w:ascii="Times New Roman" w:hAnsi="Times New Roman" w:eastAsia="宋体" w:cs="Times New Roman"/>
                      <w:sz w:val="21"/>
                      <w:szCs w:val="21"/>
                    </w:rPr>
                    <w:t>-S</w:t>
                  </w:r>
                  <w:r>
                    <w:rPr>
                      <w:rFonts w:hint="default" w:ascii="Times New Roman" w:hAnsi="Times New Roman" w:eastAsia="宋体" w:cs="Times New Roman"/>
                      <w:sz w:val="21"/>
                      <w:szCs w:val="21"/>
                      <w:lang w:val="en-US" w:eastAsia="zh-CN"/>
                    </w:rPr>
                    <w:t>59</w:t>
                  </w:r>
                </w:p>
              </w:tc>
              <w:tc>
                <w:tcPr>
                  <w:tcW w:w="441" w:type="pct"/>
                  <w:tcBorders>
                    <w:tl2br w:val="nil"/>
                    <w:tr2bl w:val="nil"/>
                  </w:tcBorders>
                  <w:noWrap w:val="0"/>
                  <w:vAlign w:val="center"/>
                </w:tcPr>
                <w:p w14:paraId="163F9D4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1.65</w:t>
                  </w:r>
                </w:p>
              </w:tc>
              <w:tc>
                <w:tcPr>
                  <w:tcW w:w="308" w:type="pct"/>
                  <w:tcBorders>
                    <w:tl2br w:val="nil"/>
                    <w:tr2bl w:val="nil"/>
                  </w:tcBorders>
                  <w:noWrap w:val="0"/>
                  <w:vAlign w:val="center"/>
                </w:tcPr>
                <w:p w14:paraId="5202237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rPr>
                    <w:t>固态</w:t>
                  </w:r>
                </w:p>
              </w:tc>
              <w:tc>
                <w:tcPr>
                  <w:tcW w:w="444" w:type="pct"/>
                  <w:tcBorders>
                    <w:tl2br w:val="nil"/>
                    <w:tr2bl w:val="nil"/>
                  </w:tcBorders>
                  <w:noWrap w:val="0"/>
                  <w:vAlign w:val="center"/>
                </w:tcPr>
                <w:p w14:paraId="4792319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sz w:val="21"/>
                      <w:szCs w:val="21"/>
                      <w:lang w:val="en-US" w:eastAsia="zh-CN"/>
                    </w:rPr>
                    <w:t>石块、木屑、塑料、铁丝等</w:t>
                  </w:r>
                </w:p>
              </w:tc>
              <w:tc>
                <w:tcPr>
                  <w:tcW w:w="366" w:type="pct"/>
                  <w:tcBorders>
                    <w:tl2br w:val="nil"/>
                    <w:tr2bl w:val="nil"/>
                  </w:tcBorders>
                  <w:noWrap w:val="0"/>
                  <w:vAlign w:val="center"/>
                </w:tcPr>
                <w:p w14:paraId="76E12B5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垃圾桶</w:t>
                  </w:r>
                </w:p>
              </w:tc>
              <w:tc>
                <w:tcPr>
                  <w:tcW w:w="915" w:type="pct"/>
                  <w:tcBorders>
                    <w:tl2br w:val="nil"/>
                    <w:tr2bl w:val="nil"/>
                  </w:tcBorders>
                  <w:noWrap w:val="0"/>
                  <w:vAlign w:val="center"/>
                </w:tcPr>
                <w:p w14:paraId="5702152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由环卫部门统一处理</w:t>
                  </w:r>
                </w:p>
              </w:tc>
            </w:tr>
            <w:tr w14:paraId="06546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3" w:type="pct"/>
                  <w:tcBorders>
                    <w:tl2br w:val="nil"/>
                    <w:tr2bl w:val="nil"/>
                  </w:tcBorders>
                  <w:noWrap w:val="0"/>
                  <w:vAlign w:val="center"/>
                </w:tcPr>
                <w:p w14:paraId="029BC5F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w:t>
                  </w:r>
                </w:p>
              </w:tc>
              <w:tc>
                <w:tcPr>
                  <w:tcW w:w="364" w:type="pct"/>
                  <w:tcBorders>
                    <w:tl2br w:val="nil"/>
                    <w:tr2bl w:val="nil"/>
                  </w:tcBorders>
                  <w:noWrap w:val="0"/>
                  <w:vAlign w:val="center"/>
                </w:tcPr>
                <w:p w14:paraId="35A6A72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设备维修</w:t>
                  </w:r>
                </w:p>
              </w:tc>
              <w:tc>
                <w:tcPr>
                  <w:tcW w:w="736" w:type="pct"/>
                  <w:tcBorders>
                    <w:tl2br w:val="nil"/>
                    <w:tr2bl w:val="nil"/>
                  </w:tcBorders>
                  <w:noWrap w:val="0"/>
                  <w:vAlign w:val="center"/>
                </w:tcPr>
                <w:p w14:paraId="584F7609">
                  <w:pPr>
                    <w:pStyle w:val="2"/>
                    <w:keepNext w:val="0"/>
                    <w:keepLines w:val="0"/>
                    <w:pageBreakBefore w:val="0"/>
                    <w:widowControl w:val="0"/>
                    <w:kinsoku/>
                    <w:wordWrap/>
                    <w:overflowPunct/>
                    <w:topLinePunct w:val="0"/>
                    <w:autoSpaceDE/>
                    <w:autoSpaceDN/>
                    <w:bidi w:val="0"/>
                    <w:adjustRightIn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kern w:val="2"/>
                      <w:sz w:val="21"/>
                      <w:szCs w:val="21"/>
                      <w:lang w:val="en-US" w:eastAsia="zh-CN" w:bidi="ar-SA"/>
                    </w:rPr>
                    <w:t>废</w:t>
                  </w:r>
                  <w:r>
                    <w:rPr>
                      <w:rFonts w:hint="default" w:ascii="Times New Roman" w:hAnsi="Times New Roman" w:cs="Times New Roman"/>
                      <w:sz w:val="21"/>
                      <w:szCs w:val="21"/>
                      <w:lang w:val="en-US" w:eastAsia="zh-CN"/>
                    </w:rPr>
                    <w:t>机油</w:t>
                  </w:r>
                </w:p>
              </w:tc>
              <w:tc>
                <w:tcPr>
                  <w:tcW w:w="324" w:type="pct"/>
                  <w:tcBorders>
                    <w:tl2br w:val="nil"/>
                    <w:tr2bl w:val="nil"/>
                  </w:tcBorders>
                  <w:noWrap w:val="0"/>
                  <w:vAlign w:val="center"/>
                </w:tcPr>
                <w:p w14:paraId="06B1244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危险废物</w:t>
                  </w:r>
                </w:p>
              </w:tc>
              <w:tc>
                <w:tcPr>
                  <w:tcW w:w="736" w:type="pct"/>
                  <w:tcBorders>
                    <w:tl2br w:val="nil"/>
                    <w:tr2bl w:val="nil"/>
                  </w:tcBorders>
                  <w:noWrap w:val="0"/>
                  <w:vAlign w:val="center"/>
                </w:tcPr>
                <w:p w14:paraId="20CD233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900-214-08</w:t>
                  </w:r>
                </w:p>
              </w:tc>
              <w:tc>
                <w:tcPr>
                  <w:tcW w:w="441" w:type="pct"/>
                  <w:tcBorders>
                    <w:tl2br w:val="nil"/>
                    <w:tr2bl w:val="nil"/>
                  </w:tcBorders>
                  <w:noWrap w:val="0"/>
                  <w:vAlign w:val="center"/>
                </w:tcPr>
                <w:p w14:paraId="687DE1A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0.2</w:t>
                  </w:r>
                </w:p>
              </w:tc>
              <w:tc>
                <w:tcPr>
                  <w:tcW w:w="308" w:type="pct"/>
                  <w:tcBorders>
                    <w:tl2br w:val="nil"/>
                    <w:tr2bl w:val="nil"/>
                  </w:tcBorders>
                  <w:noWrap w:val="0"/>
                  <w:vAlign w:val="center"/>
                </w:tcPr>
                <w:p w14:paraId="139DBC0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液态</w:t>
                  </w:r>
                </w:p>
              </w:tc>
              <w:tc>
                <w:tcPr>
                  <w:tcW w:w="444" w:type="pct"/>
                  <w:tcBorders>
                    <w:tl2br w:val="nil"/>
                    <w:tr2bl w:val="nil"/>
                  </w:tcBorders>
                  <w:noWrap w:val="0"/>
                  <w:vAlign w:val="center"/>
                </w:tcPr>
                <w:p w14:paraId="1F8FE8E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油类物质</w:t>
                  </w:r>
                </w:p>
              </w:tc>
              <w:tc>
                <w:tcPr>
                  <w:tcW w:w="366" w:type="pct"/>
                  <w:tcBorders>
                    <w:tl2br w:val="nil"/>
                    <w:tr2bl w:val="nil"/>
                  </w:tcBorders>
                  <w:noWrap w:val="0"/>
                  <w:vAlign w:val="center"/>
                </w:tcPr>
                <w:p w14:paraId="425957D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cs="Times New Roman"/>
                      <w:color w:val="auto"/>
                      <w:sz w:val="21"/>
                      <w:szCs w:val="21"/>
                      <w:lang w:val="en-US" w:eastAsia="zh-CN"/>
                    </w:rPr>
                    <w:t>危废贮存点</w:t>
                  </w:r>
                </w:p>
              </w:tc>
              <w:tc>
                <w:tcPr>
                  <w:tcW w:w="915" w:type="pct"/>
                  <w:tcBorders>
                    <w:tl2br w:val="nil"/>
                    <w:tr2bl w:val="nil"/>
                  </w:tcBorders>
                  <w:noWrap w:val="0"/>
                  <w:vAlign w:val="center"/>
                </w:tcPr>
                <w:p w14:paraId="527D97A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sz w:val="21"/>
                      <w:szCs w:val="21"/>
                      <w:lang w:val="en-US" w:eastAsia="zh-CN"/>
                    </w:rPr>
                    <w:t>暂存危废贮存点，交由有资质单位处置</w:t>
                  </w:r>
                </w:p>
              </w:tc>
            </w:tr>
            <w:tr w14:paraId="26678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3" w:type="pct"/>
                  <w:tcBorders>
                    <w:tl2br w:val="nil"/>
                    <w:tr2bl w:val="nil"/>
                  </w:tcBorders>
                  <w:noWrap w:val="0"/>
                  <w:vAlign w:val="center"/>
                </w:tcPr>
                <w:p w14:paraId="594BB4E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w:t>
                  </w:r>
                </w:p>
              </w:tc>
              <w:tc>
                <w:tcPr>
                  <w:tcW w:w="364" w:type="pct"/>
                  <w:tcBorders>
                    <w:tl2br w:val="nil"/>
                    <w:tr2bl w:val="nil"/>
                  </w:tcBorders>
                  <w:noWrap w:val="0"/>
                  <w:vAlign w:val="center"/>
                </w:tcPr>
                <w:p w14:paraId="200C642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洗车平台</w:t>
                  </w:r>
                </w:p>
              </w:tc>
              <w:tc>
                <w:tcPr>
                  <w:tcW w:w="736" w:type="pct"/>
                  <w:tcBorders>
                    <w:tl2br w:val="nil"/>
                    <w:tr2bl w:val="nil"/>
                  </w:tcBorders>
                  <w:noWrap w:val="0"/>
                  <w:vAlign w:val="center"/>
                </w:tcPr>
                <w:p w14:paraId="6BAC8B24">
                  <w:pPr>
                    <w:pStyle w:val="2"/>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sz w:val="21"/>
                      <w:szCs w:val="21"/>
                      <w:lang w:val="en-US" w:eastAsia="zh-CN"/>
                    </w:rPr>
                    <w:t>洗车沉淀池沉渣</w:t>
                  </w:r>
                </w:p>
              </w:tc>
              <w:tc>
                <w:tcPr>
                  <w:tcW w:w="324" w:type="pct"/>
                  <w:tcBorders>
                    <w:tl2br w:val="nil"/>
                    <w:tr2bl w:val="nil"/>
                  </w:tcBorders>
                  <w:noWrap w:val="0"/>
                  <w:vAlign w:val="center"/>
                </w:tcPr>
                <w:p w14:paraId="35CE294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一般固废</w:t>
                  </w:r>
                </w:p>
              </w:tc>
              <w:tc>
                <w:tcPr>
                  <w:tcW w:w="736" w:type="pct"/>
                  <w:tcBorders>
                    <w:tl2br w:val="nil"/>
                    <w:tr2bl w:val="nil"/>
                  </w:tcBorders>
                  <w:noWrap w:val="0"/>
                  <w:vAlign w:val="center"/>
                </w:tcPr>
                <w:p w14:paraId="105D4CE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900-</w:t>
                  </w:r>
                  <w:r>
                    <w:rPr>
                      <w:rFonts w:hint="default" w:ascii="Times New Roman" w:hAnsi="Times New Roman" w:eastAsia="宋体" w:cs="Times New Roman"/>
                      <w:sz w:val="21"/>
                      <w:szCs w:val="21"/>
                      <w:lang w:val="en-US" w:eastAsia="zh-CN"/>
                    </w:rPr>
                    <w:t>099</w:t>
                  </w:r>
                  <w:r>
                    <w:rPr>
                      <w:rFonts w:hint="default" w:ascii="Times New Roman" w:hAnsi="Times New Roman" w:eastAsia="宋体" w:cs="Times New Roman"/>
                      <w:sz w:val="21"/>
                      <w:szCs w:val="21"/>
                    </w:rPr>
                    <w:t>-S</w:t>
                  </w:r>
                  <w:r>
                    <w:rPr>
                      <w:rFonts w:hint="default" w:ascii="Times New Roman" w:hAnsi="Times New Roman" w:eastAsia="宋体" w:cs="Times New Roman"/>
                      <w:sz w:val="21"/>
                      <w:szCs w:val="21"/>
                      <w:lang w:val="en-US" w:eastAsia="zh-CN"/>
                    </w:rPr>
                    <w:t>59</w:t>
                  </w:r>
                </w:p>
              </w:tc>
              <w:tc>
                <w:tcPr>
                  <w:tcW w:w="441" w:type="pct"/>
                  <w:tcBorders>
                    <w:tl2br w:val="nil"/>
                    <w:tr2bl w:val="nil"/>
                  </w:tcBorders>
                  <w:noWrap w:val="0"/>
                  <w:vAlign w:val="center"/>
                </w:tcPr>
                <w:p w14:paraId="20A30A7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1.5</w:t>
                  </w:r>
                </w:p>
              </w:tc>
              <w:tc>
                <w:tcPr>
                  <w:tcW w:w="308" w:type="pct"/>
                  <w:tcBorders>
                    <w:tl2br w:val="nil"/>
                    <w:tr2bl w:val="nil"/>
                  </w:tcBorders>
                  <w:noWrap w:val="0"/>
                  <w:vAlign w:val="center"/>
                </w:tcPr>
                <w:p w14:paraId="7BC0865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固态</w:t>
                  </w:r>
                </w:p>
              </w:tc>
              <w:tc>
                <w:tcPr>
                  <w:tcW w:w="444" w:type="pct"/>
                  <w:tcBorders>
                    <w:tl2br w:val="nil"/>
                    <w:tr2bl w:val="nil"/>
                  </w:tcBorders>
                  <w:noWrap w:val="0"/>
                  <w:vAlign w:val="center"/>
                </w:tcPr>
                <w:p w14:paraId="1E9D790F">
                  <w:pPr>
                    <w:pStyle w:val="10"/>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石子、泥土等</w:t>
                  </w:r>
                </w:p>
              </w:tc>
              <w:tc>
                <w:tcPr>
                  <w:tcW w:w="366" w:type="pct"/>
                  <w:tcBorders>
                    <w:tl2br w:val="nil"/>
                    <w:tr2bl w:val="nil"/>
                  </w:tcBorders>
                  <w:noWrap w:val="0"/>
                  <w:vAlign w:val="center"/>
                </w:tcPr>
                <w:p w14:paraId="315DD60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尾煤</w:t>
                  </w:r>
                  <w:r>
                    <w:rPr>
                      <w:rFonts w:hint="eastAsia" w:ascii="Times New Roman" w:hAnsi="Times New Roman" w:eastAsia="宋体" w:cs="Times New Roman"/>
                      <w:color w:val="auto"/>
                      <w:sz w:val="21"/>
                      <w:szCs w:val="21"/>
                      <w:lang w:val="en-US" w:eastAsia="zh-CN"/>
                    </w:rPr>
                    <w:t>泥</w:t>
                  </w:r>
                  <w:r>
                    <w:rPr>
                      <w:rFonts w:hint="default" w:ascii="Times New Roman" w:hAnsi="Times New Roman" w:eastAsia="宋体" w:cs="Times New Roman"/>
                      <w:color w:val="auto"/>
                      <w:sz w:val="21"/>
                      <w:szCs w:val="21"/>
                      <w:lang w:val="en-US" w:eastAsia="zh-CN"/>
                    </w:rPr>
                    <w:t>棚</w:t>
                  </w:r>
                </w:p>
              </w:tc>
              <w:tc>
                <w:tcPr>
                  <w:tcW w:w="915" w:type="pct"/>
                  <w:tcBorders>
                    <w:tl2br w:val="nil"/>
                    <w:tr2bl w:val="nil"/>
                  </w:tcBorders>
                  <w:noWrap w:val="0"/>
                  <w:vAlign w:val="center"/>
                </w:tcPr>
                <w:p w14:paraId="2BE55CF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color w:val="auto"/>
                      <w:sz w:val="21"/>
                      <w:szCs w:val="21"/>
                      <w:lang w:val="en-US" w:eastAsia="zh-CN"/>
                    </w:rPr>
                    <w:t>外售至砖厂制砖</w:t>
                  </w:r>
                </w:p>
              </w:tc>
            </w:tr>
            <w:tr w14:paraId="260D7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3" w:type="pct"/>
                  <w:tcBorders>
                    <w:tl2br w:val="nil"/>
                    <w:tr2bl w:val="nil"/>
                  </w:tcBorders>
                  <w:noWrap w:val="0"/>
                  <w:vAlign w:val="center"/>
                </w:tcPr>
                <w:p w14:paraId="2177174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4</w:t>
                  </w:r>
                </w:p>
              </w:tc>
              <w:tc>
                <w:tcPr>
                  <w:tcW w:w="364" w:type="pct"/>
                  <w:tcBorders>
                    <w:tl2br w:val="nil"/>
                    <w:tr2bl w:val="nil"/>
                  </w:tcBorders>
                  <w:noWrap w:val="0"/>
                  <w:vAlign w:val="center"/>
                </w:tcPr>
                <w:p w14:paraId="082D6CA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循环水池</w:t>
                  </w:r>
                </w:p>
              </w:tc>
              <w:tc>
                <w:tcPr>
                  <w:tcW w:w="736" w:type="pct"/>
                  <w:tcBorders>
                    <w:tl2br w:val="nil"/>
                    <w:tr2bl w:val="nil"/>
                  </w:tcBorders>
                  <w:noWrap w:val="0"/>
                  <w:vAlign w:val="center"/>
                </w:tcPr>
                <w:p w14:paraId="4AF684AF">
                  <w:pPr>
                    <w:pStyle w:val="2"/>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sz w:val="21"/>
                      <w:szCs w:val="21"/>
                      <w:lang w:val="en-US" w:eastAsia="zh-CN"/>
                    </w:rPr>
                    <w:t>循环水池底泥</w:t>
                  </w:r>
                </w:p>
              </w:tc>
              <w:tc>
                <w:tcPr>
                  <w:tcW w:w="324" w:type="pct"/>
                  <w:tcBorders>
                    <w:tl2br w:val="nil"/>
                    <w:tr2bl w:val="nil"/>
                  </w:tcBorders>
                  <w:noWrap w:val="0"/>
                  <w:vAlign w:val="center"/>
                </w:tcPr>
                <w:p w14:paraId="7BBA9A6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一般固废</w:t>
                  </w:r>
                </w:p>
              </w:tc>
              <w:tc>
                <w:tcPr>
                  <w:tcW w:w="736" w:type="pct"/>
                  <w:tcBorders>
                    <w:tl2br w:val="nil"/>
                    <w:tr2bl w:val="nil"/>
                  </w:tcBorders>
                  <w:noWrap w:val="0"/>
                  <w:vAlign w:val="center"/>
                </w:tcPr>
                <w:p w14:paraId="455DF24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sz w:val="21"/>
                      <w:szCs w:val="21"/>
                    </w:rPr>
                    <w:t>900-</w:t>
                  </w:r>
                  <w:r>
                    <w:rPr>
                      <w:rFonts w:hint="default" w:ascii="Times New Roman" w:hAnsi="Times New Roman" w:eastAsia="宋体" w:cs="Times New Roman"/>
                      <w:sz w:val="21"/>
                      <w:szCs w:val="21"/>
                      <w:lang w:val="en-US" w:eastAsia="zh-CN"/>
                    </w:rPr>
                    <w:t>099</w:t>
                  </w:r>
                  <w:r>
                    <w:rPr>
                      <w:rFonts w:hint="default" w:ascii="Times New Roman" w:hAnsi="Times New Roman" w:eastAsia="宋体" w:cs="Times New Roman"/>
                      <w:sz w:val="21"/>
                      <w:szCs w:val="21"/>
                    </w:rPr>
                    <w:t>-S</w:t>
                  </w:r>
                  <w:r>
                    <w:rPr>
                      <w:rFonts w:hint="default" w:ascii="Times New Roman" w:hAnsi="Times New Roman" w:eastAsia="宋体" w:cs="Times New Roman"/>
                      <w:sz w:val="21"/>
                      <w:szCs w:val="21"/>
                      <w:lang w:val="en-US" w:eastAsia="zh-CN"/>
                    </w:rPr>
                    <w:t>59</w:t>
                  </w:r>
                </w:p>
              </w:tc>
              <w:tc>
                <w:tcPr>
                  <w:tcW w:w="441" w:type="pct"/>
                  <w:tcBorders>
                    <w:tl2br w:val="nil"/>
                    <w:tr2bl w:val="nil"/>
                  </w:tcBorders>
                  <w:noWrap w:val="0"/>
                  <w:vAlign w:val="center"/>
                </w:tcPr>
                <w:p w14:paraId="6DAA9C1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w:t>
                  </w:r>
                </w:p>
              </w:tc>
              <w:tc>
                <w:tcPr>
                  <w:tcW w:w="308" w:type="pct"/>
                  <w:tcBorders>
                    <w:tl2br w:val="nil"/>
                    <w:tr2bl w:val="nil"/>
                  </w:tcBorders>
                  <w:noWrap w:val="0"/>
                  <w:vAlign w:val="center"/>
                </w:tcPr>
                <w:p w14:paraId="1666299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固态</w:t>
                  </w:r>
                </w:p>
              </w:tc>
              <w:tc>
                <w:tcPr>
                  <w:tcW w:w="444" w:type="pct"/>
                  <w:tcBorders>
                    <w:tl2br w:val="nil"/>
                    <w:tr2bl w:val="nil"/>
                  </w:tcBorders>
                  <w:noWrap w:val="0"/>
                  <w:vAlign w:val="center"/>
                </w:tcPr>
                <w:p w14:paraId="59E3BAA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石子、泥土等</w:t>
                  </w:r>
                </w:p>
              </w:tc>
              <w:tc>
                <w:tcPr>
                  <w:tcW w:w="366" w:type="pct"/>
                  <w:tcBorders>
                    <w:tl2br w:val="nil"/>
                    <w:tr2bl w:val="nil"/>
                  </w:tcBorders>
                  <w:noWrap w:val="0"/>
                  <w:vAlign w:val="center"/>
                </w:tcPr>
                <w:p w14:paraId="6DB676E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尾煤</w:t>
                  </w:r>
                  <w:r>
                    <w:rPr>
                      <w:rFonts w:hint="eastAsia" w:ascii="Times New Roman" w:hAnsi="Times New Roman" w:eastAsia="宋体" w:cs="Times New Roman"/>
                      <w:color w:val="auto"/>
                      <w:sz w:val="21"/>
                      <w:szCs w:val="21"/>
                      <w:lang w:val="en-US" w:eastAsia="zh-CN"/>
                    </w:rPr>
                    <w:t>泥</w:t>
                  </w:r>
                  <w:r>
                    <w:rPr>
                      <w:rFonts w:hint="default" w:ascii="Times New Roman" w:hAnsi="Times New Roman" w:eastAsia="宋体" w:cs="Times New Roman"/>
                      <w:color w:val="auto"/>
                      <w:sz w:val="21"/>
                      <w:szCs w:val="21"/>
                      <w:lang w:val="en-US" w:eastAsia="zh-CN"/>
                    </w:rPr>
                    <w:t>棚</w:t>
                  </w:r>
                </w:p>
              </w:tc>
              <w:tc>
                <w:tcPr>
                  <w:tcW w:w="915" w:type="pct"/>
                  <w:tcBorders>
                    <w:tl2br w:val="nil"/>
                    <w:tr2bl w:val="nil"/>
                  </w:tcBorders>
                  <w:noWrap w:val="0"/>
                  <w:vAlign w:val="center"/>
                </w:tcPr>
                <w:p w14:paraId="1E1B1B5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外售至砖厂制砖</w:t>
                  </w:r>
                </w:p>
              </w:tc>
            </w:tr>
            <w:tr w14:paraId="0E076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000" w:type="pct"/>
                  <w:gridSpan w:val="10"/>
                  <w:tcBorders>
                    <w:tl2br w:val="nil"/>
                    <w:tr2bl w:val="nil"/>
                  </w:tcBorders>
                  <w:noWrap w:val="0"/>
                  <w:vAlign w:val="center"/>
                </w:tcPr>
                <w:p w14:paraId="257894E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二期</w:t>
                  </w:r>
                </w:p>
              </w:tc>
            </w:tr>
            <w:tr w14:paraId="0079B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3" w:type="pct"/>
                  <w:tcBorders>
                    <w:tl2br w:val="nil"/>
                    <w:tr2bl w:val="nil"/>
                  </w:tcBorders>
                  <w:noWrap w:val="0"/>
                  <w:vAlign w:val="center"/>
                </w:tcPr>
                <w:p w14:paraId="22D70FB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1</w:t>
                  </w:r>
                </w:p>
              </w:tc>
              <w:tc>
                <w:tcPr>
                  <w:tcW w:w="364" w:type="pct"/>
                  <w:tcBorders>
                    <w:tl2br w:val="nil"/>
                    <w:tr2bl w:val="nil"/>
                  </w:tcBorders>
                  <w:noWrap w:val="0"/>
                  <w:vAlign w:val="center"/>
                </w:tcPr>
                <w:p w14:paraId="5CAB962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除杂筛分</w:t>
                  </w:r>
                </w:p>
              </w:tc>
              <w:tc>
                <w:tcPr>
                  <w:tcW w:w="736" w:type="pct"/>
                  <w:tcBorders>
                    <w:tl2br w:val="nil"/>
                    <w:tr2bl w:val="nil"/>
                  </w:tcBorders>
                  <w:noWrap w:val="0"/>
                  <w:vAlign w:val="center"/>
                </w:tcPr>
                <w:p w14:paraId="17BD42DB">
                  <w:pPr>
                    <w:pStyle w:val="2"/>
                    <w:keepNext w:val="0"/>
                    <w:keepLines w:val="0"/>
                    <w:pageBreakBefore w:val="0"/>
                    <w:widowControl w:val="0"/>
                    <w:numPr>
                      <w:ilvl w:val="0"/>
                      <w:numId w:val="0"/>
                    </w:numPr>
                    <w:kinsoku/>
                    <w:wordWrap/>
                    <w:overflowPunct/>
                    <w:topLinePunct w:val="0"/>
                    <w:autoSpaceDE/>
                    <w:autoSpaceDN/>
                    <w:bidi w:val="0"/>
                    <w:spacing w:line="240" w:lineRule="auto"/>
                    <w:ind w:left="0" w:leftChars="0" w:firstLine="0" w:firstLineChars="0"/>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煤泥除杂筛分杂质</w:t>
                  </w:r>
                </w:p>
              </w:tc>
              <w:tc>
                <w:tcPr>
                  <w:tcW w:w="324" w:type="pct"/>
                  <w:tcBorders>
                    <w:tl2br w:val="nil"/>
                    <w:tr2bl w:val="nil"/>
                  </w:tcBorders>
                  <w:noWrap w:val="0"/>
                  <w:vAlign w:val="center"/>
                </w:tcPr>
                <w:p w14:paraId="350024A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一般固废</w:t>
                  </w:r>
                </w:p>
              </w:tc>
              <w:tc>
                <w:tcPr>
                  <w:tcW w:w="736" w:type="pct"/>
                  <w:tcBorders>
                    <w:tl2br w:val="nil"/>
                    <w:tr2bl w:val="nil"/>
                  </w:tcBorders>
                  <w:noWrap w:val="0"/>
                  <w:vAlign w:val="center"/>
                </w:tcPr>
                <w:p w14:paraId="1824AB4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sz w:val="21"/>
                      <w:szCs w:val="21"/>
                    </w:rPr>
                    <w:t>900-</w:t>
                  </w:r>
                  <w:r>
                    <w:rPr>
                      <w:rFonts w:hint="default" w:ascii="Times New Roman" w:hAnsi="Times New Roman" w:eastAsia="宋体" w:cs="Times New Roman"/>
                      <w:sz w:val="21"/>
                      <w:szCs w:val="21"/>
                      <w:lang w:val="en-US" w:eastAsia="zh-CN"/>
                    </w:rPr>
                    <w:t>099</w:t>
                  </w:r>
                  <w:r>
                    <w:rPr>
                      <w:rFonts w:hint="default" w:ascii="Times New Roman" w:hAnsi="Times New Roman" w:eastAsia="宋体" w:cs="Times New Roman"/>
                      <w:sz w:val="21"/>
                      <w:szCs w:val="21"/>
                    </w:rPr>
                    <w:t>-S</w:t>
                  </w:r>
                  <w:r>
                    <w:rPr>
                      <w:rFonts w:hint="default" w:ascii="Times New Roman" w:hAnsi="Times New Roman" w:eastAsia="宋体" w:cs="Times New Roman"/>
                      <w:sz w:val="21"/>
                      <w:szCs w:val="21"/>
                      <w:lang w:val="en-US" w:eastAsia="zh-CN"/>
                    </w:rPr>
                    <w:t>59</w:t>
                  </w:r>
                </w:p>
              </w:tc>
              <w:tc>
                <w:tcPr>
                  <w:tcW w:w="441" w:type="pct"/>
                  <w:tcBorders>
                    <w:tl2br w:val="nil"/>
                    <w:tr2bl w:val="nil"/>
                  </w:tcBorders>
                  <w:noWrap w:val="0"/>
                  <w:vAlign w:val="center"/>
                </w:tcPr>
                <w:p w14:paraId="77CBC4D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2.74</w:t>
                  </w:r>
                </w:p>
              </w:tc>
              <w:tc>
                <w:tcPr>
                  <w:tcW w:w="308" w:type="pct"/>
                  <w:tcBorders>
                    <w:tl2br w:val="nil"/>
                    <w:tr2bl w:val="nil"/>
                  </w:tcBorders>
                  <w:noWrap w:val="0"/>
                  <w:vAlign w:val="center"/>
                </w:tcPr>
                <w:p w14:paraId="0B9B6C2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固态</w:t>
                  </w:r>
                </w:p>
              </w:tc>
              <w:tc>
                <w:tcPr>
                  <w:tcW w:w="444" w:type="pct"/>
                  <w:tcBorders>
                    <w:tl2br w:val="nil"/>
                    <w:tr2bl w:val="nil"/>
                  </w:tcBorders>
                  <w:noWrap w:val="0"/>
                  <w:vAlign w:val="center"/>
                </w:tcPr>
                <w:p w14:paraId="5C5D589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sz w:val="21"/>
                      <w:szCs w:val="21"/>
                      <w:lang w:val="en-US" w:eastAsia="zh-CN"/>
                    </w:rPr>
                    <w:t>石块、木屑、塑料、铁丝等</w:t>
                  </w:r>
                </w:p>
              </w:tc>
              <w:tc>
                <w:tcPr>
                  <w:tcW w:w="366" w:type="pct"/>
                  <w:tcBorders>
                    <w:tl2br w:val="nil"/>
                    <w:tr2bl w:val="nil"/>
                  </w:tcBorders>
                  <w:noWrap w:val="0"/>
                  <w:vAlign w:val="center"/>
                </w:tcPr>
                <w:p w14:paraId="544A741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垃圾桶</w:t>
                  </w:r>
                </w:p>
              </w:tc>
              <w:tc>
                <w:tcPr>
                  <w:tcW w:w="915" w:type="pct"/>
                  <w:tcBorders>
                    <w:tl2br w:val="nil"/>
                    <w:tr2bl w:val="nil"/>
                  </w:tcBorders>
                  <w:noWrap w:val="0"/>
                  <w:vAlign w:val="center"/>
                </w:tcPr>
                <w:p w14:paraId="0DE0D3C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由环卫部门统一处理</w:t>
                  </w:r>
                </w:p>
              </w:tc>
            </w:tr>
            <w:tr w14:paraId="6A17C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3" w:type="pct"/>
                  <w:tcBorders>
                    <w:tl2br w:val="nil"/>
                    <w:tr2bl w:val="nil"/>
                  </w:tcBorders>
                  <w:noWrap w:val="0"/>
                  <w:vAlign w:val="center"/>
                </w:tcPr>
                <w:p w14:paraId="2CF6B12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2</w:t>
                  </w:r>
                </w:p>
              </w:tc>
              <w:tc>
                <w:tcPr>
                  <w:tcW w:w="364" w:type="pct"/>
                  <w:tcBorders>
                    <w:tl2br w:val="nil"/>
                    <w:tr2bl w:val="nil"/>
                  </w:tcBorders>
                  <w:noWrap w:val="0"/>
                  <w:vAlign w:val="center"/>
                </w:tcPr>
                <w:p w14:paraId="35593DF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尾矿浓缩</w:t>
                  </w:r>
                </w:p>
              </w:tc>
              <w:tc>
                <w:tcPr>
                  <w:tcW w:w="736" w:type="pct"/>
                  <w:tcBorders>
                    <w:tl2br w:val="nil"/>
                    <w:tr2bl w:val="nil"/>
                  </w:tcBorders>
                  <w:noWrap w:val="0"/>
                  <w:vAlign w:val="center"/>
                </w:tcPr>
                <w:p w14:paraId="77F986A2">
                  <w:pPr>
                    <w:pStyle w:val="4"/>
                    <w:keepNext w:val="0"/>
                    <w:keepLines w:val="0"/>
                    <w:pageBreakBefore w:val="0"/>
                    <w:widowControl w:val="0"/>
                    <w:kinsoku/>
                    <w:wordWrap/>
                    <w:overflowPunct/>
                    <w:topLinePunct w:val="0"/>
                    <w:autoSpaceDE/>
                    <w:autoSpaceDN/>
                    <w:bidi w:val="0"/>
                    <w:adjustRightInd/>
                    <w:snapToGrid w:val="0"/>
                    <w:spacing w:before="0" w:after="0" w:line="240" w:lineRule="auto"/>
                    <w:ind w:right="0" w:rightChars="0" w:firstLine="0" w:firstLineChars="0"/>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尾煤</w:t>
                  </w:r>
                  <w:r>
                    <w:rPr>
                      <w:rFonts w:hint="eastAsia" w:ascii="Times New Roman" w:hAnsi="Times New Roman" w:cs="Times New Roman"/>
                      <w:sz w:val="21"/>
                      <w:szCs w:val="21"/>
                      <w:lang w:val="en-US" w:eastAsia="zh-CN"/>
                    </w:rPr>
                    <w:t>泥</w:t>
                  </w:r>
                </w:p>
              </w:tc>
              <w:tc>
                <w:tcPr>
                  <w:tcW w:w="324" w:type="pct"/>
                  <w:tcBorders>
                    <w:tl2br w:val="nil"/>
                    <w:tr2bl w:val="nil"/>
                  </w:tcBorders>
                  <w:noWrap w:val="0"/>
                  <w:vAlign w:val="center"/>
                </w:tcPr>
                <w:p w14:paraId="0EC1EEF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一般固废</w:t>
                  </w:r>
                </w:p>
              </w:tc>
              <w:tc>
                <w:tcPr>
                  <w:tcW w:w="736" w:type="pct"/>
                  <w:tcBorders>
                    <w:tl2br w:val="nil"/>
                    <w:tr2bl w:val="nil"/>
                  </w:tcBorders>
                  <w:noWrap w:val="0"/>
                  <w:vAlign w:val="center"/>
                </w:tcPr>
                <w:p w14:paraId="77B0B43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900-008-S59</w:t>
                  </w:r>
                </w:p>
              </w:tc>
              <w:tc>
                <w:tcPr>
                  <w:tcW w:w="441" w:type="pct"/>
                  <w:tcBorders>
                    <w:tl2br w:val="nil"/>
                    <w:tr2bl w:val="nil"/>
                  </w:tcBorders>
                  <w:noWrap w:val="0"/>
                  <w:vAlign w:val="center"/>
                </w:tcPr>
                <w:p w14:paraId="46EFF26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80831.56</w:t>
                  </w:r>
                </w:p>
              </w:tc>
              <w:tc>
                <w:tcPr>
                  <w:tcW w:w="308" w:type="pct"/>
                  <w:tcBorders>
                    <w:tl2br w:val="nil"/>
                    <w:tr2bl w:val="nil"/>
                  </w:tcBorders>
                  <w:noWrap w:val="0"/>
                  <w:vAlign w:val="center"/>
                </w:tcPr>
                <w:p w14:paraId="3BF4DA5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固态</w:t>
                  </w:r>
                </w:p>
              </w:tc>
              <w:tc>
                <w:tcPr>
                  <w:tcW w:w="444" w:type="pct"/>
                  <w:tcBorders>
                    <w:tl2br w:val="nil"/>
                    <w:tr2bl w:val="nil"/>
                  </w:tcBorders>
                  <w:noWrap w:val="0"/>
                  <w:vAlign w:val="center"/>
                </w:tcPr>
                <w:p w14:paraId="3E9E798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lang w:val="en-US" w:eastAsia="zh-CN"/>
                    </w:rPr>
                    <w:t>石子、泥土等</w:t>
                  </w:r>
                </w:p>
              </w:tc>
              <w:tc>
                <w:tcPr>
                  <w:tcW w:w="366" w:type="pct"/>
                  <w:tcBorders>
                    <w:tl2br w:val="nil"/>
                    <w:tr2bl w:val="nil"/>
                  </w:tcBorders>
                  <w:noWrap w:val="0"/>
                  <w:vAlign w:val="center"/>
                </w:tcPr>
                <w:p w14:paraId="0F3DC98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尾煤</w:t>
                  </w:r>
                  <w:r>
                    <w:rPr>
                      <w:rFonts w:hint="eastAsia" w:ascii="Times New Roman" w:hAnsi="Times New Roman" w:eastAsia="宋体" w:cs="Times New Roman"/>
                      <w:color w:val="auto"/>
                      <w:sz w:val="21"/>
                      <w:szCs w:val="21"/>
                      <w:lang w:val="en-US" w:eastAsia="zh-CN"/>
                    </w:rPr>
                    <w:t>泥</w:t>
                  </w:r>
                  <w:r>
                    <w:rPr>
                      <w:rFonts w:hint="default" w:ascii="Times New Roman" w:hAnsi="Times New Roman" w:eastAsia="宋体" w:cs="Times New Roman"/>
                      <w:color w:val="auto"/>
                      <w:sz w:val="21"/>
                      <w:szCs w:val="21"/>
                      <w:lang w:val="en-US" w:eastAsia="zh-CN"/>
                    </w:rPr>
                    <w:t>棚</w:t>
                  </w:r>
                </w:p>
              </w:tc>
              <w:tc>
                <w:tcPr>
                  <w:tcW w:w="915" w:type="pct"/>
                  <w:tcBorders>
                    <w:tl2br w:val="nil"/>
                    <w:tr2bl w:val="nil"/>
                  </w:tcBorders>
                  <w:noWrap w:val="0"/>
                  <w:vAlign w:val="center"/>
                </w:tcPr>
                <w:p w14:paraId="63E5EF8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外售至砖厂制砖</w:t>
                  </w:r>
                </w:p>
              </w:tc>
            </w:tr>
            <w:tr w14:paraId="06B35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3" w:type="pct"/>
                  <w:tcBorders>
                    <w:tl2br w:val="nil"/>
                    <w:tr2bl w:val="nil"/>
                  </w:tcBorders>
                  <w:noWrap w:val="0"/>
                  <w:vAlign w:val="center"/>
                </w:tcPr>
                <w:p w14:paraId="78872F8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3</w:t>
                  </w:r>
                </w:p>
              </w:tc>
              <w:tc>
                <w:tcPr>
                  <w:tcW w:w="364" w:type="pct"/>
                  <w:tcBorders>
                    <w:tl2br w:val="nil"/>
                    <w:tr2bl w:val="nil"/>
                  </w:tcBorders>
                  <w:noWrap w:val="0"/>
                  <w:vAlign w:val="center"/>
                </w:tcPr>
                <w:p w14:paraId="312F906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浮选药剂</w:t>
                  </w:r>
                </w:p>
              </w:tc>
              <w:tc>
                <w:tcPr>
                  <w:tcW w:w="736" w:type="pct"/>
                  <w:tcBorders>
                    <w:tl2br w:val="nil"/>
                    <w:tr2bl w:val="nil"/>
                  </w:tcBorders>
                  <w:noWrap w:val="0"/>
                  <w:vAlign w:val="center"/>
                </w:tcPr>
                <w:p w14:paraId="16660C0F">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废柴油桶</w:t>
                  </w:r>
                </w:p>
              </w:tc>
              <w:tc>
                <w:tcPr>
                  <w:tcW w:w="324" w:type="pct"/>
                  <w:tcBorders>
                    <w:tl2br w:val="nil"/>
                    <w:tr2bl w:val="nil"/>
                  </w:tcBorders>
                  <w:noWrap w:val="0"/>
                  <w:vAlign w:val="center"/>
                </w:tcPr>
                <w:p w14:paraId="2B2BE49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危险废物</w:t>
                  </w:r>
                </w:p>
              </w:tc>
              <w:tc>
                <w:tcPr>
                  <w:tcW w:w="736" w:type="pct"/>
                  <w:tcBorders>
                    <w:tl2br w:val="nil"/>
                    <w:tr2bl w:val="nil"/>
                  </w:tcBorders>
                  <w:noWrap w:val="0"/>
                  <w:vAlign w:val="center"/>
                </w:tcPr>
                <w:p w14:paraId="33488172">
                  <w:pPr>
                    <w:pStyle w:val="4"/>
                    <w:keepNext w:val="0"/>
                    <w:keepLines w:val="0"/>
                    <w:pageBreakBefore w:val="0"/>
                    <w:widowControl w:val="0"/>
                    <w:kinsoku/>
                    <w:wordWrap/>
                    <w:overflowPunct/>
                    <w:topLinePunct w:val="0"/>
                    <w:autoSpaceDE/>
                    <w:autoSpaceDN/>
                    <w:bidi w:val="0"/>
                    <w:adjustRightInd/>
                    <w:snapToGrid w:val="0"/>
                    <w:spacing w:line="240" w:lineRule="auto"/>
                    <w:ind w:right="113" w:rightChars="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900-</w:t>
                  </w:r>
                  <w:r>
                    <w:rPr>
                      <w:rFonts w:hint="eastAsia" w:ascii="Times New Roman" w:hAnsi="Times New Roman" w:eastAsia="宋体" w:cs="Times New Roman"/>
                      <w:color w:val="auto"/>
                      <w:sz w:val="21"/>
                      <w:szCs w:val="21"/>
                      <w:lang w:val="en-US" w:eastAsia="zh-CN"/>
                    </w:rPr>
                    <w:t>249</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08</w:t>
                  </w:r>
                </w:p>
              </w:tc>
              <w:tc>
                <w:tcPr>
                  <w:tcW w:w="441" w:type="pct"/>
                  <w:tcBorders>
                    <w:tl2br w:val="nil"/>
                    <w:tr2bl w:val="nil"/>
                  </w:tcBorders>
                  <w:noWrap w:val="0"/>
                  <w:vAlign w:val="center"/>
                </w:tcPr>
                <w:p w14:paraId="04AFEBA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0.3</w:t>
                  </w:r>
                </w:p>
              </w:tc>
              <w:tc>
                <w:tcPr>
                  <w:tcW w:w="308" w:type="pct"/>
                  <w:tcBorders>
                    <w:tl2br w:val="nil"/>
                    <w:tr2bl w:val="nil"/>
                  </w:tcBorders>
                  <w:noWrap w:val="0"/>
                  <w:vAlign w:val="center"/>
                </w:tcPr>
                <w:p w14:paraId="75BD89B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固态</w:t>
                  </w:r>
                </w:p>
              </w:tc>
              <w:tc>
                <w:tcPr>
                  <w:tcW w:w="444" w:type="pct"/>
                  <w:tcBorders>
                    <w:tl2br w:val="nil"/>
                    <w:tr2bl w:val="nil"/>
                  </w:tcBorders>
                  <w:noWrap w:val="0"/>
                  <w:vAlign w:val="center"/>
                </w:tcPr>
                <w:p w14:paraId="729812E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eastAsia="宋体" w:cs="Times New Roman"/>
                      <w:sz w:val="21"/>
                      <w:szCs w:val="21"/>
                      <w:lang w:val="en-US" w:eastAsia="zh-CN"/>
                    </w:rPr>
                    <w:t>塑料</w:t>
                  </w:r>
                </w:p>
              </w:tc>
              <w:tc>
                <w:tcPr>
                  <w:tcW w:w="366" w:type="pct"/>
                  <w:tcBorders>
                    <w:tl2br w:val="nil"/>
                    <w:tr2bl w:val="nil"/>
                  </w:tcBorders>
                  <w:noWrap w:val="0"/>
                  <w:vAlign w:val="center"/>
                </w:tcPr>
                <w:p w14:paraId="3AA2BA1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危废贮存点</w:t>
                  </w:r>
                </w:p>
              </w:tc>
              <w:tc>
                <w:tcPr>
                  <w:tcW w:w="915" w:type="pct"/>
                  <w:tcBorders>
                    <w:tl2br w:val="nil"/>
                    <w:tr2bl w:val="nil"/>
                  </w:tcBorders>
                  <w:noWrap w:val="0"/>
                  <w:vAlign w:val="center"/>
                </w:tcPr>
                <w:p w14:paraId="53B9B09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eastAsia="宋体" w:cs="Times New Roman"/>
                      <w:sz w:val="21"/>
                      <w:szCs w:val="21"/>
                      <w:lang w:val="en-US" w:eastAsia="zh-CN"/>
                    </w:rPr>
                    <w:t>暂存危废贮存点，交由有资质单位处置</w:t>
                  </w:r>
                </w:p>
              </w:tc>
            </w:tr>
            <w:tr w14:paraId="7BF0A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3" w:type="pct"/>
                  <w:tcBorders>
                    <w:tl2br w:val="nil"/>
                    <w:tr2bl w:val="nil"/>
                  </w:tcBorders>
                  <w:noWrap w:val="0"/>
                  <w:vAlign w:val="center"/>
                </w:tcPr>
                <w:p w14:paraId="07CB5A2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w:t>
                  </w:r>
                </w:p>
              </w:tc>
              <w:tc>
                <w:tcPr>
                  <w:tcW w:w="364" w:type="pct"/>
                  <w:tcBorders>
                    <w:tl2br w:val="nil"/>
                    <w:tr2bl w:val="nil"/>
                  </w:tcBorders>
                  <w:noWrap w:val="0"/>
                  <w:vAlign w:val="center"/>
                </w:tcPr>
                <w:p w14:paraId="72E5FB2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设备维修</w:t>
                  </w:r>
                </w:p>
              </w:tc>
              <w:tc>
                <w:tcPr>
                  <w:tcW w:w="736" w:type="pct"/>
                  <w:tcBorders>
                    <w:tl2br w:val="nil"/>
                    <w:tr2bl w:val="nil"/>
                  </w:tcBorders>
                  <w:noWrap w:val="0"/>
                  <w:vAlign w:val="center"/>
                </w:tcPr>
                <w:p w14:paraId="3C6FFAE6">
                  <w:pPr>
                    <w:pStyle w:val="2"/>
                    <w:keepNext w:val="0"/>
                    <w:keepLines w:val="0"/>
                    <w:pageBreakBefore w:val="0"/>
                    <w:widowControl w:val="0"/>
                    <w:kinsoku/>
                    <w:wordWrap/>
                    <w:overflowPunct/>
                    <w:topLinePunct w:val="0"/>
                    <w:autoSpaceDE/>
                    <w:autoSpaceDN/>
                    <w:bidi w:val="0"/>
                    <w:adjustRightInd/>
                    <w:spacing w:line="240" w:lineRule="auto"/>
                    <w:ind w:firstLine="0" w:firstLineChars="0"/>
                    <w:jc w:val="center"/>
                    <w:textAlignment w:val="auto"/>
                    <w:rPr>
                      <w:rFonts w:hint="default" w:ascii="Times New Roman" w:hAnsi="Times New Roman" w:cs="Times New Roman"/>
                      <w:sz w:val="21"/>
                      <w:szCs w:val="21"/>
                      <w:lang w:val="en-US" w:eastAsia="zh-CN"/>
                    </w:rPr>
                  </w:pPr>
                  <w:r>
                    <w:rPr>
                      <w:rFonts w:hint="default" w:ascii="Times New Roman" w:hAnsi="Times New Roman" w:eastAsia="宋体" w:cs="Times New Roman"/>
                      <w:kern w:val="2"/>
                      <w:sz w:val="21"/>
                      <w:szCs w:val="21"/>
                      <w:lang w:val="en-US" w:eastAsia="zh-CN" w:bidi="ar-SA"/>
                    </w:rPr>
                    <w:t>废</w:t>
                  </w:r>
                  <w:r>
                    <w:rPr>
                      <w:rFonts w:hint="default" w:ascii="Times New Roman" w:hAnsi="Times New Roman" w:cs="Times New Roman"/>
                      <w:sz w:val="21"/>
                      <w:szCs w:val="21"/>
                      <w:lang w:val="en-US" w:eastAsia="zh-CN"/>
                    </w:rPr>
                    <w:t>机油</w:t>
                  </w:r>
                </w:p>
              </w:tc>
              <w:tc>
                <w:tcPr>
                  <w:tcW w:w="324" w:type="pct"/>
                  <w:tcBorders>
                    <w:tl2br w:val="nil"/>
                    <w:tr2bl w:val="nil"/>
                  </w:tcBorders>
                  <w:noWrap w:val="0"/>
                  <w:vAlign w:val="center"/>
                </w:tcPr>
                <w:p w14:paraId="4502503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危险废物</w:t>
                  </w:r>
                </w:p>
              </w:tc>
              <w:tc>
                <w:tcPr>
                  <w:tcW w:w="736" w:type="pct"/>
                  <w:tcBorders>
                    <w:tl2br w:val="nil"/>
                    <w:tr2bl w:val="nil"/>
                  </w:tcBorders>
                  <w:noWrap w:val="0"/>
                  <w:vAlign w:val="center"/>
                </w:tcPr>
                <w:p w14:paraId="2716FB7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900-214-08</w:t>
                  </w:r>
                </w:p>
              </w:tc>
              <w:tc>
                <w:tcPr>
                  <w:tcW w:w="441" w:type="pct"/>
                  <w:tcBorders>
                    <w:tl2br w:val="nil"/>
                    <w:tr2bl w:val="nil"/>
                  </w:tcBorders>
                  <w:noWrap w:val="0"/>
                  <w:vAlign w:val="center"/>
                </w:tcPr>
                <w:p w14:paraId="6C99278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w:t>
                  </w:r>
                  <w:r>
                    <w:rPr>
                      <w:rFonts w:hint="eastAsia" w:ascii="Times New Roman" w:hAnsi="Times New Roman" w:eastAsia="宋体" w:cs="Times New Roman"/>
                      <w:color w:val="auto"/>
                      <w:sz w:val="21"/>
                      <w:szCs w:val="21"/>
                      <w:lang w:val="en-US" w:eastAsia="zh-CN"/>
                    </w:rPr>
                    <w:t>4</w:t>
                  </w:r>
                </w:p>
              </w:tc>
              <w:tc>
                <w:tcPr>
                  <w:tcW w:w="308" w:type="pct"/>
                  <w:tcBorders>
                    <w:tl2br w:val="nil"/>
                    <w:tr2bl w:val="nil"/>
                  </w:tcBorders>
                  <w:noWrap w:val="0"/>
                  <w:vAlign w:val="center"/>
                </w:tcPr>
                <w:p w14:paraId="5E5C24F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液态</w:t>
                  </w:r>
                </w:p>
              </w:tc>
              <w:tc>
                <w:tcPr>
                  <w:tcW w:w="444" w:type="pct"/>
                  <w:tcBorders>
                    <w:tl2br w:val="nil"/>
                    <w:tr2bl w:val="nil"/>
                  </w:tcBorders>
                  <w:noWrap w:val="0"/>
                  <w:vAlign w:val="center"/>
                </w:tcPr>
                <w:p w14:paraId="0902E35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lang w:val="en-US" w:eastAsia="zh-CN"/>
                    </w:rPr>
                    <w:t>油类物质</w:t>
                  </w:r>
                </w:p>
              </w:tc>
              <w:tc>
                <w:tcPr>
                  <w:tcW w:w="366" w:type="pct"/>
                  <w:tcBorders>
                    <w:tl2br w:val="nil"/>
                    <w:tr2bl w:val="nil"/>
                  </w:tcBorders>
                  <w:noWrap w:val="0"/>
                  <w:vAlign w:val="center"/>
                </w:tcPr>
                <w:p w14:paraId="0A92DF5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危废贮存点</w:t>
                  </w:r>
                </w:p>
              </w:tc>
              <w:tc>
                <w:tcPr>
                  <w:tcW w:w="915" w:type="pct"/>
                  <w:tcBorders>
                    <w:tl2br w:val="nil"/>
                    <w:tr2bl w:val="nil"/>
                  </w:tcBorders>
                  <w:noWrap w:val="0"/>
                  <w:vAlign w:val="center"/>
                </w:tcPr>
                <w:p w14:paraId="167608C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eastAsia="宋体" w:cs="Times New Roman"/>
                      <w:sz w:val="21"/>
                      <w:szCs w:val="21"/>
                      <w:lang w:val="en-US" w:eastAsia="zh-CN"/>
                    </w:rPr>
                    <w:t>暂存危废贮存点，交由有资质单位处置</w:t>
                  </w:r>
                </w:p>
              </w:tc>
            </w:tr>
            <w:tr w14:paraId="37F07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3" w:type="pct"/>
                  <w:tcBorders>
                    <w:tl2br w:val="nil"/>
                    <w:tr2bl w:val="nil"/>
                  </w:tcBorders>
                  <w:noWrap w:val="0"/>
                  <w:vAlign w:val="center"/>
                </w:tcPr>
                <w:p w14:paraId="500CB62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5</w:t>
                  </w:r>
                </w:p>
              </w:tc>
              <w:tc>
                <w:tcPr>
                  <w:tcW w:w="364" w:type="pct"/>
                  <w:tcBorders>
                    <w:tl2br w:val="nil"/>
                    <w:tr2bl w:val="nil"/>
                  </w:tcBorders>
                  <w:noWrap w:val="0"/>
                  <w:vAlign w:val="center"/>
                </w:tcPr>
                <w:p w14:paraId="413295C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洗车平台</w:t>
                  </w:r>
                </w:p>
              </w:tc>
              <w:tc>
                <w:tcPr>
                  <w:tcW w:w="736" w:type="pct"/>
                  <w:tcBorders>
                    <w:tl2br w:val="nil"/>
                    <w:tr2bl w:val="nil"/>
                  </w:tcBorders>
                  <w:noWrap w:val="0"/>
                  <w:vAlign w:val="center"/>
                </w:tcPr>
                <w:p w14:paraId="05D9E379">
                  <w:pPr>
                    <w:pStyle w:val="2"/>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洗车沉淀池沉渣</w:t>
                  </w:r>
                </w:p>
              </w:tc>
              <w:tc>
                <w:tcPr>
                  <w:tcW w:w="324" w:type="pct"/>
                  <w:tcBorders>
                    <w:tl2br w:val="nil"/>
                    <w:tr2bl w:val="nil"/>
                  </w:tcBorders>
                  <w:noWrap w:val="0"/>
                  <w:vAlign w:val="center"/>
                </w:tcPr>
                <w:p w14:paraId="0FE9895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一般固废</w:t>
                  </w:r>
                </w:p>
              </w:tc>
              <w:tc>
                <w:tcPr>
                  <w:tcW w:w="736" w:type="pct"/>
                  <w:tcBorders>
                    <w:tl2br w:val="nil"/>
                    <w:tr2bl w:val="nil"/>
                  </w:tcBorders>
                  <w:noWrap w:val="0"/>
                  <w:vAlign w:val="center"/>
                </w:tcPr>
                <w:p w14:paraId="42F550C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sz w:val="21"/>
                      <w:szCs w:val="21"/>
                    </w:rPr>
                    <w:t>900-</w:t>
                  </w:r>
                  <w:r>
                    <w:rPr>
                      <w:rFonts w:hint="default" w:ascii="Times New Roman" w:hAnsi="Times New Roman" w:eastAsia="宋体" w:cs="Times New Roman"/>
                      <w:sz w:val="21"/>
                      <w:szCs w:val="21"/>
                      <w:lang w:val="en-US" w:eastAsia="zh-CN"/>
                    </w:rPr>
                    <w:t>099</w:t>
                  </w:r>
                  <w:r>
                    <w:rPr>
                      <w:rFonts w:hint="default" w:ascii="Times New Roman" w:hAnsi="Times New Roman" w:eastAsia="宋体" w:cs="Times New Roman"/>
                      <w:sz w:val="21"/>
                      <w:szCs w:val="21"/>
                    </w:rPr>
                    <w:t>-S</w:t>
                  </w:r>
                  <w:r>
                    <w:rPr>
                      <w:rFonts w:hint="default" w:ascii="Times New Roman" w:hAnsi="Times New Roman" w:eastAsia="宋体" w:cs="Times New Roman"/>
                      <w:sz w:val="21"/>
                      <w:szCs w:val="21"/>
                      <w:lang w:val="en-US" w:eastAsia="zh-CN"/>
                    </w:rPr>
                    <w:t>59</w:t>
                  </w:r>
                </w:p>
              </w:tc>
              <w:tc>
                <w:tcPr>
                  <w:tcW w:w="441" w:type="pct"/>
                  <w:tcBorders>
                    <w:tl2br w:val="nil"/>
                    <w:tr2bl w:val="nil"/>
                  </w:tcBorders>
                  <w:noWrap w:val="0"/>
                  <w:vAlign w:val="center"/>
                </w:tcPr>
                <w:p w14:paraId="332338C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3</w:t>
                  </w:r>
                </w:p>
              </w:tc>
              <w:tc>
                <w:tcPr>
                  <w:tcW w:w="308" w:type="pct"/>
                  <w:tcBorders>
                    <w:tl2br w:val="nil"/>
                    <w:tr2bl w:val="nil"/>
                  </w:tcBorders>
                  <w:noWrap w:val="0"/>
                  <w:vAlign w:val="center"/>
                </w:tcPr>
                <w:p w14:paraId="1954E6A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固态</w:t>
                  </w:r>
                </w:p>
              </w:tc>
              <w:tc>
                <w:tcPr>
                  <w:tcW w:w="444" w:type="pct"/>
                  <w:tcBorders>
                    <w:tl2br w:val="nil"/>
                    <w:tr2bl w:val="nil"/>
                  </w:tcBorders>
                  <w:noWrap w:val="0"/>
                  <w:vAlign w:val="center"/>
                </w:tcPr>
                <w:p w14:paraId="320CCB93">
                  <w:pPr>
                    <w:pStyle w:val="10"/>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lang w:val="en-US" w:eastAsia="zh-CN"/>
                    </w:rPr>
                    <w:t>石子、泥土等</w:t>
                  </w:r>
                </w:p>
              </w:tc>
              <w:tc>
                <w:tcPr>
                  <w:tcW w:w="366" w:type="pct"/>
                  <w:tcBorders>
                    <w:tl2br w:val="nil"/>
                    <w:tr2bl w:val="nil"/>
                  </w:tcBorders>
                  <w:noWrap w:val="0"/>
                  <w:vAlign w:val="center"/>
                </w:tcPr>
                <w:p w14:paraId="63197F2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尾煤</w:t>
                  </w:r>
                  <w:r>
                    <w:rPr>
                      <w:rFonts w:hint="eastAsia" w:ascii="Times New Roman" w:hAnsi="Times New Roman" w:eastAsia="宋体" w:cs="Times New Roman"/>
                      <w:color w:val="auto"/>
                      <w:sz w:val="21"/>
                      <w:szCs w:val="21"/>
                      <w:lang w:val="en-US" w:eastAsia="zh-CN"/>
                    </w:rPr>
                    <w:t>泥</w:t>
                  </w:r>
                  <w:r>
                    <w:rPr>
                      <w:rFonts w:hint="default" w:ascii="Times New Roman" w:hAnsi="Times New Roman" w:eastAsia="宋体" w:cs="Times New Roman"/>
                      <w:color w:val="auto"/>
                      <w:sz w:val="21"/>
                      <w:szCs w:val="21"/>
                      <w:lang w:val="en-US" w:eastAsia="zh-CN"/>
                    </w:rPr>
                    <w:t>棚</w:t>
                  </w:r>
                </w:p>
              </w:tc>
              <w:tc>
                <w:tcPr>
                  <w:tcW w:w="915" w:type="pct"/>
                  <w:tcBorders>
                    <w:tl2br w:val="nil"/>
                    <w:tr2bl w:val="nil"/>
                  </w:tcBorders>
                  <w:noWrap w:val="0"/>
                  <w:vAlign w:val="center"/>
                </w:tcPr>
                <w:p w14:paraId="32E8FE9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外售至砖厂制砖</w:t>
                  </w:r>
                </w:p>
              </w:tc>
            </w:tr>
            <w:tr w14:paraId="7DC03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3" w:type="pct"/>
                  <w:tcBorders>
                    <w:tl2br w:val="nil"/>
                    <w:tr2bl w:val="nil"/>
                  </w:tcBorders>
                  <w:noWrap w:val="0"/>
                  <w:vAlign w:val="center"/>
                </w:tcPr>
                <w:p w14:paraId="60D17E2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6</w:t>
                  </w:r>
                </w:p>
              </w:tc>
              <w:tc>
                <w:tcPr>
                  <w:tcW w:w="364" w:type="pct"/>
                  <w:tcBorders>
                    <w:tl2br w:val="nil"/>
                    <w:tr2bl w:val="nil"/>
                  </w:tcBorders>
                  <w:noWrap w:val="0"/>
                  <w:vAlign w:val="center"/>
                </w:tcPr>
                <w:p w14:paraId="291374B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循环水池</w:t>
                  </w:r>
                </w:p>
              </w:tc>
              <w:tc>
                <w:tcPr>
                  <w:tcW w:w="736" w:type="pct"/>
                  <w:tcBorders>
                    <w:tl2br w:val="nil"/>
                    <w:tr2bl w:val="nil"/>
                  </w:tcBorders>
                  <w:noWrap w:val="0"/>
                  <w:vAlign w:val="center"/>
                </w:tcPr>
                <w:p w14:paraId="0128E0A4">
                  <w:pPr>
                    <w:pStyle w:val="2"/>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循环水池底泥</w:t>
                  </w:r>
                </w:p>
              </w:tc>
              <w:tc>
                <w:tcPr>
                  <w:tcW w:w="324" w:type="pct"/>
                  <w:tcBorders>
                    <w:tl2br w:val="nil"/>
                    <w:tr2bl w:val="nil"/>
                  </w:tcBorders>
                  <w:noWrap w:val="0"/>
                  <w:vAlign w:val="center"/>
                </w:tcPr>
                <w:p w14:paraId="6B71F59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一般固废</w:t>
                  </w:r>
                </w:p>
              </w:tc>
              <w:tc>
                <w:tcPr>
                  <w:tcW w:w="736" w:type="pct"/>
                  <w:tcBorders>
                    <w:tl2br w:val="nil"/>
                    <w:tr2bl w:val="nil"/>
                  </w:tcBorders>
                  <w:noWrap w:val="0"/>
                  <w:vAlign w:val="center"/>
                </w:tcPr>
                <w:p w14:paraId="7988AA4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sz w:val="21"/>
                      <w:szCs w:val="21"/>
                    </w:rPr>
                    <w:t>900-</w:t>
                  </w:r>
                  <w:r>
                    <w:rPr>
                      <w:rFonts w:hint="default" w:ascii="Times New Roman" w:hAnsi="Times New Roman" w:eastAsia="宋体" w:cs="Times New Roman"/>
                      <w:sz w:val="21"/>
                      <w:szCs w:val="21"/>
                      <w:lang w:val="en-US" w:eastAsia="zh-CN"/>
                    </w:rPr>
                    <w:t>099</w:t>
                  </w:r>
                  <w:r>
                    <w:rPr>
                      <w:rFonts w:hint="default" w:ascii="Times New Roman" w:hAnsi="Times New Roman" w:eastAsia="宋体" w:cs="Times New Roman"/>
                      <w:sz w:val="21"/>
                      <w:szCs w:val="21"/>
                    </w:rPr>
                    <w:t>-S</w:t>
                  </w:r>
                  <w:r>
                    <w:rPr>
                      <w:rFonts w:hint="default" w:ascii="Times New Roman" w:hAnsi="Times New Roman" w:eastAsia="宋体" w:cs="Times New Roman"/>
                      <w:sz w:val="21"/>
                      <w:szCs w:val="21"/>
                      <w:lang w:val="en-US" w:eastAsia="zh-CN"/>
                    </w:rPr>
                    <w:t>59</w:t>
                  </w:r>
                </w:p>
              </w:tc>
              <w:tc>
                <w:tcPr>
                  <w:tcW w:w="441" w:type="pct"/>
                  <w:tcBorders>
                    <w:tl2br w:val="nil"/>
                    <w:tr2bl w:val="nil"/>
                  </w:tcBorders>
                  <w:noWrap w:val="0"/>
                  <w:vAlign w:val="center"/>
                </w:tcPr>
                <w:p w14:paraId="14D4D4E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4</w:t>
                  </w:r>
                </w:p>
              </w:tc>
              <w:tc>
                <w:tcPr>
                  <w:tcW w:w="308" w:type="pct"/>
                  <w:tcBorders>
                    <w:tl2br w:val="nil"/>
                    <w:tr2bl w:val="nil"/>
                  </w:tcBorders>
                  <w:noWrap w:val="0"/>
                  <w:vAlign w:val="center"/>
                </w:tcPr>
                <w:p w14:paraId="031205F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固态</w:t>
                  </w:r>
                </w:p>
              </w:tc>
              <w:tc>
                <w:tcPr>
                  <w:tcW w:w="444" w:type="pct"/>
                  <w:tcBorders>
                    <w:tl2br w:val="nil"/>
                    <w:tr2bl w:val="nil"/>
                  </w:tcBorders>
                  <w:noWrap w:val="0"/>
                  <w:vAlign w:val="center"/>
                </w:tcPr>
                <w:p w14:paraId="678F14B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lang w:val="en-US" w:eastAsia="zh-CN"/>
                    </w:rPr>
                    <w:t>石子、泥土等</w:t>
                  </w:r>
                </w:p>
              </w:tc>
              <w:tc>
                <w:tcPr>
                  <w:tcW w:w="366" w:type="pct"/>
                  <w:tcBorders>
                    <w:tl2br w:val="nil"/>
                    <w:tr2bl w:val="nil"/>
                  </w:tcBorders>
                  <w:noWrap w:val="0"/>
                  <w:vAlign w:val="center"/>
                </w:tcPr>
                <w:p w14:paraId="568ED18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尾煤</w:t>
                  </w:r>
                  <w:r>
                    <w:rPr>
                      <w:rFonts w:hint="eastAsia" w:ascii="Times New Roman" w:hAnsi="Times New Roman" w:eastAsia="宋体" w:cs="Times New Roman"/>
                      <w:color w:val="auto"/>
                      <w:sz w:val="21"/>
                      <w:szCs w:val="21"/>
                      <w:lang w:val="en-US" w:eastAsia="zh-CN"/>
                    </w:rPr>
                    <w:t>泥</w:t>
                  </w:r>
                  <w:r>
                    <w:rPr>
                      <w:rFonts w:hint="default" w:ascii="Times New Roman" w:hAnsi="Times New Roman" w:eastAsia="宋体" w:cs="Times New Roman"/>
                      <w:color w:val="auto"/>
                      <w:sz w:val="21"/>
                      <w:szCs w:val="21"/>
                      <w:lang w:val="en-US" w:eastAsia="zh-CN"/>
                    </w:rPr>
                    <w:t>棚</w:t>
                  </w:r>
                </w:p>
              </w:tc>
              <w:tc>
                <w:tcPr>
                  <w:tcW w:w="915" w:type="pct"/>
                  <w:tcBorders>
                    <w:tl2br w:val="nil"/>
                    <w:tr2bl w:val="nil"/>
                  </w:tcBorders>
                  <w:noWrap w:val="0"/>
                  <w:vAlign w:val="center"/>
                </w:tcPr>
                <w:p w14:paraId="747BDE0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外售至砖厂制砖</w:t>
                  </w:r>
                </w:p>
              </w:tc>
            </w:tr>
            <w:tr w14:paraId="6D482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000" w:type="pct"/>
                  <w:gridSpan w:val="10"/>
                  <w:tcBorders>
                    <w:tl2br w:val="nil"/>
                    <w:tr2bl w:val="nil"/>
                  </w:tcBorders>
                  <w:noWrap w:val="0"/>
                  <w:vAlign w:val="center"/>
                </w:tcPr>
                <w:p w14:paraId="5B35476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三期</w:t>
                  </w:r>
                </w:p>
              </w:tc>
            </w:tr>
            <w:tr w14:paraId="6C65F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3" w:type="pct"/>
                  <w:tcBorders>
                    <w:tl2br w:val="nil"/>
                    <w:tr2bl w:val="nil"/>
                  </w:tcBorders>
                  <w:noWrap w:val="0"/>
                  <w:vAlign w:val="center"/>
                </w:tcPr>
                <w:p w14:paraId="23C7E11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1</w:t>
                  </w:r>
                </w:p>
              </w:tc>
              <w:tc>
                <w:tcPr>
                  <w:tcW w:w="364" w:type="pct"/>
                  <w:tcBorders>
                    <w:tl2br w:val="nil"/>
                    <w:tr2bl w:val="nil"/>
                  </w:tcBorders>
                  <w:noWrap w:val="0"/>
                  <w:vAlign w:val="center"/>
                </w:tcPr>
                <w:p w14:paraId="79D3FF0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除杂筛分</w:t>
                  </w:r>
                </w:p>
              </w:tc>
              <w:tc>
                <w:tcPr>
                  <w:tcW w:w="736" w:type="pct"/>
                  <w:tcBorders>
                    <w:tl2br w:val="nil"/>
                    <w:tr2bl w:val="nil"/>
                  </w:tcBorders>
                  <w:noWrap w:val="0"/>
                  <w:vAlign w:val="center"/>
                </w:tcPr>
                <w:p w14:paraId="69294F9F">
                  <w:pPr>
                    <w:pStyle w:val="2"/>
                    <w:keepNext w:val="0"/>
                    <w:keepLines w:val="0"/>
                    <w:pageBreakBefore w:val="0"/>
                    <w:widowControl w:val="0"/>
                    <w:numPr>
                      <w:ilvl w:val="0"/>
                      <w:numId w:val="0"/>
                    </w:numPr>
                    <w:kinsoku/>
                    <w:wordWrap/>
                    <w:overflowPunct/>
                    <w:topLinePunct w:val="0"/>
                    <w:autoSpaceDE/>
                    <w:autoSpaceDN/>
                    <w:bidi w:val="0"/>
                    <w:spacing w:line="240" w:lineRule="auto"/>
                    <w:ind w:left="0" w:leftChars="0" w:firstLine="0" w:firstLineChars="0"/>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煤泥除杂筛分杂质</w:t>
                  </w:r>
                </w:p>
              </w:tc>
              <w:tc>
                <w:tcPr>
                  <w:tcW w:w="324" w:type="pct"/>
                  <w:tcBorders>
                    <w:tl2br w:val="nil"/>
                    <w:tr2bl w:val="nil"/>
                  </w:tcBorders>
                  <w:noWrap w:val="0"/>
                  <w:vAlign w:val="center"/>
                </w:tcPr>
                <w:p w14:paraId="5D12AE7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一般固废</w:t>
                  </w:r>
                </w:p>
              </w:tc>
              <w:tc>
                <w:tcPr>
                  <w:tcW w:w="736" w:type="pct"/>
                  <w:tcBorders>
                    <w:tl2br w:val="nil"/>
                    <w:tr2bl w:val="nil"/>
                  </w:tcBorders>
                  <w:noWrap w:val="0"/>
                  <w:vAlign w:val="center"/>
                </w:tcPr>
                <w:p w14:paraId="3E7B59A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sz w:val="21"/>
                      <w:szCs w:val="21"/>
                    </w:rPr>
                    <w:t>900-</w:t>
                  </w:r>
                  <w:r>
                    <w:rPr>
                      <w:rFonts w:hint="default" w:ascii="Times New Roman" w:hAnsi="Times New Roman" w:eastAsia="宋体" w:cs="Times New Roman"/>
                      <w:sz w:val="21"/>
                      <w:szCs w:val="21"/>
                      <w:lang w:val="en-US" w:eastAsia="zh-CN"/>
                    </w:rPr>
                    <w:t>099</w:t>
                  </w:r>
                  <w:r>
                    <w:rPr>
                      <w:rFonts w:hint="default" w:ascii="Times New Roman" w:hAnsi="Times New Roman" w:eastAsia="宋体" w:cs="Times New Roman"/>
                      <w:sz w:val="21"/>
                      <w:szCs w:val="21"/>
                    </w:rPr>
                    <w:t>-S</w:t>
                  </w:r>
                  <w:r>
                    <w:rPr>
                      <w:rFonts w:hint="default" w:ascii="Times New Roman" w:hAnsi="Times New Roman" w:eastAsia="宋体" w:cs="Times New Roman"/>
                      <w:sz w:val="21"/>
                      <w:szCs w:val="21"/>
                      <w:lang w:val="en-US" w:eastAsia="zh-CN"/>
                    </w:rPr>
                    <w:t>59</w:t>
                  </w:r>
                </w:p>
              </w:tc>
              <w:tc>
                <w:tcPr>
                  <w:tcW w:w="441" w:type="pct"/>
                  <w:tcBorders>
                    <w:tl2br w:val="nil"/>
                    <w:tr2bl w:val="nil"/>
                  </w:tcBorders>
                  <w:noWrap w:val="0"/>
                  <w:vAlign w:val="center"/>
                </w:tcPr>
                <w:p w14:paraId="1673CE3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14.33</w:t>
                  </w:r>
                </w:p>
              </w:tc>
              <w:tc>
                <w:tcPr>
                  <w:tcW w:w="308" w:type="pct"/>
                  <w:tcBorders>
                    <w:tl2br w:val="nil"/>
                    <w:tr2bl w:val="nil"/>
                  </w:tcBorders>
                  <w:noWrap w:val="0"/>
                  <w:vAlign w:val="center"/>
                </w:tcPr>
                <w:p w14:paraId="2FF85DF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固态</w:t>
                  </w:r>
                </w:p>
              </w:tc>
              <w:tc>
                <w:tcPr>
                  <w:tcW w:w="444" w:type="pct"/>
                  <w:tcBorders>
                    <w:tl2br w:val="nil"/>
                    <w:tr2bl w:val="nil"/>
                  </w:tcBorders>
                  <w:noWrap w:val="0"/>
                  <w:vAlign w:val="center"/>
                </w:tcPr>
                <w:p w14:paraId="536A8E6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sz w:val="21"/>
                      <w:szCs w:val="21"/>
                      <w:lang w:val="en-US" w:eastAsia="zh-CN"/>
                    </w:rPr>
                    <w:t>石块、木屑、塑料、铁丝等</w:t>
                  </w:r>
                </w:p>
              </w:tc>
              <w:tc>
                <w:tcPr>
                  <w:tcW w:w="366" w:type="pct"/>
                  <w:tcBorders>
                    <w:tl2br w:val="nil"/>
                    <w:tr2bl w:val="nil"/>
                  </w:tcBorders>
                  <w:noWrap w:val="0"/>
                  <w:vAlign w:val="center"/>
                </w:tcPr>
                <w:p w14:paraId="34E93F8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垃圾桶</w:t>
                  </w:r>
                </w:p>
              </w:tc>
              <w:tc>
                <w:tcPr>
                  <w:tcW w:w="915" w:type="pct"/>
                  <w:tcBorders>
                    <w:tl2br w:val="nil"/>
                    <w:tr2bl w:val="nil"/>
                  </w:tcBorders>
                  <w:noWrap w:val="0"/>
                  <w:vAlign w:val="center"/>
                </w:tcPr>
                <w:p w14:paraId="766957B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由环卫部门统一处理</w:t>
                  </w:r>
                </w:p>
              </w:tc>
            </w:tr>
            <w:tr w14:paraId="6CE2A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3" w:type="pct"/>
                  <w:tcBorders>
                    <w:tl2br w:val="nil"/>
                    <w:tr2bl w:val="nil"/>
                  </w:tcBorders>
                  <w:noWrap w:val="0"/>
                  <w:vAlign w:val="center"/>
                </w:tcPr>
                <w:p w14:paraId="32FE27D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2</w:t>
                  </w:r>
                </w:p>
              </w:tc>
              <w:tc>
                <w:tcPr>
                  <w:tcW w:w="364" w:type="pct"/>
                  <w:tcBorders>
                    <w:tl2br w:val="nil"/>
                    <w:tr2bl w:val="nil"/>
                  </w:tcBorders>
                  <w:noWrap w:val="0"/>
                  <w:vAlign w:val="center"/>
                </w:tcPr>
                <w:p w14:paraId="689BB70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尾矿浓缩</w:t>
                  </w:r>
                </w:p>
              </w:tc>
              <w:tc>
                <w:tcPr>
                  <w:tcW w:w="736" w:type="pct"/>
                  <w:tcBorders>
                    <w:tl2br w:val="nil"/>
                    <w:tr2bl w:val="nil"/>
                  </w:tcBorders>
                  <w:noWrap w:val="0"/>
                  <w:vAlign w:val="center"/>
                </w:tcPr>
                <w:p w14:paraId="157AC532">
                  <w:pPr>
                    <w:pStyle w:val="4"/>
                    <w:keepNext w:val="0"/>
                    <w:keepLines w:val="0"/>
                    <w:pageBreakBefore w:val="0"/>
                    <w:widowControl w:val="0"/>
                    <w:kinsoku/>
                    <w:wordWrap/>
                    <w:overflowPunct/>
                    <w:topLinePunct w:val="0"/>
                    <w:autoSpaceDE/>
                    <w:autoSpaceDN/>
                    <w:bidi w:val="0"/>
                    <w:adjustRightInd/>
                    <w:snapToGrid w:val="0"/>
                    <w:spacing w:before="0" w:after="0" w:line="240" w:lineRule="auto"/>
                    <w:ind w:right="0" w:rightChars="0" w:firstLine="0" w:firstLineChars="0"/>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尾煤</w:t>
                  </w:r>
                  <w:r>
                    <w:rPr>
                      <w:rFonts w:hint="eastAsia" w:ascii="Times New Roman" w:hAnsi="Times New Roman" w:cs="Times New Roman"/>
                      <w:sz w:val="21"/>
                      <w:szCs w:val="21"/>
                      <w:lang w:val="en-US" w:eastAsia="zh-CN"/>
                    </w:rPr>
                    <w:t>泥</w:t>
                  </w:r>
                </w:p>
              </w:tc>
              <w:tc>
                <w:tcPr>
                  <w:tcW w:w="324" w:type="pct"/>
                  <w:tcBorders>
                    <w:tl2br w:val="nil"/>
                    <w:tr2bl w:val="nil"/>
                  </w:tcBorders>
                  <w:noWrap w:val="0"/>
                  <w:vAlign w:val="center"/>
                </w:tcPr>
                <w:p w14:paraId="012BFCE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一般固废</w:t>
                  </w:r>
                </w:p>
              </w:tc>
              <w:tc>
                <w:tcPr>
                  <w:tcW w:w="736" w:type="pct"/>
                  <w:tcBorders>
                    <w:tl2br w:val="nil"/>
                    <w:tr2bl w:val="nil"/>
                  </w:tcBorders>
                  <w:noWrap w:val="0"/>
                  <w:vAlign w:val="center"/>
                </w:tcPr>
                <w:p w14:paraId="665FF1C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900-008-S59</w:t>
                  </w:r>
                </w:p>
              </w:tc>
              <w:tc>
                <w:tcPr>
                  <w:tcW w:w="441" w:type="pct"/>
                  <w:tcBorders>
                    <w:tl2br w:val="nil"/>
                    <w:tr2bl w:val="nil"/>
                  </w:tcBorders>
                  <w:noWrap w:val="0"/>
                  <w:vAlign w:val="center"/>
                </w:tcPr>
                <w:p w14:paraId="214E136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220429.17</w:t>
                  </w:r>
                </w:p>
              </w:tc>
              <w:tc>
                <w:tcPr>
                  <w:tcW w:w="308" w:type="pct"/>
                  <w:tcBorders>
                    <w:tl2br w:val="nil"/>
                    <w:tr2bl w:val="nil"/>
                  </w:tcBorders>
                  <w:noWrap w:val="0"/>
                  <w:vAlign w:val="center"/>
                </w:tcPr>
                <w:p w14:paraId="306EC96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固态</w:t>
                  </w:r>
                </w:p>
              </w:tc>
              <w:tc>
                <w:tcPr>
                  <w:tcW w:w="444" w:type="pct"/>
                  <w:tcBorders>
                    <w:tl2br w:val="nil"/>
                    <w:tr2bl w:val="nil"/>
                  </w:tcBorders>
                  <w:noWrap w:val="0"/>
                  <w:vAlign w:val="center"/>
                </w:tcPr>
                <w:p w14:paraId="58ED73C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lang w:val="en-US" w:eastAsia="zh-CN"/>
                    </w:rPr>
                    <w:t>石子、泥土等</w:t>
                  </w:r>
                </w:p>
              </w:tc>
              <w:tc>
                <w:tcPr>
                  <w:tcW w:w="366" w:type="pct"/>
                  <w:tcBorders>
                    <w:tl2br w:val="nil"/>
                    <w:tr2bl w:val="nil"/>
                  </w:tcBorders>
                  <w:noWrap w:val="0"/>
                  <w:vAlign w:val="center"/>
                </w:tcPr>
                <w:p w14:paraId="0DB2862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尾煤</w:t>
                  </w:r>
                  <w:r>
                    <w:rPr>
                      <w:rFonts w:hint="eastAsia" w:ascii="Times New Roman" w:hAnsi="Times New Roman" w:eastAsia="宋体" w:cs="Times New Roman"/>
                      <w:color w:val="auto"/>
                      <w:sz w:val="21"/>
                      <w:szCs w:val="21"/>
                      <w:lang w:val="en-US" w:eastAsia="zh-CN"/>
                    </w:rPr>
                    <w:t>泥</w:t>
                  </w:r>
                  <w:r>
                    <w:rPr>
                      <w:rFonts w:hint="default" w:ascii="Times New Roman" w:hAnsi="Times New Roman" w:eastAsia="宋体" w:cs="Times New Roman"/>
                      <w:color w:val="auto"/>
                      <w:sz w:val="21"/>
                      <w:szCs w:val="21"/>
                      <w:lang w:val="en-US" w:eastAsia="zh-CN"/>
                    </w:rPr>
                    <w:t>棚</w:t>
                  </w:r>
                </w:p>
              </w:tc>
              <w:tc>
                <w:tcPr>
                  <w:tcW w:w="915" w:type="pct"/>
                  <w:tcBorders>
                    <w:tl2br w:val="nil"/>
                    <w:tr2bl w:val="nil"/>
                  </w:tcBorders>
                  <w:noWrap w:val="0"/>
                  <w:vAlign w:val="center"/>
                </w:tcPr>
                <w:p w14:paraId="4685677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外售至砖厂制砖</w:t>
                  </w:r>
                </w:p>
              </w:tc>
            </w:tr>
            <w:tr w14:paraId="279FB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3" w:type="pct"/>
                  <w:tcBorders>
                    <w:tl2br w:val="nil"/>
                    <w:tr2bl w:val="nil"/>
                  </w:tcBorders>
                  <w:noWrap w:val="0"/>
                  <w:vAlign w:val="center"/>
                </w:tcPr>
                <w:p w14:paraId="2860905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3</w:t>
                  </w:r>
                </w:p>
              </w:tc>
              <w:tc>
                <w:tcPr>
                  <w:tcW w:w="364" w:type="pct"/>
                  <w:tcBorders>
                    <w:tl2br w:val="nil"/>
                    <w:tr2bl w:val="nil"/>
                  </w:tcBorders>
                  <w:noWrap w:val="0"/>
                  <w:vAlign w:val="center"/>
                </w:tcPr>
                <w:p w14:paraId="796F9BD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浮选药剂</w:t>
                  </w:r>
                </w:p>
              </w:tc>
              <w:tc>
                <w:tcPr>
                  <w:tcW w:w="736" w:type="pct"/>
                  <w:tcBorders>
                    <w:tl2br w:val="nil"/>
                    <w:tr2bl w:val="nil"/>
                  </w:tcBorders>
                  <w:noWrap w:val="0"/>
                  <w:vAlign w:val="center"/>
                </w:tcPr>
                <w:p w14:paraId="54C1606D">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废柴油桶</w:t>
                  </w:r>
                </w:p>
              </w:tc>
              <w:tc>
                <w:tcPr>
                  <w:tcW w:w="324" w:type="pct"/>
                  <w:tcBorders>
                    <w:tl2br w:val="nil"/>
                    <w:tr2bl w:val="nil"/>
                  </w:tcBorders>
                  <w:noWrap w:val="0"/>
                  <w:vAlign w:val="center"/>
                </w:tcPr>
                <w:p w14:paraId="5A807AA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危险废物</w:t>
                  </w:r>
                </w:p>
              </w:tc>
              <w:tc>
                <w:tcPr>
                  <w:tcW w:w="736" w:type="pct"/>
                  <w:tcBorders>
                    <w:tl2br w:val="nil"/>
                    <w:tr2bl w:val="nil"/>
                  </w:tcBorders>
                  <w:noWrap w:val="0"/>
                  <w:vAlign w:val="center"/>
                </w:tcPr>
                <w:p w14:paraId="148583DD">
                  <w:pPr>
                    <w:pStyle w:val="4"/>
                    <w:keepNext w:val="0"/>
                    <w:keepLines w:val="0"/>
                    <w:pageBreakBefore w:val="0"/>
                    <w:widowControl w:val="0"/>
                    <w:kinsoku/>
                    <w:wordWrap/>
                    <w:overflowPunct/>
                    <w:topLinePunct w:val="0"/>
                    <w:autoSpaceDE/>
                    <w:autoSpaceDN/>
                    <w:bidi w:val="0"/>
                    <w:adjustRightInd/>
                    <w:snapToGrid w:val="0"/>
                    <w:spacing w:line="240" w:lineRule="auto"/>
                    <w:ind w:right="113" w:rightChars="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900-</w:t>
                  </w:r>
                  <w:r>
                    <w:rPr>
                      <w:rFonts w:hint="eastAsia" w:ascii="Times New Roman" w:hAnsi="Times New Roman" w:eastAsia="宋体" w:cs="Times New Roman"/>
                      <w:color w:val="auto"/>
                      <w:sz w:val="21"/>
                      <w:szCs w:val="21"/>
                      <w:lang w:val="en-US" w:eastAsia="zh-CN"/>
                    </w:rPr>
                    <w:t>249</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08</w:t>
                  </w:r>
                </w:p>
              </w:tc>
              <w:tc>
                <w:tcPr>
                  <w:tcW w:w="441" w:type="pct"/>
                  <w:tcBorders>
                    <w:tl2br w:val="nil"/>
                    <w:tr2bl w:val="nil"/>
                  </w:tcBorders>
                  <w:noWrap w:val="0"/>
                  <w:vAlign w:val="center"/>
                </w:tcPr>
                <w:p w14:paraId="3428A3D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1</w:t>
                  </w:r>
                </w:p>
              </w:tc>
              <w:tc>
                <w:tcPr>
                  <w:tcW w:w="308" w:type="pct"/>
                  <w:tcBorders>
                    <w:tl2br w:val="nil"/>
                    <w:tr2bl w:val="nil"/>
                  </w:tcBorders>
                  <w:noWrap w:val="0"/>
                  <w:vAlign w:val="center"/>
                </w:tcPr>
                <w:p w14:paraId="44BE3CC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固态</w:t>
                  </w:r>
                </w:p>
              </w:tc>
              <w:tc>
                <w:tcPr>
                  <w:tcW w:w="444" w:type="pct"/>
                  <w:tcBorders>
                    <w:tl2br w:val="nil"/>
                    <w:tr2bl w:val="nil"/>
                  </w:tcBorders>
                  <w:noWrap w:val="0"/>
                  <w:vAlign w:val="center"/>
                </w:tcPr>
                <w:p w14:paraId="7FE1F23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eastAsia="宋体" w:cs="Times New Roman"/>
                      <w:sz w:val="21"/>
                      <w:szCs w:val="21"/>
                      <w:lang w:val="en-US" w:eastAsia="zh-CN"/>
                    </w:rPr>
                    <w:t>塑料</w:t>
                  </w:r>
                </w:p>
              </w:tc>
              <w:tc>
                <w:tcPr>
                  <w:tcW w:w="366" w:type="pct"/>
                  <w:tcBorders>
                    <w:tl2br w:val="nil"/>
                    <w:tr2bl w:val="nil"/>
                  </w:tcBorders>
                  <w:noWrap w:val="0"/>
                  <w:vAlign w:val="center"/>
                </w:tcPr>
                <w:p w14:paraId="1ED5099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危废贮存点</w:t>
                  </w:r>
                </w:p>
              </w:tc>
              <w:tc>
                <w:tcPr>
                  <w:tcW w:w="915" w:type="pct"/>
                  <w:tcBorders>
                    <w:tl2br w:val="nil"/>
                    <w:tr2bl w:val="nil"/>
                  </w:tcBorders>
                  <w:noWrap w:val="0"/>
                  <w:vAlign w:val="center"/>
                </w:tcPr>
                <w:p w14:paraId="4A0D3A1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eastAsia="宋体" w:cs="Times New Roman"/>
                      <w:sz w:val="21"/>
                      <w:szCs w:val="21"/>
                      <w:lang w:val="en-US" w:eastAsia="zh-CN"/>
                    </w:rPr>
                    <w:t>暂存危废贮存点，交由有资质单位处置</w:t>
                  </w:r>
                </w:p>
              </w:tc>
            </w:tr>
            <w:tr w14:paraId="715E3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3" w:type="pct"/>
                  <w:tcBorders>
                    <w:tl2br w:val="nil"/>
                    <w:tr2bl w:val="nil"/>
                  </w:tcBorders>
                  <w:noWrap w:val="0"/>
                  <w:vAlign w:val="center"/>
                </w:tcPr>
                <w:p w14:paraId="5BD5017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w:t>
                  </w:r>
                </w:p>
              </w:tc>
              <w:tc>
                <w:tcPr>
                  <w:tcW w:w="364" w:type="pct"/>
                  <w:tcBorders>
                    <w:tl2br w:val="nil"/>
                    <w:tr2bl w:val="nil"/>
                  </w:tcBorders>
                  <w:noWrap w:val="0"/>
                  <w:vAlign w:val="center"/>
                </w:tcPr>
                <w:p w14:paraId="353C0A9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设备维修</w:t>
                  </w:r>
                </w:p>
              </w:tc>
              <w:tc>
                <w:tcPr>
                  <w:tcW w:w="736" w:type="pct"/>
                  <w:tcBorders>
                    <w:tl2br w:val="nil"/>
                    <w:tr2bl w:val="nil"/>
                  </w:tcBorders>
                  <w:noWrap w:val="0"/>
                  <w:vAlign w:val="center"/>
                </w:tcPr>
                <w:p w14:paraId="15EFFCE5">
                  <w:pPr>
                    <w:pStyle w:val="2"/>
                    <w:keepNext w:val="0"/>
                    <w:keepLines w:val="0"/>
                    <w:pageBreakBefore w:val="0"/>
                    <w:widowControl w:val="0"/>
                    <w:kinsoku/>
                    <w:wordWrap/>
                    <w:overflowPunct/>
                    <w:topLinePunct w:val="0"/>
                    <w:autoSpaceDE/>
                    <w:autoSpaceDN/>
                    <w:bidi w:val="0"/>
                    <w:adjustRightInd/>
                    <w:spacing w:line="240" w:lineRule="auto"/>
                    <w:ind w:firstLine="0" w:firstLineChars="0"/>
                    <w:jc w:val="center"/>
                    <w:textAlignment w:val="auto"/>
                    <w:rPr>
                      <w:rFonts w:hint="default" w:ascii="Times New Roman" w:hAnsi="Times New Roman" w:cs="Times New Roman"/>
                      <w:sz w:val="21"/>
                      <w:szCs w:val="21"/>
                      <w:lang w:val="en-US" w:eastAsia="zh-CN"/>
                    </w:rPr>
                  </w:pPr>
                  <w:r>
                    <w:rPr>
                      <w:rFonts w:hint="default" w:ascii="Times New Roman" w:hAnsi="Times New Roman" w:eastAsia="宋体" w:cs="Times New Roman"/>
                      <w:kern w:val="2"/>
                      <w:sz w:val="21"/>
                      <w:szCs w:val="21"/>
                      <w:lang w:val="en-US" w:eastAsia="zh-CN" w:bidi="ar-SA"/>
                    </w:rPr>
                    <w:t>废</w:t>
                  </w:r>
                  <w:r>
                    <w:rPr>
                      <w:rFonts w:hint="default" w:ascii="Times New Roman" w:hAnsi="Times New Roman" w:cs="Times New Roman"/>
                      <w:sz w:val="21"/>
                      <w:szCs w:val="21"/>
                      <w:lang w:val="en-US" w:eastAsia="zh-CN"/>
                    </w:rPr>
                    <w:t>机油</w:t>
                  </w:r>
                </w:p>
              </w:tc>
              <w:tc>
                <w:tcPr>
                  <w:tcW w:w="324" w:type="pct"/>
                  <w:tcBorders>
                    <w:tl2br w:val="nil"/>
                    <w:tr2bl w:val="nil"/>
                  </w:tcBorders>
                  <w:noWrap w:val="0"/>
                  <w:vAlign w:val="center"/>
                </w:tcPr>
                <w:p w14:paraId="684B7F8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危险废物</w:t>
                  </w:r>
                </w:p>
              </w:tc>
              <w:tc>
                <w:tcPr>
                  <w:tcW w:w="736" w:type="pct"/>
                  <w:tcBorders>
                    <w:tl2br w:val="nil"/>
                    <w:tr2bl w:val="nil"/>
                  </w:tcBorders>
                  <w:noWrap w:val="0"/>
                  <w:vAlign w:val="center"/>
                </w:tcPr>
                <w:p w14:paraId="252B382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900-214-08</w:t>
                  </w:r>
                </w:p>
              </w:tc>
              <w:tc>
                <w:tcPr>
                  <w:tcW w:w="441" w:type="pct"/>
                  <w:tcBorders>
                    <w:tl2br w:val="nil"/>
                    <w:tr2bl w:val="nil"/>
                  </w:tcBorders>
                  <w:noWrap w:val="0"/>
                  <w:vAlign w:val="center"/>
                </w:tcPr>
                <w:p w14:paraId="4699088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w:t>
                  </w:r>
                </w:p>
              </w:tc>
              <w:tc>
                <w:tcPr>
                  <w:tcW w:w="308" w:type="pct"/>
                  <w:tcBorders>
                    <w:tl2br w:val="nil"/>
                    <w:tr2bl w:val="nil"/>
                  </w:tcBorders>
                  <w:noWrap w:val="0"/>
                  <w:vAlign w:val="center"/>
                </w:tcPr>
                <w:p w14:paraId="06C7CD1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液态</w:t>
                  </w:r>
                </w:p>
              </w:tc>
              <w:tc>
                <w:tcPr>
                  <w:tcW w:w="444" w:type="pct"/>
                  <w:tcBorders>
                    <w:tl2br w:val="nil"/>
                    <w:tr2bl w:val="nil"/>
                  </w:tcBorders>
                  <w:noWrap w:val="0"/>
                  <w:vAlign w:val="center"/>
                </w:tcPr>
                <w:p w14:paraId="1285B2B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lang w:val="en-US" w:eastAsia="zh-CN"/>
                    </w:rPr>
                    <w:t>油类物质</w:t>
                  </w:r>
                </w:p>
              </w:tc>
              <w:tc>
                <w:tcPr>
                  <w:tcW w:w="366" w:type="pct"/>
                  <w:tcBorders>
                    <w:tl2br w:val="nil"/>
                    <w:tr2bl w:val="nil"/>
                  </w:tcBorders>
                  <w:noWrap w:val="0"/>
                  <w:vAlign w:val="center"/>
                </w:tcPr>
                <w:p w14:paraId="16362F1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危废贮存点</w:t>
                  </w:r>
                </w:p>
              </w:tc>
              <w:tc>
                <w:tcPr>
                  <w:tcW w:w="915" w:type="pct"/>
                  <w:tcBorders>
                    <w:tl2br w:val="nil"/>
                    <w:tr2bl w:val="nil"/>
                  </w:tcBorders>
                  <w:noWrap w:val="0"/>
                  <w:vAlign w:val="center"/>
                </w:tcPr>
                <w:p w14:paraId="26BEEB0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eastAsia="宋体" w:cs="Times New Roman"/>
                      <w:sz w:val="21"/>
                      <w:szCs w:val="21"/>
                      <w:lang w:val="en-US" w:eastAsia="zh-CN"/>
                    </w:rPr>
                    <w:t>暂存危废贮存点，交由有资质单位处置</w:t>
                  </w:r>
                </w:p>
              </w:tc>
            </w:tr>
            <w:tr w14:paraId="25F8C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3" w:type="pct"/>
                  <w:tcBorders>
                    <w:tl2br w:val="nil"/>
                    <w:tr2bl w:val="nil"/>
                  </w:tcBorders>
                  <w:noWrap w:val="0"/>
                  <w:vAlign w:val="center"/>
                </w:tcPr>
                <w:p w14:paraId="3224DF7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5</w:t>
                  </w:r>
                </w:p>
              </w:tc>
              <w:tc>
                <w:tcPr>
                  <w:tcW w:w="364" w:type="pct"/>
                  <w:tcBorders>
                    <w:tl2br w:val="nil"/>
                    <w:tr2bl w:val="nil"/>
                  </w:tcBorders>
                  <w:noWrap w:val="0"/>
                  <w:vAlign w:val="center"/>
                </w:tcPr>
                <w:p w14:paraId="50C9412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洗车平台</w:t>
                  </w:r>
                </w:p>
              </w:tc>
              <w:tc>
                <w:tcPr>
                  <w:tcW w:w="736" w:type="pct"/>
                  <w:tcBorders>
                    <w:tl2br w:val="nil"/>
                    <w:tr2bl w:val="nil"/>
                  </w:tcBorders>
                  <w:noWrap w:val="0"/>
                  <w:vAlign w:val="center"/>
                </w:tcPr>
                <w:p w14:paraId="38E67296">
                  <w:pPr>
                    <w:pStyle w:val="2"/>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洗车沉淀池沉渣</w:t>
                  </w:r>
                </w:p>
              </w:tc>
              <w:tc>
                <w:tcPr>
                  <w:tcW w:w="324" w:type="pct"/>
                  <w:tcBorders>
                    <w:tl2br w:val="nil"/>
                    <w:tr2bl w:val="nil"/>
                  </w:tcBorders>
                  <w:noWrap w:val="0"/>
                  <w:vAlign w:val="center"/>
                </w:tcPr>
                <w:p w14:paraId="0443052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一般固废</w:t>
                  </w:r>
                </w:p>
              </w:tc>
              <w:tc>
                <w:tcPr>
                  <w:tcW w:w="736" w:type="pct"/>
                  <w:tcBorders>
                    <w:tl2br w:val="nil"/>
                    <w:tr2bl w:val="nil"/>
                  </w:tcBorders>
                  <w:noWrap w:val="0"/>
                  <w:vAlign w:val="center"/>
                </w:tcPr>
                <w:p w14:paraId="32DE8EE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sz w:val="21"/>
                      <w:szCs w:val="21"/>
                    </w:rPr>
                    <w:t>900-</w:t>
                  </w:r>
                  <w:r>
                    <w:rPr>
                      <w:rFonts w:hint="default" w:ascii="Times New Roman" w:hAnsi="Times New Roman" w:eastAsia="宋体" w:cs="Times New Roman"/>
                      <w:sz w:val="21"/>
                      <w:szCs w:val="21"/>
                      <w:lang w:val="en-US" w:eastAsia="zh-CN"/>
                    </w:rPr>
                    <w:t>099</w:t>
                  </w:r>
                  <w:r>
                    <w:rPr>
                      <w:rFonts w:hint="default" w:ascii="Times New Roman" w:hAnsi="Times New Roman" w:eastAsia="宋体" w:cs="Times New Roman"/>
                      <w:sz w:val="21"/>
                      <w:szCs w:val="21"/>
                    </w:rPr>
                    <w:t>-S</w:t>
                  </w:r>
                  <w:r>
                    <w:rPr>
                      <w:rFonts w:hint="default" w:ascii="Times New Roman" w:hAnsi="Times New Roman" w:eastAsia="宋体" w:cs="Times New Roman"/>
                      <w:sz w:val="21"/>
                      <w:szCs w:val="21"/>
                      <w:lang w:val="en-US" w:eastAsia="zh-CN"/>
                    </w:rPr>
                    <w:t>59</w:t>
                  </w:r>
                </w:p>
              </w:tc>
              <w:tc>
                <w:tcPr>
                  <w:tcW w:w="441" w:type="pct"/>
                  <w:tcBorders>
                    <w:tl2br w:val="nil"/>
                    <w:tr2bl w:val="nil"/>
                  </w:tcBorders>
                  <w:noWrap w:val="0"/>
                  <w:vAlign w:val="center"/>
                </w:tcPr>
                <w:p w14:paraId="64EC714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7</w:t>
                  </w:r>
                </w:p>
              </w:tc>
              <w:tc>
                <w:tcPr>
                  <w:tcW w:w="308" w:type="pct"/>
                  <w:tcBorders>
                    <w:tl2br w:val="nil"/>
                    <w:tr2bl w:val="nil"/>
                  </w:tcBorders>
                  <w:noWrap w:val="0"/>
                  <w:vAlign w:val="center"/>
                </w:tcPr>
                <w:p w14:paraId="7042447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固态</w:t>
                  </w:r>
                </w:p>
              </w:tc>
              <w:tc>
                <w:tcPr>
                  <w:tcW w:w="444" w:type="pct"/>
                  <w:tcBorders>
                    <w:tl2br w:val="nil"/>
                    <w:tr2bl w:val="nil"/>
                  </w:tcBorders>
                  <w:noWrap w:val="0"/>
                  <w:vAlign w:val="center"/>
                </w:tcPr>
                <w:p w14:paraId="1D11AEC0">
                  <w:pPr>
                    <w:pStyle w:val="10"/>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lang w:val="en-US" w:eastAsia="zh-CN"/>
                    </w:rPr>
                    <w:t>石子、泥土等</w:t>
                  </w:r>
                </w:p>
              </w:tc>
              <w:tc>
                <w:tcPr>
                  <w:tcW w:w="366" w:type="pct"/>
                  <w:tcBorders>
                    <w:tl2br w:val="nil"/>
                    <w:tr2bl w:val="nil"/>
                  </w:tcBorders>
                  <w:noWrap w:val="0"/>
                  <w:vAlign w:val="center"/>
                </w:tcPr>
                <w:p w14:paraId="4A59AA8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尾煤</w:t>
                  </w:r>
                  <w:r>
                    <w:rPr>
                      <w:rFonts w:hint="eastAsia" w:ascii="Times New Roman" w:hAnsi="Times New Roman" w:eastAsia="宋体" w:cs="Times New Roman"/>
                      <w:color w:val="auto"/>
                      <w:sz w:val="21"/>
                      <w:szCs w:val="21"/>
                      <w:lang w:val="en-US" w:eastAsia="zh-CN"/>
                    </w:rPr>
                    <w:t>泥</w:t>
                  </w:r>
                  <w:r>
                    <w:rPr>
                      <w:rFonts w:hint="default" w:ascii="Times New Roman" w:hAnsi="Times New Roman" w:eastAsia="宋体" w:cs="Times New Roman"/>
                      <w:color w:val="auto"/>
                      <w:sz w:val="21"/>
                      <w:szCs w:val="21"/>
                      <w:lang w:val="en-US" w:eastAsia="zh-CN"/>
                    </w:rPr>
                    <w:t>棚</w:t>
                  </w:r>
                </w:p>
              </w:tc>
              <w:tc>
                <w:tcPr>
                  <w:tcW w:w="915" w:type="pct"/>
                  <w:tcBorders>
                    <w:tl2br w:val="nil"/>
                    <w:tr2bl w:val="nil"/>
                  </w:tcBorders>
                  <w:noWrap w:val="0"/>
                  <w:vAlign w:val="center"/>
                </w:tcPr>
                <w:p w14:paraId="3B38684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外售至砖厂制砖</w:t>
                  </w:r>
                </w:p>
              </w:tc>
            </w:tr>
            <w:tr w14:paraId="48259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3" w:type="pct"/>
                  <w:tcBorders>
                    <w:tl2br w:val="nil"/>
                    <w:tr2bl w:val="nil"/>
                  </w:tcBorders>
                  <w:noWrap w:val="0"/>
                  <w:vAlign w:val="center"/>
                </w:tcPr>
                <w:p w14:paraId="01083F4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6</w:t>
                  </w:r>
                </w:p>
              </w:tc>
              <w:tc>
                <w:tcPr>
                  <w:tcW w:w="364" w:type="pct"/>
                  <w:tcBorders>
                    <w:tl2br w:val="nil"/>
                    <w:tr2bl w:val="nil"/>
                  </w:tcBorders>
                  <w:noWrap w:val="0"/>
                  <w:vAlign w:val="center"/>
                </w:tcPr>
                <w:p w14:paraId="618CDB2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循环水池</w:t>
                  </w:r>
                </w:p>
              </w:tc>
              <w:tc>
                <w:tcPr>
                  <w:tcW w:w="736" w:type="pct"/>
                  <w:tcBorders>
                    <w:tl2br w:val="nil"/>
                    <w:tr2bl w:val="nil"/>
                  </w:tcBorders>
                  <w:noWrap w:val="0"/>
                  <w:vAlign w:val="center"/>
                </w:tcPr>
                <w:p w14:paraId="5EC799BB">
                  <w:pPr>
                    <w:pStyle w:val="2"/>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循环水池底泥</w:t>
                  </w:r>
                </w:p>
              </w:tc>
              <w:tc>
                <w:tcPr>
                  <w:tcW w:w="324" w:type="pct"/>
                  <w:tcBorders>
                    <w:tl2br w:val="nil"/>
                    <w:tr2bl w:val="nil"/>
                  </w:tcBorders>
                  <w:noWrap w:val="0"/>
                  <w:vAlign w:val="center"/>
                </w:tcPr>
                <w:p w14:paraId="69786C0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一般固废</w:t>
                  </w:r>
                </w:p>
              </w:tc>
              <w:tc>
                <w:tcPr>
                  <w:tcW w:w="736" w:type="pct"/>
                  <w:tcBorders>
                    <w:tl2br w:val="nil"/>
                    <w:tr2bl w:val="nil"/>
                  </w:tcBorders>
                  <w:noWrap w:val="0"/>
                  <w:vAlign w:val="center"/>
                </w:tcPr>
                <w:p w14:paraId="70AD8E5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sz w:val="21"/>
                      <w:szCs w:val="21"/>
                    </w:rPr>
                    <w:t>900-</w:t>
                  </w:r>
                  <w:r>
                    <w:rPr>
                      <w:rFonts w:hint="default" w:ascii="Times New Roman" w:hAnsi="Times New Roman" w:eastAsia="宋体" w:cs="Times New Roman"/>
                      <w:sz w:val="21"/>
                      <w:szCs w:val="21"/>
                      <w:lang w:val="en-US" w:eastAsia="zh-CN"/>
                    </w:rPr>
                    <w:t>099</w:t>
                  </w:r>
                  <w:r>
                    <w:rPr>
                      <w:rFonts w:hint="default" w:ascii="Times New Roman" w:hAnsi="Times New Roman" w:eastAsia="宋体" w:cs="Times New Roman"/>
                      <w:sz w:val="21"/>
                      <w:szCs w:val="21"/>
                    </w:rPr>
                    <w:t>-S</w:t>
                  </w:r>
                  <w:r>
                    <w:rPr>
                      <w:rFonts w:hint="default" w:ascii="Times New Roman" w:hAnsi="Times New Roman" w:eastAsia="宋体" w:cs="Times New Roman"/>
                      <w:sz w:val="21"/>
                      <w:szCs w:val="21"/>
                      <w:lang w:val="en-US" w:eastAsia="zh-CN"/>
                    </w:rPr>
                    <w:t>59</w:t>
                  </w:r>
                </w:p>
              </w:tc>
              <w:tc>
                <w:tcPr>
                  <w:tcW w:w="441" w:type="pct"/>
                  <w:tcBorders>
                    <w:tl2br w:val="nil"/>
                    <w:tr2bl w:val="nil"/>
                  </w:tcBorders>
                  <w:noWrap w:val="0"/>
                  <w:vAlign w:val="center"/>
                </w:tcPr>
                <w:p w14:paraId="5B7F573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10</w:t>
                  </w:r>
                </w:p>
              </w:tc>
              <w:tc>
                <w:tcPr>
                  <w:tcW w:w="308" w:type="pct"/>
                  <w:tcBorders>
                    <w:tl2br w:val="nil"/>
                    <w:tr2bl w:val="nil"/>
                  </w:tcBorders>
                  <w:noWrap w:val="0"/>
                  <w:vAlign w:val="center"/>
                </w:tcPr>
                <w:p w14:paraId="4B89999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固态</w:t>
                  </w:r>
                </w:p>
              </w:tc>
              <w:tc>
                <w:tcPr>
                  <w:tcW w:w="444" w:type="pct"/>
                  <w:tcBorders>
                    <w:tl2br w:val="nil"/>
                    <w:tr2bl w:val="nil"/>
                  </w:tcBorders>
                  <w:noWrap w:val="0"/>
                  <w:vAlign w:val="center"/>
                </w:tcPr>
                <w:p w14:paraId="03BCB32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lang w:val="en-US" w:eastAsia="zh-CN"/>
                    </w:rPr>
                    <w:t>石子、泥土等</w:t>
                  </w:r>
                </w:p>
              </w:tc>
              <w:tc>
                <w:tcPr>
                  <w:tcW w:w="366" w:type="pct"/>
                  <w:tcBorders>
                    <w:tl2br w:val="nil"/>
                    <w:tr2bl w:val="nil"/>
                  </w:tcBorders>
                  <w:noWrap w:val="0"/>
                  <w:vAlign w:val="center"/>
                </w:tcPr>
                <w:p w14:paraId="02C7854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尾煤</w:t>
                  </w:r>
                  <w:r>
                    <w:rPr>
                      <w:rFonts w:hint="eastAsia" w:ascii="Times New Roman" w:hAnsi="Times New Roman" w:eastAsia="宋体" w:cs="Times New Roman"/>
                      <w:color w:val="auto"/>
                      <w:sz w:val="21"/>
                      <w:szCs w:val="21"/>
                      <w:lang w:val="en-US" w:eastAsia="zh-CN"/>
                    </w:rPr>
                    <w:t>泥</w:t>
                  </w:r>
                  <w:r>
                    <w:rPr>
                      <w:rFonts w:hint="default" w:ascii="Times New Roman" w:hAnsi="Times New Roman" w:eastAsia="宋体" w:cs="Times New Roman"/>
                      <w:color w:val="auto"/>
                      <w:sz w:val="21"/>
                      <w:szCs w:val="21"/>
                      <w:lang w:val="en-US" w:eastAsia="zh-CN"/>
                    </w:rPr>
                    <w:t>棚</w:t>
                  </w:r>
                </w:p>
              </w:tc>
              <w:tc>
                <w:tcPr>
                  <w:tcW w:w="915" w:type="pct"/>
                  <w:tcBorders>
                    <w:tl2br w:val="nil"/>
                    <w:tr2bl w:val="nil"/>
                  </w:tcBorders>
                  <w:noWrap w:val="0"/>
                  <w:vAlign w:val="center"/>
                </w:tcPr>
                <w:p w14:paraId="7B6A354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外售至砖厂制砖</w:t>
                  </w:r>
                </w:p>
              </w:tc>
            </w:tr>
          </w:tbl>
          <w:p w14:paraId="52F7F3FA">
            <w:pPr>
              <w:keepNext w:val="0"/>
              <w:keepLines w:val="0"/>
              <w:pageBreakBefore w:val="0"/>
              <w:widowControl w:val="0"/>
              <w:kinsoku/>
              <w:wordWrap/>
              <w:overflowPunct/>
              <w:topLinePunct w:val="0"/>
              <w:autoSpaceDE/>
              <w:autoSpaceDN/>
              <w:bidi w:val="0"/>
              <w:adjustRightInd w:val="0"/>
              <w:spacing w:line="440" w:lineRule="exact"/>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4.2固废环境管理要求</w:t>
            </w:r>
          </w:p>
          <w:p w14:paraId="02DF3E5A">
            <w:pPr>
              <w:keepNext w:val="0"/>
              <w:keepLines w:val="0"/>
              <w:pageBreakBefore w:val="0"/>
              <w:widowControl w:val="0"/>
              <w:kinsoku/>
              <w:wordWrap/>
              <w:overflowPunct/>
              <w:topLinePunct w:val="0"/>
              <w:autoSpaceDE/>
              <w:autoSpaceDN/>
              <w:bidi w:val="0"/>
              <w:adjustRightInd w:val="0"/>
              <w:spacing w:line="440" w:lineRule="exact"/>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本项目一般固废暂存</w:t>
            </w:r>
            <w:r>
              <w:rPr>
                <w:rFonts w:hint="eastAsia" w:ascii="Times New Roman" w:hAnsi="Times New Roman" w:eastAsia="宋体" w:cs="Times New Roman"/>
                <w:color w:val="auto"/>
                <w:sz w:val="24"/>
                <w:szCs w:val="24"/>
                <w:highlight w:val="none"/>
                <w:lang w:val="en-US" w:eastAsia="zh-CN"/>
              </w:rPr>
              <w:t>区</w:t>
            </w:r>
            <w:r>
              <w:rPr>
                <w:rFonts w:hint="default" w:ascii="Times New Roman" w:hAnsi="Times New Roman" w:eastAsia="宋体" w:cs="Times New Roman"/>
                <w:color w:val="auto"/>
                <w:sz w:val="24"/>
                <w:szCs w:val="24"/>
                <w:highlight w:val="none"/>
                <w:lang w:val="en-US" w:eastAsia="zh-CN"/>
              </w:rPr>
              <w:t>位于煤棚</w:t>
            </w:r>
            <w:r>
              <w:rPr>
                <w:rFonts w:hint="eastAsia" w:ascii="Times New Roman" w:hAnsi="Times New Roman" w:eastAsia="宋体" w:cs="Times New Roman"/>
                <w:color w:val="auto"/>
                <w:sz w:val="24"/>
                <w:szCs w:val="24"/>
                <w:highlight w:val="none"/>
                <w:lang w:val="en-US" w:eastAsia="zh-CN"/>
              </w:rPr>
              <w:t>内</w:t>
            </w:r>
            <w:r>
              <w:rPr>
                <w:rFonts w:hint="default" w:ascii="Times New Roman" w:hAnsi="Times New Roman" w:eastAsia="宋体" w:cs="Times New Roman"/>
                <w:color w:val="auto"/>
                <w:sz w:val="24"/>
                <w:szCs w:val="24"/>
                <w:highlight w:val="none"/>
                <w:lang w:val="en-US" w:eastAsia="zh-CN"/>
              </w:rPr>
              <w:t>。</w:t>
            </w:r>
          </w:p>
          <w:p w14:paraId="5A8E220F">
            <w:pPr>
              <w:keepNext w:val="0"/>
              <w:keepLines w:val="0"/>
              <w:pageBreakBefore w:val="0"/>
              <w:widowControl w:val="0"/>
              <w:kinsoku/>
              <w:wordWrap/>
              <w:overflowPunct/>
              <w:topLinePunct w:val="0"/>
              <w:autoSpaceDE/>
              <w:autoSpaceDN/>
              <w:bidi w:val="0"/>
              <w:adjustRightInd w:val="0"/>
              <w:spacing w:line="440" w:lineRule="exact"/>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一般固废暂存间应按照</w:t>
            </w:r>
            <w:r>
              <w:rPr>
                <w:rFonts w:hint="default" w:ascii="Times New Roman" w:hAnsi="Times New Roman" w:eastAsia="宋体" w:cs="Times New Roman"/>
                <w:color w:val="auto"/>
                <w:kern w:val="0"/>
                <w:sz w:val="24"/>
                <w:szCs w:val="24"/>
                <w:lang w:val="en-US" w:eastAsia="zh-CN" w:bidi="ar"/>
              </w:rPr>
              <w:t>《一般工业固体废物贮存和填埋污染控制标准》（GB18599-2020）</w:t>
            </w:r>
            <w:r>
              <w:rPr>
                <w:rFonts w:hint="default" w:ascii="Times New Roman" w:hAnsi="Times New Roman" w:eastAsia="宋体" w:cs="Times New Roman"/>
                <w:color w:val="auto"/>
                <w:sz w:val="24"/>
                <w:szCs w:val="24"/>
                <w:lang w:val="en-US" w:eastAsia="zh-CN"/>
              </w:rPr>
              <w:t>的规定进行设置，实现“资源化、减量化、无害化”，可将固废对周围环境产生的影响减少到最低限度。具体为：贮存区采取防渗防雨淋防风等措施；各类固废应分类收集；贮存区按照《环境保护图形标志—固体废物贮存（处置）场》（GB15562.2-1995）（2023年修改）的要求设置环保图形标志；指定专人进行日常管理。</w:t>
            </w:r>
          </w:p>
          <w:p w14:paraId="6A1A8C89">
            <w:pPr>
              <w:keepNext w:val="0"/>
              <w:keepLines w:val="0"/>
              <w:pageBreakBefore w:val="0"/>
              <w:widowControl w:val="0"/>
              <w:kinsoku/>
              <w:wordWrap/>
              <w:overflowPunct/>
              <w:topLinePunct w:val="0"/>
              <w:autoSpaceDE/>
              <w:autoSpaceDN/>
              <w:bidi w:val="0"/>
              <w:adjustRightInd w:val="0"/>
              <w:spacing w:line="440" w:lineRule="exact"/>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固废分类堆放，树立标志，并及时处置，避免造成二次污染。根据《一般工业固体废物管理台账制定指南（试行）》（生态环境部公告2021年第82号），企业应当建立健全工业固体废物产生、收集、贮存、运输、利用、处置全过程的污染环境防治责任制度，建立工业固体废物管理台账，如实记录产生工业固体废物的种类、数量、流向、贮存、利用、处置等信息，实现工业固体废物可追溯、可查询，并采取防治工业固体废物污染环境的措施。产废单位应当设立专人负责台账的管理与归档，一般工业固体废物管理台账保存期限不少于5年。</w:t>
            </w:r>
          </w:p>
          <w:p w14:paraId="518B347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highlight w:val="none"/>
                <w:lang w:val="en-US" w:eastAsia="zh-CN"/>
              </w:rPr>
              <w:t>4.3</w:t>
            </w:r>
            <w:r>
              <w:rPr>
                <w:rFonts w:hint="eastAsia" w:ascii="Times New Roman" w:hAnsi="Times New Roman" w:eastAsia="宋体" w:cs="Times New Roman"/>
                <w:color w:val="auto"/>
                <w:sz w:val="24"/>
                <w:szCs w:val="24"/>
                <w:lang w:val="en-US" w:eastAsia="zh-CN"/>
              </w:rPr>
              <w:t>危废贮存点</w:t>
            </w:r>
          </w:p>
          <w:p w14:paraId="620DC11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项目</w:t>
            </w:r>
            <w:r>
              <w:rPr>
                <w:rFonts w:hint="default" w:ascii="Times New Roman" w:hAnsi="Times New Roman" w:eastAsia="宋体" w:cs="Times New Roman"/>
                <w:color w:val="auto"/>
                <w:sz w:val="24"/>
                <w:szCs w:val="24"/>
                <w:lang w:val="en-US" w:eastAsia="zh-CN"/>
              </w:rPr>
              <w:t>一期</w:t>
            </w:r>
            <w:r>
              <w:rPr>
                <w:rFonts w:hint="eastAsia" w:ascii="Times New Roman" w:hAnsi="Times New Roman" w:eastAsia="宋体" w:cs="Times New Roman"/>
                <w:color w:val="auto"/>
                <w:sz w:val="24"/>
                <w:szCs w:val="24"/>
                <w:lang w:val="en-US" w:eastAsia="zh-CN"/>
              </w:rPr>
              <w:t>洗煤厂房内</w:t>
            </w:r>
            <w:r>
              <w:rPr>
                <w:rFonts w:hint="default" w:ascii="Times New Roman" w:hAnsi="Times New Roman" w:eastAsia="宋体" w:cs="Times New Roman"/>
                <w:color w:val="auto"/>
                <w:sz w:val="24"/>
                <w:szCs w:val="24"/>
                <w:lang w:val="en-US" w:eastAsia="zh-CN"/>
              </w:rPr>
              <w:t>建成</w:t>
            </w:r>
            <w:r>
              <w:rPr>
                <w:rFonts w:hint="eastAsia" w:ascii="Times New Roman" w:hAnsi="Times New Roman" w:eastAsia="宋体" w:cs="Times New Roman"/>
                <w:color w:val="auto"/>
                <w:sz w:val="24"/>
                <w:szCs w:val="24"/>
                <w:lang w:val="en-US" w:eastAsia="zh-CN"/>
              </w:rPr>
              <w:t>一处危废贮存点</w:t>
            </w:r>
            <w:r>
              <w:rPr>
                <w:rFonts w:hint="default" w:ascii="Times New Roman" w:hAnsi="Times New Roman" w:eastAsia="宋体" w:cs="Times New Roman"/>
                <w:color w:val="auto"/>
                <w:sz w:val="24"/>
                <w:szCs w:val="24"/>
                <w:lang w:val="en-US" w:eastAsia="zh-CN"/>
              </w:rPr>
              <w:t>，用于本项目产生的危废临时存放，占地面积为</w:t>
            </w:r>
            <w:r>
              <w:rPr>
                <w:rFonts w:hint="eastAsia"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lang w:val="en-US" w:eastAsia="zh-CN"/>
              </w:rPr>
              <w:t>0m</w:t>
            </w:r>
            <w:r>
              <w:rPr>
                <w:rFonts w:hint="default" w:ascii="Times New Roman" w:hAnsi="Times New Roman" w:eastAsia="宋体" w:cs="Times New Roman"/>
                <w:color w:val="auto"/>
                <w:sz w:val="24"/>
                <w:szCs w:val="24"/>
                <w:vertAlign w:val="superscript"/>
                <w:lang w:val="en-US" w:eastAsia="zh-CN"/>
              </w:rPr>
              <w:t>2</w:t>
            </w:r>
            <w:r>
              <w:rPr>
                <w:rFonts w:hint="default" w:ascii="Times New Roman" w:hAnsi="Times New Roman" w:eastAsia="宋体" w:cs="Times New Roman"/>
                <w:color w:val="auto"/>
                <w:sz w:val="24"/>
                <w:szCs w:val="24"/>
                <w:lang w:val="en-US" w:eastAsia="zh-CN"/>
              </w:rPr>
              <w:t>。危险</w:t>
            </w:r>
            <w:r>
              <w:rPr>
                <w:rFonts w:hint="eastAsia" w:ascii="Times New Roman" w:hAnsi="Times New Roman" w:eastAsia="宋体" w:cs="Times New Roman"/>
                <w:color w:val="auto"/>
                <w:sz w:val="24"/>
                <w:szCs w:val="24"/>
                <w:lang w:val="en-US" w:eastAsia="zh-CN"/>
              </w:rPr>
              <w:t>贮存点</w:t>
            </w:r>
            <w:r>
              <w:rPr>
                <w:rFonts w:hint="default" w:ascii="Times New Roman" w:hAnsi="Times New Roman" w:eastAsia="宋体" w:cs="Times New Roman"/>
                <w:color w:val="auto"/>
                <w:sz w:val="24"/>
                <w:szCs w:val="24"/>
                <w:lang w:val="en-US" w:eastAsia="zh-CN"/>
              </w:rPr>
              <w:t>建设应满足《危险废物贮存污染控制标准》（GB18597-2023）相关要求，主要包括：</w:t>
            </w:r>
          </w:p>
          <w:p w14:paraId="4A72D32D">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fldChar w:fldCharType="begin"/>
            </w:r>
            <w:r>
              <w:rPr>
                <w:rFonts w:hint="eastAsia" w:ascii="Times New Roman" w:hAnsi="Times New Roman" w:eastAsia="宋体" w:cs="Times New Roman"/>
                <w:color w:val="auto"/>
                <w:sz w:val="24"/>
                <w:szCs w:val="24"/>
                <w:lang w:val="en-US" w:eastAsia="zh-CN"/>
              </w:rPr>
              <w:instrText xml:space="preserve"> = 1 \* GB3 \* MERGEFORMAT </w:instrText>
            </w:r>
            <w:r>
              <w:rPr>
                <w:rFonts w:hint="eastAsia" w:ascii="Times New Roman" w:hAnsi="Times New Roman" w:eastAsia="宋体" w:cs="Times New Roman"/>
                <w:color w:val="auto"/>
                <w:sz w:val="24"/>
                <w:szCs w:val="24"/>
                <w:lang w:val="en-US" w:eastAsia="zh-CN"/>
              </w:rPr>
              <w:fldChar w:fldCharType="separate"/>
            </w:r>
            <w:r>
              <w:rPr>
                <w:rFonts w:hint="default" w:ascii="Times New Roman" w:hAnsi="Times New Roman" w:eastAsia="宋体" w:cs="Times New Roman"/>
                <w:color w:val="auto"/>
                <w:sz w:val="24"/>
                <w:szCs w:val="24"/>
                <w:lang w:val="en-US" w:eastAsia="zh-CN"/>
              </w:rPr>
              <w:t>①</w:t>
            </w:r>
            <w:r>
              <w:rPr>
                <w:rFonts w:hint="eastAsia" w:ascii="Times New Roman" w:hAnsi="Times New Roman" w:eastAsia="宋体" w:cs="Times New Roman"/>
                <w:color w:val="auto"/>
                <w:sz w:val="24"/>
                <w:szCs w:val="24"/>
                <w:lang w:val="en-US" w:eastAsia="zh-CN"/>
              </w:rPr>
              <w:fldChar w:fldCharType="end"/>
            </w:r>
            <w:r>
              <w:rPr>
                <w:rFonts w:hint="eastAsia" w:ascii="Times New Roman" w:hAnsi="Times New Roman" w:eastAsia="宋体" w:cs="Times New Roman"/>
                <w:color w:val="auto"/>
                <w:sz w:val="24"/>
                <w:szCs w:val="24"/>
                <w:lang w:val="en-US" w:eastAsia="zh-CN"/>
              </w:rPr>
              <w:t>贮存点应具有固定的区域边界，并应采取与其他区域进行隔离的措施。</w:t>
            </w:r>
          </w:p>
          <w:p w14:paraId="7546FB99">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fldChar w:fldCharType="begin"/>
            </w:r>
            <w:r>
              <w:rPr>
                <w:rFonts w:hint="eastAsia" w:ascii="Times New Roman" w:hAnsi="Times New Roman" w:eastAsia="宋体" w:cs="Times New Roman"/>
                <w:color w:val="auto"/>
                <w:sz w:val="24"/>
                <w:szCs w:val="24"/>
                <w:lang w:val="en-US" w:eastAsia="zh-CN"/>
              </w:rPr>
              <w:instrText xml:space="preserve"> = 2 \* GB3 \* MERGEFORMAT </w:instrText>
            </w:r>
            <w:r>
              <w:rPr>
                <w:rFonts w:hint="eastAsia" w:ascii="Times New Roman" w:hAnsi="Times New Roman" w:eastAsia="宋体" w:cs="Times New Roman"/>
                <w:color w:val="auto"/>
                <w:sz w:val="24"/>
                <w:szCs w:val="24"/>
                <w:lang w:val="en-US" w:eastAsia="zh-CN"/>
              </w:rPr>
              <w:fldChar w:fldCharType="separate"/>
            </w:r>
            <w:r>
              <w:rPr>
                <w:rFonts w:hint="default" w:ascii="Times New Roman" w:hAnsi="Times New Roman" w:eastAsia="宋体" w:cs="Times New Roman"/>
                <w:color w:val="auto"/>
                <w:sz w:val="24"/>
                <w:szCs w:val="24"/>
                <w:lang w:val="en-US" w:eastAsia="zh-CN"/>
              </w:rPr>
              <w:t>②</w:t>
            </w:r>
            <w:r>
              <w:rPr>
                <w:rFonts w:hint="eastAsia" w:ascii="Times New Roman" w:hAnsi="Times New Roman" w:eastAsia="宋体" w:cs="Times New Roman"/>
                <w:color w:val="auto"/>
                <w:sz w:val="24"/>
                <w:szCs w:val="24"/>
                <w:lang w:val="en-US" w:eastAsia="zh-CN"/>
              </w:rPr>
              <w:fldChar w:fldCharType="end"/>
            </w:r>
            <w:r>
              <w:rPr>
                <w:rFonts w:hint="eastAsia" w:ascii="Times New Roman" w:hAnsi="Times New Roman" w:eastAsia="宋体" w:cs="Times New Roman"/>
                <w:color w:val="auto"/>
                <w:sz w:val="24"/>
                <w:szCs w:val="24"/>
                <w:lang w:val="en-US" w:eastAsia="zh-CN"/>
              </w:rPr>
              <w:t>贮存点应采取防风、防雨、防晒和防止危险废物流失、扬散等措施。</w:t>
            </w:r>
          </w:p>
          <w:p w14:paraId="32ACC216">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fldChar w:fldCharType="begin"/>
            </w:r>
            <w:r>
              <w:rPr>
                <w:rFonts w:hint="eastAsia" w:ascii="Times New Roman" w:hAnsi="Times New Roman" w:eastAsia="宋体" w:cs="Times New Roman"/>
                <w:color w:val="auto"/>
                <w:sz w:val="24"/>
                <w:szCs w:val="24"/>
                <w:lang w:val="en-US" w:eastAsia="zh-CN"/>
              </w:rPr>
              <w:instrText xml:space="preserve"> = 3 \* GB3 \* MERGEFORMAT </w:instrText>
            </w:r>
            <w:r>
              <w:rPr>
                <w:rFonts w:hint="eastAsia" w:ascii="Times New Roman" w:hAnsi="Times New Roman" w:eastAsia="宋体" w:cs="Times New Roman"/>
                <w:color w:val="auto"/>
                <w:sz w:val="24"/>
                <w:szCs w:val="24"/>
                <w:lang w:val="en-US" w:eastAsia="zh-CN"/>
              </w:rPr>
              <w:fldChar w:fldCharType="separate"/>
            </w:r>
            <w:r>
              <w:rPr>
                <w:rFonts w:hint="default" w:ascii="Times New Roman" w:hAnsi="Times New Roman" w:eastAsia="宋体" w:cs="Times New Roman"/>
                <w:color w:val="auto"/>
                <w:sz w:val="24"/>
                <w:szCs w:val="24"/>
                <w:lang w:val="en-US" w:eastAsia="zh-CN"/>
              </w:rPr>
              <w:t>③</w:t>
            </w:r>
            <w:r>
              <w:rPr>
                <w:rFonts w:hint="eastAsia" w:ascii="Times New Roman" w:hAnsi="Times New Roman" w:eastAsia="宋体" w:cs="Times New Roman"/>
                <w:color w:val="auto"/>
                <w:sz w:val="24"/>
                <w:szCs w:val="24"/>
                <w:lang w:val="en-US" w:eastAsia="zh-CN"/>
              </w:rPr>
              <w:fldChar w:fldCharType="end"/>
            </w:r>
            <w:r>
              <w:rPr>
                <w:rFonts w:hint="eastAsia" w:ascii="Times New Roman" w:hAnsi="Times New Roman" w:eastAsia="宋体" w:cs="Times New Roman"/>
                <w:color w:val="auto"/>
                <w:sz w:val="24"/>
                <w:szCs w:val="24"/>
                <w:lang w:val="en-US" w:eastAsia="zh-CN"/>
              </w:rPr>
              <w:t>贮存点贮存的危险废物应置于容器或包装物中，不应直接散堆。</w:t>
            </w:r>
          </w:p>
          <w:p w14:paraId="01602A8E">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fldChar w:fldCharType="begin"/>
            </w:r>
            <w:r>
              <w:rPr>
                <w:rFonts w:hint="eastAsia" w:ascii="Times New Roman" w:hAnsi="Times New Roman" w:eastAsia="宋体" w:cs="Times New Roman"/>
                <w:color w:val="auto"/>
                <w:sz w:val="24"/>
                <w:szCs w:val="24"/>
                <w:lang w:val="en-US" w:eastAsia="zh-CN"/>
              </w:rPr>
              <w:instrText xml:space="preserve"> = 4 \* GB3 \* MERGEFORMAT </w:instrText>
            </w:r>
            <w:r>
              <w:rPr>
                <w:rFonts w:hint="eastAsia" w:ascii="Times New Roman" w:hAnsi="Times New Roman" w:eastAsia="宋体" w:cs="Times New Roman"/>
                <w:color w:val="auto"/>
                <w:sz w:val="24"/>
                <w:szCs w:val="24"/>
                <w:lang w:val="en-US" w:eastAsia="zh-CN"/>
              </w:rPr>
              <w:fldChar w:fldCharType="separate"/>
            </w:r>
            <w:r>
              <w:rPr>
                <w:rFonts w:hint="default" w:ascii="Times New Roman" w:hAnsi="Times New Roman" w:eastAsia="宋体" w:cs="Times New Roman"/>
                <w:color w:val="auto"/>
                <w:sz w:val="24"/>
                <w:szCs w:val="24"/>
                <w:lang w:val="en-US" w:eastAsia="zh-CN"/>
              </w:rPr>
              <w:t>④</w:t>
            </w:r>
            <w:r>
              <w:rPr>
                <w:rFonts w:hint="eastAsia" w:ascii="Times New Roman" w:hAnsi="Times New Roman" w:eastAsia="宋体" w:cs="Times New Roman"/>
                <w:color w:val="auto"/>
                <w:sz w:val="24"/>
                <w:szCs w:val="24"/>
                <w:lang w:val="en-US" w:eastAsia="zh-CN"/>
              </w:rPr>
              <w:fldChar w:fldCharType="end"/>
            </w:r>
            <w:r>
              <w:rPr>
                <w:rFonts w:hint="eastAsia" w:ascii="Times New Roman" w:hAnsi="Times New Roman" w:eastAsia="宋体" w:cs="Times New Roman"/>
                <w:color w:val="auto"/>
                <w:sz w:val="24"/>
                <w:szCs w:val="24"/>
                <w:lang w:val="en-US" w:eastAsia="zh-CN"/>
              </w:rPr>
              <w:t>贮存点应根据危险废物的形态、物理化学性质、包装形式等，采取防渗、防漏等污染防治措施或采用具有相应功能的装置。</w:t>
            </w:r>
          </w:p>
          <w:p w14:paraId="3B9C254A">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fldChar w:fldCharType="begin"/>
            </w:r>
            <w:r>
              <w:rPr>
                <w:rFonts w:hint="eastAsia" w:ascii="Times New Roman" w:hAnsi="Times New Roman" w:eastAsia="宋体" w:cs="Times New Roman"/>
                <w:color w:val="auto"/>
                <w:sz w:val="24"/>
                <w:szCs w:val="24"/>
                <w:lang w:val="en-US" w:eastAsia="zh-CN"/>
              </w:rPr>
              <w:instrText xml:space="preserve"> = 5 \* GB3 \* MERGEFORMAT </w:instrText>
            </w:r>
            <w:r>
              <w:rPr>
                <w:rFonts w:hint="eastAsia" w:ascii="Times New Roman" w:hAnsi="Times New Roman" w:eastAsia="宋体" w:cs="Times New Roman"/>
                <w:color w:val="auto"/>
                <w:sz w:val="24"/>
                <w:szCs w:val="24"/>
                <w:lang w:val="en-US" w:eastAsia="zh-CN"/>
              </w:rPr>
              <w:fldChar w:fldCharType="separate"/>
            </w:r>
            <w:r>
              <w:rPr>
                <w:rFonts w:hint="default" w:ascii="Times New Roman" w:hAnsi="Times New Roman" w:eastAsia="宋体" w:cs="Times New Roman"/>
                <w:color w:val="auto"/>
                <w:sz w:val="24"/>
                <w:szCs w:val="24"/>
                <w:lang w:val="en-US" w:eastAsia="zh-CN"/>
              </w:rPr>
              <w:t>⑤</w:t>
            </w:r>
            <w:r>
              <w:rPr>
                <w:rFonts w:hint="eastAsia" w:ascii="Times New Roman" w:hAnsi="Times New Roman" w:eastAsia="宋体" w:cs="Times New Roman"/>
                <w:color w:val="auto"/>
                <w:sz w:val="24"/>
                <w:szCs w:val="24"/>
                <w:lang w:val="en-US" w:eastAsia="zh-CN"/>
              </w:rPr>
              <w:fldChar w:fldCharType="end"/>
            </w:r>
            <w:r>
              <w:rPr>
                <w:rFonts w:hint="eastAsia" w:ascii="Times New Roman" w:hAnsi="Times New Roman" w:eastAsia="宋体" w:cs="Times New Roman"/>
                <w:color w:val="auto"/>
                <w:sz w:val="24"/>
                <w:szCs w:val="24"/>
                <w:lang w:val="en-US" w:eastAsia="zh-CN"/>
              </w:rPr>
              <w:t>贮存点应及时清运贮存的危险废物，实时贮存量不应超过3吨。</w:t>
            </w:r>
          </w:p>
          <w:p w14:paraId="0FB010DE">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危险废物：定期委托危废处置单位运输、利用、处置危险废物，对受托方的主体资格和技术能力进行核实，依法签订书面合同，在合同中约定污染防治要求；转移危险废物的，应当按照国家有关规定填写、运行危险废物转移联单等。</w:t>
            </w:r>
          </w:p>
          <w:p w14:paraId="1479E251">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kern w:val="2"/>
                <w:sz w:val="24"/>
                <w:szCs w:val="24"/>
                <w:lang w:val="en-US" w:eastAsia="zh-CN" w:bidi="ar-SA"/>
              </w:rPr>
              <w:t>1）</w:t>
            </w:r>
            <w:r>
              <w:rPr>
                <w:rFonts w:hint="default" w:ascii="Times New Roman" w:hAnsi="Times New Roman" w:eastAsia="宋体" w:cs="Times New Roman"/>
                <w:color w:val="auto"/>
                <w:sz w:val="24"/>
                <w:szCs w:val="24"/>
                <w:lang w:val="en-US" w:eastAsia="zh-CN"/>
              </w:rPr>
              <w:t>包装容器应达到相应的强度要求并完好无损，禁止混合贮存性质不相容而未经安全性处置的危险废物；</w:t>
            </w:r>
          </w:p>
          <w:p w14:paraId="78716716">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kern w:val="2"/>
                <w:sz w:val="24"/>
                <w:szCs w:val="24"/>
                <w:lang w:val="en-US" w:eastAsia="zh-CN" w:bidi="ar-SA"/>
              </w:rPr>
              <w:t>2）</w:t>
            </w:r>
            <w:r>
              <w:rPr>
                <w:rFonts w:hint="default" w:ascii="Times New Roman" w:hAnsi="Times New Roman" w:eastAsia="宋体" w:cs="Times New Roman"/>
                <w:color w:val="auto"/>
                <w:sz w:val="24"/>
                <w:szCs w:val="24"/>
                <w:lang w:val="en-US" w:eastAsia="zh-CN"/>
              </w:rPr>
              <w:t>危险废物容器和包装物以及危险废物贮存设施、场所应按规定设置危险废物识别标志；</w:t>
            </w:r>
          </w:p>
          <w:p w14:paraId="199A8F7C">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3）仓库式贮存设施应分开存放不相容的危险废物，按危险废物的种类和特性进行分区贮存，采用防腐、防渗地面和裙脚，设置防止泄漏物质扩散至外环境的拦截、导流、收集设施；</w:t>
            </w:r>
          </w:p>
          <w:p w14:paraId="7D798B69">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4）贮存堆场要防风、防雨、防晒；贮存危险废物不得超过一年（报经颁发危险废物经营许可证的生态环境主管部门批准或法律法规另有规定的除外）等；</w:t>
            </w:r>
          </w:p>
          <w:p w14:paraId="46023BE2">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default"/>
                <w:lang w:val="en-US" w:eastAsia="zh-CN"/>
              </w:rPr>
            </w:pPr>
            <w:r>
              <w:rPr>
                <w:rFonts w:hint="default" w:ascii="Times New Roman" w:hAnsi="Times New Roman" w:eastAsia="宋体" w:cs="Times New Roman"/>
                <w:color w:val="auto"/>
                <w:sz w:val="24"/>
                <w:szCs w:val="24"/>
                <w:lang w:val="en-US" w:eastAsia="zh-CN"/>
              </w:rPr>
              <w:t>5）生产运营期间危险废物自行贮存设施的环境管理和相关设施运行维护还应符合GB15562.2、GB18484、GB18597、GB30485、HJ2025和HJ2042等相关标准规范要求。本项目危险废物通过采取相应的处置和风险防范措施，可以将项目的危险废物的环境风险水平降到较低水平。</w:t>
            </w:r>
          </w:p>
          <w:p w14:paraId="021EFC1B">
            <w:pPr>
              <w:pStyle w:val="4"/>
              <w:keepNext w:val="0"/>
              <w:keepLines w:val="0"/>
              <w:pageBreakBefore w:val="0"/>
              <w:widowControl w:val="0"/>
              <w:kinsoku/>
              <w:wordWrap/>
              <w:overflowPunct/>
              <w:topLinePunct w:val="0"/>
              <w:autoSpaceDE/>
              <w:autoSpaceDN/>
              <w:bidi w:val="0"/>
              <w:adjustRightInd/>
              <w:snapToGrid w:val="0"/>
              <w:spacing w:before="0" w:after="0" w:line="440" w:lineRule="exact"/>
              <w:ind w:right="0" w:firstLine="480" w:firstLineChars="200"/>
              <w:textAlignment w:val="auto"/>
              <w:rPr>
                <w:rFonts w:hint="default" w:ascii="Times New Roman" w:hAnsi="Times New Roman" w:cs="Times New Roman"/>
                <w:sz w:val="24"/>
                <w:szCs w:val="24"/>
                <w:lang w:val="en-US" w:eastAsia="zh-CN"/>
              </w:rPr>
            </w:pPr>
            <w:r>
              <w:rPr>
                <w:rFonts w:hint="default" w:ascii="Times New Roman" w:hAnsi="Times New Roman" w:eastAsia="宋体" w:cs="Times New Roman"/>
                <w:color w:val="auto"/>
                <w:sz w:val="24"/>
                <w:szCs w:val="24"/>
                <w:highlight w:val="none"/>
                <w:lang w:val="en-US" w:eastAsia="zh-CN"/>
              </w:rPr>
              <w:t>综上所述，经采取以上措施后，本项目产生的固体废物对周围环境影响较小。</w:t>
            </w:r>
          </w:p>
          <w:p w14:paraId="727021D6">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5、地下水、土壤环境影响分析</w:t>
            </w:r>
          </w:p>
          <w:p w14:paraId="00367E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cs="Times New Roman"/>
                <w:sz w:val="24"/>
                <w:szCs w:val="24"/>
                <w:lang w:eastAsia="zh-CN"/>
              </w:rPr>
            </w:pPr>
            <w:r>
              <w:rPr>
                <w:rFonts w:hint="default" w:ascii="Times New Roman" w:hAnsi="Times New Roman" w:cs="Times New Roman"/>
                <w:sz w:val="24"/>
                <w:szCs w:val="24"/>
                <w:lang w:val="en-US" w:eastAsia="zh-CN"/>
              </w:rPr>
              <w:t>根据《</w:t>
            </w:r>
            <w:r>
              <w:rPr>
                <w:rFonts w:hint="default" w:ascii="Times New Roman" w:hAnsi="Times New Roman" w:eastAsia="宋体" w:cs="Times New Roman"/>
                <w:sz w:val="24"/>
                <w:szCs w:val="24"/>
              </w:rPr>
              <w:t>环境影响评价技术导则地下水环境</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HJ610</w:t>
            </w:r>
            <w:r>
              <w:rPr>
                <w:rFonts w:hint="default" w:ascii="Times New Roman" w:hAnsi="Times New Roman" w:cs="Times New Roman"/>
                <w:sz w:val="24"/>
                <w:szCs w:val="24"/>
                <w:lang w:val="en-US" w:eastAsia="zh-CN"/>
              </w:rPr>
              <w:t>-</w:t>
            </w:r>
            <w:r>
              <w:rPr>
                <w:rFonts w:hint="default" w:ascii="Times New Roman" w:hAnsi="Times New Roman" w:eastAsia="宋体" w:cs="Times New Roman"/>
                <w:sz w:val="24"/>
                <w:szCs w:val="24"/>
              </w:rPr>
              <w:t>2016</w:t>
            </w:r>
            <w:r>
              <w:rPr>
                <w:rFonts w:hint="default" w:ascii="Times New Roman" w:hAnsi="Times New Roman" w:eastAsia="宋体" w:cs="Times New Roman"/>
                <w:sz w:val="24"/>
                <w:szCs w:val="24"/>
                <w:lang w:eastAsia="zh-CN"/>
              </w:rPr>
              <w:t>），</w:t>
            </w:r>
            <w:r>
              <w:rPr>
                <w:rFonts w:hint="default" w:ascii="Times New Roman" w:hAnsi="Times New Roman" w:cs="Times New Roman"/>
                <w:sz w:val="24"/>
                <w:szCs w:val="24"/>
                <w:lang w:eastAsia="zh-CN"/>
              </w:rPr>
              <w:t>本项目防</w:t>
            </w:r>
            <w:r>
              <w:rPr>
                <w:rFonts w:hint="default" w:ascii="Times New Roman" w:hAnsi="Times New Roman" w:cs="Times New Roman"/>
                <w:sz w:val="24"/>
                <w:szCs w:val="24"/>
                <w:lang w:val="en-US" w:eastAsia="zh-CN"/>
              </w:rPr>
              <w:t>止</w:t>
            </w:r>
            <w:r>
              <w:rPr>
                <w:rFonts w:hint="default" w:ascii="Times New Roman" w:hAnsi="Times New Roman" w:cs="Times New Roman"/>
                <w:sz w:val="24"/>
                <w:szCs w:val="24"/>
                <w:lang w:eastAsia="zh-CN"/>
              </w:rPr>
              <w:t>地下水、</w:t>
            </w:r>
            <w:r>
              <w:rPr>
                <w:rFonts w:hint="default" w:ascii="Times New Roman" w:hAnsi="Times New Roman" w:cs="Times New Roman"/>
                <w:sz w:val="24"/>
                <w:szCs w:val="24"/>
                <w:lang w:val="en-US" w:eastAsia="zh-CN"/>
              </w:rPr>
              <w:t>土壤</w:t>
            </w:r>
            <w:r>
              <w:rPr>
                <w:rFonts w:hint="default" w:ascii="Times New Roman" w:hAnsi="Times New Roman" w:cs="Times New Roman"/>
                <w:sz w:val="24"/>
                <w:szCs w:val="24"/>
                <w:lang w:eastAsia="zh-CN"/>
              </w:rPr>
              <w:t>污染控制措施的原则如下：</w:t>
            </w:r>
          </w:p>
          <w:p w14:paraId="5AC5A8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cs="Times New Roman"/>
                <w:sz w:val="24"/>
                <w:szCs w:val="24"/>
                <w:lang w:eastAsia="zh-CN"/>
              </w:rPr>
            </w:pPr>
            <w:r>
              <w:rPr>
                <w:rFonts w:hint="default" w:ascii="Times New Roman" w:hAnsi="Times New Roman" w:cs="Times New Roman"/>
                <w:sz w:val="24"/>
                <w:szCs w:val="24"/>
                <w:lang w:eastAsia="zh-CN"/>
              </w:rPr>
              <w:t>（1）主动控制即源头控制措施，主要包括在废水管道、设备、污水储存采取相应措施，防止和降低污染物废水处理站及污水收集、排放管道的滴、漏，将污染物泄漏的环境风险事故降到最低程度。</w:t>
            </w:r>
          </w:p>
          <w:p w14:paraId="5BED54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cs="Times New Roman"/>
                <w:sz w:val="24"/>
                <w:szCs w:val="24"/>
                <w:lang w:eastAsia="zh-CN"/>
              </w:rPr>
              <w:t>（2）被动控制即末端控制措施，主要包括</w:t>
            </w:r>
            <w:r>
              <w:rPr>
                <w:rFonts w:hint="default" w:ascii="Times New Roman" w:hAnsi="Times New Roman" w:cs="Times New Roman"/>
                <w:sz w:val="24"/>
                <w:szCs w:val="24"/>
                <w:lang w:val="en-US" w:eastAsia="zh-CN"/>
              </w:rPr>
              <w:t>一般固体废物暂存间</w:t>
            </w:r>
            <w:r>
              <w:rPr>
                <w:rFonts w:hint="default" w:ascii="Times New Roman" w:hAnsi="Times New Roman" w:cs="Times New Roman"/>
                <w:sz w:val="24"/>
                <w:szCs w:val="24"/>
                <w:lang w:eastAsia="zh-CN"/>
              </w:rPr>
              <w:t>、危废</w:t>
            </w:r>
            <w:r>
              <w:rPr>
                <w:rFonts w:hint="default" w:ascii="Times New Roman" w:hAnsi="Times New Roman" w:cs="Times New Roman"/>
                <w:sz w:val="24"/>
                <w:szCs w:val="24"/>
                <w:lang w:val="en-US" w:eastAsia="zh-CN"/>
              </w:rPr>
              <w:t>贮存点</w:t>
            </w:r>
            <w:r>
              <w:rPr>
                <w:rFonts w:hint="default" w:ascii="Times New Roman" w:hAnsi="Times New Roman" w:cs="Times New Roman"/>
                <w:sz w:val="24"/>
                <w:szCs w:val="24"/>
                <w:lang w:eastAsia="zh-CN"/>
              </w:rPr>
              <w:t>的防渗措施和泄漏、渗漏污染物收集措施，即在废水处理收集、储存进行防渗处理，防止污染物渗入地下</w:t>
            </w:r>
            <w:r>
              <w:rPr>
                <w:rFonts w:hint="default" w:ascii="Times New Roman" w:hAnsi="Times New Roman" w:cs="Times New Roman"/>
                <w:sz w:val="24"/>
                <w:szCs w:val="24"/>
              </w:rPr>
              <w:t>。</w:t>
            </w:r>
          </w:p>
          <w:p w14:paraId="27A6B4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b w:val="0"/>
                <w:bCs w:val="0"/>
                <w:sz w:val="24"/>
                <w:szCs w:val="24"/>
                <w:lang w:eastAsia="zh-CN"/>
              </w:rPr>
            </w:pPr>
            <w:r>
              <w:rPr>
                <w:rFonts w:hint="default" w:ascii="Times New Roman" w:hAnsi="Times New Roman" w:cs="Times New Roman"/>
                <w:b w:val="0"/>
                <w:bCs w:val="0"/>
                <w:sz w:val="24"/>
                <w:szCs w:val="24"/>
              </w:rPr>
              <w:t>根据以上原则，本项目地下水、土壤污染防治措施</w:t>
            </w:r>
            <w:r>
              <w:rPr>
                <w:rFonts w:hint="default" w:ascii="Times New Roman" w:hAnsi="Times New Roman" w:cs="Times New Roman"/>
                <w:b w:val="0"/>
                <w:bCs w:val="0"/>
                <w:sz w:val="24"/>
                <w:szCs w:val="24"/>
                <w:lang w:val="en-US" w:eastAsia="zh-CN"/>
              </w:rPr>
              <w:t>为</w:t>
            </w:r>
            <w:r>
              <w:rPr>
                <w:rFonts w:hint="default" w:ascii="Times New Roman" w:hAnsi="Times New Roman" w:cs="Times New Roman"/>
                <w:b w:val="0"/>
                <w:bCs w:val="0"/>
                <w:sz w:val="24"/>
                <w:szCs w:val="24"/>
                <w:lang w:eastAsia="zh-CN"/>
              </w:rPr>
              <w:t>：</w:t>
            </w:r>
          </w:p>
          <w:p w14:paraId="5F1FCC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（1）分区控制措施</w:t>
            </w:r>
          </w:p>
          <w:p w14:paraId="5ABD71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根据</w:t>
            </w:r>
            <w:r>
              <w:rPr>
                <w:rFonts w:hint="default" w:ascii="Times New Roman" w:hAnsi="Times New Roman" w:cs="Times New Roman"/>
                <w:sz w:val="24"/>
                <w:szCs w:val="24"/>
                <w:highlight w:val="none"/>
                <w:lang w:val="en-US" w:eastAsia="zh-CN"/>
              </w:rPr>
              <w:t>项目区</w:t>
            </w:r>
            <w:r>
              <w:rPr>
                <w:rFonts w:hint="default" w:ascii="Times New Roman" w:hAnsi="Times New Roman" w:cs="Times New Roman"/>
                <w:sz w:val="24"/>
                <w:szCs w:val="24"/>
                <w:highlight w:val="none"/>
              </w:rPr>
              <w:t>各生产、生活功能单元可能产生污染的地区，对厂区可能</w:t>
            </w:r>
            <w:r>
              <w:rPr>
                <w:rFonts w:hint="default" w:ascii="Times New Roman" w:hAnsi="Times New Roman" w:cs="Times New Roman"/>
                <w:sz w:val="24"/>
                <w:szCs w:val="24"/>
                <w:highlight w:val="none"/>
                <w:lang w:eastAsia="zh-CN"/>
              </w:rPr>
              <w:t>泄漏</w:t>
            </w:r>
            <w:r>
              <w:rPr>
                <w:rFonts w:hint="default" w:ascii="Times New Roman" w:hAnsi="Times New Roman" w:cs="Times New Roman"/>
                <w:sz w:val="24"/>
                <w:szCs w:val="24"/>
                <w:highlight w:val="none"/>
              </w:rPr>
              <w:t>污染物的地面进行防渗处理，可有效</w:t>
            </w:r>
            <w:r>
              <w:rPr>
                <w:rFonts w:hint="default" w:ascii="Times New Roman" w:hAnsi="Times New Roman" w:cs="Times New Roman"/>
                <w:sz w:val="24"/>
                <w:szCs w:val="24"/>
                <w:highlight w:val="none"/>
                <w:lang w:eastAsia="zh-CN"/>
              </w:rPr>
              <w:t>防止</w:t>
            </w:r>
            <w:r>
              <w:rPr>
                <w:rFonts w:hint="default" w:ascii="Times New Roman" w:hAnsi="Times New Roman" w:cs="Times New Roman"/>
                <w:sz w:val="24"/>
                <w:szCs w:val="24"/>
                <w:highlight w:val="none"/>
              </w:rPr>
              <w:t>污染物渗入地下，并及时地将</w:t>
            </w:r>
            <w:r>
              <w:rPr>
                <w:rFonts w:hint="default" w:ascii="Times New Roman" w:hAnsi="Times New Roman" w:cs="Times New Roman"/>
                <w:sz w:val="24"/>
                <w:szCs w:val="24"/>
                <w:highlight w:val="none"/>
                <w:lang w:eastAsia="zh-CN"/>
              </w:rPr>
              <w:t>泄漏</w:t>
            </w:r>
            <w:r>
              <w:rPr>
                <w:rFonts w:hint="default" w:ascii="Times New Roman" w:hAnsi="Times New Roman" w:cs="Times New Roman"/>
                <w:sz w:val="24"/>
                <w:szCs w:val="24"/>
                <w:highlight w:val="none"/>
              </w:rPr>
              <w:t>、渗漏的污染物收集并进行集中处理。根据厂区各建筑物功能，将</w:t>
            </w:r>
            <w:r>
              <w:rPr>
                <w:rFonts w:hint="default" w:ascii="Times New Roman" w:hAnsi="Times New Roman" w:cs="Times New Roman"/>
                <w:sz w:val="24"/>
                <w:szCs w:val="24"/>
                <w:highlight w:val="none"/>
                <w:lang w:val="en-US" w:eastAsia="zh-CN"/>
              </w:rPr>
              <w:t>项目区</w:t>
            </w:r>
            <w:r>
              <w:rPr>
                <w:rFonts w:hint="default" w:ascii="Times New Roman" w:hAnsi="Times New Roman" w:cs="Times New Roman"/>
                <w:sz w:val="24"/>
                <w:szCs w:val="24"/>
                <w:highlight w:val="none"/>
              </w:rPr>
              <w:t>划分为</w:t>
            </w:r>
            <w:r>
              <w:rPr>
                <w:rFonts w:hint="default" w:ascii="Times New Roman" w:hAnsi="Times New Roman" w:cs="Times New Roman"/>
                <w:sz w:val="24"/>
                <w:szCs w:val="24"/>
                <w:highlight w:val="none"/>
                <w:lang w:val="en-US" w:eastAsia="zh-CN"/>
              </w:rPr>
              <w:t>重点防渗区、一般防渗区</w:t>
            </w:r>
            <w:r>
              <w:rPr>
                <w:rFonts w:hint="default" w:ascii="Times New Roman" w:hAnsi="Times New Roman" w:cs="Times New Roman"/>
                <w:sz w:val="24"/>
                <w:szCs w:val="24"/>
                <w:highlight w:val="none"/>
              </w:rPr>
              <w:t>和简单防渗区。</w:t>
            </w:r>
          </w:p>
          <w:p w14:paraId="0CC3B453">
            <w:pPr>
              <w:pStyle w:val="2"/>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 1 \* GB3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①</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t>重点防渗区</w:t>
            </w:r>
          </w:p>
          <w:p w14:paraId="2861262F">
            <w:pPr>
              <w:pStyle w:val="3"/>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宋体" w:cs="Times New Roman"/>
                <w:sz w:val="24"/>
                <w:szCs w:val="24"/>
                <w:lang w:val="en-US" w:eastAsia="zh-CN"/>
              </w:rPr>
            </w:pPr>
            <w:r>
              <w:rPr>
                <w:rFonts w:hint="default" w:ascii="Times New Roman" w:hAnsi="Times New Roman" w:cs="Times New Roman"/>
                <w:sz w:val="24"/>
                <w:szCs w:val="24"/>
                <w:lang w:val="en-US" w:eastAsia="zh-CN"/>
              </w:rPr>
              <w:t>危废贮存点，采取重点防渗，</w:t>
            </w:r>
            <w:r>
              <w:rPr>
                <w:rFonts w:hint="default" w:ascii="Times New Roman" w:hAnsi="Times New Roman" w:cs="Times New Roman"/>
                <w:sz w:val="24"/>
                <w:szCs w:val="24"/>
              </w:rPr>
              <w:t>参照GB1859</w:t>
            </w:r>
            <w:r>
              <w:rPr>
                <w:rFonts w:hint="default" w:ascii="Times New Roman" w:hAnsi="Times New Roman" w:cs="Times New Roman"/>
                <w:sz w:val="24"/>
                <w:szCs w:val="24"/>
                <w:lang w:val="en-US" w:eastAsia="zh-CN"/>
              </w:rPr>
              <w:t>7</w:t>
            </w:r>
            <w:r>
              <w:rPr>
                <w:rFonts w:hint="default" w:ascii="Times New Roman" w:hAnsi="Times New Roman" w:cs="Times New Roman"/>
                <w:sz w:val="24"/>
                <w:szCs w:val="24"/>
              </w:rPr>
              <w:t>执行</w:t>
            </w:r>
            <w:r>
              <w:rPr>
                <w:rFonts w:hint="default" w:ascii="Times New Roman" w:hAnsi="Times New Roman" w:cs="Times New Roman"/>
                <w:sz w:val="24"/>
                <w:szCs w:val="24"/>
                <w:lang w:eastAsia="zh-CN"/>
              </w:rPr>
              <w:t>。</w:t>
            </w:r>
          </w:p>
          <w:p w14:paraId="7AEC33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fldChar w:fldCharType="begin"/>
            </w:r>
            <w:r>
              <w:rPr>
                <w:rFonts w:hint="default" w:ascii="Times New Roman" w:hAnsi="Times New Roman" w:eastAsia="宋体" w:cs="Times New Roman"/>
                <w:sz w:val="24"/>
                <w:szCs w:val="24"/>
                <w:highlight w:val="none"/>
                <w:lang w:val="en-US" w:eastAsia="zh-CN"/>
              </w:rPr>
              <w:instrText xml:space="preserve"> = 2 \* GB3 \* MERGEFORMAT </w:instrText>
            </w:r>
            <w:r>
              <w:rPr>
                <w:rFonts w:hint="default" w:ascii="Times New Roman" w:hAnsi="Times New Roman" w:eastAsia="宋体" w:cs="Times New Roman"/>
                <w:sz w:val="24"/>
                <w:szCs w:val="24"/>
                <w:highlight w:val="none"/>
                <w:lang w:val="en-US" w:eastAsia="zh-CN"/>
              </w:rPr>
              <w:fldChar w:fldCharType="separate"/>
            </w:r>
            <w:r>
              <w:rPr>
                <w:rFonts w:hint="default" w:ascii="Times New Roman" w:hAnsi="Times New Roman" w:cs="Times New Roman"/>
                <w:sz w:val="24"/>
                <w:szCs w:val="24"/>
              </w:rPr>
              <w:t>②</w:t>
            </w:r>
            <w:r>
              <w:rPr>
                <w:rFonts w:hint="default" w:ascii="Times New Roman" w:hAnsi="Times New Roman" w:eastAsia="宋体" w:cs="Times New Roman"/>
                <w:sz w:val="24"/>
                <w:szCs w:val="24"/>
                <w:highlight w:val="none"/>
                <w:lang w:val="en-US" w:eastAsia="zh-CN"/>
              </w:rPr>
              <w:fldChar w:fldCharType="end"/>
            </w:r>
            <w:r>
              <w:rPr>
                <w:rFonts w:hint="default" w:ascii="Times New Roman" w:hAnsi="Times New Roman" w:eastAsia="宋体" w:cs="Times New Roman"/>
                <w:sz w:val="24"/>
                <w:szCs w:val="24"/>
                <w:highlight w:val="none"/>
                <w:lang w:val="en-US" w:eastAsia="zh-CN"/>
              </w:rPr>
              <w:t>一般防渗区</w:t>
            </w:r>
          </w:p>
          <w:p w14:paraId="1156C9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洗煤厂房、</w:t>
            </w:r>
            <w:r>
              <w:rPr>
                <w:rFonts w:hint="eastAsia" w:ascii="Times New Roman" w:hAnsi="Times New Roman" w:eastAsia="宋体" w:cs="Times New Roman"/>
                <w:sz w:val="24"/>
                <w:szCs w:val="24"/>
                <w:highlight w:val="none"/>
                <w:lang w:val="en-US" w:eastAsia="zh-CN"/>
              </w:rPr>
              <w:t>煤棚、沉淀池</w:t>
            </w:r>
            <w:r>
              <w:rPr>
                <w:rFonts w:hint="eastAsia" w:cs="Times New Roman"/>
                <w:sz w:val="24"/>
                <w:szCs w:val="24"/>
                <w:highlight w:val="none"/>
                <w:lang w:val="en-US" w:eastAsia="zh-CN"/>
              </w:rPr>
              <w:t>、生活污水暂存池</w:t>
            </w:r>
            <w:r>
              <w:rPr>
                <w:rFonts w:hint="default" w:ascii="Times New Roman" w:hAnsi="Times New Roman" w:eastAsia="宋体" w:cs="Times New Roman"/>
                <w:sz w:val="24"/>
                <w:szCs w:val="24"/>
                <w:highlight w:val="none"/>
                <w:lang w:val="en-US" w:eastAsia="zh-CN"/>
              </w:rPr>
              <w:t>，采取一般防渗，</w:t>
            </w:r>
            <w:r>
              <w:rPr>
                <w:rFonts w:hint="default" w:ascii="Times New Roman" w:hAnsi="Times New Roman" w:eastAsia="宋体" w:cs="Times New Roman"/>
                <w:sz w:val="24"/>
                <w:szCs w:val="24"/>
                <w:highlight w:val="none"/>
              </w:rPr>
              <w:t>等效黏土防渗层Mb≥1.5m，K≤1.0×10</w:t>
            </w:r>
            <w:r>
              <w:rPr>
                <w:rFonts w:hint="default" w:ascii="Times New Roman" w:hAnsi="Times New Roman" w:eastAsia="宋体" w:cs="Times New Roman"/>
                <w:sz w:val="24"/>
                <w:szCs w:val="24"/>
                <w:highlight w:val="none"/>
                <w:vertAlign w:val="superscript"/>
                <w:lang w:val="en-US" w:eastAsia="zh-CN"/>
              </w:rPr>
              <w:t>-7</w:t>
            </w:r>
            <w:r>
              <w:rPr>
                <w:rFonts w:hint="default" w:ascii="Times New Roman" w:hAnsi="Times New Roman" w:eastAsia="宋体" w:cs="Times New Roman"/>
                <w:sz w:val="24"/>
                <w:szCs w:val="24"/>
                <w:highlight w:val="none"/>
              </w:rPr>
              <w:t>cm；或参照GB16889执行</w:t>
            </w:r>
            <w:r>
              <w:rPr>
                <w:rFonts w:hint="default" w:ascii="Times New Roman" w:hAnsi="Times New Roman" w:eastAsia="宋体" w:cs="Times New Roman"/>
                <w:sz w:val="24"/>
                <w:szCs w:val="24"/>
                <w:highlight w:val="none"/>
                <w:lang w:eastAsia="zh-CN"/>
              </w:rPr>
              <w:t>。</w:t>
            </w:r>
          </w:p>
          <w:p w14:paraId="6C2845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lang w:val="en-US" w:eastAsia="zh-CN"/>
              </w:rPr>
              <w:fldChar w:fldCharType="begin"/>
            </w:r>
            <w:r>
              <w:rPr>
                <w:rFonts w:hint="default" w:ascii="Times New Roman" w:hAnsi="Times New Roman" w:cs="Times New Roman"/>
                <w:sz w:val="24"/>
                <w:szCs w:val="24"/>
                <w:highlight w:val="none"/>
                <w:lang w:val="en-US" w:eastAsia="zh-CN"/>
              </w:rPr>
              <w:instrText xml:space="preserve"> = 3 \* GB3 \* MERGEFORMAT </w:instrText>
            </w:r>
            <w:r>
              <w:rPr>
                <w:rFonts w:hint="default" w:ascii="Times New Roman" w:hAnsi="Times New Roman" w:cs="Times New Roman"/>
                <w:sz w:val="24"/>
                <w:szCs w:val="24"/>
                <w:highlight w:val="none"/>
                <w:lang w:val="en-US" w:eastAsia="zh-CN"/>
              </w:rPr>
              <w:fldChar w:fldCharType="separate"/>
            </w:r>
            <w:r>
              <w:rPr>
                <w:rFonts w:hint="default" w:ascii="Times New Roman" w:hAnsi="Times New Roman" w:cs="Times New Roman"/>
                <w:sz w:val="24"/>
                <w:szCs w:val="24"/>
              </w:rPr>
              <w:t>③</w:t>
            </w:r>
            <w:r>
              <w:rPr>
                <w:rFonts w:hint="default" w:ascii="Times New Roman" w:hAnsi="Times New Roman" w:cs="Times New Roman"/>
                <w:sz w:val="24"/>
                <w:szCs w:val="24"/>
                <w:highlight w:val="none"/>
                <w:lang w:val="en-US" w:eastAsia="zh-CN"/>
              </w:rPr>
              <w:fldChar w:fldCharType="end"/>
            </w:r>
            <w:r>
              <w:rPr>
                <w:rFonts w:hint="default" w:ascii="Times New Roman" w:hAnsi="Times New Roman" w:cs="Times New Roman"/>
                <w:sz w:val="24"/>
                <w:szCs w:val="24"/>
                <w:highlight w:val="none"/>
              </w:rPr>
              <w:t>简单防渗区</w:t>
            </w:r>
          </w:p>
          <w:p w14:paraId="293BDBBE">
            <w:pPr>
              <w:pStyle w:val="48"/>
              <w:keepNext w:val="0"/>
              <w:keepLines w:val="0"/>
              <w:pageBreakBefore w:val="0"/>
              <w:widowControl w:val="0"/>
              <w:kinsoku/>
              <w:wordWrap/>
              <w:overflowPunct/>
              <w:topLinePunct w:val="0"/>
              <w:autoSpaceDE/>
              <w:autoSpaceDN/>
              <w:bidi w:val="0"/>
              <w:adjustRightInd/>
              <w:snapToGrid/>
              <w:spacing w:line="440" w:lineRule="exact"/>
              <w:ind w:left="0" w:firstLine="480" w:firstLineChars="200"/>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lang w:val="en-US" w:eastAsia="zh-CN"/>
              </w:rPr>
              <w:t>项目其他区域</w:t>
            </w:r>
            <w:r>
              <w:rPr>
                <w:rFonts w:hint="default" w:ascii="Times New Roman" w:hAnsi="Times New Roman" w:cs="Times New Roman"/>
                <w:sz w:val="24"/>
                <w:szCs w:val="24"/>
                <w:highlight w:val="none"/>
              </w:rPr>
              <w:t>，</w:t>
            </w:r>
            <w:r>
              <w:rPr>
                <w:rFonts w:hint="default" w:ascii="Times New Roman" w:hAnsi="Times New Roman" w:cs="Times New Roman"/>
                <w:spacing w:val="8"/>
                <w:sz w:val="24"/>
                <w:szCs w:val="24"/>
              </w:rPr>
              <w:t>一般地面硬化，水泥路面。</w:t>
            </w:r>
          </w:p>
          <w:p w14:paraId="2DC7C4FE">
            <w:pPr>
              <w:pStyle w:val="71"/>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22" w:firstLineChars="200"/>
              <w:jc w:val="center"/>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b/>
                <w:bCs/>
                <w:color w:val="000000"/>
                <w:sz w:val="21"/>
                <w:szCs w:val="21"/>
                <w:highlight w:val="none"/>
              </w:rPr>
              <w:t>表4</w:t>
            </w:r>
            <w:r>
              <w:rPr>
                <w:rFonts w:hint="eastAsia" w:ascii="Times New Roman" w:cs="Times New Roman"/>
                <w:b/>
                <w:bCs/>
                <w:color w:val="000000"/>
                <w:sz w:val="21"/>
                <w:szCs w:val="21"/>
                <w:highlight w:val="none"/>
                <w:lang w:val="en-US" w:eastAsia="zh-CN"/>
              </w:rPr>
              <w:t>-</w:t>
            </w:r>
            <w:r>
              <w:rPr>
                <w:rFonts w:hint="eastAsia" w:cs="Times New Roman"/>
                <w:b/>
                <w:bCs/>
                <w:color w:val="000000"/>
                <w:sz w:val="21"/>
                <w:szCs w:val="21"/>
                <w:highlight w:val="none"/>
                <w:lang w:val="en-US" w:eastAsia="zh-CN"/>
              </w:rPr>
              <w:t xml:space="preserve">9  </w:t>
            </w:r>
            <w:r>
              <w:rPr>
                <w:rFonts w:hint="default" w:ascii="Times New Roman" w:hAnsi="Times New Roman" w:eastAsia="宋体" w:cs="Times New Roman"/>
                <w:b/>
                <w:bCs/>
                <w:color w:val="000000"/>
                <w:sz w:val="21"/>
                <w:szCs w:val="21"/>
                <w:highlight w:val="none"/>
              </w:rPr>
              <w:t>项目地下水防渗要求</w:t>
            </w:r>
          </w:p>
          <w:tbl>
            <w:tblPr>
              <w:tblStyle w:val="25"/>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522"/>
              <w:gridCol w:w="2388"/>
              <w:gridCol w:w="3965"/>
            </w:tblGrid>
            <w:tr w14:paraId="27815C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966" w:type="pct"/>
                  <w:tcBorders>
                    <w:tl2br w:val="nil"/>
                    <w:tr2bl w:val="nil"/>
                  </w:tcBorders>
                  <w:noWrap w:val="0"/>
                  <w:vAlign w:val="center"/>
                </w:tcPr>
                <w:p w14:paraId="1186C1E8">
                  <w:pPr>
                    <w:pStyle w:val="7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Style w:val="41"/>
                      <w:rFonts w:hint="default" w:ascii="Times New Roman" w:hAnsi="Times New Roman" w:eastAsia="宋体" w:cs="Times New Roman"/>
                      <w:color w:val="000000"/>
                      <w:sz w:val="21"/>
                      <w:szCs w:val="21"/>
                      <w:highlight w:val="none"/>
                    </w:rPr>
                  </w:pPr>
                  <w:r>
                    <w:rPr>
                      <w:rStyle w:val="41"/>
                      <w:rFonts w:hint="default" w:ascii="Times New Roman" w:hAnsi="Times New Roman" w:eastAsia="宋体" w:cs="Times New Roman"/>
                      <w:color w:val="000000"/>
                      <w:sz w:val="21"/>
                      <w:szCs w:val="21"/>
                      <w:highlight w:val="none"/>
                    </w:rPr>
                    <w:t>防渗级别</w:t>
                  </w:r>
                </w:p>
              </w:tc>
              <w:tc>
                <w:tcPr>
                  <w:tcW w:w="1516" w:type="pct"/>
                  <w:tcBorders>
                    <w:tl2br w:val="nil"/>
                    <w:tr2bl w:val="nil"/>
                  </w:tcBorders>
                  <w:noWrap w:val="0"/>
                  <w:vAlign w:val="center"/>
                </w:tcPr>
                <w:p w14:paraId="48478245">
                  <w:pPr>
                    <w:pStyle w:val="7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Style w:val="41"/>
                      <w:rFonts w:hint="default" w:ascii="Times New Roman" w:hAnsi="Times New Roman" w:eastAsia="宋体" w:cs="Times New Roman"/>
                      <w:color w:val="000000"/>
                      <w:sz w:val="21"/>
                      <w:szCs w:val="21"/>
                      <w:highlight w:val="none"/>
                    </w:rPr>
                  </w:pPr>
                  <w:r>
                    <w:rPr>
                      <w:rStyle w:val="41"/>
                      <w:rFonts w:hint="default" w:ascii="Times New Roman" w:hAnsi="Times New Roman" w:eastAsia="宋体" w:cs="Times New Roman"/>
                      <w:color w:val="000000"/>
                      <w:sz w:val="21"/>
                      <w:szCs w:val="21"/>
                      <w:highlight w:val="none"/>
                    </w:rPr>
                    <w:t>工作区</w:t>
                  </w:r>
                </w:p>
              </w:tc>
              <w:tc>
                <w:tcPr>
                  <w:tcW w:w="2517" w:type="pct"/>
                  <w:tcBorders>
                    <w:tl2br w:val="nil"/>
                    <w:tr2bl w:val="nil"/>
                  </w:tcBorders>
                  <w:noWrap w:val="0"/>
                  <w:vAlign w:val="center"/>
                </w:tcPr>
                <w:p w14:paraId="65B1E105">
                  <w:pPr>
                    <w:pStyle w:val="7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Style w:val="41"/>
                      <w:rFonts w:hint="default" w:ascii="Times New Roman" w:hAnsi="Times New Roman" w:eastAsia="宋体" w:cs="Times New Roman"/>
                      <w:color w:val="000000"/>
                      <w:sz w:val="21"/>
                      <w:szCs w:val="21"/>
                      <w:highlight w:val="none"/>
                      <w:lang w:val="en-US" w:eastAsia="zh-CN"/>
                    </w:rPr>
                  </w:pPr>
                  <w:r>
                    <w:rPr>
                      <w:rStyle w:val="41"/>
                      <w:rFonts w:hint="default" w:ascii="Times New Roman" w:hAnsi="Times New Roman" w:eastAsia="宋体" w:cs="Times New Roman"/>
                      <w:color w:val="000000"/>
                      <w:sz w:val="21"/>
                      <w:szCs w:val="21"/>
                      <w:highlight w:val="none"/>
                      <w:lang w:val="en-US" w:eastAsia="zh-CN"/>
                    </w:rPr>
                    <w:t>防渗效果</w:t>
                  </w:r>
                </w:p>
              </w:tc>
            </w:tr>
            <w:tr w14:paraId="24CEA4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966" w:type="pct"/>
                  <w:tcBorders>
                    <w:tl2br w:val="nil"/>
                    <w:tr2bl w:val="nil"/>
                  </w:tcBorders>
                  <w:noWrap w:val="0"/>
                  <w:vAlign w:val="center"/>
                </w:tcPr>
                <w:p w14:paraId="0F381796">
                  <w:pPr>
                    <w:pStyle w:val="7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重点防渗区</w:t>
                  </w:r>
                </w:p>
              </w:tc>
              <w:tc>
                <w:tcPr>
                  <w:tcW w:w="1516" w:type="pct"/>
                  <w:tcBorders>
                    <w:tl2br w:val="nil"/>
                    <w:tr2bl w:val="nil"/>
                  </w:tcBorders>
                  <w:noWrap w:val="0"/>
                  <w:vAlign w:val="center"/>
                </w:tcPr>
                <w:p w14:paraId="480B7579">
                  <w:pPr>
                    <w:pStyle w:val="7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危废贮存点</w:t>
                  </w:r>
                </w:p>
              </w:tc>
              <w:tc>
                <w:tcPr>
                  <w:tcW w:w="2517" w:type="pct"/>
                  <w:tcBorders>
                    <w:tl2br w:val="nil"/>
                    <w:tr2bl w:val="nil"/>
                  </w:tcBorders>
                  <w:noWrap w:val="0"/>
                  <w:vAlign w:val="center"/>
                </w:tcPr>
                <w:p w14:paraId="1348054A">
                  <w:pPr>
                    <w:pStyle w:val="3"/>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spacing w:val="6"/>
                      <w:sz w:val="21"/>
                      <w:szCs w:val="21"/>
                    </w:rPr>
                  </w:pPr>
                  <w:r>
                    <w:rPr>
                      <w:rFonts w:hint="default" w:ascii="Times New Roman" w:hAnsi="Times New Roman" w:cs="Times New Roman"/>
                      <w:sz w:val="21"/>
                      <w:szCs w:val="21"/>
                    </w:rPr>
                    <w:t>参照GB1859</w:t>
                  </w:r>
                  <w:r>
                    <w:rPr>
                      <w:rFonts w:hint="default" w:ascii="Times New Roman" w:hAnsi="Times New Roman" w:cs="Times New Roman"/>
                      <w:sz w:val="21"/>
                      <w:szCs w:val="21"/>
                      <w:lang w:val="en-US" w:eastAsia="zh-CN"/>
                    </w:rPr>
                    <w:t>7</w:t>
                  </w:r>
                  <w:r>
                    <w:rPr>
                      <w:rFonts w:hint="default" w:ascii="Times New Roman" w:hAnsi="Times New Roman" w:cs="Times New Roman"/>
                      <w:sz w:val="21"/>
                      <w:szCs w:val="21"/>
                    </w:rPr>
                    <w:t>执行</w:t>
                  </w:r>
                </w:p>
              </w:tc>
            </w:tr>
            <w:tr w14:paraId="3AEBC5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966" w:type="pct"/>
                  <w:tcBorders>
                    <w:tl2br w:val="nil"/>
                    <w:tr2bl w:val="nil"/>
                  </w:tcBorders>
                  <w:noWrap w:val="0"/>
                  <w:vAlign w:val="center"/>
                </w:tcPr>
                <w:p w14:paraId="6D138F12">
                  <w:pPr>
                    <w:pStyle w:val="7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Style w:val="41"/>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sz w:val="21"/>
                      <w:szCs w:val="21"/>
                      <w:highlight w:val="none"/>
                      <w:lang w:val="en-US" w:eastAsia="zh-CN"/>
                    </w:rPr>
                    <w:t>一般防渗区</w:t>
                  </w:r>
                </w:p>
              </w:tc>
              <w:tc>
                <w:tcPr>
                  <w:tcW w:w="1516" w:type="pct"/>
                  <w:tcBorders>
                    <w:tl2br w:val="nil"/>
                    <w:tr2bl w:val="nil"/>
                  </w:tcBorders>
                  <w:noWrap w:val="0"/>
                  <w:vAlign w:val="center"/>
                </w:tcPr>
                <w:p w14:paraId="76CC5004">
                  <w:pPr>
                    <w:pStyle w:val="7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Style w:val="41"/>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sz w:val="21"/>
                      <w:szCs w:val="21"/>
                      <w:highlight w:val="none"/>
                      <w:lang w:val="en-US" w:eastAsia="zh-CN"/>
                    </w:rPr>
                    <w:t>洗煤厂房、</w:t>
                  </w:r>
                  <w:r>
                    <w:rPr>
                      <w:rFonts w:hint="eastAsia" w:ascii="Times New Roman" w:hAnsi="Times New Roman" w:eastAsia="宋体" w:cs="Times New Roman"/>
                      <w:sz w:val="21"/>
                      <w:szCs w:val="21"/>
                      <w:highlight w:val="none"/>
                      <w:lang w:val="en-US" w:eastAsia="zh-CN"/>
                    </w:rPr>
                    <w:t>煤棚</w:t>
                  </w:r>
                  <w:r>
                    <w:rPr>
                      <w:rFonts w:hint="default" w:ascii="Times New Roman" w:hAnsi="Times New Roman" w:eastAsia="宋体" w:cs="Times New Roman"/>
                      <w:sz w:val="21"/>
                      <w:szCs w:val="21"/>
                      <w:highlight w:val="none"/>
                      <w:lang w:val="en-US" w:eastAsia="zh-CN"/>
                    </w:rPr>
                    <w:t>、沉淀池</w:t>
                  </w:r>
                  <w:r>
                    <w:rPr>
                      <w:rFonts w:hint="eastAsia" w:cs="Times New Roman"/>
                      <w:sz w:val="21"/>
                      <w:szCs w:val="21"/>
                      <w:highlight w:val="none"/>
                      <w:lang w:val="en-US" w:eastAsia="zh-CN"/>
                    </w:rPr>
                    <w:t>、</w:t>
                  </w:r>
                  <w:r>
                    <w:rPr>
                      <w:rFonts w:hint="eastAsia" w:ascii="Times New Roman" w:hAnsi="Times New Roman" w:eastAsia="宋体" w:cs="Times New Roman"/>
                      <w:sz w:val="21"/>
                      <w:szCs w:val="21"/>
                      <w:highlight w:val="none"/>
                      <w:lang w:val="en-US" w:eastAsia="zh-CN"/>
                    </w:rPr>
                    <w:t>生活污水暂存池</w:t>
                  </w:r>
                </w:p>
              </w:tc>
              <w:tc>
                <w:tcPr>
                  <w:tcW w:w="2517" w:type="pct"/>
                  <w:tcBorders>
                    <w:tl2br w:val="nil"/>
                    <w:tr2bl w:val="nil"/>
                  </w:tcBorders>
                  <w:noWrap w:val="0"/>
                  <w:vAlign w:val="center"/>
                </w:tcPr>
                <w:p w14:paraId="3C9403D1">
                  <w:pPr>
                    <w:pStyle w:val="48"/>
                    <w:keepNext w:val="0"/>
                    <w:keepLines w:val="0"/>
                    <w:pageBreakBefore w:val="0"/>
                    <w:widowControl w:val="0"/>
                    <w:kinsoku/>
                    <w:wordWrap/>
                    <w:overflowPunct/>
                    <w:topLinePunct w:val="0"/>
                    <w:autoSpaceDE/>
                    <w:autoSpaceDN/>
                    <w:bidi w:val="0"/>
                    <w:adjustRightInd/>
                    <w:snapToGrid/>
                    <w:spacing w:before="79" w:line="240" w:lineRule="auto"/>
                    <w:ind w:right="14" w:firstLine="0" w:firstLineChars="0"/>
                    <w:jc w:val="center"/>
                    <w:textAlignment w:val="auto"/>
                    <w:rPr>
                      <w:rFonts w:hint="default" w:ascii="Times New Roman" w:hAnsi="Times New Roman" w:cs="Times New Roman"/>
                      <w:sz w:val="21"/>
                      <w:szCs w:val="21"/>
                    </w:rPr>
                  </w:pPr>
                  <w:r>
                    <w:rPr>
                      <w:rFonts w:hint="default" w:ascii="Times New Roman" w:hAnsi="Times New Roman" w:cs="Times New Roman"/>
                      <w:spacing w:val="3"/>
                      <w:sz w:val="21"/>
                      <w:szCs w:val="21"/>
                    </w:rPr>
                    <w:t>等效黏土防渗层</w:t>
                  </w:r>
                  <w:r>
                    <w:rPr>
                      <w:rFonts w:hint="default" w:ascii="Times New Roman" w:hAnsi="Times New Roman" w:cs="Times New Roman"/>
                      <w:spacing w:val="-55"/>
                      <w:sz w:val="21"/>
                      <w:szCs w:val="21"/>
                    </w:rPr>
                    <w:t xml:space="preserve"> </w:t>
                  </w:r>
                  <w:r>
                    <w:rPr>
                      <w:rFonts w:hint="default" w:ascii="Times New Roman" w:hAnsi="Times New Roman" w:eastAsia="Times New Roman" w:cs="Times New Roman"/>
                      <w:sz w:val="21"/>
                      <w:szCs w:val="21"/>
                    </w:rPr>
                    <w:t>Mb</w:t>
                  </w:r>
                  <w:r>
                    <w:rPr>
                      <w:rFonts w:hint="default" w:ascii="Times New Roman" w:hAnsi="Times New Roman" w:cs="Times New Roman"/>
                      <w:spacing w:val="3"/>
                      <w:sz w:val="21"/>
                      <w:szCs w:val="21"/>
                    </w:rPr>
                    <w:t>≥</w:t>
                  </w:r>
                  <w:r>
                    <w:rPr>
                      <w:rFonts w:hint="default" w:ascii="Times New Roman" w:hAnsi="Times New Roman" w:eastAsia="Times New Roman" w:cs="Times New Roman"/>
                      <w:spacing w:val="3"/>
                      <w:sz w:val="21"/>
                      <w:szCs w:val="21"/>
                    </w:rPr>
                    <w:t>1.5m</w:t>
                  </w:r>
                  <w:r>
                    <w:rPr>
                      <w:rFonts w:hint="default" w:ascii="Times New Roman" w:hAnsi="Times New Roman" w:cs="Times New Roman"/>
                      <w:spacing w:val="3"/>
                      <w:sz w:val="21"/>
                      <w:szCs w:val="21"/>
                    </w:rPr>
                    <w:t>，</w:t>
                  </w:r>
                  <w:r>
                    <w:rPr>
                      <w:rFonts w:hint="default" w:ascii="Times New Roman" w:hAnsi="Times New Roman" w:eastAsia="Times New Roman" w:cs="Times New Roman"/>
                      <w:spacing w:val="3"/>
                      <w:sz w:val="21"/>
                      <w:szCs w:val="21"/>
                    </w:rPr>
                    <w:t>K</w:t>
                  </w:r>
                  <w:r>
                    <w:rPr>
                      <w:rFonts w:hint="default" w:ascii="Times New Roman" w:hAnsi="Times New Roman" w:cs="Times New Roman"/>
                      <w:spacing w:val="3"/>
                      <w:sz w:val="21"/>
                      <w:szCs w:val="21"/>
                    </w:rPr>
                    <w:t>≤</w:t>
                  </w:r>
                  <w:r>
                    <w:rPr>
                      <w:rFonts w:hint="default" w:ascii="Times New Roman" w:hAnsi="Times New Roman" w:eastAsia="Times New Roman" w:cs="Times New Roman"/>
                      <w:spacing w:val="3"/>
                      <w:sz w:val="21"/>
                      <w:szCs w:val="21"/>
                    </w:rPr>
                    <w:t>1.0</w:t>
                  </w:r>
                  <w:r>
                    <w:rPr>
                      <w:rFonts w:hint="default" w:ascii="Times New Roman" w:hAnsi="Times New Roman" w:cs="Times New Roman"/>
                      <w:spacing w:val="3"/>
                      <w:sz w:val="21"/>
                      <w:szCs w:val="21"/>
                    </w:rPr>
                    <w:t>×</w:t>
                  </w:r>
                  <w:r>
                    <w:rPr>
                      <w:rFonts w:hint="default" w:ascii="Times New Roman" w:hAnsi="Times New Roman" w:eastAsia="Times New Roman" w:cs="Times New Roman"/>
                      <w:spacing w:val="3"/>
                      <w:sz w:val="21"/>
                      <w:szCs w:val="21"/>
                    </w:rPr>
                    <w:t>1</w:t>
                  </w:r>
                  <w:r>
                    <w:rPr>
                      <w:rFonts w:hint="default" w:ascii="Times New Roman" w:hAnsi="Times New Roman" w:eastAsia="Times New Roman" w:cs="Times New Roman"/>
                      <w:spacing w:val="2"/>
                      <w:sz w:val="21"/>
                      <w:szCs w:val="21"/>
                    </w:rPr>
                    <w:t>0</w:t>
                  </w:r>
                  <w:r>
                    <w:rPr>
                      <w:rFonts w:hint="default" w:ascii="Times New Roman" w:hAnsi="Times New Roman" w:eastAsia="宋体" w:cs="Times New Roman"/>
                      <w:spacing w:val="2"/>
                      <w:sz w:val="21"/>
                      <w:szCs w:val="21"/>
                      <w:vertAlign w:val="superscript"/>
                      <w:lang w:val="en-US" w:eastAsia="zh-CN"/>
                    </w:rPr>
                    <w:t>-7</w:t>
                  </w:r>
                  <w:r>
                    <w:rPr>
                      <w:rFonts w:hint="default" w:ascii="Times New Roman" w:hAnsi="Times New Roman" w:eastAsia="Times New Roman" w:cs="Times New Roman"/>
                      <w:sz w:val="21"/>
                      <w:szCs w:val="21"/>
                    </w:rPr>
                    <w:t>cm</w:t>
                  </w:r>
                  <w:r>
                    <w:rPr>
                      <w:rFonts w:hint="default" w:ascii="Times New Roman" w:hAnsi="Times New Roman" w:cs="Times New Roman"/>
                      <w:spacing w:val="2"/>
                      <w:sz w:val="21"/>
                      <w:szCs w:val="21"/>
                    </w:rPr>
                    <w:t>；</w:t>
                  </w:r>
                </w:p>
                <w:p w14:paraId="20EC9585">
                  <w:pPr>
                    <w:pStyle w:val="7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Style w:val="41"/>
                      <w:rFonts w:hint="default" w:ascii="Times New Roman" w:hAnsi="Times New Roman" w:eastAsia="宋体" w:cs="Times New Roman"/>
                      <w:color w:val="000000"/>
                      <w:sz w:val="21"/>
                      <w:szCs w:val="21"/>
                      <w:highlight w:val="none"/>
                      <w:lang w:val="en-US" w:eastAsia="zh-CN"/>
                    </w:rPr>
                  </w:pPr>
                  <w:r>
                    <w:rPr>
                      <w:rFonts w:hint="default" w:ascii="Times New Roman" w:hAnsi="Times New Roman" w:cs="Times New Roman"/>
                      <w:spacing w:val="6"/>
                      <w:sz w:val="21"/>
                      <w:szCs w:val="21"/>
                    </w:rPr>
                    <w:t>或参照</w:t>
                  </w:r>
                  <w:r>
                    <w:rPr>
                      <w:rFonts w:hint="default" w:ascii="Times New Roman" w:hAnsi="Times New Roman" w:cs="Times New Roman"/>
                      <w:spacing w:val="-35"/>
                      <w:sz w:val="21"/>
                      <w:szCs w:val="21"/>
                    </w:rPr>
                    <w:t xml:space="preserve"> </w:t>
                  </w:r>
                  <w:r>
                    <w:rPr>
                      <w:rFonts w:hint="default" w:ascii="Times New Roman" w:hAnsi="Times New Roman" w:eastAsia="Times New Roman" w:cs="Times New Roman"/>
                      <w:sz w:val="21"/>
                      <w:szCs w:val="21"/>
                    </w:rPr>
                    <w:t>GB</w:t>
                  </w:r>
                  <w:r>
                    <w:rPr>
                      <w:rFonts w:hint="default" w:ascii="Times New Roman" w:hAnsi="Times New Roman" w:eastAsia="Times New Roman" w:cs="Times New Roman"/>
                      <w:spacing w:val="6"/>
                      <w:sz w:val="21"/>
                      <w:szCs w:val="21"/>
                    </w:rPr>
                    <w:t>16889</w:t>
                  </w:r>
                  <w:r>
                    <w:rPr>
                      <w:rFonts w:hint="default" w:ascii="Times New Roman" w:hAnsi="Times New Roman" w:cs="Times New Roman"/>
                      <w:spacing w:val="6"/>
                      <w:sz w:val="21"/>
                      <w:szCs w:val="21"/>
                    </w:rPr>
                    <w:t>执行</w:t>
                  </w:r>
                </w:p>
              </w:tc>
            </w:tr>
            <w:tr w14:paraId="301B76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966" w:type="pct"/>
                  <w:tcBorders>
                    <w:tl2br w:val="nil"/>
                    <w:tr2bl w:val="nil"/>
                  </w:tcBorders>
                  <w:noWrap w:val="0"/>
                  <w:vAlign w:val="center"/>
                </w:tcPr>
                <w:p w14:paraId="1FADE278">
                  <w:pPr>
                    <w:pStyle w:val="7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简单防渗</w:t>
                  </w:r>
                </w:p>
              </w:tc>
              <w:tc>
                <w:tcPr>
                  <w:tcW w:w="1516" w:type="pct"/>
                  <w:tcBorders>
                    <w:tl2br w:val="nil"/>
                    <w:tr2bl w:val="nil"/>
                  </w:tcBorders>
                  <w:noWrap w:val="0"/>
                  <w:vAlign w:val="center"/>
                </w:tcPr>
                <w:p w14:paraId="446618B6">
                  <w:pPr>
                    <w:pStyle w:val="7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其他区域</w:t>
                  </w:r>
                </w:p>
              </w:tc>
              <w:tc>
                <w:tcPr>
                  <w:tcW w:w="2517" w:type="pct"/>
                  <w:tcBorders>
                    <w:tl2br w:val="nil"/>
                    <w:tr2bl w:val="nil"/>
                  </w:tcBorders>
                  <w:noWrap w:val="0"/>
                  <w:vAlign w:val="center"/>
                </w:tcPr>
                <w:p w14:paraId="1D1D964C">
                  <w:pPr>
                    <w:pStyle w:val="7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pacing w:val="6"/>
                      <w:sz w:val="21"/>
                      <w:szCs w:val="21"/>
                      <w:lang w:val="en-US" w:eastAsia="zh-CN"/>
                    </w:rPr>
                  </w:pPr>
                  <w:r>
                    <w:rPr>
                      <w:rFonts w:hint="default" w:ascii="Times New Roman" w:hAnsi="Times New Roman" w:cs="Times New Roman"/>
                      <w:spacing w:val="6"/>
                      <w:sz w:val="21"/>
                      <w:szCs w:val="21"/>
                      <w:lang w:val="en-US" w:eastAsia="zh-CN"/>
                    </w:rPr>
                    <w:t>一般地面硬化</w:t>
                  </w:r>
                </w:p>
              </w:tc>
            </w:tr>
          </w:tbl>
          <w:p w14:paraId="59038C93">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6、生态环境影响分析</w:t>
            </w:r>
          </w:p>
          <w:p w14:paraId="1C5D59AB">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项目施工期短暂扰动荒漠地表植被、存在水土流失风险，运营期主要为永久占地改变土地利用类型，扬尘可能对厂区周边少量荒漠植被产生轻微不利影响，整体生态影响较小。</w:t>
            </w:r>
          </w:p>
          <w:p w14:paraId="6D2B94C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7、环境风险分析</w:t>
            </w:r>
          </w:p>
          <w:p w14:paraId="4D362B4E">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b w:val="0"/>
                <w:bCs w:val="0"/>
                <w:sz w:val="24"/>
                <w:szCs w:val="32"/>
              </w:rPr>
            </w:pPr>
            <w:r>
              <w:rPr>
                <w:rFonts w:hint="eastAsia" w:ascii="Times New Roman" w:hAnsi="Times New Roman" w:cs="Times New Roman"/>
                <w:b w:val="0"/>
                <w:bCs w:val="0"/>
                <w:sz w:val="24"/>
                <w:lang w:val="en-US" w:eastAsia="zh-CN"/>
              </w:rPr>
              <w:t>7.</w:t>
            </w:r>
            <w:r>
              <w:rPr>
                <w:rFonts w:hint="default" w:ascii="Times New Roman" w:hAnsi="Times New Roman" w:cs="Times New Roman"/>
                <w:b w:val="0"/>
                <w:bCs w:val="0"/>
                <w:sz w:val="24"/>
                <w:lang w:eastAsia="zh-CN"/>
              </w:rPr>
              <w:t>1</w:t>
            </w:r>
            <w:r>
              <w:rPr>
                <w:rFonts w:hint="default" w:ascii="Times New Roman" w:hAnsi="Times New Roman" w:cs="Times New Roman"/>
                <w:b w:val="0"/>
                <w:bCs w:val="0"/>
                <w:sz w:val="24"/>
              </w:rPr>
              <w:t>本项目风险物质识别</w:t>
            </w:r>
          </w:p>
          <w:p w14:paraId="71C9619D">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ascii="Times New Roman" w:hAnsi="Times New Roman" w:eastAsia="宋体" w:cs="Times New Roman"/>
                <w:sz w:val="24"/>
                <w:szCs w:val="32"/>
              </w:rPr>
            </w:pPr>
            <w:r>
              <w:rPr>
                <w:rFonts w:hint="eastAsia" w:ascii="Times New Roman" w:hAnsi="Times New Roman" w:eastAsia="宋体" w:cs="Times New Roman"/>
                <w:sz w:val="24"/>
                <w:szCs w:val="32"/>
              </w:rPr>
              <w:t>按照《建设项目环境风险评价技术导则》（HJ169-2018）中附录B中的“突发环境事件风险物质及临界量表</w:t>
            </w:r>
            <w:r>
              <w:rPr>
                <w:rFonts w:hint="eastAsia" w:cs="Times New Roman"/>
                <w:sz w:val="24"/>
                <w:szCs w:val="32"/>
                <w:lang w:eastAsia="zh-CN"/>
              </w:rPr>
              <w:t>”</w:t>
            </w:r>
            <w:r>
              <w:rPr>
                <w:rFonts w:hint="eastAsia" w:ascii="Times New Roman" w:hAnsi="Times New Roman" w:eastAsia="宋体" w:cs="Times New Roman"/>
                <w:sz w:val="24"/>
                <w:szCs w:val="32"/>
              </w:rPr>
              <w:t>进行危险性识别，</w:t>
            </w:r>
            <w:r>
              <w:rPr>
                <w:rFonts w:hint="eastAsia"/>
                <w:sz w:val="24"/>
                <w:szCs w:val="32"/>
              </w:rPr>
              <w:t>本项目环境风险物质主要为</w:t>
            </w:r>
            <w:r>
              <w:rPr>
                <w:rFonts w:hint="eastAsia"/>
                <w:sz w:val="24"/>
                <w:szCs w:val="32"/>
                <w:lang w:val="en-US" w:eastAsia="zh-CN"/>
              </w:rPr>
              <w:t>废机油、捕收剂柴油</w:t>
            </w:r>
            <w:r>
              <w:rPr>
                <w:rFonts w:hint="eastAsia" w:ascii="Times New Roman" w:hAnsi="Times New Roman" w:eastAsia="宋体" w:cs="Times New Roman"/>
                <w:sz w:val="24"/>
              </w:rPr>
              <w:t>。</w:t>
            </w:r>
          </w:p>
          <w:p w14:paraId="038A5DEA">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b w:val="0"/>
                <w:bCs/>
                <w:sz w:val="24"/>
              </w:rPr>
            </w:pPr>
            <w:r>
              <w:rPr>
                <w:rFonts w:hint="eastAsia"/>
                <w:b w:val="0"/>
                <w:bCs/>
                <w:sz w:val="24"/>
                <w:lang w:eastAsia="zh-CN"/>
              </w:rPr>
              <w:t>2.</w:t>
            </w:r>
            <w:r>
              <w:rPr>
                <w:rFonts w:hint="eastAsia"/>
                <w:b w:val="0"/>
                <w:bCs/>
                <w:sz w:val="24"/>
              </w:rPr>
              <w:t>风险源分布</w:t>
            </w:r>
          </w:p>
          <w:p w14:paraId="448EB442">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sz w:val="24"/>
                <w:lang w:eastAsia="zh-CN"/>
              </w:rPr>
            </w:pPr>
            <w:r>
              <w:rPr>
                <w:rFonts w:hint="eastAsia"/>
                <w:sz w:val="24"/>
                <w:szCs w:val="32"/>
                <w:lang w:val="en-US" w:eastAsia="zh-CN"/>
              </w:rPr>
              <w:t>全厂</w:t>
            </w:r>
            <w:r>
              <w:rPr>
                <w:rFonts w:hint="eastAsia"/>
                <w:sz w:val="24"/>
              </w:rPr>
              <w:t>风险源分布情况</w:t>
            </w:r>
            <w:r>
              <w:rPr>
                <w:rFonts w:hint="eastAsia"/>
                <w:sz w:val="24"/>
                <w:lang w:eastAsia="zh-CN"/>
              </w:rPr>
              <w:t>见</w:t>
            </w:r>
            <w:r>
              <w:rPr>
                <w:rFonts w:hint="eastAsia"/>
                <w:sz w:val="24"/>
                <w:lang w:val="en-US" w:eastAsia="zh-CN"/>
              </w:rPr>
              <w:t>下</w:t>
            </w:r>
            <w:r>
              <w:rPr>
                <w:rFonts w:hint="eastAsia"/>
                <w:sz w:val="24"/>
                <w:lang w:eastAsia="zh-CN"/>
              </w:rPr>
              <w:t>表。</w:t>
            </w:r>
          </w:p>
          <w:p w14:paraId="1066F15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imes New Roman" w:hAnsi="Times New Roman" w:eastAsia="宋体" w:cs="Times New Roman"/>
                <w:b/>
                <w:bCs/>
                <w:kern w:val="0"/>
                <w:sz w:val="21"/>
                <w:szCs w:val="21"/>
                <w:lang w:val="en-US" w:eastAsia="zh-CN" w:bidi="ar-SA"/>
              </w:rPr>
            </w:pPr>
            <w:r>
              <w:rPr>
                <w:rFonts w:hint="eastAsia" w:ascii="Times New Roman" w:hAnsi="Times New Roman" w:eastAsia="宋体" w:cs="Times New Roman"/>
                <w:b/>
                <w:bCs/>
                <w:kern w:val="0"/>
                <w:sz w:val="21"/>
                <w:szCs w:val="21"/>
                <w:lang w:val="en-US" w:eastAsia="zh-CN" w:bidi="ar-SA"/>
              </w:rPr>
              <w:t>表4-10  危险物质分布情况表</w:t>
            </w:r>
          </w:p>
          <w:tbl>
            <w:tblPr>
              <w:tblStyle w:val="2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9"/>
              <w:gridCol w:w="1212"/>
              <w:gridCol w:w="1359"/>
              <w:gridCol w:w="1266"/>
              <w:gridCol w:w="977"/>
              <w:gridCol w:w="1275"/>
              <w:gridCol w:w="1127"/>
            </w:tblGrid>
            <w:tr w14:paraId="6669E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19" w:type="pct"/>
                  <w:noWrap w:val="0"/>
                  <w:vAlign w:val="center"/>
                </w:tcPr>
                <w:p w14:paraId="42DA9AD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zCs w:val="21"/>
                    </w:rPr>
                  </w:pPr>
                  <w:r>
                    <w:rPr>
                      <w:szCs w:val="21"/>
                    </w:rPr>
                    <w:t>序号</w:t>
                  </w:r>
                </w:p>
              </w:tc>
              <w:tc>
                <w:tcPr>
                  <w:tcW w:w="769" w:type="pct"/>
                  <w:noWrap w:val="0"/>
                  <w:vAlign w:val="center"/>
                </w:tcPr>
                <w:p w14:paraId="5313CED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zCs w:val="21"/>
                    </w:rPr>
                  </w:pPr>
                  <w:r>
                    <w:rPr>
                      <w:szCs w:val="21"/>
                    </w:rPr>
                    <w:t>危险物质</w:t>
                  </w:r>
                </w:p>
              </w:tc>
              <w:tc>
                <w:tcPr>
                  <w:tcW w:w="862" w:type="pct"/>
                  <w:noWrap w:val="0"/>
                  <w:vAlign w:val="center"/>
                </w:tcPr>
                <w:p w14:paraId="26909C5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szCs w:val="21"/>
                      <w:lang w:val="en-US" w:eastAsia="zh-CN"/>
                    </w:rPr>
                  </w:pPr>
                  <w:r>
                    <w:rPr>
                      <w:szCs w:val="21"/>
                    </w:rPr>
                    <w:t>最大储存量</w:t>
                  </w:r>
                </w:p>
              </w:tc>
              <w:tc>
                <w:tcPr>
                  <w:tcW w:w="803" w:type="pct"/>
                  <w:noWrap w:val="0"/>
                  <w:vAlign w:val="center"/>
                </w:tcPr>
                <w:p w14:paraId="0DE3951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zCs w:val="21"/>
                    </w:rPr>
                  </w:pPr>
                  <w:r>
                    <w:rPr>
                      <w:szCs w:val="21"/>
                    </w:rPr>
                    <w:t>临界量</w:t>
                  </w:r>
                </w:p>
              </w:tc>
              <w:tc>
                <w:tcPr>
                  <w:tcW w:w="620" w:type="pct"/>
                  <w:noWrap w:val="0"/>
                  <w:vAlign w:val="center"/>
                </w:tcPr>
                <w:p w14:paraId="5613771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zCs w:val="21"/>
                    </w:rPr>
                  </w:pPr>
                  <w:r>
                    <w:rPr>
                      <w:szCs w:val="21"/>
                    </w:rPr>
                    <w:t>qi/Qi</w:t>
                  </w:r>
                </w:p>
              </w:tc>
              <w:tc>
                <w:tcPr>
                  <w:tcW w:w="809" w:type="pct"/>
                  <w:noWrap w:val="0"/>
                  <w:vAlign w:val="center"/>
                </w:tcPr>
                <w:p w14:paraId="112099D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Cs w:val="21"/>
                    </w:rPr>
                  </w:pPr>
                  <w:r>
                    <w:rPr>
                      <w:color w:val="auto"/>
                      <w:szCs w:val="21"/>
                    </w:rPr>
                    <w:t>分布</w:t>
                  </w:r>
                </w:p>
              </w:tc>
              <w:tc>
                <w:tcPr>
                  <w:tcW w:w="715" w:type="pct"/>
                  <w:noWrap w:val="0"/>
                  <w:vAlign w:val="center"/>
                </w:tcPr>
                <w:p w14:paraId="438EDF4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zCs w:val="21"/>
                    </w:rPr>
                  </w:pPr>
                  <w:r>
                    <w:rPr>
                      <w:szCs w:val="21"/>
                    </w:rPr>
                    <w:t>风险类型</w:t>
                  </w:r>
                </w:p>
              </w:tc>
            </w:tr>
            <w:tr w14:paraId="75218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19" w:type="pct"/>
                  <w:noWrap w:val="0"/>
                  <w:vAlign w:val="center"/>
                </w:tcPr>
                <w:p w14:paraId="19BE057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szCs w:val="21"/>
                      <w:lang w:val="en-US" w:eastAsia="zh-CN"/>
                    </w:rPr>
                  </w:pPr>
                  <w:r>
                    <w:rPr>
                      <w:rFonts w:hint="eastAsia"/>
                      <w:szCs w:val="21"/>
                      <w:lang w:val="en-US" w:eastAsia="zh-CN"/>
                    </w:rPr>
                    <w:t>1</w:t>
                  </w:r>
                </w:p>
              </w:tc>
              <w:tc>
                <w:tcPr>
                  <w:tcW w:w="769" w:type="pct"/>
                  <w:noWrap w:val="0"/>
                  <w:vAlign w:val="center"/>
                </w:tcPr>
                <w:p w14:paraId="4F0E699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kern w:val="2"/>
                      <w:sz w:val="21"/>
                      <w:szCs w:val="21"/>
                      <w:lang w:val="en-US" w:eastAsia="zh-CN" w:bidi="ar-SA"/>
                    </w:rPr>
                  </w:pPr>
                  <w:r>
                    <w:rPr>
                      <w:rFonts w:hint="eastAsia"/>
                      <w:szCs w:val="21"/>
                      <w:lang w:eastAsia="zh-CN"/>
                    </w:rPr>
                    <w:t>废</w:t>
                  </w:r>
                  <w:r>
                    <w:rPr>
                      <w:rFonts w:hint="eastAsia"/>
                      <w:szCs w:val="21"/>
                      <w:lang w:val="en-US" w:eastAsia="zh-CN"/>
                    </w:rPr>
                    <w:t>机</w:t>
                  </w:r>
                  <w:r>
                    <w:rPr>
                      <w:rFonts w:hint="eastAsia"/>
                      <w:szCs w:val="21"/>
                      <w:lang w:eastAsia="zh-CN"/>
                    </w:rPr>
                    <w:t>油</w:t>
                  </w:r>
                </w:p>
              </w:tc>
              <w:tc>
                <w:tcPr>
                  <w:tcW w:w="862" w:type="pct"/>
                  <w:noWrap w:val="0"/>
                  <w:vAlign w:val="center"/>
                </w:tcPr>
                <w:p w14:paraId="7ECFAAD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kern w:val="2"/>
                      <w:sz w:val="21"/>
                      <w:szCs w:val="21"/>
                      <w:lang w:val="en-US" w:eastAsia="zh-CN" w:bidi="ar-SA"/>
                    </w:rPr>
                  </w:pPr>
                  <w:r>
                    <w:rPr>
                      <w:rFonts w:hint="eastAsia"/>
                      <w:szCs w:val="21"/>
                      <w:lang w:val="en-US" w:eastAsia="zh-CN"/>
                    </w:rPr>
                    <w:t>1t</w:t>
                  </w:r>
                </w:p>
              </w:tc>
              <w:tc>
                <w:tcPr>
                  <w:tcW w:w="803" w:type="pct"/>
                  <w:noWrap w:val="0"/>
                  <w:vAlign w:val="center"/>
                </w:tcPr>
                <w:p w14:paraId="62EB762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kern w:val="2"/>
                      <w:sz w:val="21"/>
                      <w:szCs w:val="21"/>
                      <w:lang w:val="en-US" w:eastAsia="zh-CN" w:bidi="ar-SA"/>
                    </w:rPr>
                  </w:pPr>
                  <w:r>
                    <w:rPr>
                      <w:rFonts w:hint="eastAsia"/>
                      <w:szCs w:val="21"/>
                      <w:lang w:val="en-US" w:eastAsia="zh-CN"/>
                    </w:rPr>
                    <w:t>2500t</w:t>
                  </w:r>
                </w:p>
              </w:tc>
              <w:tc>
                <w:tcPr>
                  <w:tcW w:w="620" w:type="pct"/>
                  <w:noWrap w:val="0"/>
                  <w:vAlign w:val="center"/>
                </w:tcPr>
                <w:p w14:paraId="164BAE4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kern w:val="2"/>
                      <w:sz w:val="21"/>
                      <w:szCs w:val="21"/>
                      <w:lang w:val="en-US" w:eastAsia="zh-CN" w:bidi="ar-SA"/>
                    </w:rPr>
                  </w:pPr>
                  <w:r>
                    <w:rPr>
                      <w:rFonts w:hint="eastAsia"/>
                      <w:szCs w:val="21"/>
                      <w:lang w:val="en-US" w:eastAsia="zh-CN"/>
                    </w:rPr>
                    <w:t>0.0004</w:t>
                  </w:r>
                </w:p>
              </w:tc>
              <w:tc>
                <w:tcPr>
                  <w:tcW w:w="809" w:type="pct"/>
                  <w:noWrap w:val="0"/>
                  <w:vAlign w:val="center"/>
                </w:tcPr>
                <w:p w14:paraId="7B89067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color w:val="auto"/>
                      <w:kern w:val="2"/>
                      <w:sz w:val="21"/>
                      <w:szCs w:val="21"/>
                      <w:lang w:val="en-US" w:eastAsia="zh-CN" w:bidi="ar-SA"/>
                    </w:rPr>
                  </w:pPr>
                  <w:r>
                    <w:rPr>
                      <w:rFonts w:hint="eastAsia"/>
                      <w:color w:val="auto"/>
                      <w:szCs w:val="21"/>
                      <w:lang w:eastAsia="zh-CN"/>
                    </w:rPr>
                    <w:t>危险废物贮存</w:t>
                  </w:r>
                  <w:r>
                    <w:rPr>
                      <w:rFonts w:hint="eastAsia"/>
                      <w:color w:val="auto"/>
                      <w:szCs w:val="21"/>
                      <w:lang w:val="en-US" w:eastAsia="zh-CN"/>
                    </w:rPr>
                    <w:t>点</w:t>
                  </w:r>
                </w:p>
              </w:tc>
              <w:tc>
                <w:tcPr>
                  <w:tcW w:w="715" w:type="pct"/>
                  <w:noWrap w:val="0"/>
                  <w:vAlign w:val="center"/>
                </w:tcPr>
                <w:p w14:paraId="271066E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kern w:val="2"/>
                      <w:sz w:val="21"/>
                      <w:szCs w:val="21"/>
                      <w:lang w:val="en-US" w:eastAsia="zh-CN" w:bidi="ar-SA"/>
                    </w:rPr>
                  </w:pPr>
                  <w:r>
                    <w:rPr>
                      <w:szCs w:val="21"/>
                    </w:rPr>
                    <w:t>火灾、泄</w:t>
                  </w:r>
                  <w:r>
                    <w:rPr>
                      <w:rFonts w:hint="eastAsia"/>
                      <w:szCs w:val="21"/>
                      <w:lang w:val="en-US" w:eastAsia="zh-CN"/>
                    </w:rPr>
                    <w:t>漏</w:t>
                  </w:r>
                </w:p>
              </w:tc>
            </w:tr>
            <w:tr w14:paraId="65471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19" w:type="pct"/>
                  <w:noWrap w:val="0"/>
                  <w:vAlign w:val="center"/>
                </w:tcPr>
                <w:p w14:paraId="4C18D9B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szCs w:val="21"/>
                      <w:lang w:val="en-US" w:eastAsia="zh-CN"/>
                    </w:rPr>
                  </w:pPr>
                  <w:r>
                    <w:rPr>
                      <w:rFonts w:hint="eastAsia"/>
                      <w:szCs w:val="21"/>
                      <w:lang w:val="en-US" w:eastAsia="zh-CN"/>
                    </w:rPr>
                    <w:t>2</w:t>
                  </w:r>
                </w:p>
              </w:tc>
              <w:tc>
                <w:tcPr>
                  <w:tcW w:w="769" w:type="pct"/>
                  <w:noWrap w:val="0"/>
                  <w:vAlign w:val="center"/>
                </w:tcPr>
                <w:p w14:paraId="6782CC5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szCs w:val="21"/>
                      <w:lang w:eastAsia="zh-CN"/>
                    </w:rPr>
                  </w:pPr>
                  <w:r>
                    <w:rPr>
                      <w:rFonts w:hint="eastAsia"/>
                      <w:szCs w:val="21"/>
                      <w:lang w:val="en-US" w:eastAsia="zh-CN"/>
                    </w:rPr>
                    <w:t>柴油</w:t>
                  </w:r>
                </w:p>
              </w:tc>
              <w:tc>
                <w:tcPr>
                  <w:tcW w:w="862" w:type="pct"/>
                  <w:noWrap w:val="0"/>
                  <w:vAlign w:val="center"/>
                </w:tcPr>
                <w:p w14:paraId="47391BD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szCs w:val="21"/>
                      <w:lang w:val="en-US" w:eastAsia="zh-CN"/>
                    </w:rPr>
                  </w:pPr>
                  <w:r>
                    <w:rPr>
                      <w:rFonts w:hint="eastAsia"/>
                      <w:szCs w:val="21"/>
                      <w:lang w:val="en-US" w:eastAsia="zh-CN"/>
                    </w:rPr>
                    <w:t>8.22</w:t>
                  </w:r>
                </w:p>
              </w:tc>
              <w:tc>
                <w:tcPr>
                  <w:tcW w:w="803" w:type="pct"/>
                  <w:noWrap w:val="0"/>
                  <w:vAlign w:val="center"/>
                </w:tcPr>
                <w:p w14:paraId="6601748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szCs w:val="21"/>
                      <w:lang w:val="en-US" w:eastAsia="zh-CN"/>
                    </w:rPr>
                  </w:pPr>
                  <w:r>
                    <w:rPr>
                      <w:rFonts w:hint="eastAsia"/>
                      <w:szCs w:val="21"/>
                      <w:lang w:val="en-US" w:eastAsia="zh-CN"/>
                    </w:rPr>
                    <w:t>2500t</w:t>
                  </w:r>
                </w:p>
              </w:tc>
              <w:tc>
                <w:tcPr>
                  <w:tcW w:w="620" w:type="pct"/>
                  <w:noWrap w:val="0"/>
                  <w:vAlign w:val="center"/>
                </w:tcPr>
                <w:p w14:paraId="4DED1A9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szCs w:val="21"/>
                      <w:lang w:val="en-US" w:eastAsia="zh-CN"/>
                    </w:rPr>
                  </w:pPr>
                  <w:r>
                    <w:rPr>
                      <w:rFonts w:hint="eastAsia"/>
                      <w:szCs w:val="21"/>
                      <w:lang w:val="en-US" w:eastAsia="zh-CN"/>
                    </w:rPr>
                    <w:t>0.0033</w:t>
                  </w:r>
                </w:p>
              </w:tc>
              <w:tc>
                <w:tcPr>
                  <w:tcW w:w="809" w:type="pct"/>
                  <w:noWrap w:val="0"/>
                  <w:vAlign w:val="center"/>
                </w:tcPr>
                <w:p w14:paraId="32FBBD2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Cs w:val="21"/>
                      <w:lang w:val="en-US" w:eastAsia="zh-CN"/>
                    </w:rPr>
                  </w:pPr>
                  <w:r>
                    <w:rPr>
                      <w:rFonts w:hint="eastAsia"/>
                      <w:color w:val="auto"/>
                      <w:szCs w:val="21"/>
                      <w:lang w:val="en-US" w:eastAsia="zh-CN"/>
                    </w:rPr>
                    <w:t>洗煤厂房</w:t>
                  </w:r>
                </w:p>
              </w:tc>
              <w:tc>
                <w:tcPr>
                  <w:tcW w:w="715" w:type="pct"/>
                  <w:noWrap w:val="0"/>
                  <w:vAlign w:val="center"/>
                </w:tcPr>
                <w:p w14:paraId="5A118DA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zCs w:val="21"/>
                    </w:rPr>
                  </w:pPr>
                  <w:r>
                    <w:rPr>
                      <w:szCs w:val="21"/>
                    </w:rPr>
                    <w:t>火灾、泄</w:t>
                  </w:r>
                  <w:r>
                    <w:rPr>
                      <w:rFonts w:hint="eastAsia"/>
                      <w:szCs w:val="21"/>
                      <w:lang w:val="en-US" w:eastAsia="zh-CN"/>
                    </w:rPr>
                    <w:t>漏</w:t>
                  </w:r>
                </w:p>
              </w:tc>
            </w:tr>
          </w:tbl>
          <w:p w14:paraId="4E77AAB4">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ascii="Times New Roman" w:hAnsi="Times New Roman" w:eastAsia="宋体" w:cs="Times New Roman"/>
                <w:sz w:val="24"/>
                <w:szCs w:val="32"/>
                <w:lang w:val="en-US" w:eastAsia="zh-CN"/>
              </w:rPr>
            </w:pPr>
            <w:r>
              <w:rPr>
                <w:rFonts w:hint="default" w:ascii="Times New Roman" w:hAnsi="Times New Roman" w:eastAsia="宋体" w:cs="Times New Roman"/>
                <w:sz w:val="24"/>
                <w:szCs w:val="32"/>
                <w:lang w:val="en-US" w:eastAsia="zh-CN"/>
              </w:rPr>
              <w:t>经计算得出Q＜1。根据《建设项目环境风险评价技术导则》（HJ169-2018）要求，当Q＜1时，该项目环境风险潜势为Ⅰ，本项目环境风险评价工作等级为简单分析。</w:t>
            </w:r>
          </w:p>
          <w:p w14:paraId="07F45D26">
            <w:pPr>
              <w:spacing w:line="440" w:lineRule="exact"/>
              <w:ind w:firstLine="480" w:firstLineChars="200"/>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7.3环境风险事故影响分析</w:t>
            </w:r>
          </w:p>
          <w:p w14:paraId="70A1DA93">
            <w:pPr>
              <w:spacing w:line="440" w:lineRule="exact"/>
              <w:ind w:firstLine="480" w:firstLineChars="200"/>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1</w:t>
            </w:r>
            <w:r>
              <w:rPr>
                <w:rFonts w:hint="eastAsia" w:ascii="Times New Roman" w:hAnsi="Times New Roman" w:eastAsia="宋体" w:cs="Times New Roman"/>
                <w:color w:val="auto"/>
                <w:sz w:val="24"/>
                <w:szCs w:val="24"/>
                <w:lang w:val="en-US" w:eastAsia="zh-CN"/>
              </w:rPr>
              <w:t>）废气处理系统的影响分析</w:t>
            </w:r>
          </w:p>
          <w:p w14:paraId="6D7A817C">
            <w:pPr>
              <w:spacing w:line="440" w:lineRule="exact"/>
              <w:ind w:firstLine="480" w:firstLineChars="200"/>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高浓度的粉尘污染物排放，导致下风向环境空气中颗粒物短时局部超标，停止生产后，事故排放可得到有效控制。</w:t>
            </w:r>
          </w:p>
          <w:p w14:paraId="6562A6CF">
            <w:pPr>
              <w:spacing w:line="440" w:lineRule="exact"/>
              <w:ind w:firstLine="480" w:firstLineChars="200"/>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2</w:t>
            </w:r>
            <w:r>
              <w:rPr>
                <w:rFonts w:hint="eastAsia" w:ascii="Times New Roman" w:hAnsi="Times New Roman" w:eastAsia="宋体" w:cs="Times New Roman"/>
                <w:color w:val="auto"/>
                <w:sz w:val="24"/>
                <w:szCs w:val="24"/>
                <w:lang w:val="en-US" w:eastAsia="zh-CN"/>
              </w:rPr>
              <w:t>）石油类泄漏的影响分析</w:t>
            </w:r>
          </w:p>
          <w:p w14:paraId="56779093">
            <w:pPr>
              <w:spacing w:line="440" w:lineRule="exact"/>
              <w:ind w:firstLine="480" w:firstLineChars="200"/>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废机油、柴油一旦泄漏进入外环境，对河流、土壤、生物均会造成污染。这种污染一般是范围较广、面积较大、后果较为严重，达到自然环境的完全恢复需要相当长的时间。对地表水的影响也是不能轻视的，地表水一旦遭到废矿物油的污染，水生生物会遭受破坏，人畜根本无法饮用；同时也有可能污染土壤和地下水，污染的土壤不仅会造成植物的死亡，而且土壤层吸附的废矿物油还会随着下渗补充到地下水，这样尽管污染源得到及时控制，但这种污染仅靠地表雨水入渗的冲刷，含水层的自净降解将是一个长期的过程，达到地下水的完全恢复需几十年甚至上百年的时间。</w:t>
            </w:r>
          </w:p>
          <w:p w14:paraId="7DE4BCE4">
            <w:pPr>
              <w:spacing w:line="440" w:lineRule="exact"/>
              <w:ind w:firstLine="480" w:firstLineChars="200"/>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3</w:t>
            </w:r>
            <w:r>
              <w:rPr>
                <w:rFonts w:hint="eastAsia" w:ascii="Times New Roman" w:hAnsi="Times New Roman" w:eastAsia="宋体" w:cs="Times New Roman"/>
                <w:color w:val="auto"/>
                <w:sz w:val="24"/>
                <w:szCs w:val="24"/>
                <w:lang w:val="en-US" w:eastAsia="zh-CN"/>
              </w:rPr>
              <w:t>）洗煤废水泄漏环境影响分析</w:t>
            </w:r>
          </w:p>
          <w:p w14:paraId="5B2FB3C1">
            <w:pPr>
              <w:spacing w:line="440" w:lineRule="exact"/>
              <w:ind w:firstLine="480" w:firstLineChars="200"/>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事故工况下，煤泥废水输送管道、浓缩池、循环水池等设施若发生破损泄漏，高浓度煤泥水若不经收集管控，漫流渗入土壤将会造成土壤污染；若废水外流进入周边地表水体，水中悬浮物、COD浓度将会升高，对地表水水质产生不利影响。煤泥水中悬浮煤粉在水体中易发生沉降，经过自然沉淀后水中污染物浓度可逐步下降，但泄漏废水仍会在短时间内对区域水环境造成冲击。</w:t>
            </w:r>
          </w:p>
          <w:p w14:paraId="619D732E">
            <w:pPr>
              <w:spacing w:line="440" w:lineRule="exact"/>
              <w:ind w:firstLine="480" w:firstLineChars="200"/>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根据《煤炭洗选工程设计规范》（GB50359-2016），“选用事故煤泥水池时，其有效容积应为厂内最大一台设备有效容积的1.2倍~1.5倍”，本项目厂内最大一台设备为浓缩池，容积为</w:t>
            </w:r>
            <w:r>
              <w:rPr>
                <w:rFonts w:hint="default" w:ascii="Times New Roman" w:hAnsi="Times New Roman" w:eastAsia="宋体" w:cs="Times New Roman"/>
                <w:color w:val="auto"/>
                <w:sz w:val="24"/>
                <w:szCs w:val="24"/>
                <w:lang w:val="en-US" w:eastAsia="zh-CN"/>
              </w:rPr>
              <w:t>847.8m</w:t>
            </w:r>
            <w:r>
              <w:rPr>
                <w:rFonts w:hint="default" w:ascii="Times New Roman" w:hAnsi="Times New Roman" w:eastAsia="宋体" w:cs="Times New Roman"/>
                <w:color w:val="auto"/>
                <w:sz w:val="24"/>
                <w:szCs w:val="24"/>
                <w:vertAlign w:val="superscript"/>
                <w:lang w:val="en-US" w:eastAsia="zh-CN"/>
              </w:rPr>
              <w:t>3</w:t>
            </w:r>
            <w:r>
              <w:rPr>
                <w:rFonts w:hint="eastAsia" w:ascii="Times New Roman" w:hAnsi="Times New Roman" w:eastAsia="宋体" w:cs="Times New Roman"/>
                <w:color w:val="auto"/>
                <w:sz w:val="24"/>
                <w:szCs w:val="24"/>
                <w:vertAlign w:val="baseline"/>
                <w:lang w:val="en-US" w:eastAsia="zh-CN"/>
              </w:rPr>
              <w:t>，本</w:t>
            </w:r>
            <w:r>
              <w:rPr>
                <w:rFonts w:hint="eastAsia" w:ascii="Times New Roman" w:hAnsi="Times New Roman" w:eastAsia="宋体" w:cs="Times New Roman"/>
                <w:color w:val="auto"/>
                <w:sz w:val="24"/>
                <w:szCs w:val="24"/>
                <w:lang w:val="en-US" w:eastAsia="zh-CN"/>
              </w:rPr>
              <w:t>项目设置一处事故水池，容积为1271.7m³，一旦发生煤泥水泄漏事故，需第一时间停止洗选生产，开启应急导排措施，将泄漏煤泥水导入事故水池内暂存，杜绝废水外流。待废水输送、浓缩沉淀设施检修完成后，将事故水池内暂存的煤泥水泵送回厂区洗选循环系统处理后回用，实现事故废水不外排。通过上述应急防控措施，项目可有效防范洗煤废水泄漏造成的土壤及地表水环境污染风险，事故状态下废水可控，对区域土壤、地表水环境影响较小。</w:t>
            </w:r>
          </w:p>
          <w:p w14:paraId="435A07AC">
            <w:pPr>
              <w:spacing w:line="440" w:lineRule="exact"/>
              <w:ind w:firstLine="480" w:firstLineChars="200"/>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（4）为杜绝项目非正常排放，项目应做到以下几点：</w:t>
            </w:r>
          </w:p>
          <w:p w14:paraId="30CD7B40">
            <w:pPr>
              <w:spacing w:line="440" w:lineRule="exact"/>
              <w:ind w:firstLine="480" w:firstLineChars="200"/>
              <w:rPr>
                <w:rFonts w:hint="eastAsia"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1</w:t>
            </w:r>
            <w:r>
              <w:rPr>
                <w:rFonts w:hint="eastAsia" w:ascii="Times New Roman" w:hAnsi="Times New Roman" w:eastAsia="宋体" w:cs="Times New Roman"/>
                <w:color w:val="auto"/>
                <w:sz w:val="24"/>
                <w:szCs w:val="24"/>
                <w:lang w:val="en-US" w:eastAsia="zh-CN"/>
              </w:rPr>
              <w:t>）企业应定期对环保设施（如污水管、深锥浓缩池、除尘设备等）进行检查维护，保证运行良好，尽可能杜绝一切事故发生；</w:t>
            </w:r>
          </w:p>
          <w:p w14:paraId="75BD3B56">
            <w:pPr>
              <w:spacing w:line="440" w:lineRule="exact"/>
              <w:ind w:firstLine="480" w:firstLineChars="200"/>
              <w:rPr>
                <w:rFonts w:hint="eastAsia"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2</w:t>
            </w:r>
            <w:r>
              <w:rPr>
                <w:rFonts w:hint="eastAsia" w:ascii="Times New Roman" w:hAnsi="Times New Roman" w:eastAsia="宋体" w:cs="Times New Roman"/>
                <w:color w:val="auto"/>
                <w:sz w:val="24"/>
                <w:szCs w:val="24"/>
                <w:lang w:val="en-US" w:eastAsia="zh-CN"/>
              </w:rPr>
              <w:t>）严禁在厂区内设置专门的机械修理车间；</w:t>
            </w:r>
          </w:p>
          <w:p w14:paraId="11A68DF0">
            <w:pPr>
              <w:spacing w:line="440" w:lineRule="exact"/>
              <w:ind w:firstLine="480" w:firstLineChars="200"/>
              <w:rPr>
                <w:rFonts w:hint="eastAsia"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3</w:t>
            </w:r>
            <w:r>
              <w:rPr>
                <w:rFonts w:hint="eastAsia" w:ascii="Times New Roman" w:hAnsi="Times New Roman" w:eastAsia="宋体" w:cs="Times New Roman"/>
                <w:color w:val="auto"/>
                <w:sz w:val="24"/>
                <w:szCs w:val="24"/>
                <w:lang w:val="en-US" w:eastAsia="zh-CN"/>
              </w:rPr>
              <w:t>）不得在厂区内存放易燃易爆物品；</w:t>
            </w:r>
          </w:p>
          <w:p w14:paraId="4D5F80E0">
            <w:pPr>
              <w:spacing w:line="440" w:lineRule="exact"/>
              <w:ind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4</w:t>
            </w:r>
            <w:r>
              <w:rPr>
                <w:rFonts w:hint="eastAsia" w:ascii="Times New Roman" w:hAnsi="Times New Roman" w:eastAsia="宋体" w:cs="Times New Roman"/>
                <w:color w:val="auto"/>
                <w:sz w:val="24"/>
                <w:szCs w:val="24"/>
                <w:lang w:val="en-US" w:eastAsia="zh-CN"/>
              </w:rPr>
              <w:t>）定期检查机械设备，对于出现问题的设备，应停止使用，经修理完善后方可投入生产。</w:t>
            </w:r>
          </w:p>
          <w:p w14:paraId="152D26A4">
            <w:pPr>
              <w:spacing w:line="440" w:lineRule="exact"/>
              <w:ind w:firstLine="480" w:firstLineChars="200"/>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5</w:t>
            </w:r>
            <w:r>
              <w:rPr>
                <w:rFonts w:hint="eastAsia" w:ascii="Times New Roman" w:hAnsi="Times New Roman" w:eastAsia="宋体" w:cs="Times New Roman"/>
                <w:color w:val="auto"/>
                <w:sz w:val="24"/>
                <w:szCs w:val="24"/>
                <w:lang w:val="en-US" w:eastAsia="zh-CN"/>
              </w:rPr>
              <w:t>）环境风险防范措施</w:t>
            </w:r>
          </w:p>
          <w:p w14:paraId="1E23AF7D">
            <w:pPr>
              <w:spacing w:line="440" w:lineRule="exact"/>
              <w:ind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1</w:t>
            </w:r>
            <w:r>
              <w:rPr>
                <w:rFonts w:hint="eastAsia" w:ascii="Times New Roman" w:hAnsi="Times New Roman" w:eastAsia="宋体" w:cs="Times New Roman"/>
                <w:color w:val="auto"/>
                <w:sz w:val="24"/>
                <w:szCs w:val="24"/>
                <w:lang w:val="en-US" w:eastAsia="zh-CN"/>
              </w:rPr>
              <w:t>）煤场煤炭自燃风险防范措施</w:t>
            </w:r>
          </w:p>
          <w:p w14:paraId="5CB0C4D3">
            <w:pPr>
              <w:spacing w:line="440" w:lineRule="exact"/>
              <w:ind w:firstLine="480" w:firstLineChars="200"/>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①车间内煤炭堆场工作面采取喷洒作业措施，生产作业时扬起煤尘可大幅减少，有利于防止煤堆自燃；</w:t>
            </w:r>
          </w:p>
          <w:p w14:paraId="3E0884EF">
            <w:pPr>
              <w:spacing w:line="440" w:lineRule="exact"/>
              <w:ind w:firstLine="480" w:firstLineChars="200"/>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②在洗选车间内生产区各处悬挂禁止火种带入、禁止吸烟等警示牌；</w:t>
            </w:r>
          </w:p>
          <w:p w14:paraId="22AFCAFF">
            <w:pPr>
              <w:spacing w:line="440" w:lineRule="exact"/>
              <w:ind w:firstLine="480" w:firstLineChars="200"/>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③在车间内主要风险单元处配备不同类型的灭火器具，以便在浮选药剂泄漏等发生火灾时用于防灭火工作；</w:t>
            </w:r>
          </w:p>
          <w:p w14:paraId="70D36117">
            <w:pPr>
              <w:spacing w:line="440" w:lineRule="exact"/>
              <w:ind w:firstLine="480" w:firstLineChars="200"/>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④车间内电气设备和高低压供电线路均按《煤矿安全规程》的要求选取，加强对其管理与维护，避免因发生短路和绝缘材料破坏漏电而引起的火灾事故；</w:t>
            </w:r>
          </w:p>
          <w:p w14:paraId="36974F14">
            <w:pPr>
              <w:spacing w:line="440" w:lineRule="exact"/>
              <w:ind w:firstLine="480" w:firstLineChars="200"/>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⑤加强对车间工作面日常管理工作，对煤堆自燃发火情况组织日常安全检查，及时掌握煤堆自燃发火情况，以便及时采取有效的防灭火措施，有效预防煤堆火灾事故的发生。</w:t>
            </w:r>
          </w:p>
          <w:p w14:paraId="43137BC7">
            <w:pPr>
              <w:spacing w:line="440" w:lineRule="exact"/>
              <w:ind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2</w:t>
            </w:r>
            <w:r>
              <w:rPr>
                <w:rFonts w:hint="eastAsia" w:ascii="Times New Roman" w:hAnsi="Times New Roman" w:eastAsia="宋体" w:cs="Times New Roman"/>
                <w:color w:val="auto"/>
                <w:sz w:val="24"/>
                <w:szCs w:val="24"/>
                <w:lang w:val="en-US" w:eastAsia="zh-CN"/>
              </w:rPr>
              <w:t>）废水（煤泥水）事故外排防范措施</w:t>
            </w:r>
          </w:p>
          <w:p w14:paraId="18C153DE">
            <w:pPr>
              <w:spacing w:line="440" w:lineRule="exact"/>
              <w:ind w:firstLine="480" w:firstLineChars="200"/>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洗煤厂房生产中任何系统设备故障所引起的废水（煤泥水）外排风险，均可通过采取临时停产检修措施来避免。采取以下防范措施防止洗煤废水事故排放对水环境的影响：</w:t>
            </w:r>
          </w:p>
          <w:p w14:paraId="1DDBACFA">
            <w:pPr>
              <w:spacing w:line="440" w:lineRule="exact"/>
              <w:ind w:firstLine="480" w:firstLineChars="200"/>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①洗煤厂房设计采用一套控制装置对洗煤过程、煤泥水处理等系统实现自动控制。当设备出现故障时，自动实现闭锁控制，可避免事故扩大。系统具有起车预告、停车指示等功能，并且具有全过程监控与跟踪控制，从而保证安全生产，缩短事故处理时间，杜绝煤泥水外排。建设单位必得制定严格的工艺操作规程，加强安全监督和管理，提高职工的安全意识和环境意识，坚决杜绝人为事故造成煤泥水外排。</w:t>
            </w:r>
          </w:p>
          <w:p w14:paraId="49294C62">
            <w:pPr>
              <w:spacing w:line="440" w:lineRule="exact"/>
              <w:ind w:firstLine="480" w:firstLineChars="200"/>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②加强设备维护，保证设备正常运行，减少浓缩机、压滤机故障加强对全厂设备的日常维护，保证设备正常运行，特别加强对浓缩机、压滤机的运行管理，减少或杜绝浓缩机、压滤机故障，避免造成煤泥水外排。</w:t>
            </w:r>
          </w:p>
          <w:p w14:paraId="4D26A26C">
            <w:pPr>
              <w:spacing w:line="440" w:lineRule="exact"/>
              <w:ind w:firstLine="480" w:firstLineChars="200"/>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③项目设置有事故水池，确保洗煤厂事故煤泥水不外排。当设备发生故障时，煤泥水能全部进入事故水池暂存，及时停产检修。恢复正常生产后，煤泥水返回生产系统回用于洗煤生产，杜绝煤泥水外排。</w:t>
            </w:r>
          </w:p>
          <w:p w14:paraId="4E284F80">
            <w:pPr>
              <w:spacing w:line="440" w:lineRule="exact"/>
              <w:ind w:firstLine="480" w:firstLineChars="200"/>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3）浮选药剂泄漏环境风险防范措施</w:t>
            </w:r>
          </w:p>
          <w:p w14:paraId="0C2B038C">
            <w:pPr>
              <w:spacing w:line="440" w:lineRule="exact"/>
              <w:ind w:firstLine="480" w:firstLineChars="200"/>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①浮选药剂仲辛醇药剂桶加药区设围堰及导排沟与事故水池相连，确保仲辛醇泄漏时不会流出场外；</w:t>
            </w:r>
          </w:p>
          <w:p w14:paraId="5BF58877">
            <w:pPr>
              <w:spacing w:line="440" w:lineRule="exact"/>
              <w:ind w:firstLine="480" w:firstLineChars="200"/>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②药剂桶加药区周边设消防沙池及灭火器；</w:t>
            </w:r>
          </w:p>
          <w:p w14:paraId="6B368D19">
            <w:pPr>
              <w:spacing w:line="440" w:lineRule="exact"/>
              <w:ind w:firstLine="480" w:firstLineChars="200"/>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③严禁火源进入洗选车间，对明火严格控制，明火发生源为火柴、打火机等；</w:t>
            </w:r>
          </w:p>
          <w:p w14:paraId="2B020D06">
            <w:pPr>
              <w:spacing w:line="440" w:lineRule="exact"/>
              <w:ind w:firstLine="480" w:firstLineChars="200"/>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④设置严禁烟火标识标志；</w:t>
            </w:r>
          </w:p>
          <w:p w14:paraId="49A40B29">
            <w:pPr>
              <w:spacing w:line="440" w:lineRule="exact"/>
              <w:ind w:firstLine="480" w:firstLineChars="200"/>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⑤加强浮选剂的管理。本项目应按要求采取以上措施，对周围造成的环境风险不大。</w:t>
            </w:r>
          </w:p>
          <w:p w14:paraId="5C899340">
            <w:pPr>
              <w:spacing w:line="440" w:lineRule="exact"/>
              <w:ind w:firstLine="480" w:firstLineChars="200"/>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7.4事故应急预案</w:t>
            </w:r>
          </w:p>
          <w:p w14:paraId="4B96EF44">
            <w:pPr>
              <w:spacing w:line="440" w:lineRule="exact"/>
              <w:ind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企业应按照国家、地方和相关部门要求，编制突发环境事件应急预案，包括预案适用范围、环境事件分类与分级、组织机构与职责、监控和预警、应急响应、应急保障、善后处置、演练等内容。</w:t>
            </w:r>
          </w:p>
          <w:p w14:paraId="10CE4880">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lang w:val="en-US" w:eastAsia="zh-CN"/>
              </w:rPr>
            </w:pPr>
            <w:bookmarkStart w:id="7" w:name="_Toc22288"/>
            <w:r>
              <w:rPr>
                <w:rFonts w:hint="default" w:ascii="Times New Roman" w:hAnsi="Times New Roman" w:eastAsia="宋体" w:cs="Times New Roman"/>
                <w:b w:val="0"/>
                <w:bCs w:val="0"/>
                <w:color w:val="auto"/>
                <w:sz w:val="24"/>
                <w:szCs w:val="24"/>
                <w:lang w:val="en-US" w:eastAsia="zh-CN"/>
              </w:rPr>
              <w:t>8、排污口规范化管理</w:t>
            </w:r>
            <w:bookmarkEnd w:id="7"/>
          </w:p>
          <w:p w14:paraId="64996983">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排污口是企业排放污染物进入环</w:t>
            </w:r>
            <w:r>
              <w:rPr>
                <w:rFonts w:hint="default" w:ascii="Times New Roman" w:hAnsi="Times New Roman" w:eastAsia="宋体" w:cs="Times New Roman"/>
                <w:color w:val="auto"/>
                <w:sz w:val="24"/>
                <w:szCs w:val="24"/>
                <w:lang w:val="en-US" w:eastAsia="zh-CN"/>
              </w:rPr>
              <w:t>境的通道，强化排污口的管理是实施污染物总量控制的基础工作之一，也是区域环境管理逐步实现污染物排放科学化、定量化的重要手段。</w:t>
            </w:r>
          </w:p>
          <w:p w14:paraId="504CD798">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lang w:val="en-US" w:eastAsia="zh-CN"/>
              </w:rPr>
            </w:pPr>
            <w:bookmarkStart w:id="8" w:name="_Toc487036681"/>
            <w:bookmarkEnd w:id="8"/>
            <w:bookmarkStart w:id="9" w:name="_Toc487010494"/>
            <w:bookmarkEnd w:id="9"/>
            <w:bookmarkStart w:id="10" w:name="_Toc486955624"/>
            <w:bookmarkEnd w:id="10"/>
            <w:bookmarkStart w:id="11" w:name="_Toc490495635"/>
            <w:bookmarkEnd w:id="11"/>
            <w:bookmarkStart w:id="12" w:name="_Toc486955473"/>
            <w:bookmarkEnd w:id="12"/>
            <w:bookmarkStart w:id="13" w:name="_Toc477763239"/>
            <w:bookmarkStart w:id="14" w:name="_Toc530"/>
            <w:r>
              <w:rPr>
                <w:rFonts w:hint="default" w:ascii="Times New Roman" w:hAnsi="Times New Roman" w:eastAsia="宋体" w:cs="Times New Roman"/>
                <w:color w:val="auto"/>
                <w:sz w:val="24"/>
                <w:szCs w:val="24"/>
                <w:lang w:val="en-US" w:eastAsia="zh-CN"/>
              </w:rPr>
              <w:t>（1）排污口立标管理原则</w:t>
            </w:r>
            <w:bookmarkEnd w:id="13"/>
            <w:bookmarkEnd w:id="14"/>
          </w:p>
          <w:p w14:paraId="5F02DC4A">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1）向环境排放污染物的排污口必须规范化。</w:t>
            </w:r>
          </w:p>
          <w:p w14:paraId="2593C10B">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pacing w:val="7"/>
                <w:sz w:val="24"/>
                <w:szCs w:val="24"/>
                <w:lang w:val="en-US" w:eastAsia="zh-CN"/>
              </w:rPr>
            </w:pPr>
            <w:r>
              <w:rPr>
                <w:rFonts w:hint="default" w:ascii="Times New Roman" w:hAnsi="Times New Roman" w:eastAsia="宋体" w:cs="Times New Roman"/>
                <w:color w:val="auto"/>
                <w:sz w:val="24"/>
                <w:szCs w:val="24"/>
                <w:lang w:val="en-US" w:eastAsia="zh-CN"/>
              </w:rPr>
              <w:t>2）排污口应便于采样与计量监测，便于日常现场监督检查。</w:t>
            </w:r>
          </w:p>
          <w:p w14:paraId="106A0353">
            <w:pPr>
              <w:pStyle w:val="10"/>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3）各污染物排放口，应按国家《环境保护图形标志》（15562.1-1995）与（GB15562.2-1995）</w:t>
            </w:r>
            <w:r>
              <w:rPr>
                <w:rFonts w:hint="default" w:ascii="Times New Roman" w:hAnsi="Times New Roman" w:cs="Times New Roman"/>
                <w:lang w:val="en-US" w:eastAsia="zh-CN"/>
              </w:rPr>
              <w:t>（2023年修改）</w:t>
            </w:r>
            <w:r>
              <w:rPr>
                <w:rFonts w:hint="default" w:ascii="Times New Roman" w:hAnsi="Times New Roman" w:eastAsia="宋体" w:cs="Times New Roman"/>
                <w:color w:val="auto"/>
                <w:sz w:val="24"/>
                <w:szCs w:val="24"/>
                <w:lang w:val="en-US" w:eastAsia="zh-CN"/>
              </w:rPr>
              <w:t>的规定，设置国家环保部统一制作的环境保护图形标志牌。</w:t>
            </w:r>
          </w:p>
          <w:p w14:paraId="1541ECFA">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4）污染物排放口的环保图形标志牌应设置在靠近采样点的醒目处，标志牌设置高度为其上缘距地面2m。</w:t>
            </w:r>
          </w:p>
          <w:p w14:paraId="7805E0EA">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5）在固定噪声源风机对厂界噪声影响最大处设置环境保护图形标志牌。</w:t>
            </w:r>
          </w:p>
          <w:p w14:paraId="1C03E68C">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6）固体废物储存场所要有防火、防扬散、防流失、防渗漏、防雨措施，固体废物贮存场所在醒目处设置一个标志牌。</w:t>
            </w:r>
          </w:p>
          <w:p w14:paraId="6C546A80">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lang w:val="en-US" w:eastAsia="zh-CN"/>
              </w:rPr>
            </w:pPr>
            <w:bookmarkStart w:id="15" w:name="_Toc490495636"/>
            <w:bookmarkEnd w:id="15"/>
            <w:bookmarkStart w:id="16" w:name="_Toc487036682"/>
            <w:bookmarkEnd w:id="16"/>
            <w:bookmarkStart w:id="17" w:name="_Toc477763240"/>
            <w:bookmarkEnd w:id="17"/>
            <w:bookmarkStart w:id="18" w:name="_Toc486955474"/>
            <w:bookmarkEnd w:id="18"/>
            <w:bookmarkStart w:id="19" w:name="_Toc487010495"/>
            <w:bookmarkEnd w:id="19"/>
            <w:bookmarkStart w:id="20" w:name="_Toc19556"/>
            <w:bookmarkStart w:id="21" w:name="_Toc486955625"/>
            <w:r>
              <w:rPr>
                <w:rFonts w:hint="default" w:ascii="Times New Roman" w:hAnsi="Times New Roman" w:eastAsia="宋体" w:cs="Times New Roman"/>
                <w:color w:val="auto"/>
                <w:sz w:val="24"/>
                <w:szCs w:val="24"/>
                <w:lang w:val="en-US" w:eastAsia="zh-CN"/>
              </w:rPr>
              <w:t>（2）排污口的技术要求</w:t>
            </w:r>
            <w:bookmarkEnd w:id="20"/>
            <w:bookmarkEnd w:id="21"/>
          </w:p>
          <w:p w14:paraId="3F22A5B3">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1）排污口位置须合理确定，依据环监[1996]470号文件要求进行规范化管理。</w:t>
            </w:r>
          </w:p>
          <w:p w14:paraId="1339B1C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2）排放污染物的采样点设置，应按照《污染源监测技术规范》要求设置，设置在废气排气筒等位置。</w:t>
            </w:r>
          </w:p>
          <w:p w14:paraId="1D728E1A">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lang w:val="en-US" w:eastAsia="zh-CN"/>
              </w:rPr>
            </w:pPr>
            <w:bookmarkStart w:id="22" w:name="_Toc490495637"/>
            <w:bookmarkStart w:id="23" w:name="_Toc19346"/>
            <w:r>
              <w:rPr>
                <w:rFonts w:hint="default" w:ascii="Times New Roman" w:hAnsi="Times New Roman" w:eastAsia="宋体" w:cs="Times New Roman"/>
                <w:color w:val="auto"/>
                <w:sz w:val="24"/>
                <w:szCs w:val="24"/>
                <w:lang w:val="en-US" w:eastAsia="zh-CN"/>
              </w:rPr>
              <w:t>（3）排污口立标管理</w:t>
            </w:r>
            <w:bookmarkEnd w:id="22"/>
            <w:bookmarkEnd w:id="23"/>
          </w:p>
          <w:p w14:paraId="6A4F4309">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按照生态环境部、新疆维吾尔自治区生态环境厅关于对排放口规范化整治的统一要求，规范废气、废水采样平台，便于环境管理及监测部门的日常监督、检查和监测。</w:t>
            </w:r>
          </w:p>
          <w:p w14:paraId="1ECC966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在项目施工时须对所有排污口按规定进行核实，明确排污口数量、位置以及排放主要污染物的种类、数量、浓度、排放去向等，设置环保图形标志牌，设置便于采样监测的平台、采样孔，其总数目和位置须符合《固定污染物源排气中颗粒物与气态污染物采样方法》（GB/T16157-1996）的要求，并根据国家环保局制定的《〈环境保护图形标志〉实施细则（试行）》（环监[1996]463号）规定对排污口进行标识。详见下表：</w:t>
            </w:r>
          </w:p>
          <w:p w14:paraId="72357B36">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表</w:t>
            </w:r>
            <w:r>
              <w:rPr>
                <w:rFonts w:hint="eastAsia" w:ascii="Times New Roman" w:hAnsi="Times New Roman" w:eastAsia="宋体" w:cs="Times New Roman"/>
                <w:b/>
                <w:bCs/>
                <w:color w:val="auto"/>
                <w:sz w:val="21"/>
                <w:szCs w:val="21"/>
                <w:lang w:val="en-US" w:eastAsia="zh-CN"/>
              </w:rPr>
              <w:t>4-11</w:t>
            </w:r>
            <w:r>
              <w:rPr>
                <w:rFonts w:hint="default" w:ascii="Times New Roman" w:hAnsi="Times New Roman" w:eastAsia="宋体" w:cs="Times New Roman"/>
                <w:b/>
                <w:bCs/>
                <w:color w:val="auto"/>
                <w:sz w:val="21"/>
                <w:szCs w:val="21"/>
              </w:rPr>
              <w:t xml:space="preserve">   环保图形标志形状、颜色</w:t>
            </w:r>
          </w:p>
          <w:tbl>
            <w:tblPr>
              <w:tblStyle w:val="67"/>
              <w:tblW w:w="4998"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970"/>
              <w:gridCol w:w="1965"/>
              <w:gridCol w:w="1966"/>
              <w:gridCol w:w="1974"/>
            </w:tblGrid>
            <w:tr w14:paraId="77335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250" w:type="pct"/>
                  <w:tcBorders>
                    <w:tl2br w:val="nil"/>
                    <w:tr2bl w:val="nil"/>
                  </w:tcBorders>
                  <w:noWrap w:val="0"/>
                  <w:vAlign w:val="center"/>
                </w:tcPr>
                <w:p w14:paraId="75EC40E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符号</w:t>
                  </w:r>
                </w:p>
              </w:tc>
              <w:tc>
                <w:tcPr>
                  <w:tcW w:w="1247" w:type="pct"/>
                  <w:tcBorders>
                    <w:tl2br w:val="nil"/>
                    <w:tr2bl w:val="nil"/>
                  </w:tcBorders>
                  <w:noWrap w:val="0"/>
                  <w:vAlign w:val="center"/>
                </w:tcPr>
                <w:p w14:paraId="4490453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形状</w:t>
                  </w:r>
                </w:p>
              </w:tc>
              <w:tc>
                <w:tcPr>
                  <w:tcW w:w="1248" w:type="pct"/>
                  <w:tcBorders>
                    <w:tl2br w:val="nil"/>
                    <w:tr2bl w:val="nil"/>
                  </w:tcBorders>
                  <w:noWrap w:val="0"/>
                  <w:vAlign w:val="center"/>
                </w:tcPr>
                <w:p w14:paraId="502F11E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背景颜色</w:t>
                  </w:r>
                </w:p>
              </w:tc>
              <w:tc>
                <w:tcPr>
                  <w:tcW w:w="1253" w:type="pct"/>
                  <w:tcBorders>
                    <w:tl2br w:val="nil"/>
                    <w:tr2bl w:val="nil"/>
                  </w:tcBorders>
                  <w:noWrap w:val="0"/>
                  <w:vAlign w:val="center"/>
                </w:tcPr>
                <w:p w14:paraId="67F7B86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图形颜色</w:t>
                  </w:r>
                </w:p>
              </w:tc>
            </w:tr>
            <w:tr w14:paraId="465AB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250" w:type="pct"/>
                  <w:tcBorders>
                    <w:tl2br w:val="nil"/>
                    <w:tr2bl w:val="nil"/>
                  </w:tcBorders>
                  <w:noWrap w:val="0"/>
                  <w:vAlign w:val="center"/>
                </w:tcPr>
                <w:p w14:paraId="32B3DEE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提示性图形符号</w:t>
                  </w:r>
                </w:p>
              </w:tc>
              <w:tc>
                <w:tcPr>
                  <w:tcW w:w="1247" w:type="pct"/>
                  <w:tcBorders>
                    <w:tl2br w:val="nil"/>
                    <w:tr2bl w:val="nil"/>
                  </w:tcBorders>
                  <w:noWrap w:val="0"/>
                  <w:vAlign w:val="center"/>
                </w:tcPr>
                <w:p w14:paraId="562F9E2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正方形边框</w:t>
                  </w:r>
                </w:p>
              </w:tc>
              <w:tc>
                <w:tcPr>
                  <w:tcW w:w="1248" w:type="pct"/>
                  <w:tcBorders>
                    <w:tl2br w:val="nil"/>
                    <w:tr2bl w:val="nil"/>
                  </w:tcBorders>
                  <w:noWrap w:val="0"/>
                  <w:vAlign w:val="center"/>
                </w:tcPr>
                <w:p w14:paraId="21BAABD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绿色</w:t>
                  </w:r>
                </w:p>
              </w:tc>
              <w:tc>
                <w:tcPr>
                  <w:tcW w:w="1253" w:type="pct"/>
                  <w:tcBorders>
                    <w:tl2br w:val="nil"/>
                    <w:tr2bl w:val="nil"/>
                  </w:tcBorders>
                  <w:noWrap w:val="0"/>
                  <w:vAlign w:val="center"/>
                </w:tcPr>
                <w:p w14:paraId="57535C3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白色</w:t>
                  </w:r>
                </w:p>
              </w:tc>
            </w:tr>
            <w:tr w14:paraId="67DFD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250" w:type="pct"/>
                  <w:tcBorders>
                    <w:tl2br w:val="nil"/>
                    <w:tr2bl w:val="nil"/>
                  </w:tcBorders>
                  <w:noWrap w:val="0"/>
                  <w:vAlign w:val="center"/>
                </w:tcPr>
                <w:p w14:paraId="26F4C76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警告图形符号</w:t>
                  </w:r>
                </w:p>
              </w:tc>
              <w:tc>
                <w:tcPr>
                  <w:tcW w:w="1247" w:type="pct"/>
                  <w:tcBorders>
                    <w:tl2br w:val="nil"/>
                    <w:tr2bl w:val="nil"/>
                  </w:tcBorders>
                  <w:noWrap w:val="0"/>
                  <w:vAlign w:val="center"/>
                </w:tcPr>
                <w:p w14:paraId="5F31232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三角形边框</w:t>
                  </w:r>
                </w:p>
              </w:tc>
              <w:tc>
                <w:tcPr>
                  <w:tcW w:w="1248" w:type="pct"/>
                  <w:tcBorders>
                    <w:tl2br w:val="nil"/>
                    <w:tr2bl w:val="nil"/>
                  </w:tcBorders>
                  <w:noWrap w:val="0"/>
                  <w:vAlign w:val="center"/>
                </w:tcPr>
                <w:p w14:paraId="6ACC9C6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黄色</w:t>
                  </w:r>
                </w:p>
              </w:tc>
              <w:tc>
                <w:tcPr>
                  <w:tcW w:w="1253" w:type="pct"/>
                  <w:tcBorders>
                    <w:tl2br w:val="nil"/>
                    <w:tr2bl w:val="nil"/>
                  </w:tcBorders>
                  <w:noWrap w:val="0"/>
                  <w:vAlign w:val="center"/>
                </w:tcPr>
                <w:p w14:paraId="312659F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黑色</w:t>
                  </w:r>
                </w:p>
              </w:tc>
            </w:tr>
          </w:tbl>
          <w:p w14:paraId="178EA43C">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表</w:t>
            </w:r>
            <w:r>
              <w:rPr>
                <w:rFonts w:hint="eastAsia" w:ascii="Times New Roman" w:hAnsi="Times New Roman" w:eastAsia="宋体" w:cs="Times New Roman"/>
                <w:b/>
                <w:bCs/>
                <w:color w:val="auto"/>
                <w:sz w:val="21"/>
                <w:szCs w:val="21"/>
                <w:lang w:val="en-US" w:eastAsia="zh-CN"/>
              </w:rPr>
              <w:t>4-12</w:t>
            </w:r>
            <w:r>
              <w:rPr>
                <w:rFonts w:hint="default" w:ascii="Times New Roman" w:hAnsi="Times New Roman" w:eastAsia="宋体" w:cs="Times New Roman"/>
                <w:b/>
                <w:bCs/>
                <w:color w:val="auto"/>
                <w:sz w:val="21"/>
                <w:szCs w:val="21"/>
              </w:rPr>
              <w:t xml:space="preserve">   环境保护图形标志</w:t>
            </w:r>
          </w:p>
          <w:tbl>
            <w:tblPr>
              <w:tblStyle w:val="2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73"/>
              <w:gridCol w:w="1788"/>
              <w:gridCol w:w="768"/>
              <w:gridCol w:w="1278"/>
              <w:gridCol w:w="1968"/>
            </w:tblGrid>
            <w:tr w14:paraId="13DCF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17" w:type="pct"/>
                  <w:tcBorders>
                    <w:tl2br w:val="nil"/>
                    <w:tr2bl w:val="nil"/>
                  </w:tcBorders>
                  <w:noWrap w:val="0"/>
                  <w:vAlign w:val="center"/>
                </w:tcPr>
                <w:p w14:paraId="74F6285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排放口</w:t>
                  </w:r>
                </w:p>
              </w:tc>
              <w:tc>
                <w:tcPr>
                  <w:tcW w:w="1124" w:type="pct"/>
                  <w:tcBorders>
                    <w:tl2br w:val="nil"/>
                    <w:tr2bl w:val="nil"/>
                  </w:tcBorders>
                  <w:noWrap w:val="0"/>
                  <w:vAlign w:val="center"/>
                </w:tcPr>
                <w:p w14:paraId="03FF9B5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废水排放口</w:t>
                  </w:r>
                </w:p>
              </w:tc>
              <w:tc>
                <w:tcPr>
                  <w:tcW w:w="1221" w:type="pct"/>
                  <w:gridSpan w:val="2"/>
                  <w:tcBorders>
                    <w:tl2br w:val="nil"/>
                    <w:tr2bl w:val="nil"/>
                  </w:tcBorders>
                  <w:noWrap w:val="0"/>
                  <w:vAlign w:val="center"/>
                </w:tcPr>
                <w:p w14:paraId="7D5BF87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废气排放口</w:t>
                  </w:r>
                </w:p>
              </w:tc>
              <w:tc>
                <w:tcPr>
                  <w:tcW w:w="1137" w:type="pct"/>
                  <w:tcBorders>
                    <w:tl2br w:val="nil"/>
                    <w:tr2bl w:val="nil"/>
                  </w:tcBorders>
                  <w:noWrap w:val="0"/>
                  <w:vAlign w:val="center"/>
                </w:tcPr>
                <w:p w14:paraId="759FDAE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噪声源</w:t>
                  </w:r>
                </w:p>
              </w:tc>
            </w:tr>
            <w:tr w14:paraId="23F41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17" w:type="pct"/>
                  <w:tcBorders>
                    <w:tl2br w:val="nil"/>
                    <w:tr2bl w:val="nil"/>
                  </w:tcBorders>
                  <w:noWrap w:val="0"/>
                  <w:vAlign w:val="center"/>
                </w:tcPr>
                <w:p w14:paraId="1421929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图形符号</w:t>
                  </w:r>
                </w:p>
              </w:tc>
              <w:tc>
                <w:tcPr>
                  <w:tcW w:w="1124" w:type="pct"/>
                  <w:tcBorders>
                    <w:tl2br w:val="nil"/>
                    <w:tr2bl w:val="nil"/>
                  </w:tcBorders>
                  <w:noWrap w:val="0"/>
                  <w:vAlign w:val="center"/>
                </w:tcPr>
                <w:p w14:paraId="3235A11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1221" w:type="pct"/>
                  <w:gridSpan w:val="2"/>
                  <w:tcBorders>
                    <w:tl2br w:val="nil"/>
                    <w:tr2bl w:val="nil"/>
                  </w:tcBorders>
                  <w:noWrap w:val="0"/>
                  <w:vAlign w:val="center"/>
                </w:tcPr>
                <w:p w14:paraId="2404916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1137" w:type="pct"/>
                  <w:tcBorders>
                    <w:tl2br w:val="nil"/>
                    <w:tr2bl w:val="nil"/>
                  </w:tcBorders>
                  <w:noWrap w:val="0"/>
                  <w:vAlign w:val="center"/>
                </w:tcPr>
                <w:p w14:paraId="043FB28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drawing>
                      <wp:inline distT="0" distB="0" distL="114300" distR="114300">
                        <wp:extent cx="990600" cy="1000125"/>
                        <wp:effectExtent l="0" t="0" r="0" b="9525"/>
                        <wp:docPr id="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3"/>
                                <pic:cNvPicPr>
                                  <a:picLocks noChangeAspect="1"/>
                                </pic:cNvPicPr>
                              </pic:nvPicPr>
                              <pic:blipFill>
                                <a:blip r:embed="rId19"/>
                                <a:stretch>
                                  <a:fillRect/>
                                </a:stretch>
                              </pic:blipFill>
                              <pic:spPr>
                                <a:xfrm>
                                  <a:off x="0" y="0"/>
                                  <a:ext cx="990600" cy="1000125"/>
                                </a:xfrm>
                                <a:prstGeom prst="rect">
                                  <a:avLst/>
                                </a:prstGeom>
                                <a:noFill/>
                                <a:ln>
                                  <a:noFill/>
                                </a:ln>
                              </pic:spPr>
                            </pic:pic>
                          </a:graphicData>
                        </a:graphic>
                      </wp:inline>
                    </w:drawing>
                  </w:r>
                </w:p>
              </w:tc>
            </w:tr>
            <w:tr w14:paraId="314B3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17" w:type="pct"/>
                  <w:tcBorders>
                    <w:tl2br w:val="nil"/>
                    <w:tr2bl w:val="nil"/>
                  </w:tcBorders>
                  <w:noWrap w:val="0"/>
                  <w:vAlign w:val="center"/>
                </w:tcPr>
                <w:p w14:paraId="2F5E1DC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背景颜色</w:t>
                  </w:r>
                </w:p>
              </w:tc>
              <w:tc>
                <w:tcPr>
                  <w:tcW w:w="3482" w:type="pct"/>
                  <w:gridSpan w:val="4"/>
                  <w:tcBorders>
                    <w:tl2br w:val="nil"/>
                    <w:tr2bl w:val="nil"/>
                  </w:tcBorders>
                  <w:noWrap w:val="0"/>
                  <w:vAlign w:val="center"/>
                </w:tcPr>
                <w:p w14:paraId="157EAC5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绿色</w:t>
                  </w:r>
                </w:p>
              </w:tc>
            </w:tr>
            <w:tr w14:paraId="41647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17" w:type="pct"/>
                  <w:tcBorders>
                    <w:tl2br w:val="nil"/>
                    <w:tr2bl w:val="nil"/>
                  </w:tcBorders>
                  <w:noWrap w:val="0"/>
                  <w:vAlign w:val="center"/>
                </w:tcPr>
                <w:p w14:paraId="1FE1B8F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图形颜色</w:t>
                  </w:r>
                </w:p>
              </w:tc>
              <w:tc>
                <w:tcPr>
                  <w:tcW w:w="3482" w:type="pct"/>
                  <w:gridSpan w:val="4"/>
                  <w:tcBorders>
                    <w:tl2br w:val="nil"/>
                    <w:tr2bl w:val="nil"/>
                  </w:tcBorders>
                  <w:noWrap w:val="0"/>
                  <w:vAlign w:val="center"/>
                </w:tcPr>
                <w:p w14:paraId="0974ED1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白色</w:t>
                  </w:r>
                </w:p>
              </w:tc>
            </w:tr>
            <w:tr w14:paraId="5E66C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17" w:type="pct"/>
                  <w:tcBorders>
                    <w:tl2br w:val="nil"/>
                    <w:tr2bl w:val="nil"/>
                  </w:tcBorders>
                  <w:noWrap w:val="0"/>
                  <w:vAlign w:val="center"/>
                </w:tcPr>
                <w:p w14:paraId="7D8DBCB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固体废物贮存、处置场图</w:t>
                  </w:r>
                </w:p>
              </w:tc>
              <w:tc>
                <w:tcPr>
                  <w:tcW w:w="1607" w:type="pct"/>
                  <w:gridSpan w:val="2"/>
                  <w:tcBorders>
                    <w:tl2br w:val="nil"/>
                    <w:tr2bl w:val="nil"/>
                  </w:tcBorders>
                  <w:noWrap w:val="0"/>
                  <w:vAlign w:val="center"/>
                </w:tcPr>
                <w:p w14:paraId="271C632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一般固体废物</w:t>
                  </w:r>
                </w:p>
              </w:tc>
              <w:tc>
                <w:tcPr>
                  <w:tcW w:w="1874" w:type="pct"/>
                  <w:gridSpan w:val="2"/>
                  <w:tcBorders>
                    <w:tl2br w:val="nil"/>
                    <w:tr2bl w:val="nil"/>
                  </w:tcBorders>
                  <w:noWrap w:val="0"/>
                  <w:vAlign w:val="center"/>
                </w:tcPr>
                <w:p w14:paraId="58D47CA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危险废物（警告图形符号）</w:t>
                  </w:r>
                </w:p>
              </w:tc>
            </w:tr>
            <w:tr w14:paraId="59FE5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17" w:type="pct"/>
                  <w:tcBorders>
                    <w:tl2br w:val="nil"/>
                    <w:tr2bl w:val="nil"/>
                  </w:tcBorders>
                  <w:noWrap w:val="0"/>
                  <w:vAlign w:val="center"/>
                </w:tcPr>
                <w:p w14:paraId="0F53851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图形符号</w:t>
                  </w:r>
                </w:p>
              </w:tc>
              <w:tc>
                <w:tcPr>
                  <w:tcW w:w="1607" w:type="pct"/>
                  <w:gridSpan w:val="2"/>
                  <w:tcBorders>
                    <w:tl2br w:val="nil"/>
                    <w:tr2bl w:val="nil"/>
                  </w:tcBorders>
                  <w:noWrap w:val="0"/>
                  <w:vAlign w:val="center"/>
                </w:tcPr>
                <w:p w14:paraId="1479810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drawing>
                      <wp:inline distT="0" distB="0" distL="114300" distR="114300">
                        <wp:extent cx="1476375" cy="1952625"/>
                        <wp:effectExtent l="0" t="0" r="9525" b="9525"/>
                        <wp:docPr id="10"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4"/>
                                <pic:cNvPicPr>
                                  <a:picLocks noChangeAspect="1"/>
                                </pic:cNvPicPr>
                              </pic:nvPicPr>
                              <pic:blipFill>
                                <a:blip r:embed="rId20"/>
                                <a:stretch>
                                  <a:fillRect/>
                                </a:stretch>
                              </pic:blipFill>
                              <pic:spPr>
                                <a:xfrm>
                                  <a:off x="0" y="0"/>
                                  <a:ext cx="1476375" cy="1952625"/>
                                </a:xfrm>
                                <a:prstGeom prst="rect">
                                  <a:avLst/>
                                </a:prstGeom>
                                <a:noFill/>
                                <a:ln>
                                  <a:noFill/>
                                </a:ln>
                              </pic:spPr>
                            </pic:pic>
                          </a:graphicData>
                        </a:graphic>
                      </wp:inline>
                    </w:drawing>
                  </w:r>
                </w:p>
              </w:tc>
              <w:tc>
                <w:tcPr>
                  <w:tcW w:w="1874" w:type="pct"/>
                  <w:gridSpan w:val="2"/>
                  <w:tcBorders>
                    <w:tl2br w:val="nil"/>
                    <w:tr2bl w:val="nil"/>
                  </w:tcBorders>
                  <w:noWrap w:val="0"/>
                  <w:vAlign w:val="center"/>
                </w:tcPr>
                <w:p w14:paraId="483492C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drawing>
                      <wp:inline distT="0" distB="0" distL="114300" distR="114300">
                        <wp:extent cx="1915795" cy="1773555"/>
                        <wp:effectExtent l="0" t="0" r="8255" b="17145"/>
                        <wp:docPr id="1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5"/>
                                <pic:cNvPicPr>
                                  <a:picLocks noChangeAspect="1"/>
                                </pic:cNvPicPr>
                              </pic:nvPicPr>
                              <pic:blipFill>
                                <a:blip r:embed="rId21"/>
                                <a:stretch>
                                  <a:fillRect/>
                                </a:stretch>
                              </pic:blipFill>
                              <pic:spPr>
                                <a:xfrm>
                                  <a:off x="0" y="0"/>
                                  <a:ext cx="1915795" cy="1773555"/>
                                </a:xfrm>
                                <a:prstGeom prst="rect">
                                  <a:avLst/>
                                </a:prstGeom>
                                <a:noFill/>
                                <a:ln>
                                  <a:noFill/>
                                </a:ln>
                              </pic:spPr>
                            </pic:pic>
                          </a:graphicData>
                        </a:graphic>
                      </wp:inline>
                    </w:drawing>
                  </w:r>
                </w:p>
              </w:tc>
            </w:tr>
            <w:tr w14:paraId="59D83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17" w:type="pct"/>
                  <w:tcBorders>
                    <w:tl2br w:val="nil"/>
                    <w:tr2bl w:val="nil"/>
                  </w:tcBorders>
                  <w:noWrap w:val="0"/>
                  <w:vAlign w:val="center"/>
                </w:tcPr>
                <w:p w14:paraId="2E9AAF1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背景颜色</w:t>
                  </w:r>
                </w:p>
              </w:tc>
              <w:tc>
                <w:tcPr>
                  <w:tcW w:w="1607" w:type="pct"/>
                  <w:gridSpan w:val="2"/>
                  <w:tcBorders>
                    <w:tl2br w:val="nil"/>
                    <w:tr2bl w:val="nil"/>
                  </w:tcBorders>
                  <w:noWrap w:val="0"/>
                  <w:vAlign w:val="center"/>
                </w:tcPr>
                <w:p w14:paraId="4635AB8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绿色</w:t>
                  </w:r>
                </w:p>
              </w:tc>
              <w:tc>
                <w:tcPr>
                  <w:tcW w:w="1874" w:type="pct"/>
                  <w:gridSpan w:val="2"/>
                  <w:tcBorders>
                    <w:tl2br w:val="nil"/>
                    <w:tr2bl w:val="nil"/>
                  </w:tcBorders>
                  <w:noWrap w:val="0"/>
                  <w:vAlign w:val="center"/>
                </w:tcPr>
                <w:p w14:paraId="11DF001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黄色</w:t>
                  </w:r>
                </w:p>
              </w:tc>
            </w:tr>
            <w:tr w14:paraId="48CF0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17" w:type="pct"/>
                  <w:tcBorders>
                    <w:tl2br w:val="nil"/>
                    <w:tr2bl w:val="nil"/>
                  </w:tcBorders>
                  <w:noWrap w:val="0"/>
                  <w:vAlign w:val="center"/>
                </w:tcPr>
                <w:p w14:paraId="0625509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图形颜色</w:t>
                  </w:r>
                </w:p>
              </w:tc>
              <w:tc>
                <w:tcPr>
                  <w:tcW w:w="1607" w:type="pct"/>
                  <w:gridSpan w:val="2"/>
                  <w:tcBorders>
                    <w:tl2br w:val="nil"/>
                    <w:tr2bl w:val="nil"/>
                  </w:tcBorders>
                  <w:noWrap w:val="0"/>
                  <w:vAlign w:val="center"/>
                </w:tcPr>
                <w:p w14:paraId="3AF733E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白色</w:t>
                  </w:r>
                </w:p>
              </w:tc>
              <w:tc>
                <w:tcPr>
                  <w:tcW w:w="1874" w:type="pct"/>
                  <w:gridSpan w:val="2"/>
                  <w:tcBorders>
                    <w:tl2br w:val="nil"/>
                    <w:tr2bl w:val="nil"/>
                  </w:tcBorders>
                  <w:noWrap w:val="0"/>
                  <w:vAlign w:val="center"/>
                </w:tcPr>
                <w:p w14:paraId="6D05D3F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黑色</w:t>
                  </w:r>
                </w:p>
              </w:tc>
            </w:tr>
          </w:tbl>
          <w:p w14:paraId="218D3914">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lang w:val="en-US" w:eastAsia="zh-CN"/>
              </w:rPr>
              <w:t>）固定噪声源</w:t>
            </w:r>
          </w:p>
          <w:p w14:paraId="4DD83CCC">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固定噪声污染源对边界影响最大处设置环境噪声监测点，并在该处附近醒目处设置环境保护图形标志牌。厂界设置若干个环境噪声监测点和相应的标志牌。</w:t>
            </w:r>
          </w:p>
          <w:p w14:paraId="22BB05CD">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2</w:t>
            </w:r>
            <w:r>
              <w:rPr>
                <w:rFonts w:hint="default" w:ascii="Times New Roman" w:hAnsi="Times New Roman" w:eastAsia="宋体" w:cs="Times New Roman"/>
                <w:color w:val="auto"/>
                <w:sz w:val="24"/>
                <w:szCs w:val="24"/>
                <w:lang w:val="en-US" w:eastAsia="zh-CN"/>
              </w:rPr>
              <w:t>）固体废物堆放场所</w:t>
            </w:r>
          </w:p>
          <w:p w14:paraId="5962E143">
            <w:pPr>
              <w:spacing w:line="440" w:lineRule="exact"/>
              <w:ind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固体废物堆放场所必须有防火、防腐蚀、防流失等措施，并应设置标志牌。</w:t>
            </w:r>
          </w:p>
          <w:p w14:paraId="03CACBC7">
            <w:pPr>
              <w:spacing w:line="440" w:lineRule="exact"/>
              <w:ind w:firstLine="480" w:firstLineChars="200"/>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3</w:t>
            </w:r>
            <w:r>
              <w:rPr>
                <w:rFonts w:hint="default" w:ascii="Times New Roman" w:hAnsi="Times New Roman" w:eastAsia="宋体" w:cs="Times New Roman"/>
                <w:color w:val="auto"/>
                <w:sz w:val="24"/>
                <w:szCs w:val="24"/>
                <w:lang w:val="en-US" w:eastAsia="zh-CN"/>
              </w:rPr>
              <w:t>）设置标志牌要求</w:t>
            </w:r>
          </w:p>
          <w:p w14:paraId="6664CABC">
            <w:pPr>
              <w:spacing w:line="440" w:lineRule="exact"/>
              <w:ind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环境保护图形标志牌根据生态环境部的要求制作，排放一般污染物排污口（源），设置提示式标志牌，排放有毒有害等污染物的排污口设置警告式标志牌。</w:t>
            </w:r>
          </w:p>
          <w:p w14:paraId="30D9F13E">
            <w:pPr>
              <w:spacing w:line="440" w:lineRule="exact"/>
              <w:ind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标志牌设置位置在排污口（采样点）附近且醒目处，高度为标志牌上缘离地面2米。排污口附近1米范围内有建筑物的，设平面式标志牌，无建筑物的设立式标志牌。</w:t>
            </w:r>
          </w:p>
          <w:p w14:paraId="5007ED24">
            <w:pPr>
              <w:spacing w:line="440" w:lineRule="exact"/>
              <w:ind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规范化排污口的有关设置（如图形标志牌、计量装置、监控装置等）属环保设施，排污单位必须负责日常的维护保养，任何单位和个人不得擅自拆除，如需变更的须报当地环境监理部门同意并办理变更手续。</w:t>
            </w:r>
          </w:p>
          <w:p w14:paraId="020CE252">
            <w:pPr>
              <w:spacing w:line="440" w:lineRule="exact"/>
              <w:ind w:firstLine="480" w:firstLineChars="200"/>
              <w:rPr>
                <w:rFonts w:hint="default" w:ascii="Times New Roman" w:hAnsi="Times New Roman" w:eastAsia="宋体" w:cs="Times New Roman"/>
                <w:color w:val="auto"/>
                <w:sz w:val="24"/>
                <w:szCs w:val="24"/>
                <w:lang w:val="en-US" w:eastAsia="zh-CN"/>
              </w:rPr>
            </w:pPr>
            <w:bookmarkStart w:id="24" w:name="_Toc490495638"/>
            <w:r>
              <w:rPr>
                <w:rFonts w:hint="default" w:ascii="Times New Roman" w:hAnsi="Times New Roman" w:eastAsia="宋体" w:cs="Times New Roman"/>
                <w:color w:val="auto"/>
                <w:sz w:val="24"/>
                <w:szCs w:val="24"/>
                <w:lang w:val="en-US" w:eastAsia="zh-CN"/>
              </w:rPr>
              <w:t>（4）排污口建档管理</w:t>
            </w:r>
            <w:bookmarkEnd w:id="24"/>
          </w:p>
          <w:p w14:paraId="34857D69">
            <w:pPr>
              <w:spacing w:line="440" w:lineRule="exact"/>
              <w:ind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1）要求使用国家环保局统一印刷的《中华人民共和国规范化排污口标志登记证》，并按要求填写有关内容。</w:t>
            </w:r>
          </w:p>
          <w:p w14:paraId="0EBB7473">
            <w:pPr>
              <w:spacing w:line="440" w:lineRule="exact"/>
              <w:ind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2）根据排污口管理档案内容要求，项目建成后，应将主要污染物种类、数量、浓度、排放去向、达标情况及设施运行情况记录于档案。</w:t>
            </w:r>
          </w:p>
          <w:p w14:paraId="747B82B6">
            <w:pPr>
              <w:spacing w:line="440" w:lineRule="exact"/>
              <w:ind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（5）排污口二维码标识管理</w:t>
            </w:r>
          </w:p>
          <w:p w14:paraId="44C29315">
            <w:pPr>
              <w:spacing w:line="440" w:lineRule="exact"/>
              <w:ind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根据《排污单位污染物排放口二维码标识技术规范》</w:t>
            </w:r>
            <w:r>
              <w:rPr>
                <w:rFonts w:hint="default" w:ascii="Times New Roman" w:hAnsi="Times New Roman" w:eastAsia="宋体" w:cs="Times New Roman"/>
                <w:color w:val="auto"/>
                <w:sz w:val="24"/>
                <w:szCs w:val="24"/>
                <w:lang w:val="en-US" w:eastAsia="zh-CN"/>
              </w:rPr>
              <w:fldChar w:fldCharType="begin"/>
            </w:r>
            <w:r>
              <w:rPr>
                <w:rFonts w:hint="default" w:ascii="Times New Roman" w:hAnsi="Times New Roman" w:eastAsia="宋体" w:cs="Times New Roman"/>
                <w:color w:val="auto"/>
                <w:sz w:val="24"/>
                <w:szCs w:val="24"/>
                <w:lang w:val="en-US" w:eastAsia="zh-CN"/>
              </w:rPr>
              <w:instrText xml:space="preserve"> HYPERLINK "https://www.mee.gov.cn/ywgz/fgbz/bz/bzwb/other/hjbhgc/202306/W020230602545449990594.pdf" </w:instrText>
            </w:r>
            <w:r>
              <w:rPr>
                <w:rFonts w:hint="default" w:ascii="Times New Roman" w:hAnsi="Times New Roman" w:eastAsia="宋体" w:cs="Times New Roman"/>
                <w:color w:val="auto"/>
                <w:sz w:val="24"/>
                <w:szCs w:val="24"/>
                <w:lang w:val="en-US" w:eastAsia="zh-CN"/>
              </w:rPr>
              <w:fldChar w:fldCharType="separate"/>
            </w:r>
            <w:r>
              <w:rPr>
                <w:rFonts w:hint="default" w:ascii="Times New Roman" w:hAnsi="Times New Roman" w:eastAsia="宋体" w:cs="Times New Roman"/>
                <w:color w:val="auto"/>
                <w:sz w:val="24"/>
                <w:szCs w:val="24"/>
                <w:lang w:val="en-US" w:eastAsia="zh-CN"/>
              </w:rPr>
              <w:t>（HJ1297-2023）</w:t>
            </w:r>
            <w:r>
              <w:rPr>
                <w:rFonts w:hint="default" w:ascii="Times New Roman" w:hAnsi="Times New Roman" w:eastAsia="宋体" w:cs="Times New Roman"/>
                <w:color w:val="auto"/>
                <w:sz w:val="24"/>
                <w:szCs w:val="24"/>
                <w:lang w:val="en-US" w:eastAsia="zh-CN"/>
              </w:rPr>
              <w:fldChar w:fldCharType="end"/>
            </w:r>
            <w:r>
              <w:rPr>
                <w:rFonts w:hint="default" w:ascii="Times New Roman" w:hAnsi="Times New Roman" w:eastAsia="宋体" w:cs="Times New Roman"/>
                <w:color w:val="auto"/>
                <w:sz w:val="24"/>
                <w:szCs w:val="24"/>
                <w:lang w:val="en-US" w:eastAsia="zh-CN"/>
              </w:rPr>
              <w:t>中相关要求建立排放口二维码标识。</w:t>
            </w:r>
          </w:p>
          <w:p w14:paraId="42EF566C">
            <w:pPr>
              <w:pStyle w:val="4"/>
              <w:rPr>
                <w:rFonts w:hint="default"/>
                <w:lang w:val="en-US" w:eastAsia="zh-CN"/>
              </w:rPr>
            </w:pPr>
          </w:p>
          <w:p w14:paraId="68D73890">
            <w:pPr>
              <w:pStyle w:val="3"/>
              <w:ind w:left="0" w:leftChars="0" w:firstLine="0" w:firstLineChars="0"/>
              <w:rPr>
                <w:rFonts w:hint="default"/>
                <w:lang w:val="en-US" w:eastAsia="zh-CN"/>
              </w:rPr>
            </w:pPr>
          </w:p>
        </w:tc>
      </w:tr>
    </w:tbl>
    <w:p w14:paraId="0AA1DCB3">
      <w:pPr>
        <w:adjustRightInd w:val="0"/>
        <w:snapToGrid w:val="0"/>
        <w:spacing w:line="360" w:lineRule="auto"/>
        <w:rPr>
          <w:rFonts w:hint="eastAsia" w:ascii="宋体" w:cs="宋体"/>
          <w:b/>
          <w:kern w:val="0"/>
          <w:sz w:val="28"/>
          <w:szCs w:val="28"/>
        </w:rPr>
        <w:sectPr>
          <w:pgSz w:w="11907" w:h="16840"/>
          <w:pgMar w:top="1701" w:right="1531" w:bottom="2127"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07D42AA0">
      <w:pPr>
        <w:pStyle w:val="21"/>
        <w:jc w:val="center"/>
        <w:outlineLvl w:val="0"/>
        <w:rPr>
          <w:rFonts w:ascii="黑体" w:hAnsi="黑体" w:eastAsia="黑体"/>
          <w:snapToGrid w:val="0"/>
          <w:sz w:val="30"/>
          <w:szCs w:val="30"/>
        </w:rPr>
      </w:pPr>
      <w:r>
        <w:rPr>
          <w:rFonts w:hint="eastAsia" w:ascii="黑体" w:hAnsi="黑体" w:eastAsia="黑体"/>
          <w:snapToGrid w:val="0"/>
          <w:sz w:val="30"/>
          <w:szCs w:val="30"/>
        </w:rPr>
        <w:t>五、</w:t>
      </w:r>
      <w:bookmarkStart w:id="25" w:name="_Hlk54167917"/>
      <w:r>
        <w:rPr>
          <w:rFonts w:hint="eastAsia" w:ascii="黑体" w:hAnsi="黑体" w:eastAsia="黑体"/>
          <w:snapToGrid w:val="0"/>
          <w:sz w:val="30"/>
          <w:szCs w:val="30"/>
        </w:rPr>
        <w:t>环境保护措施监督检查清单</w:t>
      </w:r>
      <w:bookmarkEnd w:id="25"/>
    </w:p>
    <w:tbl>
      <w:tblPr>
        <w:tblStyle w:val="25"/>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8"/>
        <w:gridCol w:w="1755"/>
        <w:gridCol w:w="1447"/>
        <w:gridCol w:w="2063"/>
        <w:gridCol w:w="1757"/>
      </w:tblGrid>
      <w:tr w14:paraId="495076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425" w:hRule="atLeast"/>
          <w:jc w:val="center"/>
        </w:trPr>
        <w:tc>
          <w:tcPr>
            <w:tcW w:w="1778" w:type="dxa"/>
            <w:tcBorders>
              <w:tl2br w:val="single" w:color="auto" w:sz="4" w:space="0"/>
            </w:tcBorders>
            <w:noWrap w:val="0"/>
            <w:vAlign w:val="top"/>
          </w:tcPr>
          <w:p w14:paraId="44767E73">
            <w:pPr>
              <w:keepNext w:val="0"/>
              <w:keepLines w:val="0"/>
              <w:pageBreakBefore w:val="0"/>
              <w:widowControl w:val="0"/>
              <w:kinsoku/>
              <w:wordWrap/>
              <w:overflowPunct/>
              <w:topLinePunct w:val="0"/>
              <w:autoSpaceDN/>
              <w:bidi w:val="0"/>
              <w:adjustRightInd w:val="0"/>
              <w:snapToGrid w:val="0"/>
              <w:ind w:firstLine="840"/>
              <w:textAlignment w:val="auto"/>
              <w:rPr>
                <w:rFonts w:hint="default" w:ascii="Times New Roman" w:hAnsi="Times New Roman" w:cs="Times New Roman"/>
                <w:sz w:val="24"/>
                <w:szCs w:val="24"/>
              </w:rPr>
            </w:pPr>
            <w:r>
              <w:rPr>
                <w:rFonts w:hint="default" w:ascii="Times New Roman" w:hAnsi="Times New Roman" w:cs="Times New Roman"/>
                <w:sz w:val="24"/>
                <w:szCs w:val="24"/>
              </w:rPr>
              <w:t>内容</w:t>
            </w:r>
          </w:p>
          <w:p w14:paraId="7D28D8BE">
            <w:pPr>
              <w:keepNext w:val="0"/>
              <w:keepLines w:val="0"/>
              <w:pageBreakBefore w:val="0"/>
              <w:widowControl w:val="0"/>
              <w:kinsoku/>
              <w:wordWrap/>
              <w:overflowPunct/>
              <w:topLinePunct w:val="0"/>
              <w:autoSpaceDN/>
              <w:bidi w:val="0"/>
              <w:adjustRightInd w:val="0"/>
              <w:snapToGrid w:val="0"/>
              <w:textAlignment w:val="auto"/>
              <w:rPr>
                <w:rFonts w:hint="default" w:ascii="Times New Roman" w:hAnsi="Times New Roman" w:cs="Times New Roman"/>
                <w:sz w:val="24"/>
                <w:szCs w:val="24"/>
              </w:rPr>
            </w:pPr>
            <w:r>
              <w:rPr>
                <w:rFonts w:hint="default" w:ascii="Times New Roman" w:hAnsi="Times New Roman" w:cs="Times New Roman"/>
                <w:sz w:val="24"/>
                <w:szCs w:val="24"/>
              </w:rPr>
              <w:t>要素</w:t>
            </w:r>
          </w:p>
        </w:tc>
        <w:tc>
          <w:tcPr>
            <w:tcW w:w="1755" w:type="dxa"/>
            <w:noWrap w:val="0"/>
            <w:vAlign w:val="center"/>
          </w:tcPr>
          <w:p w14:paraId="33D190CB">
            <w:pPr>
              <w:keepNext w:val="0"/>
              <w:keepLines w:val="0"/>
              <w:pageBreakBefore w:val="0"/>
              <w:widowControl w:val="0"/>
              <w:kinsoku/>
              <w:wordWrap/>
              <w:overflowPunct/>
              <w:topLinePunct w:val="0"/>
              <w:autoSpaceDN/>
              <w:bidi w:val="0"/>
              <w:adjustRightInd w:val="0"/>
              <w:snapToGrid w:val="0"/>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排放口(编号、名称)/污染源</w:t>
            </w:r>
          </w:p>
        </w:tc>
        <w:tc>
          <w:tcPr>
            <w:tcW w:w="1447" w:type="dxa"/>
            <w:noWrap w:val="0"/>
            <w:vAlign w:val="center"/>
          </w:tcPr>
          <w:p w14:paraId="45547503">
            <w:pPr>
              <w:keepNext w:val="0"/>
              <w:keepLines w:val="0"/>
              <w:pageBreakBefore w:val="0"/>
              <w:widowControl w:val="0"/>
              <w:kinsoku/>
              <w:wordWrap/>
              <w:overflowPunct/>
              <w:topLinePunct w:val="0"/>
              <w:autoSpaceDN/>
              <w:bidi w:val="0"/>
              <w:adjustRightInd w:val="0"/>
              <w:snapToGrid w:val="0"/>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污染物项目</w:t>
            </w:r>
          </w:p>
        </w:tc>
        <w:tc>
          <w:tcPr>
            <w:tcW w:w="2063" w:type="dxa"/>
            <w:noWrap w:val="0"/>
            <w:vAlign w:val="center"/>
          </w:tcPr>
          <w:p w14:paraId="454F2335">
            <w:pPr>
              <w:keepNext w:val="0"/>
              <w:keepLines w:val="0"/>
              <w:pageBreakBefore w:val="0"/>
              <w:widowControl w:val="0"/>
              <w:kinsoku/>
              <w:wordWrap/>
              <w:overflowPunct/>
              <w:topLinePunct w:val="0"/>
              <w:autoSpaceDN/>
              <w:bidi w:val="0"/>
              <w:adjustRightInd w:val="0"/>
              <w:snapToGrid w:val="0"/>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环境保护措施</w:t>
            </w:r>
          </w:p>
        </w:tc>
        <w:tc>
          <w:tcPr>
            <w:tcW w:w="1757" w:type="dxa"/>
            <w:noWrap w:val="0"/>
            <w:vAlign w:val="center"/>
          </w:tcPr>
          <w:p w14:paraId="6723C867">
            <w:pPr>
              <w:keepNext w:val="0"/>
              <w:keepLines w:val="0"/>
              <w:pageBreakBefore w:val="0"/>
              <w:widowControl w:val="0"/>
              <w:kinsoku/>
              <w:wordWrap/>
              <w:overflowPunct/>
              <w:topLinePunct w:val="0"/>
              <w:autoSpaceDN/>
              <w:bidi w:val="0"/>
              <w:adjustRightInd w:val="0"/>
              <w:snapToGrid w:val="0"/>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执行标准</w:t>
            </w:r>
          </w:p>
        </w:tc>
      </w:tr>
      <w:tr w14:paraId="59D309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vMerge w:val="restart"/>
            <w:noWrap w:val="0"/>
            <w:vAlign w:val="center"/>
          </w:tcPr>
          <w:p w14:paraId="6A9CD2D7">
            <w:pPr>
              <w:keepNext w:val="0"/>
              <w:keepLines w:val="0"/>
              <w:pageBreakBefore w:val="0"/>
              <w:widowControl w:val="0"/>
              <w:kinsoku/>
              <w:wordWrap/>
              <w:overflowPunct/>
              <w:topLinePunct w:val="0"/>
              <w:autoSpaceDN/>
              <w:bidi w:val="0"/>
              <w:adjustRightInd w:val="0"/>
              <w:snapToGrid w:val="0"/>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大气环境</w:t>
            </w:r>
          </w:p>
        </w:tc>
        <w:tc>
          <w:tcPr>
            <w:tcW w:w="1755" w:type="dxa"/>
            <w:noWrap w:val="0"/>
            <w:vAlign w:val="center"/>
          </w:tcPr>
          <w:p w14:paraId="381B353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pacing w:val="-4"/>
                <w:sz w:val="24"/>
                <w:szCs w:val="24"/>
                <w:lang w:val="en-US" w:eastAsia="zh-CN"/>
              </w:rPr>
              <w:t>煤棚</w:t>
            </w:r>
          </w:p>
        </w:tc>
        <w:tc>
          <w:tcPr>
            <w:tcW w:w="1447" w:type="dxa"/>
            <w:noWrap w:val="0"/>
            <w:vAlign w:val="center"/>
          </w:tcPr>
          <w:p w14:paraId="3D50FB1B">
            <w:pPr>
              <w:keepNext w:val="0"/>
              <w:keepLines w:val="0"/>
              <w:pageBreakBefore w:val="0"/>
              <w:widowControl w:val="0"/>
              <w:kinsoku/>
              <w:wordWrap/>
              <w:overflowPunct/>
              <w:topLinePunct w:val="0"/>
              <w:autoSpaceDN/>
              <w:bidi w:val="0"/>
              <w:adjustRightInd w:val="0"/>
              <w:snapToGrid w:val="0"/>
              <w:jc w:val="center"/>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cs="Times New Roman"/>
                <w:color w:val="auto"/>
                <w:sz w:val="24"/>
                <w:szCs w:val="24"/>
                <w:lang w:val="en-US" w:eastAsia="zh-CN"/>
              </w:rPr>
              <w:t>颗粒物</w:t>
            </w:r>
          </w:p>
        </w:tc>
        <w:tc>
          <w:tcPr>
            <w:tcW w:w="2063" w:type="dxa"/>
            <w:noWrap w:val="0"/>
            <w:vAlign w:val="center"/>
          </w:tcPr>
          <w:p w14:paraId="04198EE7">
            <w:pPr>
              <w:pStyle w:val="10"/>
              <w:jc w:val="center"/>
              <w:rPr>
                <w:rFonts w:hint="default" w:ascii="Times New Roman" w:hAnsi="Times New Roman" w:cs="Times New Roman"/>
                <w:color w:val="auto"/>
                <w:sz w:val="24"/>
                <w:szCs w:val="24"/>
              </w:rPr>
            </w:pPr>
            <w:r>
              <w:rPr>
                <w:rFonts w:hint="eastAsia"/>
                <w:color w:val="auto"/>
                <w:lang w:val="en-US" w:eastAsia="zh-CN"/>
              </w:rPr>
              <w:t>全</w:t>
            </w:r>
            <w:r>
              <w:rPr>
                <w:rFonts w:hint="eastAsia" w:ascii="Times New Roman" w:hAnsi="Times New Roman" w:eastAsia="宋体" w:cs="Times New Roman"/>
                <w:color w:val="auto"/>
                <w:kern w:val="2"/>
                <w:sz w:val="24"/>
                <w:szCs w:val="24"/>
                <w:lang w:val="en-US" w:eastAsia="zh-CN" w:bidi="ar-SA"/>
              </w:rPr>
              <w:t>封闭储煤棚，安装喷淋装置</w:t>
            </w:r>
          </w:p>
        </w:tc>
        <w:tc>
          <w:tcPr>
            <w:tcW w:w="1757" w:type="dxa"/>
            <w:vMerge w:val="restart"/>
            <w:noWrap w:val="0"/>
            <w:vAlign w:val="center"/>
          </w:tcPr>
          <w:p w14:paraId="09F3F9F3">
            <w:pPr>
              <w:keepNext w:val="0"/>
              <w:keepLines w:val="0"/>
              <w:pageBreakBefore w:val="0"/>
              <w:widowControl w:val="0"/>
              <w:kinsoku/>
              <w:wordWrap/>
              <w:overflowPunct/>
              <w:topLinePunct w:val="0"/>
              <w:autoSpaceDN/>
              <w:bidi w:val="0"/>
              <w:adjustRightInd w:val="0"/>
              <w:snapToGrid w:val="0"/>
              <w:jc w:val="center"/>
              <w:textAlignment w:val="auto"/>
              <w:rPr>
                <w:rFonts w:hint="default" w:ascii="Times New Roman" w:hAnsi="Times New Roman" w:cs="Times New Roman"/>
                <w:color w:val="auto"/>
                <w:sz w:val="24"/>
                <w:szCs w:val="24"/>
              </w:rPr>
            </w:pPr>
            <w:r>
              <w:rPr>
                <w:rFonts w:hint="default" w:ascii="Times New Roman" w:hAnsi="Times New Roman" w:eastAsia="宋体" w:cs="Times New Roman"/>
                <w:color w:val="auto"/>
                <w:spacing w:val="-4"/>
                <w:kern w:val="2"/>
                <w:sz w:val="24"/>
                <w:szCs w:val="24"/>
                <w:lang w:val="en-US" w:eastAsia="zh-CN" w:bidi="ar-SA"/>
              </w:rPr>
              <w:t>《煤炭工业污染物排放标准》（GB20426-2006）表5煤炭工业无组织排放限值</w:t>
            </w:r>
          </w:p>
        </w:tc>
      </w:tr>
      <w:tr w14:paraId="489371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vMerge w:val="continue"/>
            <w:noWrap w:val="0"/>
            <w:vAlign w:val="center"/>
          </w:tcPr>
          <w:p w14:paraId="0CBE1D99">
            <w:pPr>
              <w:keepNext w:val="0"/>
              <w:keepLines w:val="0"/>
              <w:pageBreakBefore w:val="0"/>
              <w:widowControl w:val="0"/>
              <w:kinsoku/>
              <w:wordWrap/>
              <w:overflowPunct/>
              <w:topLinePunct w:val="0"/>
              <w:autoSpaceDN/>
              <w:bidi w:val="0"/>
              <w:adjustRightInd w:val="0"/>
              <w:snapToGrid w:val="0"/>
              <w:jc w:val="center"/>
              <w:textAlignment w:val="auto"/>
              <w:rPr>
                <w:rFonts w:hint="default" w:ascii="Times New Roman" w:hAnsi="Times New Roman" w:cs="Times New Roman"/>
                <w:sz w:val="24"/>
                <w:szCs w:val="24"/>
              </w:rPr>
            </w:pPr>
          </w:p>
        </w:tc>
        <w:tc>
          <w:tcPr>
            <w:tcW w:w="1755" w:type="dxa"/>
            <w:noWrap w:val="0"/>
            <w:vAlign w:val="center"/>
          </w:tcPr>
          <w:p w14:paraId="22282F2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val="en-US" w:eastAsia="zh-CN"/>
              </w:rPr>
              <w:t>车辆运输</w:t>
            </w:r>
          </w:p>
        </w:tc>
        <w:tc>
          <w:tcPr>
            <w:tcW w:w="1447" w:type="dxa"/>
            <w:noWrap w:val="0"/>
            <w:vAlign w:val="center"/>
          </w:tcPr>
          <w:p w14:paraId="343C88C3">
            <w:pPr>
              <w:keepNext w:val="0"/>
              <w:keepLines w:val="0"/>
              <w:pageBreakBefore w:val="0"/>
              <w:widowControl w:val="0"/>
              <w:kinsoku/>
              <w:wordWrap/>
              <w:overflowPunct/>
              <w:topLinePunct w:val="0"/>
              <w:autoSpaceDN/>
              <w:bidi w:val="0"/>
              <w:adjustRightInd w:val="0"/>
              <w:snapToGrid w:val="0"/>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lang w:val="en-US" w:eastAsia="zh-CN"/>
              </w:rPr>
              <w:t>颗粒物</w:t>
            </w:r>
          </w:p>
        </w:tc>
        <w:tc>
          <w:tcPr>
            <w:tcW w:w="2063" w:type="dxa"/>
            <w:noWrap w:val="0"/>
            <w:vAlign w:val="center"/>
          </w:tcPr>
          <w:p w14:paraId="0B78ACE4">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lang w:val="en-US" w:eastAsia="zh-CN"/>
              </w:rPr>
              <w:t>货车限速，苫布遮盖；场区道路硬化，定期洒水、清扫；进出车辆清洗车身</w:t>
            </w:r>
          </w:p>
        </w:tc>
        <w:tc>
          <w:tcPr>
            <w:tcW w:w="1757" w:type="dxa"/>
            <w:vMerge w:val="continue"/>
            <w:noWrap w:val="0"/>
            <w:vAlign w:val="center"/>
          </w:tcPr>
          <w:p w14:paraId="7B4CBD33">
            <w:pPr>
              <w:keepNext w:val="0"/>
              <w:keepLines w:val="0"/>
              <w:pageBreakBefore w:val="0"/>
              <w:widowControl w:val="0"/>
              <w:kinsoku/>
              <w:wordWrap/>
              <w:overflowPunct/>
              <w:topLinePunct w:val="0"/>
              <w:autoSpaceDN/>
              <w:bidi w:val="0"/>
              <w:adjustRightInd w:val="0"/>
              <w:snapToGrid w:val="0"/>
              <w:jc w:val="center"/>
              <w:textAlignment w:val="auto"/>
              <w:rPr>
                <w:rFonts w:hint="default" w:ascii="Times New Roman" w:hAnsi="Times New Roman" w:cs="Times New Roman"/>
                <w:color w:val="auto"/>
                <w:sz w:val="24"/>
                <w:szCs w:val="24"/>
              </w:rPr>
            </w:pPr>
          </w:p>
        </w:tc>
      </w:tr>
      <w:tr w14:paraId="5529E7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vMerge w:val="continue"/>
            <w:noWrap w:val="0"/>
            <w:vAlign w:val="center"/>
          </w:tcPr>
          <w:p w14:paraId="000D8D4B">
            <w:pPr>
              <w:keepNext w:val="0"/>
              <w:keepLines w:val="0"/>
              <w:pageBreakBefore w:val="0"/>
              <w:widowControl w:val="0"/>
              <w:kinsoku/>
              <w:wordWrap/>
              <w:overflowPunct/>
              <w:topLinePunct w:val="0"/>
              <w:autoSpaceDN/>
              <w:bidi w:val="0"/>
              <w:adjustRightInd w:val="0"/>
              <w:snapToGrid w:val="0"/>
              <w:jc w:val="center"/>
              <w:textAlignment w:val="auto"/>
              <w:rPr>
                <w:rFonts w:hint="default" w:ascii="Times New Roman" w:hAnsi="Times New Roman" w:cs="Times New Roman"/>
                <w:sz w:val="24"/>
                <w:szCs w:val="24"/>
              </w:rPr>
            </w:pPr>
          </w:p>
        </w:tc>
        <w:tc>
          <w:tcPr>
            <w:tcW w:w="1755" w:type="dxa"/>
            <w:noWrap w:val="0"/>
            <w:vAlign w:val="center"/>
          </w:tcPr>
          <w:p w14:paraId="6876445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val="en-US" w:eastAsia="zh-CN"/>
              </w:rPr>
              <w:t>生产线物料运转、转载</w:t>
            </w:r>
          </w:p>
        </w:tc>
        <w:tc>
          <w:tcPr>
            <w:tcW w:w="1447" w:type="dxa"/>
            <w:noWrap w:val="0"/>
            <w:vAlign w:val="center"/>
          </w:tcPr>
          <w:p w14:paraId="642F464A">
            <w:pPr>
              <w:keepNext w:val="0"/>
              <w:keepLines w:val="0"/>
              <w:pageBreakBefore w:val="0"/>
              <w:widowControl w:val="0"/>
              <w:kinsoku/>
              <w:wordWrap/>
              <w:overflowPunct/>
              <w:topLinePunct w:val="0"/>
              <w:autoSpaceDN/>
              <w:bidi w:val="0"/>
              <w:adjustRightInd w:val="0"/>
              <w:snapToGrid w:val="0"/>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lang w:val="en-US" w:eastAsia="zh-CN"/>
              </w:rPr>
              <w:t>颗粒物</w:t>
            </w:r>
          </w:p>
        </w:tc>
        <w:tc>
          <w:tcPr>
            <w:tcW w:w="2063" w:type="dxa"/>
            <w:noWrap w:val="0"/>
            <w:vAlign w:val="center"/>
          </w:tcPr>
          <w:p w14:paraId="0F34F99A">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cs="Times New Roman"/>
                <w:color w:val="auto"/>
                <w:sz w:val="24"/>
                <w:szCs w:val="24"/>
              </w:rPr>
            </w:pPr>
            <w:r>
              <w:rPr>
                <w:rFonts w:hint="default" w:ascii="Times New Roman" w:hAnsi="Times New Roman" w:eastAsia="宋体" w:cs="Times New Roman"/>
                <w:color w:val="auto"/>
                <w:kern w:val="2"/>
                <w:sz w:val="24"/>
                <w:szCs w:val="24"/>
                <w:lang w:val="en-US" w:eastAsia="zh-CN" w:bidi="ar-SA"/>
              </w:rPr>
              <w:t>封闭廊道、喷雾除尘</w:t>
            </w:r>
          </w:p>
        </w:tc>
        <w:tc>
          <w:tcPr>
            <w:tcW w:w="1757" w:type="dxa"/>
            <w:vMerge w:val="continue"/>
            <w:noWrap w:val="0"/>
            <w:vAlign w:val="center"/>
          </w:tcPr>
          <w:p w14:paraId="39A2A69A">
            <w:pPr>
              <w:keepNext w:val="0"/>
              <w:keepLines w:val="0"/>
              <w:pageBreakBefore w:val="0"/>
              <w:widowControl w:val="0"/>
              <w:kinsoku/>
              <w:wordWrap/>
              <w:overflowPunct/>
              <w:topLinePunct w:val="0"/>
              <w:autoSpaceDN/>
              <w:bidi w:val="0"/>
              <w:adjustRightInd w:val="0"/>
              <w:snapToGrid w:val="0"/>
              <w:jc w:val="center"/>
              <w:textAlignment w:val="auto"/>
              <w:rPr>
                <w:rFonts w:hint="default" w:ascii="Times New Roman" w:hAnsi="Times New Roman" w:cs="Times New Roman"/>
                <w:color w:val="auto"/>
                <w:sz w:val="24"/>
                <w:szCs w:val="24"/>
              </w:rPr>
            </w:pPr>
          </w:p>
        </w:tc>
      </w:tr>
      <w:tr w14:paraId="58F575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vMerge w:val="continue"/>
            <w:noWrap w:val="0"/>
            <w:vAlign w:val="center"/>
          </w:tcPr>
          <w:p w14:paraId="30080AE9">
            <w:pPr>
              <w:keepNext w:val="0"/>
              <w:keepLines w:val="0"/>
              <w:pageBreakBefore w:val="0"/>
              <w:widowControl w:val="0"/>
              <w:kinsoku/>
              <w:wordWrap/>
              <w:overflowPunct/>
              <w:topLinePunct w:val="0"/>
              <w:autoSpaceDN/>
              <w:bidi w:val="0"/>
              <w:adjustRightInd w:val="0"/>
              <w:snapToGrid w:val="0"/>
              <w:jc w:val="center"/>
              <w:textAlignment w:val="auto"/>
              <w:rPr>
                <w:rFonts w:hint="default" w:ascii="Times New Roman" w:hAnsi="Times New Roman" w:cs="Times New Roman"/>
                <w:sz w:val="24"/>
                <w:szCs w:val="24"/>
              </w:rPr>
            </w:pPr>
          </w:p>
        </w:tc>
        <w:tc>
          <w:tcPr>
            <w:tcW w:w="1755" w:type="dxa"/>
            <w:noWrap w:val="0"/>
            <w:vAlign w:val="center"/>
          </w:tcPr>
          <w:p w14:paraId="577D289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color w:val="auto"/>
                <w:kern w:val="0"/>
                <w:sz w:val="24"/>
                <w:szCs w:val="24"/>
                <w:lang w:val="en-US" w:eastAsia="zh-CN"/>
              </w:rPr>
            </w:pPr>
            <w:r>
              <w:rPr>
                <w:rFonts w:hint="eastAsia" w:ascii="Times New Roman" w:hAnsi="Times New Roman" w:eastAsia="宋体" w:cs="Times New Roman"/>
                <w:color w:val="auto"/>
                <w:kern w:val="0"/>
                <w:sz w:val="24"/>
                <w:szCs w:val="24"/>
                <w:lang w:val="en-US" w:eastAsia="zh-CN"/>
              </w:rPr>
              <w:t>浮选药剂</w:t>
            </w:r>
          </w:p>
        </w:tc>
        <w:tc>
          <w:tcPr>
            <w:tcW w:w="1447" w:type="dxa"/>
            <w:noWrap w:val="0"/>
            <w:vAlign w:val="center"/>
          </w:tcPr>
          <w:p w14:paraId="309B8866">
            <w:pPr>
              <w:keepNext w:val="0"/>
              <w:keepLines w:val="0"/>
              <w:pageBreakBefore w:val="0"/>
              <w:widowControl w:val="0"/>
              <w:kinsoku/>
              <w:wordWrap/>
              <w:overflowPunct/>
              <w:topLinePunct w:val="0"/>
              <w:autoSpaceDN/>
              <w:bidi w:val="0"/>
              <w:adjustRightInd w:val="0"/>
              <w:snapToGrid w:val="0"/>
              <w:jc w:val="center"/>
              <w:textAlignment w:val="auto"/>
              <w:rPr>
                <w:rFonts w:hint="default"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非甲烷总烃</w:t>
            </w:r>
          </w:p>
        </w:tc>
        <w:tc>
          <w:tcPr>
            <w:tcW w:w="2063" w:type="dxa"/>
            <w:noWrap w:val="0"/>
            <w:vAlign w:val="center"/>
          </w:tcPr>
          <w:p w14:paraId="3C5333FF">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cs="Times New Roman"/>
                <w:sz w:val="24"/>
                <w:szCs w:val="24"/>
                <w:lang w:val="en-US" w:eastAsia="zh-CN"/>
              </w:rPr>
              <w:t>密闭储罐、密闭管道输送药剂、减少药剂敞口操作、浮选车间自然通风</w:t>
            </w:r>
          </w:p>
        </w:tc>
        <w:tc>
          <w:tcPr>
            <w:tcW w:w="1757" w:type="dxa"/>
            <w:noWrap w:val="0"/>
            <w:vAlign w:val="center"/>
          </w:tcPr>
          <w:p w14:paraId="37F4B664">
            <w:pPr>
              <w:keepNext w:val="0"/>
              <w:keepLines w:val="0"/>
              <w:pageBreakBefore w:val="0"/>
              <w:widowControl w:val="0"/>
              <w:kinsoku/>
              <w:wordWrap/>
              <w:overflowPunct/>
              <w:topLinePunct w:val="0"/>
              <w:autoSpaceDN/>
              <w:bidi w:val="0"/>
              <w:adjustRightInd w:val="0"/>
              <w:snapToGrid w:val="0"/>
              <w:jc w:val="center"/>
              <w:textAlignment w:val="auto"/>
              <w:rPr>
                <w:rFonts w:hint="default" w:ascii="Times New Roman" w:hAnsi="Times New Roman" w:cs="Times New Roman"/>
                <w:color w:val="auto"/>
                <w:sz w:val="24"/>
                <w:szCs w:val="24"/>
              </w:rPr>
            </w:pPr>
            <w:r>
              <w:rPr>
                <w:rFonts w:hint="eastAsia" w:ascii="Times New Roman" w:hAnsi="Times New Roman" w:cs="Times New Roman"/>
                <w:sz w:val="24"/>
                <w:szCs w:val="24"/>
                <w:lang w:val="en-US" w:eastAsia="zh-CN"/>
              </w:rPr>
              <w:t>《大气污染物综合排放标准》（GB16297-1996）表2新污染源大气污染物排放限值</w:t>
            </w:r>
          </w:p>
        </w:tc>
      </w:tr>
      <w:tr w14:paraId="257A44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vMerge w:val="restart"/>
            <w:noWrap w:val="0"/>
            <w:vAlign w:val="center"/>
          </w:tcPr>
          <w:p w14:paraId="3C63F624">
            <w:pPr>
              <w:keepNext w:val="0"/>
              <w:keepLines w:val="0"/>
              <w:pageBreakBefore w:val="0"/>
              <w:widowControl w:val="0"/>
              <w:kinsoku/>
              <w:wordWrap/>
              <w:overflowPunct/>
              <w:topLinePunct w:val="0"/>
              <w:autoSpaceDN/>
              <w:bidi w:val="0"/>
              <w:adjustRightInd w:val="0"/>
              <w:snapToGrid w:val="0"/>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地表水环境</w:t>
            </w:r>
          </w:p>
        </w:tc>
        <w:tc>
          <w:tcPr>
            <w:tcW w:w="1755" w:type="dxa"/>
            <w:noWrap w:val="0"/>
            <w:vAlign w:val="center"/>
          </w:tcPr>
          <w:p w14:paraId="7564A28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4"/>
                <w:szCs w:val="24"/>
              </w:rPr>
            </w:pPr>
            <w:r>
              <w:rPr>
                <w:rFonts w:hint="default" w:ascii="Times New Roman" w:hAnsi="Times New Roman" w:eastAsia="宋体" w:cs="Times New Roman"/>
                <w:color w:val="auto"/>
                <w:sz w:val="24"/>
                <w:szCs w:val="24"/>
                <w:lang w:val="en-US" w:eastAsia="zh-CN"/>
              </w:rPr>
              <w:t>生活污水</w:t>
            </w:r>
          </w:p>
        </w:tc>
        <w:tc>
          <w:tcPr>
            <w:tcW w:w="1447" w:type="dxa"/>
            <w:noWrap w:val="0"/>
            <w:vAlign w:val="center"/>
          </w:tcPr>
          <w:p w14:paraId="344C94D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4"/>
                <w:szCs w:val="24"/>
              </w:rPr>
            </w:pPr>
            <w:r>
              <w:rPr>
                <w:rFonts w:hint="default" w:ascii="Times New Roman" w:hAnsi="Times New Roman" w:eastAsia="宋体" w:cs="Times New Roman"/>
                <w:color w:val="auto"/>
                <w:kern w:val="2"/>
                <w:sz w:val="24"/>
                <w:szCs w:val="24"/>
                <w:lang w:val="en-US" w:eastAsia="zh-CN" w:bidi="ar-SA"/>
              </w:rPr>
              <w:t>CODcr、BOD</w:t>
            </w:r>
            <w:r>
              <w:rPr>
                <w:rFonts w:hint="default" w:ascii="Times New Roman" w:hAnsi="Times New Roman" w:eastAsia="宋体" w:cs="Times New Roman"/>
                <w:color w:val="auto"/>
                <w:kern w:val="2"/>
                <w:sz w:val="24"/>
                <w:szCs w:val="24"/>
                <w:vertAlign w:val="subscript"/>
                <w:lang w:val="en-US" w:eastAsia="zh-CN" w:bidi="ar-SA"/>
              </w:rPr>
              <w:t>5</w:t>
            </w:r>
            <w:r>
              <w:rPr>
                <w:rFonts w:hint="default" w:ascii="Times New Roman" w:hAnsi="Times New Roman" w:eastAsia="宋体" w:cs="Times New Roman"/>
                <w:color w:val="auto"/>
                <w:kern w:val="2"/>
                <w:sz w:val="24"/>
                <w:szCs w:val="24"/>
                <w:lang w:val="en-US" w:eastAsia="zh-CN" w:bidi="ar-SA"/>
              </w:rPr>
              <w:t>、SS、NH</w:t>
            </w:r>
            <w:r>
              <w:rPr>
                <w:rFonts w:hint="default" w:ascii="Times New Roman" w:hAnsi="Times New Roman" w:eastAsia="宋体" w:cs="Times New Roman"/>
                <w:color w:val="auto"/>
                <w:kern w:val="2"/>
                <w:sz w:val="24"/>
                <w:szCs w:val="24"/>
                <w:vertAlign w:val="subscript"/>
                <w:lang w:val="en-US" w:eastAsia="zh-CN" w:bidi="ar-SA"/>
              </w:rPr>
              <w:t>3-</w:t>
            </w:r>
            <w:r>
              <w:rPr>
                <w:rFonts w:hint="default" w:ascii="Times New Roman" w:hAnsi="Times New Roman" w:eastAsia="宋体" w:cs="Times New Roman"/>
                <w:color w:val="auto"/>
                <w:kern w:val="2"/>
                <w:sz w:val="24"/>
                <w:szCs w:val="24"/>
                <w:lang w:val="en-US" w:eastAsia="zh-CN" w:bidi="ar-SA"/>
              </w:rPr>
              <w:t>N</w:t>
            </w:r>
          </w:p>
        </w:tc>
        <w:tc>
          <w:tcPr>
            <w:tcW w:w="2063" w:type="dxa"/>
            <w:noWrap w:val="0"/>
            <w:vAlign w:val="center"/>
          </w:tcPr>
          <w:p w14:paraId="0562289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highlight w:val="none"/>
                <w:lang w:val="en-US" w:eastAsia="zh-CN" w:bidi="ar"/>
              </w:rPr>
            </w:pPr>
            <w:r>
              <w:rPr>
                <w:rFonts w:hint="default" w:ascii="Times New Roman" w:hAnsi="Times New Roman" w:eastAsia="宋体" w:cs="Times New Roman"/>
                <w:color w:val="auto"/>
                <w:sz w:val="24"/>
                <w:highlight w:val="none"/>
                <w:lang w:val="en-US" w:eastAsia="zh-CN" w:bidi="ar"/>
              </w:rPr>
              <w:t>由</w:t>
            </w:r>
            <w:r>
              <w:rPr>
                <w:rFonts w:hint="eastAsia" w:ascii="Times New Roman" w:hAnsi="Times New Roman" w:eastAsia="宋体" w:cs="Times New Roman"/>
                <w:color w:val="auto"/>
                <w:sz w:val="24"/>
                <w:highlight w:val="none"/>
                <w:lang w:val="en-US" w:eastAsia="zh-CN" w:bidi="ar"/>
              </w:rPr>
              <w:t>一体化污水处理设施</w:t>
            </w:r>
            <w:r>
              <w:rPr>
                <w:rFonts w:hint="default" w:ascii="Times New Roman" w:hAnsi="Times New Roman" w:eastAsia="宋体" w:cs="Times New Roman"/>
                <w:color w:val="auto"/>
                <w:sz w:val="24"/>
                <w:highlight w:val="none"/>
                <w:lang w:val="en-US" w:eastAsia="zh-CN" w:bidi="ar"/>
              </w:rPr>
              <w:t>处理，</w:t>
            </w:r>
            <w:r>
              <w:rPr>
                <w:rFonts w:hint="eastAsia" w:ascii="Times New Roman" w:hAnsi="Times New Roman" w:eastAsia="宋体" w:cs="Times New Roman"/>
                <w:color w:val="auto"/>
                <w:sz w:val="24"/>
                <w:highlight w:val="none"/>
                <w:lang w:val="en-US" w:eastAsia="zh-CN" w:bidi="ar"/>
              </w:rPr>
              <w:t>水质达到《农村生活污水处理排放标准》（DB654275-2019）表2的B级标准，冬储夏灌，用于荒漠灌溉。</w:t>
            </w:r>
          </w:p>
        </w:tc>
        <w:tc>
          <w:tcPr>
            <w:tcW w:w="1757" w:type="dxa"/>
            <w:noWrap w:val="0"/>
            <w:vAlign w:val="center"/>
          </w:tcPr>
          <w:p w14:paraId="26B9AE9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highlight w:val="none"/>
                <w:lang w:val="en-US" w:eastAsia="zh-CN" w:bidi="ar"/>
              </w:rPr>
            </w:pPr>
            <w:r>
              <w:rPr>
                <w:rFonts w:hint="eastAsia" w:ascii="Times New Roman" w:hAnsi="Times New Roman" w:eastAsia="宋体" w:cs="Times New Roman"/>
                <w:color w:val="auto"/>
                <w:sz w:val="24"/>
                <w:highlight w:val="none"/>
                <w:lang w:val="en-US" w:eastAsia="zh-CN" w:bidi="ar"/>
              </w:rPr>
              <w:t>《农村生活污水处理排放标准》（DB654275-2019）表2的B级标准</w:t>
            </w:r>
          </w:p>
        </w:tc>
      </w:tr>
      <w:tr w14:paraId="125C8B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vMerge w:val="continue"/>
            <w:noWrap w:val="0"/>
            <w:vAlign w:val="center"/>
          </w:tcPr>
          <w:p w14:paraId="4AEB6915">
            <w:pPr>
              <w:keepNext w:val="0"/>
              <w:keepLines w:val="0"/>
              <w:pageBreakBefore w:val="0"/>
              <w:widowControl w:val="0"/>
              <w:kinsoku/>
              <w:wordWrap/>
              <w:overflowPunct/>
              <w:topLinePunct w:val="0"/>
              <w:autoSpaceDN/>
              <w:bidi w:val="0"/>
              <w:adjustRightInd w:val="0"/>
              <w:snapToGrid w:val="0"/>
              <w:jc w:val="center"/>
              <w:textAlignment w:val="auto"/>
              <w:rPr>
                <w:rFonts w:hint="default" w:ascii="Times New Roman" w:hAnsi="Times New Roman" w:cs="Times New Roman"/>
                <w:sz w:val="24"/>
                <w:szCs w:val="24"/>
              </w:rPr>
            </w:pPr>
          </w:p>
        </w:tc>
        <w:tc>
          <w:tcPr>
            <w:tcW w:w="1755" w:type="dxa"/>
            <w:noWrap w:val="0"/>
            <w:vAlign w:val="center"/>
          </w:tcPr>
          <w:p w14:paraId="18FCB45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auto"/>
                <w:sz w:val="24"/>
                <w:szCs w:val="24"/>
                <w:lang w:val="en-US" w:eastAsia="zh-CN"/>
              </w:rPr>
              <w:t>生产废水</w:t>
            </w:r>
          </w:p>
        </w:tc>
        <w:tc>
          <w:tcPr>
            <w:tcW w:w="1447" w:type="dxa"/>
            <w:noWrap w:val="0"/>
            <w:vAlign w:val="center"/>
          </w:tcPr>
          <w:p w14:paraId="310F296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4"/>
                <w:szCs w:val="24"/>
                <w:lang w:val="en-US" w:eastAsia="zh-CN"/>
              </w:rPr>
            </w:pPr>
            <w:r>
              <w:rPr>
                <w:rFonts w:hint="default" w:ascii="Times New Roman" w:hAnsi="Times New Roman" w:cs="Times New Roman"/>
                <w:sz w:val="24"/>
                <w:szCs w:val="24"/>
                <w:lang w:val="en-US" w:eastAsia="zh-CN"/>
              </w:rPr>
              <w:t>SS</w:t>
            </w:r>
          </w:p>
        </w:tc>
        <w:tc>
          <w:tcPr>
            <w:tcW w:w="2063" w:type="dxa"/>
            <w:noWrap w:val="0"/>
            <w:vAlign w:val="center"/>
          </w:tcPr>
          <w:p w14:paraId="10E7713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auto"/>
                <w:sz w:val="24"/>
                <w:szCs w:val="24"/>
                <w:lang w:val="en-US" w:eastAsia="zh-CN"/>
              </w:rPr>
              <w:t>循环使用，不外排</w:t>
            </w:r>
          </w:p>
        </w:tc>
        <w:tc>
          <w:tcPr>
            <w:tcW w:w="1757" w:type="dxa"/>
            <w:noWrap w:val="0"/>
            <w:vAlign w:val="center"/>
          </w:tcPr>
          <w:p w14:paraId="33DF0A7C">
            <w:pPr>
              <w:keepNext w:val="0"/>
              <w:keepLines w:val="0"/>
              <w:pageBreakBefore w:val="0"/>
              <w:widowControl w:val="0"/>
              <w:kinsoku/>
              <w:wordWrap/>
              <w:overflowPunct/>
              <w:topLinePunct w:val="0"/>
              <w:autoSpaceDN/>
              <w:bidi w:val="0"/>
              <w:adjustRightInd w:val="0"/>
              <w:snapToGrid w:val="0"/>
              <w:jc w:val="center"/>
              <w:textAlignment w:val="auto"/>
              <w:rPr>
                <w:rFonts w:hint="default" w:ascii="Times New Roman" w:hAnsi="Times New Roman" w:eastAsia="宋体" w:cs="Times New Roman"/>
                <w:sz w:val="24"/>
                <w:szCs w:val="24"/>
                <w:lang w:val="en-US" w:eastAsia="zh-CN"/>
              </w:rPr>
            </w:pPr>
            <w:r>
              <w:rPr>
                <w:rFonts w:hint="default" w:ascii="Times New Roman" w:hAnsi="Times New Roman" w:cs="Times New Roman"/>
                <w:sz w:val="24"/>
                <w:szCs w:val="24"/>
                <w:lang w:val="en-US" w:eastAsia="zh-CN"/>
              </w:rPr>
              <w:t>/</w:t>
            </w:r>
          </w:p>
        </w:tc>
      </w:tr>
      <w:tr w14:paraId="078885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noWrap w:val="0"/>
            <w:vAlign w:val="center"/>
          </w:tcPr>
          <w:p w14:paraId="631C352D">
            <w:pPr>
              <w:keepNext w:val="0"/>
              <w:keepLines w:val="0"/>
              <w:pageBreakBefore w:val="0"/>
              <w:widowControl w:val="0"/>
              <w:kinsoku/>
              <w:wordWrap/>
              <w:overflowPunct/>
              <w:topLinePunct w:val="0"/>
              <w:autoSpaceDN/>
              <w:bidi w:val="0"/>
              <w:adjustRightInd w:val="0"/>
              <w:snapToGrid w:val="0"/>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声环境</w:t>
            </w:r>
          </w:p>
        </w:tc>
        <w:tc>
          <w:tcPr>
            <w:tcW w:w="1755" w:type="dxa"/>
            <w:noWrap w:val="0"/>
            <w:vAlign w:val="center"/>
          </w:tcPr>
          <w:p w14:paraId="34C63AE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设备运行</w:t>
            </w:r>
          </w:p>
        </w:tc>
        <w:tc>
          <w:tcPr>
            <w:tcW w:w="1447" w:type="dxa"/>
            <w:noWrap w:val="0"/>
            <w:vAlign w:val="center"/>
          </w:tcPr>
          <w:p w14:paraId="4C17743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噪声</w:t>
            </w:r>
          </w:p>
        </w:tc>
        <w:tc>
          <w:tcPr>
            <w:tcW w:w="2063" w:type="dxa"/>
            <w:noWrap w:val="0"/>
            <w:vAlign w:val="center"/>
          </w:tcPr>
          <w:p w14:paraId="4176D0E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优先选用低噪声设备，基础减振，加强维护和保养</w:t>
            </w:r>
          </w:p>
        </w:tc>
        <w:tc>
          <w:tcPr>
            <w:tcW w:w="1757" w:type="dxa"/>
            <w:noWrap w:val="0"/>
            <w:vAlign w:val="center"/>
          </w:tcPr>
          <w:p w14:paraId="2EDC981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《工业企业厂界环境噪声排放标准》（GB12348-2008）3类标准</w:t>
            </w:r>
          </w:p>
        </w:tc>
      </w:tr>
      <w:tr w14:paraId="7475C6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noWrap w:val="0"/>
            <w:vAlign w:val="center"/>
          </w:tcPr>
          <w:p w14:paraId="22A5D1F7">
            <w:pPr>
              <w:keepNext w:val="0"/>
              <w:keepLines w:val="0"/>
              <w:pageBreakBefore w:val="0"/>
              <w:widowControl w:val="0"/>
              <w:kinsoku/>
              <w:wordWrap/>
              <w:overflowPunct/>
              <w:topLinePunct w:val="0"/>
              <w:autoSpaceDN/>
              <w:bidi w:val="0"/>
              <w:adjustRightInd w:val="0"/>
              <w:snapToGrid w:val="0"/>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电磁辐射</w:t>
            </w:r>
          </w:p>
        </w:tc>
        <w:tc>
          <w:tcPr>
            <w:tcW w:w="1755" w:type="dxa"/>
            <w:noWrap w:val="0"/>
            <w:vAlign w:val="center"/>
          </w:tcPr>
          <w:p w14:paraId="6A0A6F65">
            <w:pPr>
              <w:keepNext w:val="0"/>
              <w:keepLines w:val="0"/>
              <w:pageBreakBefore w:val="0"/>
              <w:widowControl w:val="0"/>
              <w:kinsoku/>
              <w:wordWrap/>
              <w:overflowPunct/>
              <w:topLinePunct w:val="0"/>
              <w:autoSpaceDN/>
              <w:bidi w:val="0"/>
              <w:adjustRightInd w:val="0"/>
              <w:snapToGrid w:val="0"/>
              <w:jc w:val="center"/>
              <w:textAlignment w:val="auto"/>
              <w:rPr>
                <w:rFonts w:hint="default" w:ascii="Times New Roman" w:hAnsi="Times New Roman" w:eastAsia="宋体" w:cs="Times New Roman"/>
                <w:sz w:val="24"/>
                <w:szCs w:val="24"/>
                <w:lang w:val="en-US" w:eastAsia="zh-CN"/>
              </w:rPr>
            </w:pPr>
            <w:r>
              <w:rPr>
                <w:rFonts w:hint="default" w:ascii="Times New Roman" w:hAnsi="Times New Roman" w:cs="Times New Roman"/>
                <w:sz w:val="24"/>
                <w:szCs w:val="24"/>
                <w:lang w:val="en-US" w:eastAsia="zh-CN"/>
              </w:rPr>
              <w:t>/</w:t>
            </w:r>
          </w:p>
        </w:tc>
        <w:tc>
          <w:tcPr>
            <w:tcW w:w="1447" w:type="dxa"/>
            <w:noWrap w:val="0"/>
            <w:vAlign w:val="center"/>
          </w:tcPr>
          <w:p w14:paraId="0264E5EC">
            <w:pPr>
              <w:keepNext w:val="0"/>
              <w:keepLines w:val="0"/>
              <w:pageBreakBefore w:val="0"/>
              <w:widowControl w:val="0"/>
              <w:kinsoku/>
              <w:wordWrap/>
              <w:overflowPunct/>
              <w:topLinePunct w:val="0"/>
              <w:autoSpaceDN/>
              <w:bidi w:val="0"/>
              <w:adjustRightInd w:val="0"/>
              <w:snapToGrid w:val="0"/>
              <w:jc w:val="center"/>
              <w:textAlignment w:val="auto"/>
              <w:rPr>
                <w:rFonts w:hint="default" w:ascii="Times New Roman" w:hAnsi="Times New Roman" w:eastAsia="宋体" w:cs="Times New Roman"/>
                <w:sz w:val="24"/>
                <w:szCs w:val="24"/>
                <w:lang w:val="en-US" w:eastAsia="zh-CN"/>
              </w:rPr>
            </w:pPr>
            <w:r>
              <w:rPr>
                <w:rFonts w:hint="default" w:ascii="Times New Roman" w:hAnsi="Times New Roman" w:cs="Times New Roman"/>
                <w:sz w:val="24"/>
                <w:szCs w:val="24"/>
                <w:lang w:val="en-US" w:eastAsia="zh-CN"/>
              </w:rPr>
              <w:t>/</w:t>
            </w:r>
          </w:p>
        </w:tc>
        <w:tc>
          <w:tcPr>
            <w:tcW w:w="2063" w:type="dxa"/>
            <w:noWrap w:val="0"/>
            <w:vAlign w:val="center"/>
          </w:tcPr>
          <w:p w14:paraId="253B3C7C">
            <w:pPr>
              <w:keepNext w:val="0"/>
              <w:keepLines w:val="0"/>
              <w:pageBreakBefore w:val="0"/>
              <w:widowControl w:val="0"/>
              <w:kinsoku/>
              <w:wordWrap/>
              <w:overflowPunct/>
              <w:topLinePunct w:val="0"/>
              <w:autoSpaceDN/>
              <w:bidi w:val="0"/>
              <w:adjustRightInd w:val="0"/>
              <w:snapToGrid w:val="0"/>
              <w:jc w:val="center"/>
              <w:textAlignment w:val="auto"/>
              <w:rPr>
                <w:rFonts w:hint="default" w:ascii="Times New Roman" w:hAnsi="Times New Roman" w:eastAsia="宋体" w:cs="Times New Roman"/>
                <w:sz w:val="24"/>
                <w:szCs w:val="24"/>
                <w:lang w:val="en-US" w:eastAsia="zh-CN"/>
              </w:rPr>
            </w:pPr>
            <w:r>
              <w:rPr>
                <w:rFonts w:hint="default" w:ascii="Times New Roman" w:hAnsi="Times New Roman" w:cs="Times New Roman"/>
                <w:sz w:val="24"/>
                <w:szCs w:val="24"/>
                <w:lang w:val="en-US" w:eastAsia="zh-CN"/>
              </w:rPr>
              <w:t>/</w:t>
            </w:r>
          </w:p>
        </w:tc>
        <w:tc>
          <w:tcPr>
            <w:tcW w:w="1757" w:type="dxa"/>
            <w:noWrap w:val="0"/>
            <w:vAlign w:val="center"/>
          </w:tcPr>
          <w:p w14:paraId="31D9CA2E">
            <w:pPr>
              <w:keepNext w:val="0"/>
              <w:keepLines w:val="0"/>
              <w:pageBreakBefore w:val="0"/>
              <w:widowControl w:val="0"/>
              <w:kinsoku/>
              <w:wordWrap/>
              <w:overflowPunct/>
              <w:topLinePunct w:val="0"/>
              <w:autoSpaceDN/>
              <w:bidi w:val="0"/>
              <w:adjustRightInd w:val="0"/>
              <w:snapToGrid w:val="0"/>
              <w:jc w:val="center"/>
              <w:textAlignment w:val="auto"/>
              <w:rPr>
                <w:rFonts w:hint="default" w:ascii="Times New Roman" w:hAnsi="Times New Roman" w:eastAsia="宋体" w:cs="Times New Roman"/>
                <w:sz w:val="24"/>
                <w:szCs w:val="24"/>
                <w:lang w:val="en-US" w:eastAsia="zh-CN"/>
              </w:rPr>
            </w:pPr>
            <w:r>
              <w:rPr>
                <w:rFonts w:hint="default" w:ascii="Times New Roman" w:hAnsi="Times New Roman" w:cs="Times New Roman"/>
                <w:sz w:val="24"/>
                <w:szCs w:val="24"/>
                <w:lang w:val="en-US" w:eastAsia="zh-CN"/>
              </w:rPr>
              <w:t>/</w:t>
            </w:r>
          </w:p>
        </w:tc>
      </w:tr>
      <w:tr w14:paraId="296CE6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1778" w:type="dxa"/>
            <w:noWrap w:val="0"/>
            <w:vAlign w:val="center"/>
          </w:tcPr>
          <w:p w14:paraId="19E20E19">
            <w:pPr>
              <w:keepNext w:val="0"/>
              <w:keepLines w:val="0"/>
              <w:pageBreakBefore w:val="0"/>
              <w:widowControl w:val="0"/>
              <w:kinsoku/>
              <w:wordWrap/>
              <w:overflowPunct/>
              <w:topLinePunct w:val="0"/>
              <w:autoSpaceDN/>
              <w:bidi w:val="0"/>
              <w:adjustRightInd w:val="0"/>
              <w:snapToGrid w:val="0"/>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固体废物</w:t>
            </w:r>
          </w:p>
        </w:tc>
        <w:tc>
          <w:tcPr>
            <w:tcW w:w="7022" w:type="dxa"/>
            <w:gridSpan w:val="4"/>
            <w:noWrap w:val="0"/>
            <w:vAlign w:val="center"/>
          </w:tcPr>
          <w:p w14:paraId="13E237D9">
            <w:pPr>
              <w:keepNext w:val="0"/>
              <w:keepLines w:val="0"/>
              <w:pageBreakBefore w:val="0"/>
              <w:widowControl w:val="0"/>
              <w:kinsoku/>
              <w:wordWrap/>
              <w:overflowPunct/>
              <w:topLinePunct w:val="0"/>
              <w:autoSpaceDN/>
              <w:bidi w:val="0"/>
              <w:adjustRightInd w:val="0"/>
              <w:snapToGrid w:val="0"/>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煤泥除杂筛分杂质、生活垃圾</w:t>
            </w:r>
            <w:r>
              <w:rPr>
                <w:rFonts w:hint="default" w:ascii="Times New Roman" w:hAnsi="Times New Roman" w:cs="Times New Roman"/>
                <w:color w:val="auto"/>
                <w:sz w:val="24"/>
                <w:szCs w:val="24"/>
                <w:lang w:val="en-US" w:eastAsia="zh-CN"/>
              </w:rPr>
              <w:t>由环卫部门统一处理；</w:t>
            </w:r>
            <w:r>
              <w:rPr>
                <w:rFonts w:hint="default" w:ascii="Times New Roman" w:hAnsi="Times New Roman" w:cs="Times New Roman"/>
                <w:sz w:val="24"/>
                <w:szCs w:val="24"/>
                <w:lang w:val="en-US" w:eastAsia="zh-CN"/>
              </w:rPr>
              <w:t>尾煤</w:t>
            </w:r>
            <w:r>
              <w:rPr>
                <w:rFonts w:hint="eastAsia" w:ascii="Times New Roman" w:hAnsi="Times New Roman" w:cs="Times New Roman"/>
                <w:sz w:val="24"/>
                <w:szCs w:val="24"/>
                <w:lang w:val="en-US" w:eastAsia="zh-CN"/>
              </w:rPr>
              <w:t>泥</w:t>
            </w:r>
            <w:r>
              <w:rPr>
                <w:rFonts w:hint="default" w:ascii="Times New Roman" w:hAnsi="Times New Roman" w:cs="Times New Roman"/>
                <w:sz w:val="24"/>
                <w:szCs w:val="24"/>
                <w:lang w:val="en-US" w:eastAsia="zh-CN"/>
              </w:rPr>
              <w:t>、洗车沉淀池沉渣、循环水池底泥</w:t>
            </w:r>
            <w:r>
              <w:rPr>
                <w:rFonts w:hint="default" w:ascii="Times New Roman" w:hAnsi="Times New Roman" w:cs="Times New Roman"/>
                <w:color w:val="auto"/>
                <w:sz w:val="24"/>
                <w:szCs w:val="24"/>
                <w:lang w:val="en-US" w:eastAsia="zh-CN"/>
              </w:rPr>
              <w:t>外售至砖厂制砖；</w:t>
            </w:r>
            <w:r>
              <w:rPr>
                <w:rFonts w:hint="default" w:ascii="Times New Roman" w:hAnsi="Times New Roman" w:eastAsia="宋体" w:cs="Times New Roman"/>
                <w:kern w:val="2"/>
                <w:sz w:val="24"/>
                <w:szCs w:val="24"/>
                <w:lang w:val="en-US" w:eastAsia="zh-CN" w:bidi="ar-SA"/>
              </w:rPr>
              <w:t>废</w:t>
            </w:r>
            <w:r>
              <w:rPr>
                <w:rFonts w:hint="default" w:ascii="Times New Roman" w:hAnsi="Times New Roman" w:cs="Times New Roman"/>
                <w:sz w:val="24"/>
                <w:szCs w:val="24"/>
                <w:lang w:val="en-US" w:eastAsia="zh-CN"/>
              </w:rPr>
              <w:t>机油、</w:t>
            </w:r>
            <w:r>
              <w:rPr>
                <w:rFonts w:hint="eastAsia" w:ascii="Times New Roman" w:hAnsi="Times New Roman" w:cs="Times New Roman"/>
                <w:sz w:val="24"/>
                <w:szCs w:val="24"/>
                <w:lang w:val="en-US" w:eastAsia="zh-CN"/>
              </w:rPr>
              <w:t>废柴油桶</w:t>
            </w:r>
            <w:r>
              <w:rPr>
                <w:rFonts w:hint="default" w:ascii="Times New Roman" w:hAnsi="Times New Roman" w:eastAsia="宋体" w:cs="Times New Roman"/>
                <w:sz w:val="24"/>
                <w:szCs w:val="24"/>
                <w:lang w:val="en-US" w:eastAsia="zh-CN"/>
              </w:rPr>
              <w:t>暂存危废贮存点，交由有资质单位处置。</w:t>
            </w:r>
          </w:p>
        </w:tc>
      </w:tr>
      <w:tr w14:paraId="035F93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1778" w:type="dxa"/>
            <w:noWrap w:val="0"/>
            <w:vAlign w:val="center"/>
          </w:tcPr>
          <w:p w14:paraId="752FB011">
            <w:pPr>
              <w:keepNext w:val="0"/>
              <w:keepLines w:val="0"/>
              <w:pageBreakBefore w:val="0"/>
              <w:widowControl w:val="0"/>
              <w:kinsoku/>
              <w:wordWrap/>
              <w:overflowPunct/>
              <w:topLinePunct w:val="0"/>
              <w:autoSpaceDN/>
              <w:bidi w:val="0"/>
              <w:adjustRightInd w:val="0"/>
              <w:snapToGrid w:val="0"/>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土壤及地下水</w:t>
            </w:r>
          </w:p>
          <w:p w14:paraId="17C7E3E7">
            <w:pPr>
              <w:keepNext w:val="0"/>
              <w:keepLines w:val="0"/>
              <w:pageBreakBefore w:val="0"/>
              <w:widowControl w:val="0"/>
              <w:kinsoku/>
              <w:wordWrap/>
              <w:overflowPunct/>
              <w:topLinePunct w:val="0"/>
              <w:autoSpaceDN/>
              <w:bidi w:val="0"/>
              <w:adjustRightInd w:val="0"/>
              <w:snapToGrid w:val="0"/>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污染防治措施</w:t>
            </w:r>
          </w:p>
        </w:tc>
        <w:tc>
          <w:tcPr>
            <w:tcW w:w="7022" w:type="dxa"/>
            <w:gridSpan w:val="4"/>
            <w:noWrap w:val="0"/>
            <w:vAlign w:val="center"/>
          </w:tcPr>
          <w:p w14:paraId="630321AF">
            <w:pPr>
              <w:pStyle w:val="7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eastAsia="宋体" w:cs="Times New Roman"/>
                <w:sz w:val="24"/>
                <w:szCs w:val="24"/>
                <w:highlight w:val="none"/>
                <w:lang w:val="en-US" w:eastAsia="zh-CN"/>
              </w:rPr>
              <w:t>危废贮存点采取重点防渗；洗煤厂房、</w:t>
            </w:r>
            <w:r>
              <w:rPr>
                <w:rFonts w:hint="eastAsia" w:ascii="Times New Roman" w:hAnsi="Times New Roman" w:eastAsia="宋体" w:cs="Times New Roman"/>
                <w:sz w:val="24"/>
                <w:szCs w:val="24"/>
                <w:highlight w:val="none"/>
                <w:lang w:val="en-US" w:eastAsia="zh-CN"/>
              </w:rPr>
              <w:t>煤棚</w:t>
            </w:r>
            <w:r>
              <w:rPr>
                <w:rFonts w:hint="default" w:ascii="Times New Roman" w:hAnsi="Times New Roman" w:eastAsia="宋体" w:cs="Times New Roman"/>
                <w:sz w:val="24"/>
                <w:szCs w:val="24"/>
                <w:highlight w:val="none"/>
                <w:lang w:val="en-US" w:eastAsia="zh-CN"/>
              </w:rPr>
              <w:t>、沉淀池</w:t>
            </w:r>
            <w:r>
              <w:rPr>
                <w:rFonts w:hint="eastAsia" w:cs="Times New Roman"/>
                <w:sz w:val="24"/>
                <w:szCs w:val="24"/>
                <w:highlight w:val="none"/>
                <w:lang w:val="en-US" w:eastAsia="zh-CN"/>
              </w:rPr>
              <w:t>、生活污水暂存池</w:t>
            </w:r>
            <w:r>
              <w:rPr>
                <w:rFonts w:hint="default" w:ascii="Times New Roman" w:hAnsi="Times New Roman" w:eastAsia="宋体" w:cs="Times New Roman"/>
                <w:sz w:val="24"/>
                <w:szCs w:val="24"/>
                <w:highlight w:val="none"/>
                <w:lang w:val="en-US" w:eastAsia="zh-CN"/>
              </w:rPr>
              <w:t>采取一般防渗；其他区域采取简单防渗</w:t>
            </w:r>
            <w:r>
              <w:rPr>
                <w:rFonts w:hint="eastAsia" w:ascii="Times New Roman" w:hAnsi="Times New Roman" w:eastAsia="宋体" w:cs="Times New Roman"/>
                <w:sz w:val="24"/>
                <w:szCs w:val="24"/>
                <w:highlight w:val="none"/>
                <w:lang w:val="en-US" w:eastAsia="zh-CN"/>
              </w:rPr>
              <w:t>。</w:t>
            </w:r>
          </w:p>
        </w:tc>
      </w:tr>
      <w:tr w14:paraId="33DD27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1778" w:type="dxa"/>
            <w:noWrap w:val="0"/>
            <w:vAlign w:val="center"/>
          </w:tcPr>
          <w:p w14:paraId="53A51BB4">
            <w:pPr>
              <w:keepNext w:val="0"/>
              <w:keepLines w:val="0"/>
              <w:pageBreakBefore w:val="0"/>
              <w:widowControl w:val="0"/>
              <w:kinsoku/>
              <w:wordWrap/>
              <w:overflowPunct/>
              <w:topLinePunct w:val="0"/>
              <w:autoSpaceDN/>
              <w:bidi w:val="0"/>
              <w:adjustRightInd w:val="0"/>
              <w:snapToGrid w:val="0"/>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生态保护措施</w:t>
            </w:r>
          </w:p>
        </w:tc>
        <w:tc>
          <w:tcPr>
            <w:tcW w:w="7022" w:type="dxa"/>
            <w:gridSpan w:val="4"/>
            <w:noWrap w:val="0"/>
            <w:vAlign w:val="center"/>
          </w:tcPr>
          <w:p w14:paraId="3E046A75">
            <w:pPr>
              <w:pStyle w:val="7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kern w:val="2"/>
                <w:sz w:val="24"/>
                <w:szCs w:val="24"/>
                <w:highlight w:val="none"/>
                <w:lang w:val="en-US" w:eastAsia="zh-CN" w:bidi="ar-SA"/>
              </w:rPr>
            </w:pPr>
            <w:r>
              <w:rPr>
                <w:rFonts w:hint="default" w:ascii="Times New Roman" w:hAnsi="Times New Roman" w:eastAsia="宋体" w:cs="Times New Roman"/>
                <w:color w:val="000000"/>
                <w:kern w:val="2"/>
                <w:sz w:val="24"/>
                <w:szCs w:val="24"/>
                <w:highlight w:val="none"/>
                <w:lang w:val="en-US" w:eastAsia="zh-CN" w:bidi="ar-SA"/>
              </w:rPr>
              <w:t>/</w:t>
            </w:r>
          </w:p>
        </w:tc>
      </w:tr>
      <w:tr w14:paraId="037B8F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1778" w:type="dxa"/>
            <w:noWrap w:val="0"/>
            <w:vAlign w:val="center"/>
          </w:tcPr>
          <w:p w14:paraId="2229D8A5">
            <w:pPr>
              <w:keepNext w:val="0"/>
              <w:keepLines w:val="0"/>
              <w:pageBreakBefore w:val="0"/>
              <w:widowControl w:val="0"/>
              <w:kinsoku/>
              <w:wordWrap/>
              <w:overflowPunct/>
              <w:topLinePunct w:val="0"/>
              <w:autoSpaceDN/>
              <w:bidi w:val="0"/>
              <w:adjustRightInd w:val="0"/>
              <w:snapToGrid w:val="0"/>
              <w:jc w:val="center"/>
              <w:textAlignment w:val="auto"/>
              <w:rPr>
                <w:rFonts w:hint="default" w:ascii="Times New Roman" w:hAnsi="Times New Roman" w:cs="Times New Roman"/>
                <w:spacing w:val="-8"/>
                <w:sz w:val="24"/>
                <w:szCs w:val="24"/>
              </w:rPr>
            </w:pPr>
            <w:r>
              <w:rPr>
                <w:rFonts w:hint="default" w:ascii="Times New Roman" w:hAnsi="Times New Roman" w:cs="Times New Roman"/>
                <w:spacing w:val="-8"/>
                <w:sz w:val="24"/>
                <w:szCs w:val="24"/>
              </w:rPr>
              <w:t>环境风险防范措施</w:t>
            </w:r>
          </w:p>
        </w:tc>
        <w:tc>
          <w:tcPr>
            <w:tcW w:w="7022" w:type="dxa"/>
            <w:gridSpan w:val="4"/>
            <w:noWrap w:val="0"/>
            <w:vAlign w:val="center"/>
          </w:tcPr>
          <w:p w14:paraId="740F5473">
            <w:pPr>
              <w:pStyle w:val="7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eastAsia="宋体" w:cs="Times New Roman"/>
                <w:sz w:val="24"/>
                <w:szCs w:val="24"/>
                <w:highlight w:val="none"/>
                <w:lang w:val="en-US" w:eastAsia="zh-CN"/>
              </w:rPr>
              <w:t>制定环境应急预案等。加强管理，建设单位应树立并强化环境风险意识。建立健全突发环境事故应急组织机构等</w:t>
            </w:r>
            <w:r>
              <w:rPr>
                <w:rFonts w:hint="eastAsia" w:ascii="Times New Roman" w:hAnsi="Times New Roman" w:eastAsia="宋体" w:cs="Times New Roman"/>
                <w:sz w:val="24"/>
                <w:szCs w:val="24"/>
                <w:highlight w:val="none"/>
                <w:lang w:val="en-US" w:eastAsia="zh-CN"/>
              </w:rPr>
              <w:t>。</w:t>
            </w:r>
          </w:p>
        </w:tc>
      </w:tr>
      <w:tr w14:paraId="7B6EA5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1778" w:type="dxa"/>
            <w:noWrap w:val="0"/>
            <w:vAlign w:val="center"/>
          </w:tcPr>
          <w:p w14:paraId="4D9E7F3C">
            <w:pPr>
              <w:adjustRightInd w:val="0"/>
              <w:snapToGrid w:val="0"/>
              <w:jc w:val="center"/>
              <w:rPr>
                <w:rFonts w:ascii="宋体" w:hAnsi="宋体" w:cs="宋体"/>
                <w:spacing w:val="-8"/>
                <w:sz w:val="24"/>
                <w:szCs w:val="24"/>
              </w:rPr>
            </w:pPr>
            <w:r>
              <w:rPr>
                <w:rFonts w:hint="eastAsia" w:ascii="宋体" w:hAnsi="宋体" w:cs="宋体"/>
                <w:spacing w:val="-8"/>
                <w:sz w:val="24"/>
                <w:szCs w:val="24"/>
              </w:rPr>
              <w:t>其他环境</w:t>
            </w:r>
          </w:p>
          <w:p w14:paraId="462A646C">
            <w:pPr>
              <w:adjustRightInd w:val="0"/>
              <w:snapToGrid w:val="0"/>
              <w:jc w:val="center"/>
              <w:rPr>
                <w:rFonts w:hint="eastAsia" w:ascii="宋体" w:hAnsi="宋体" w:cs="宋体"/>
                <w:spacing w:val="-8"/>
                <w:szCs w:val="21"/>
              </w:rPr>
            </w:pPr>
            <w:r>
              <w:rPr>
                <w:rFonts w:hint="eastAsia" w:ascii="宋体" w:hAnsi="宋体" w:cs="宋体"/>
                <w:spacing w:val="-8"/>
                <w:sz w:val="24"/>
                <w:szCs w:val="24"/>
              </w:rPr>
              <w:t>管理要求</w:t>
            </w:r>
          </w:p>
        </w:tc>
        <w:tc>
          <w:tcPr>
            <w:tcW w:w="7022" w:type="dxa"/>
            <w:gridSpan w:val="4"/>
            <w:noWrap w:val="0"/>
            <w:vAlign w:val="center"/>
          </w:tcPr>
          <w:p w14:paraId="61DF0110">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1、环境管理</w:t>
            </w:r>
          </w:p>
          <w:p w14:paraId="342AACFB">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建立环境保护管理机构，对项目环境管理和环境监控负责，并受项目主管单位及当地环保局的监督和指导。</w:t>
            </w:r>
          </w:p>
          <w:p w14:paraId="013B06F7">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lang w:val="en-US" w:eastAsia="zh-CN"/>
              </w:rPr>
              <w:t>1</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环境管理机构的职责</w:t>
            </w:r>
          </w:p>
          <w:p w14:paraId="1A3A2B12">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①贯彻、宣传国家的环保方针、政策和法律法规。</w:t>
            </w:r>
          </w:p>
          <w:p w14:paraId="17641161">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②制定本项目的环保管理制度、环保技术经济政策、环境保护发展规划和年度实施计划。监督检查本项目执行“三同时”规定的情况。</w:t>
            </w:r>
          </w:p>
          <w:p w14:paraId="16C3577F">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③定期进行环保设备检查、维修和保养工作，确保环保设施长期、稳定、达标运转。</w:t>
            </w:r>
          </w:p>
          <w:p w14:paraId="4E660971">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④负责环保设施的日常运行管理工作，制定事故防范措施，一旦发生事故，组织污染源调查及控制工作，并及时总结经验教训。</w:t>
            </w:r>
          </w:p>
          <w:p w14:paraId="1E23AF8B">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⑤负责对项目环保人员和其他人员进行环境保护教育，不断</w:t>
            </w:r>
            <w:r>
              <w:rPr>
                <w:rFonts w:hint="default" w:ascii="Times New Roman" w:hAnsi="Times New Roman" w:cs="Times New Roman"/>
                <w:color w:val="auto"/>
                <w:sz w:val="24"/>
                <w:szCs w:val="24"/>
                <w:lang w:eastAsia="zh-CN"/>
              </w:rPr>
              <w:t>增强</w:t>
            </w:r>
            <w:r>
              <w:rPr>
                <w:rFonts w:hint="default" w:ascii="Times New Roman" w:hAnsi="Times New Roman" w:cs="Times New Roman"/>
                <w:color w:val="auto"/>
                <w:sz w:val="24"/>
                <w:szCs w:val="24"/>
              </w:rPr>
              <w:t>项目内人员的环境意识和环保人员的业务素质。</w:t>
            </w:r>
          </w:p>
          <w:p w14:paraId="13532F39">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lang w:val="en-US" w:eastAsia="zh-CN"/>
              </w:rPr>
              <w:t>2</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环境管理人员配备</w:t>
            </w:r>
          </w:p>
          <w:p w14:paraId="2BC35259">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环境保护工作由负责环保工作的人员统一管理。其职责是实施环保工作计划、规划、审查、监督建设项目的“三同时”工作，并对“三</w:t>
            </w:r>
            <w:r>
              <w:rPr>
                <w:rFonts w:hint="eastAsia" w:ascii="Times New Roman" w:hAnsi="Times New Roman" w:cs="Times New Roman"/>
                <w:color w:val="auto"/>
                <w:sz w:val="24"/>
                <w:szCs w:val="24"/>
                <w:lang w:val="en-US" w:eastAsia="zh-CN"/>
              </w:rPr>
              <w:t>废</w:t>
            </w:r>
            <w:r>
              <w:rPr>
                <w:rFonts w:hint="default" w:ascii="Times New Roman" w:hAnsi="Times New Roman" w:cs="Times New Roman"/>
                <w:color w:val="auto"/>
                <w:sz w:val="24"/>
                <w:szCs w:val="24"/>
              </w:rPr>
              <w:t>”的排放达标选择监控。负责处理污染事故，编制环保统计及环保考核等报告。建设项目建成后，配备专业环保管理人员1-2名，负责环境监督管理工作，同时要加强对管理人员的环保培训。</w:t>
            </w:r>
          </w:p>
          <w:p w14:paraId="01A00F79">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2、环境管理制度</w:t>
            </w:r>
          </w:p>
          <w:p w14:paraId="6D53121E">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建设单位应制定一系列规章制度以促进环境保护工作，使环境保护工作规范和程序化，并通过经济杠杆来保证环境保护管理制度的认真执行。根据需要，建议制定的环境保护工作条例有：</w:t>
            </w:r>
          </w:p>
          <w:p w14:paraId="1F258B06">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lang w:val="en-US" w:eastAsia="zh-CN"/>
              </w:rPr>
              <w:t>1</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环境保护职责管理条例；</w:t>
            </w:r>
          </w:p>
          <w:p w14:paraId="497ECD26">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lang w:val="en-US" w:eastAsia="zh-CN"/>
              </w:rPr>
              <w:t>2</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污水、废气、固体废物排放管理制度；</w:t>
            </w:r>
          </w:p>
          <w:p w14:paraId="14A3C68D">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lang w:val="en-US" w:eastAsia="zh-CN"/>
              </w:rPr>
              <w:t>3</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“三废”处理装置日常运行管理制度；</w:t>
            </w:r>
          </w:p>
          <w:p w14:paraId="49BBFFBC">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lang w:val="en-US" w:eastAsia="zh-CN"/>
              </w:rPr>
              <w:t>4</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排污情况报告制度；</w:t>
            </w:r>
          </w:p>
          <w:p w14:paraId="2F25D435">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lang w:val="en-US" w:eastAsia="zh-CN"/>
              </w:rPr>
              <w:t>5</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污染事故处理制度；</w:t>
            </w:r>
          </w:p>
          <w:p w14:paraId="2AF597FF">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lang w:val="en-US" w:eastAsia="zh-CN"/>
              </w:rPr>
              <w:t>6</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环保教育制度。</w:t>
            </w:r>
          </w:p>
          <w:p w14:paraId="1F0A2869">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3、环境管理计划</w:t>
            </w:r>
          </w:p>
          <w:p w14:paraId="74EA625A">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lang w:val="en-US" w:eastAsia="zh-CN"/>
              </w:rPr>
              <w:t>1</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项目建成投产前，建设单位应组织建设项目进行环保竣工验收，检查环保设施是否达到“三同时”要求。</w:t>
            </w:r>
          </w:p>
          <w:p w14:paraId="3130E89A">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lang w:val="en-US" w:eastAsia="zh-CN"/>
              </w:rPr>
              <w:t>2</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加强环保设施的管理，定期检查项目内环保设施运行情况，如</w:t>
            </w:r>
            <w:r>
              <w:rPr>
                <w:rFonts w:hint="default" w:ascii="Times New Roman" w:hAnsi="Times New Roman" w:cs="Times New Roman"/>
                <w:color w:val="auto"/>
                <w:sz w:val="24"/>
                <w:szCs w:val="24"/>
                <w:lang w:val="en-US" w:eastAsia="zh-CN"/>
              </w:rPr>
              <w:t>布袋除尘</w:t>
            </w:r>
            <w:r>
              <w:rPr>
                <w:rFonts w:hint="default" w:ascii="Times New Roman" w:hAnsi="Times New Roman" w:cs="Times New Roman"/>
                <w:color w:val="auto"/>
                <w:sz w:val="24"/>
                <w:szCs w:val="24"/>
              </w:rPr>
              <w:t>装置等设施是否正常运行。若发现故障，要及时排除，保证环保设施正常运转。</w:t>
            </w:r>
          </w:p>
          <w:p w14:paraId="7D937CA4">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lang w:val="en-US" w:eastAsia="zh-CN"/>
              </w:rPr>
              <w:t>3</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检查区域内环境，不允许在项目内开展有污染环境的活动，发现问题及时督促解决；</w:t>
            </w:r>
          </w:p>
          <w:p w14:paraId="53ECAE20">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lang w:val="en-US" w:eastAsia="zh-CN"/>
              </w:rPr>
              <w:t>4</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运用经济、教育、行政、法律及其它手段，加强项目内人员的环保意识，加强环境保护的自觉性，不断提高环境管理水平。</w:t>
            </w:r>
          </w:p>
          <w:p w14:paraId="42CDE266">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lang w:val="en-US" w:eastAsia="zh-CN"/>
              </w:rPr>
              <w:t>5</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配合当地环保监测机构，实施环境监测计划。</w:t>
            </w:r>
          </w:p>
          <w:p w14:paraId="0CF70ECF">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lang w:val="en-US" w:eastAsia="zh-CN"/>
              </w:rPr>
              <w:t>6</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加强风险事故防范机制，避免污染性的突发事件发生。</w:t>
            </w:r>
          </w:p>
          <w:p w14:paraId="61A0B7CB">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lang w:val="en-US" w:eastAsia="zh-CN"/>
              </w:rPr>
              <w:t>7</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加强宣传教育，增强施工及管理人员的环保意识。</w:t>
            </w:r>
          </w:p>
          <w:p w14:paraId="7385BBB9">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lang w:val="en-US" w:eastAsia="zh-CN"/>
              </w:rPr>
              <w:t>8</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按</w:t>
            </w:r>
            <w:r>
              <w:rPr>
                <w:rFonts w:hint="default" w:ascii="Times New Roman" w:hAnsi="Times New Roman" w:cs="Times New Roman"/>
                <w:color w:val="auto"/>
                <w:sz w:val="24"/>
                <w:szCs w:val="24"/>
                <w:lang w:eastAsia="zh-CN"/>
              </w:rPr>
              <w:t>危废贮存点</w:t>
            </w:r>
            <w:r>
              <w:rPr>
                <w:rFonts w:hint="default" w:ascii="Times New Roman" w:hAnsi="Times New Roman" w:cs="Times New Roman"/>
                <w:color w:val="auto"/>
                <w:sz w:val="24"/>
                <w:szCs w:val="24"/>
              </w:rPr>
              <w:t>建设规范建设</w:t>
            </w:r>
            <w:r>
              <w:rPr>
                <w:rFonts w:hint="default" w:ascii="Times New Roman" w:hAnsi="Times New Roman" w:cs="Times New Roman"/>
                <w:color w:val="auto"/>
                <w:sz w:val="24"/>
                <w:szCs w:val="24"/>
                <w:lang w:eastAsia="zh-CN"/>
              </w:rPr>
              <w:t>危废贮存点</w:t>
            </w:r>
            <w:r>
              <w:rPr>
                <w:rFonts w:hint="default" w:ascii="Times New Roman" w:hAnsi="Times New Roman" w:cs="Times New Roman"/>
                <w:color w:val="auto"/>
                <w:sz w:val="24"/>
                <w:szCs w:val="24"/>
              </w:rPr>
              <w:t>，</w:t>
            </w:r>
            <w:r>
              <w:rPr>
                <w:rFonts w:hint="default" w:ascii="Times New Roman" w:hAnsi="Times New Roman" w:cs="Times New Roman"/>
                <w:color w:val="auto"/>
                <w:sz w:val="24"/>
                <w:szCs w:val="24"/>
                <w:lang w:eastAsia="zh-CN"/>
              </w:rPr>
              <w:t>危废贮存点</w:t>
            </w:r>
            <w:r>
              <w:rPr>
                <w:rFonts w:hint="default" w:ascii="Times New Roman" w:hAnsi="Times New Roman" w:cs="Times New Roman"/>
                <w:color w:val="auto"/>
                <w:sz w:val="24"/>
                <w:szCs w:val="24"/>
              </w:rPr>
              <w:t>防渗工程的施工监理及其相关材料的留档备查要求</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隐蔽工程的原材料购置和使用票据、阶段性施工图像等资料</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，建立</w:t>
            </w:r>
            <w:r>
              <w:rPr>
                <w:rFonts w:hint="default" w:ascii="Times New Roman" w:hAnsi="Times New Roman" w:eastAsia="宋体" w:cs="Times New Roman"/>
                <w:color w:val="auto"/>
                <w:sz w:val="24"/>
                <w:szCs w:val="24"/>
                <w:lang w:val="en-US" w:eastAsia="zh-CN"/>
              </w:rPr>
              <w:t>危废贮存点</w:t>
            </w:r>
            <w:r>
              <w:rPr>
                <w:rFonts w:hint="default" w:ascii="Times New Roman" w:hAnsi="Times New Roman" w:cs="Times New Roman"/>
                <w:color w:val="auto"/>
                <w:sz w:val="24"/>
                <w:szCs w:val="24"/>
              </w:rPr>
              <w:t>台账，委托有资质单位处理。</w:t>
            </w:r>
          </w:p>
          <w:p w14:paraId="117F4F72">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4、排污许可</w:t>
            </w:r>
          </w:p>
          <w:p w14:paraId="02F4BB5E">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eastAsia" w:ascii="Times New Roman" w:hAnsi="Times New Roman" w:eastAsia="宋体" w:cs="Times New Roman"/>
                <w:color w:val="auto"/>
                <w:sz w:val="24"/>
                <w:szCs w:val="24"/>
                <w:lang w:val="en-US" w:eastAsia="zh-CN"/>
              </w:rPr>
            </w:pPr>
            <w:r>
              <w:rPr>
                <w:rFonts w:hint="default" w:ascii="Times New Roman" w:hAnsi="Times New Roman" w:cs="Times New Roman"/>
                <w:color w:val="auto"/>
                <w:sz w:val="24"/>
                <w:szCs w:val="24"/>
              </w:rPr>
              <w:t>根据《排污许可管理条例》</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国务院令第736号</w:t>
            </w:r>
            <w:r>
              <w:rPr>
                <w:rFonts w:hint="default" w:ascii="Times New Roman" w:hAnsi="Times New Roman" w:cs="Times New Roman"/>
                <w:color w:val="auto"/>
                <w:sz w:val="24"/>
                <w:szCs w:val="24"/>
                <w:lang w:eastAsia="zh-CN"/>
              </w:rPr>
              <w:t>）</w:t>
            </w:r>
            <w:r>
              <w:rPr>
                <w:rFonts w:hint="eastAsia" w:ascii="Times New Roman" w:hAnsi="Times New Roman" w:cs="Times New Roman"/>
                <w:color w:val="auto"/>
                <w:sz w:val="24"/>
                <w:szCs w:val="24"/>
                <w:lang w:eastAsia="zh-CN"/>
              </w:rPr>
              <w:t>、</w:t>
            </w:r>
            <w:r>
              <w:rPr>
                <w:rFonts w:hint="default" w:ascii="Times New Roman" w:hAnsi="Times New Roman" w:eastAsia="宋体" w:cs="Times New Roman"/>
                <w:color w:val="auto"/>
                <w:sz w:val="24"/>
                <w:szCs w:val="24"/>
              </w:rPr>
              <w:t>《固定污染源排污许可分类管理名录</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2019年版</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val="en-US" w:eastAsia="zh-CN"/>
              </w:rPr>
              <w:t>本项目</w:t>
            </w:r>
            <w:r>
              <w:rPr>
                <w:rFonts w:hint="eastAsia" w:ascii="Times New Roman" w:hAnsi="Times New Roman" w:eastAsia="宋体" w:cs="Times New Roman"/>
                <w:color w:val="auto"/>
                <w:sz w:val="24"/>
                <w:szCs w:val="24"/>
                <w:lang w:val="en-US" w:eastAsia="zh-CN"/>
              </w:rPr>
              <w:t>属于重点管理，应在项目投产、实际排污前，在全国排污许可证管理信息平台提交申请，依法取得排污许可证后方可排污。</w:t>
            </w:r>
          </w:p>
          <w:p w14:paraId="61188D46">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5、排污口规范化设置</w:t>
            </w:r>
          </w:p>
          <w:p w14:paraId="7E0CE2E4">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eastAsia"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本项目无需设置废气、废水排污口。</w:t>
            </w:r>
          </w:p>
          <w:p w14:paraId="0BD21C7E">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default" w:ascii="Times New Roman" w:hAnsi="Times New Roman" w:cs="Times New Roman"/>
                <w:color w:val="auto"/>
                <w:sz w:val="24"/>
                <w:szCs w:val="24"/>
                <w:shd w:val="clear" w:color="auto" w:fill="000000"/>
              </w:rPr>
            </w:pPr>
            <w:r>
              <w:rPr>
                <w:rFonts w:hint="default" w:ascii="Times New Roman" w:hAnsi="Times New Roman" w:cs="Times New Roman"/>
                <w:color w:val="auto"/>
                <w:sz w:val="24"/>
                <w:szCs w:val="24"/>
              </w:rPr>
              <w:t>6、建设项目竣工环境保护验收</w:t>
            </w:r>
          </w:p>
          <w:p w14:paraId="73863556">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本项目环保设施竣工验收由建设单位自行组织实施验收。</w:t>
            </w:r>
          </w:p>
          <w:p w14:paraId="3F714554">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default" w:ascii="Times New Roman" w:hAnsi="Times New Roman" w:cs="Times New Roman"/>
                <w:sz w:val="24"/>
                <w:szCs w:val="24"/>
              </w:rPr>
            </w:pPr>
            <w:r>
              <w:rPr>
                <w:rFonts w:hint="default" w:ascii="Times New Roman" w:hAnsi="Times New Roman" w:cs="Times New Roman"/>
                <w:color w:val="auto"/>
                <w:sz w:val="24"/>
                <w:szCs w:val="24"/>
              </w:rPr>
              <w:t>建设单位是建设项目竣工环境保护验收的责任主体，应当按照《建设项目竣工环境保护验收暂行办法》规定的程序和标准，组织对配套建设的环境保护设施进行验收，编制验收报告，公开相关信息，接受社会监督，确保建设项目需要配套建设的环境保护设施与主体工程同时投产或者使用，并对验收内容、结论和所公开信息的真实性、准确性和完整性负责，不得在验收过程中弄虚作假。</w:t>
            </w:r>
          </w:p>
          <w:p w14:paraId="5FCDDAE7">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7、项目在建设和</w:t>
            </w:r>
            <w:r>
              <w:rPr>
                <w:rFonts w:hint="default" w:ascii="Times New Roman" w:hAnsi="Times New Roman" w:cs="Times New Roman"/>
                <w:color w:val="auto"/>
                <w:sz w:val="24"/>
                <w:szCs w:val="24"/>
                <w:lang w:eastAsia="zh-CN"/>
              </w:rPr>
              <w:t>运营</w:t>
            </w:r>
            <w:r>
              <w:rPr>
                <w:rFonts w:hint="default" w:ascii="Times New Roman" w:hAnsi="Times New Roman" w:cs="Times New Roman"/>
                <w:color w:val="auto"/>
                <w:sz w:val="24"/>
                <w:szCs w:val="24"/>
              </w:rPr>
              <w:t>中应认真执行国家、地方环境保护的有关规定和要求。按照当地环保部门的要求及时反映发生的环保问题，随时接受各级环保部门的检查监督。</w:t>
            </w:r>
          </w:p>
          <w:p w14:paraId="5935D0AE">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8、建设单位以后如需增加本报告表所涉及之外的污染源或对其功能进行改变，则应按要求向有关环保部门进行申报，并按污染控制目标采取相应的污染治理措施。</w:t>
            </w:r>
          </w:p>
          <w:p w14:paraId="7BDF05A5">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eastAsia" w:ascii="Times New Roman" w:hAnsi="Times New Roman" w:eastAsia="宋体" w:cs="Times New Roman"/>
                <w:b/>
                <w:bCs w:val="0"/>
                <w:color w:val="auto"/>
                <w:sz w:val="21"/>
                <w:szCs w:val="21"/>
                <w:lang w:val="en-US" w:eastAsia="zh-CN"/>
              </w:rPr>
            </w:pPr>
            <w:r>
              <w:rPr>
                <w:rFonts w:hint="default" w:ascii="Times New Roman" w:hAnsi="Times New Roman" w:cs="Times New Roman"/>
                <w:color w:val="auto"/>
                <w:sz w:val="24"/>
                <w:szCs w:val="24"/>
              </w:rPr>
              <w:t>9、制定突发环境事件应急预案，报主管部门备案，并进行定期演练。</w:t>
            </w:r>
          </w:p>
          <w:p w14:paraId="3E9063FA">
            <w:pPr>
              <w:keepNext w:val="0"/>
              <w:keepLines w:val="0"/>
              <w:pageBreakBefore w:val="0"/>
              <w:widowControl w:val="0"/>
              <w:kinsoku/>
              <w:wordWrap/>
              <w:overflowPunct/>
              <w:topLinePunct w:val="0"/>
              <w:autoSpaceDE/>
              <w:autoSpaceDN/>
              <w:bidi w:val="0"/>
              <w:adjustRightInd w:val="0"/>
              <w:snapToGrid/>
              <w:spacing w:line="440" w:lineRule="exact"/>
              <w:jc w:val="center"/>
              <w:textAlignment w:val="auto"/>
              <w:rPr>
                <w:rFonts w:hint="eastAsia" w:ascii="Times New Roman" w:hAnsi="Times New Roman" w:eastAsia="宋体" w:cs="Times New Roman"/>
                <w:b/>
                <w:bCs w:val="0"/>
                <w:color w:val="auto"/>
                <w:sz w:val="21"/>
                <w:szCs w:val="21"/>
                <w:lang w:val="en-US" w:eastAsia="zh-CN"/>
              </w:rPr>
            </w:pPr>
            <w:r>
              <w:rPr>
                <w:rFonts w:hint="eastAsia" w:ascii="Times New Roman" w:hAnsi="Times New Roman" w:eastAsia="宋体" w:cs="Times New Roman"/>
                <w:b/>
                <w:bCs w:val="0"/>
                <w:color w:val="auto"/>
                <w:sz w:val="21"/>
                <w:szCs w:val="21"/>
                <w:lang w:val="en-US" w:eastAsia="zh-CN"/>
              </w:rPr>
              <w:t>表5-1  建设项目“三同时”验收一览表</w:t>
            </w:r>
          </w:p>
          <w:tbl>
            <w:tblPr>
              <w:tblStyle w:val="25"/>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3"/>
              <w:gridCol w:w="1050"/>
              <w:gridCol w:w="1355"/>
              <w:gridCol w:w="1332"/>
              <w:gridCol w:w="1185"/>
              <w:gridCol w:w="1427"/>
            </w:tblGrid>
            <w:tr w14:paraId="066EE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26" w:type="pct"/>
                  <w:tcBorders>
                    <w:tl2br w:val="nil"/>
                    <w:tr2bl w:val="nil"/>
                  </w:tcBorders>
                  <w:noWrap w:val="0"/>
                  <w:vAlign w:val="center"/>
                </w:tcPr>
                <w:p w14:paraId="329940D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项目</w:t>
                  </w:r>
                </w:p>
              </w:tc>
              <w:tc>
                <w:tcPr>
                  <w:tcW w:w="772" w:type="pct"/>
                  <w:tcBorders>
                    <w:tl2br w:val="nil"/>
                    <w:tr2bl w:val="nil"/>
                  </w:tcBorders>
                  <w:noWrap w:val="0"/>
                  <w:vAlign w:val="center"/>
                </w:tcPr>
                <w:p w14:paraId="54D3DA3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污染源</w:t>
                  </w:r>
                </w:p>
              </w:tc>
              <w:tc>
                <w:tcPr>
                  <w:tcW w:w="997" w:type="pct"/>
                  <w:tcBorders>
                    <w:tl2br w:val="nil"/>
                    <w:tr2bl w:val="nil"/>
                  </w:tcBorders>
                  <w:noWrap w:val="0"/>
                  <w:vAlign w:val="center"/>
                </w:tcPr>
                <w:p w14:paraId="5F87629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防治措施</w:t>
                  </w:r>
                </w:p>
              </w:tc>
              <w:tc>
                <w:tcPr>
                  <w:tcW w:w="980" w:type="pct"/>
                  <w:tcBorders>
                    <w:tl2br w:val="nil"/>
                    <w:tr2bl w:val="nil"/>
                  </w:tcBorders>
                  <w:noWrap w:val="0"/>
                  <w:vAlign w:val="center"/>
                </w:tcPr>
                <w:p w14:paraId="36A7DD7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验收要求</w:t>
                  </w:r>
                </w:p>
              </w:tc>
              <w:tc>
                <w:tcPr>
                  <w:tcW w:w="872" w:type="pct"/>
                  <w:tcBorders>
                    <w:tl2br w:val="nil"/>
                    <w:tr2bl w:val="nil"/>
                  </w:tcBorders>
                  <w:noWrap w:val="0"/>
                  <w:vAlign w:val="center"/>
                </w:tcPr>
                <w:p w14:paraId="439F314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验收时间节点</w:t>
                  </w:r>
                </w:p>
              </w:tc>
              <w:tc>
                <w:tcPr>
                  <w:tcW w:w="1050" w:type="pct"/>
                  <w:tcBorders>
                    <w:tl2br w:val="nil"/>
                    <w:tr2bl w:val="nil"/>
                  </w:tcBorders>
                  <w:noWrap w:val="0"/>
                  <w:vAlign w:val="center"/>
                </w:tcPr>
                <w:p w14:paraId="6871FAD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验收参数</w:t>
                  </w:r>
                </w:p>
              </w:tc>
            </w:tr>
            <w:tr w14:paraId="3B73C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26" w:type="pct"/>
                  <w:vMerge w:val="restart"/>
                  <w:tcBorders>
                    <w:tl2br w:val="nil"/>
                    <w:tr2bl w:val="nil"/>
                  </w:tcBorders>
                  <w:noWrap w:val="0"/>
                  <w:vAlign w:val="center"/>
                </w:tcPr>
                <w:p w14:paraId="0D40F1C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废气</w:t>
                  </w:r>
                </w:p>
              </w:tc>
              <w:tc>
                <w:tcPr>
                  <w:tcW w:w="772" w:type="pct"/>
                  <w:tcBorders>
                    <w:tl2br w:val="nil"/>
                    <w:tr2bl w:val="nil"/>
                  </w:tcBorders>
                  <w:noWrap w:val="0"/>
                  <w:vAlign w:val="center"/>
                </w:tcPr>
                <w:p w14:paraId="249FF85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spacing w:val="-4"/>
                      <w:sz w:val="21"/>
                      <w:szCs w:val="21"/>
                      <w:lang w:val="en-US" w:eastAsia="zh-CN"/>
                    </w:rPr>
                    <w:t>煤棚</w:t>
                  </w:r>
                </w:p>
              </w:tc>
              <w:tc>
                <w:tcPr>
                  <w:tcW w:w="997" w:type="pct"/>
                  <w:tcBorders>
                    <w:tl2br w:val="nil"/>
                    <w:tr2bl w:val="nil"/>
                  </w:tcBorders>
                  <w:noWrap w:val="0"/>
                  <w:vAlign w:val="center"/>
                </w:tcPr>
                <w:p w14:paraId="7DDB8D9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spacing w:val="-4"/>
                      <w:sz w:val="21"/>
                      <w:szCs w:val="21"/>
                      <w:lang w:val="en-US" w:eastAsia="zh-CN"/>
                    </w:rPr>
                    <w:t>全封闭储煤棚，安装喷淋装置</w:t>
                  </w:r>
                </w:p>
              </w:tc>
              <w:tc>
                <w:tcPr>
                  <w:tcW w:w="980" w:type="pct"/>
                  <w:vMerge w:val="restart"/>
                  <w:tcBorders>
                    <w:tl2br w:val="nil"/>
                    <w:tr2bl w:val="nil"/>
                  </w:tcBorders>
                  <w:noWrap w:val="0"/>
                  <w:vAlign w:val="center"/>
                </w:tcPr>
                <w:p w14:paraId="4898F523">
                  <w:pPr>
                    <w:pStyle w:val="9"/>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pacing w:val="-4"/>
                      <w:kern w:val="2"/>
                      <w:sz w:val="21"/>
                      <w:szCs w:val="21"/>
                      <w:lang w:val="en-US" w:eastAsia="zh-CN" w:bidi="ar-SA"/>
                    </w:rPr>
                    <w:t>《煤炭工业污染物排放标准》（GB20426-2006）表5煤炭工业无组织排放限值</w:t>
                  </w:r>
                </w:p>
              </w:tc>
              <w:tc>
                <w:tcPr>
                  <w:tcW w:w="872" w:type="pct"/>
                  <w:tcBorders>
                    <w:tl2br w:val="nil"/>
                    <w:tr2bl w:val="nil"/>
                  </w:tcBorders>
                  <w:noWrap w:val="0"/>
                  <w:vAlign w:val="center"/>
                </w:tcPr>
                <w:p w14:paraId="249F16DD">
                  <w:pPr>
                    <w:pStyle w:val="9"/>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spacing w:val="-4"/>
                      <w:kern w:val="2"/>
                      <w:sz w:val="21"/>
                      <w:szCs w:val="21"/>
                      <w:lang w:val="en-US" w:eastAsia="zh-CN" w:bidi="ar-SA"/>
                    </w:rPr>
                  </w:pPr>
                  <w:r>
                    <w:rPr>
                      <w:rFonts w:hint="default" w:ascii="Times New Roman" w:hAnsi="Times New Roman" w:eastAsia="宋体" w:cs="Times New Roman"/>
                      <w:spacing w:val="-4"/>
                      <w:kern w:val="2"/>
                      <w:sz w:val="21"/>
                      <w:szCs w:val="21"/>
                      <w:lang w:val="en-US" w:eastAsia="zh-CN" w:bidi="ar-SA"/>
                    </w:rPr>
                    <w:t>分期建设煤棚喷淋装置随各期煤棚同步验收</w:t>
                  </w:r>
                </w:p>
              </w:tc>
              <w:tc>
                <w:tcPr>
                  <w:tcW w:w="1050" w:type="pct"/>
                  <w:tcBorders>
                    <w:tl2br w:val="nil"/>
                    <w:tr2bl w:val="nil"/>
                  </w:tcBorders>
                  <w:noWrap w:val="0"/>
                  <w:vAlign w:val="center"/>
                </w:tcPr>
                <w:p w14:paraId="6091EE0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spacing w:val="-4"/>
                      <w:kern w:val="2"/>
                      <w:sz w:val="21"/>
                      <w:szCs w:val="21"/>
                      <w:lang w:val="en-US" w:eastAsia="zh-CN" w:bidi="ar-SA"/>
                    </w:rPr>
                  </w:pPr>
                  <w:r>
                    <w:rPr>
                      <w:rFonts w:hint="default" w:ascii="Times New Roman" w:hAnsi="Times New Roman" w:eastAsia="宋体" w:cs="Times New Roman"/>
                      <w:spacing w:val="-4"/>
                      <w:sz w:val="21"/>
                      <w:szCs w:val="21"/>
                      <w:lang w:val="en-US" w:eastAsia="zh-CN"/>
                    </w:rPr>
                    <w:t>5处煤棚分别设置1套，喷淋范围覆盖整个煤棚</w:t>
                  </w:r>
                </w:p>
              </w:tc>
            </w:tr>
            <w:tr w14:paraId="28132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26" w:type="pct"/>
                  <w:vMerge w:val="continue"/>
                  <w:tcBorders>
                    <w:tl2br w:val="nil"/>
                    <w:tr2bl w:val="nil"/>
                  </w:tcBorders>
                  <w:noWrap w:val="0"/>
                  <w:vAlign w:val="center"/>
                </w:tcPr>
                <w:p w14:paraId="409018A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772" w:type="pct"/>
                  <w:tcBorders>
                    <w:tl2br w:val="nil"/>
                    <w:tr2bl w:val="nil"/>
                  </w:tcBorders>
                  <w:noWrap w:val="0"/>
                  <w:vAlign w:val="center"/>
                </w:tcPr>
                <w:p w14:paraId="40EE5E6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kern w:val="0"/>
                      <w:sz w:val="21"/>
                      <w:szCs w:val="21"/>
                      <w:lang w:val="en-US" w:eastAsia="zh-CN"/>
                    </w:rPr>
                    <w:t>车辆运输</w:t>
                  </w:r>
                </w:p>
              </w:tc>
              <w:tc>
                <w:tcPr>
                  <w:tcW w:w="997" w:type="pct"/>
                  <w:tcBorders>
                    <w:tl2br w:val="nil"/>
                    <w:tr2bl w:val="nil"/>
                  </w:tcBorders>
                  <w:noWrap w:val="0"/>
                  <w:vAlign w:val="center"/>
                </w:tcPr>
                <w:p w14:paraId="6E9921EF">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sz w:val="21"/>
                      <w:szCs w:val="21"/>
                      <w:lang w:val="en-US" w:eastAsia="zh-CN"/>
                    </w:rPr>
                    <w:t>货车限速，苫布遮盖；场区道路硬化，定期洒水、清扫；进出车辆清洗车身</w:t>
                  </w:r>
                </w:p>
              </w:tc>
              <w:tc>
                <w:tcPr>
                  <w:tcW w:w="980" w:type="pct"/>
                  <w:vMerge w:val="continue"/>
                  <w:tcBorders>
                    <w:tl2br w:val="nil"/>
                    <w:tr2bl w:val="nil"/>
                  </w:tcBorders>
                  <w:noWrap w:val="0"/>
                  <w:vAlign w:val="center"/>
                </w:tcPr>
                <w:p w14:paraId="619FAF2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872" w:type="pct"/>
                  <w:tcBorders>
                    <w:tl2br w:val="nil"/>
                    <w:tr2bl w:val="nil"/>
                  </w:tcBorders>
                  <w:noWrap w:val="0"/>
                  <w:vAlign w:val="center"/>
                </w:tcPr>
                <w:p w14:paraId="6C649CA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sz w:val="21"/>
                      <w:szCs w:val="21"/>
                    </w:rPr>
                    <w:t>一期工程投产时同步验收</w:t>
                  </w:r>
                </w:p>
              </w:tc>
              <w:tc>
                <w:tcPr>
                  <w:tcW w:w="1050" w:type="pct"/>
                  <w:tcBorders>
                    <w:tl2br w:val="nil"/>
                    <w:tr2bl w:val="nil"/>
                  </w:tcBorders>
                  <w:noWrap w:val="0"/>
                  <w:vAlign w:val="center"/>
                </w:tcPr>
                <w:p w14:paraId="66DFD323">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cs="Times New Roman"/>
                      <w:sz w:val="21"/>
                      <w:szCs w:val="21"/>
                      <w:lang w:val="en-US" w:eastAsia="zh-CN"/>
                    </w:rPr>
                    <w:t>厂内车辆限速5km/h；场区运输道路硬化；道路洒水清扫≥2次/天；出入口设置车辆冲洗平台1座，配套20</w:t>
                  </w:r>
                  <w:r>
                    <w:rPr>
                      <w:rFonts w:hint="default" w:ascii="Times New Roman" w:hAnsi="Times New Roman" w:eastAsia="宋体" w:cs="Times New Roman"/>
                      <w:sz w:val="21"/>
                      <w:szCs w:val="21"/>
                      <w:lang w:val="en-US" w:eastAsia="zh-CN"/>
                    </w:rPr>
                    <w:t>m</w:t>
                  </w:r>
                  <w:r>
                    <w:rPr>
                      <w:rFonts w:hint="default" w:ascii="Times New Roman" w:hAnsi="Times New Roman" w:eastAsia="宋体" w:cs="Times New Roman"/>
                      <w:sz w:val="21"/>
                      <w:szCs w:val="21"/>
                      <w:vertAlign w:val="superscript"/>
                      <w:lang w:val="en-US" w:eastAsia="zh-CN"/>
                    </w:rPr>
                    <w:t>3</w:t>
                  </w:r>
                  <w:r>
                    <w:rPr>
                      <w:rFonts w:hint="default" w:ascii="Times New Roman" w:hAnsi="Times New Roman" w:eastAsia="宋体" w:cs="Times New Roman"/>
                      <w:sz w:val="21"/>
                      <w:szCs w:val="21"/>
                      <w:lang w:val="en-US" w:eastAsia="zh-CN"/>
                    </w:rPr>
                    <w:t>沉淀</w:t>
                  </w:r>
                  <w:r>
                    <w:rPr>
                      <w:rFonts w:hint="default" w:ascii="Times New Roman" w:hAnsi="Times New Roman" w:cs="Times New Roman"/>
                      <w:sz w:val="21"/>
                      <w:szCs w:val="21"/>
                      <w:lang w:val="en-US" w:eastAsia="zh-CN"/>
                    </w:rPr>
                    <w:t>池</w:t>
                  </w:r>
                </w:p>
              </w:tc>
            </w:tr>
            <w:tr w14:paraId="04B77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26" w:type="pct"/>
                  <w:vMerge w:val="continue"/>
                  <w:tcBorders>
                    <w:tl2br w:val="nil"/>
                    <w:tr2bl w:val="nil"/>
                  </w:tcBorders>
                  <w:noWrap w:val="0"/>
                  <w:vAlign w:val="center"/>
                </w:tcPr>
                <w:p w14:paraId="392BC0D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772" w:type="pct"/>
                  <w:tcBorders>
                    <w:tl2br w:val="nil"/>
                    <w:tr2bl w:val="nil"/>
                  </w:tcBorders>
                  <w:noWrap w:val="0"/>
                  <w:vAlign w:val="center"/>
                </w:tcPr>
                <w:p w14:paraId="18008ED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kern w:val="0"/>
                      <w:sz w:val="21"/>
                      <w:szCs w:val="21"/>
                      <w:lang w:val="en-US" w:eastAsia="zh-CN"/>
                    </w:rPr>
                    <w:t>生产线物料运转、转载</w:t>
                  </w:r>
                </w:p>
              </w:tc>
              <w:tc>
                <w:tcPr>
                  <w:tcW w:w="997" w:type="pct"/>
                  <w:tcBorders>
                    <w:tl2br w:val="nil"/>
                    <w:tr2bl w:val="nil"/>
                  </w:tcBorders>
                  <w:noWrap w:val="0"/>
                  <w:vAlign w:val="center"/>
                </w:tcPr>
                <w:p w14:paraId="094A6DA7">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kern w:val="2"/>
                      <w:sz w:val="21"/>
                      <w:szCs w:val="21"/>
                      <w:lang w:val="en-US" w:eastAsia="zh-CN" w:bidi="ar-SA"/>
                    </w:rPr>
                    <w:t>封闭廊道、喷雾除尘</w:t>
                  </w:r>
                </w:p>
              </w:tc>
              <w:tc>
                <w:tcPr>
                  <w:tcW w:w="980" w:type="pct"/>
                  <w:vMerge w:val="continue"/>
                  <w:tcBorders>
                    <w:tl2br w:val="nil"/>
                    <w:tr2bl w:val="nil"/>
                  </w:tcBorders>
                  <w:noWrap w:val="0"/>
                  <w:vAlign w:val="center"/>
                </w:tcPr>
                <w:p w14:paraId="2AA4611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872" w:type="pct"/>
                  <w:tcBorders>
                    <w:tl2br w:val="nil"/>
                    <w:tr2bl w:val="nil"/>
                  </w:tcBorders>
                  <w:noWrap w:val="0"/>
                  <w:vAlign w:val="center"/>
                </w:tcPr>
                <w:p w14:paraId="68AC7B2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sz w:val="21"/>
                      <w:szCs w:val="21"/>
                      <w:lang w:val="en-US" w:eastAsia="zh-CN"/>
                    </w:rPr>
                    <w:t>各</w:t>
                  </w:r>
                  <w:r>
                    <w:rPr>
                      <w:rFonts w:hint="default" w:ascii="Times New Roman" w:hAnsi="Times New Roman" w:eastAsia="宋体" w:cs="Times New Roman"/>
                      <w:sz w:val="21"/>
                      <w:szCs w:val="21"/>
                    </w:rPr>
                    <w:t>期工程投产时同步验收</w:t>
                  </w:r>
                </w:p>
              </w:tc>
              <w:tc>
                <w:tcPr>
                  <w:tcW w:w="1050" w:type="pct"/>
                  <w:tcBorders>
                    <w:tl2br w:val="nil"/>
                    <w:tr2bl w:val="nil"/>
                  </w:tcBorders>
                  <w:noWrap w:val="0"/>
                  <w:vAlign w:val="center"/>
                </w:tcPr>
                <w:p w14:paraId="5DB0E288">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kern w:val="2"/>
                      <w:sz w:val="21"/>
                      <w:szCs w:val="21"/>
                      <w:lang w:val="en-US" w:eastAsia="zh-CN" w:bidi="ar-SA"/>
                    </w:rPr>
                    <w:t>物料输送廊道全封闭；转载点喷雾除尘装置全覆盖落料点位</w:t>
                  </w:r>
                </w:p>
              </w:tc>
            </w:tr>
            <w:tr w14:paraId="59971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26" w:type="pct"/>
                  <w:vMerge w:val="continue"/>
                  <w:tcBorders>
                    <w:tl2br w:val="nil"/>
                    <w:tr2bl w:val="nil"/>
                  </w:tcBorders>
                  <w:noWrap w:val="0"/>
                  <w:vAlign w:val="center"/>
                </w:tcPr>
                <w:p w14:paraId="3AE4C6D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772" w:type="pct"/>
                  <w:tcBorders>
                    <w:tl2br w:val="nil"/>
                    <w:tr2bl w:val="nil"/>
                  </w:tcBorders>
                  <w:noWrap w:val="0"/>
                  <w:vAlign w:val="center"/>
                </w:tcPr>
                <w:p w14:paraId="5724EC0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kern w:val="0"/>
                      <w:sz w:val="21"/>
                      <w:szCs w:val="21"/>
                      <w:lang w:val="en-US" w:eastAsia="zh-CN"/>
                    </w:rPr>
                  </w:pPr>
                  <w:r>
                    <w:rPr>
                      <w:rFonts w:hint="default" w:ascii="Times New Roman" w:hAnsi="Times New Roman" w:eastAsia="宋体" w:cs="Times New Roman"/>
                      <w:kern w:val="0"/>
                      <w:sz w:val="21"/>
                      <w:szCs w:val="21"/>
                      <w:lang w:val="en-US" w:eastAsia="zh-CN"/>
                    </w:rPr>
                    <w:t>添加浮选药剂时产生的非甲烷总烃</w:t>
                  </w:r>
                </w:p>
              </w:tc>
              <w:tc>
                <w:tcPr>
                  <w:tcW w:w="997" w:type="pct"/>
                  <w:tcBorders>
                    <w:tl2br w:val="nil"/>
                    <w:tr2bl w:val="nil"/>
                  </w:tcBorders>
                  <w:noWrap w:val="0"/>
                  <w:vAlign w:val="center"/>
                </w:tcPr>
                <w:p w14:paraId="2F383098">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 w:val="21"/>
                      <w:szCs w:val="21"/>
                      <w:lang w:val="en-US" w:eastAsia="zh-CN"/>
                    </w:rPr>
                    <w:t>密闭储罐、密闭管道输送药剂、减少药剂敞口操作、浮选车间自然通风</w:t>
                  </w:r>
                </w:p>
              </w:tc>
              <w:tc>
                <w:tcPr>
                  <w:tcW w:w="980" w:type="pct"/>
                  <w:tcBorders>
                    <w:tl2br w:val="nil"/>
                    <w:tr2bl w:val="nil"/>
                  </w:tcBorders>
                  <w:noWrap w:val="0"/>
                  <w:vAlign w:val="center"/>
                </w:tcPr>
                <w:p w14:paraId="50A5D42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sz w:val="21"/>
                      <w:szCs w:val="21"/>
                      <w:lang w:val="en-US" w:eastAsia="zh-CN"/>
                    </w:rPr>
                    <w:t>《大气污染物综合排放标准》（GB16297-1996）表2新污染源大气污染物排放限值</w:t>
                  </w:r>
                </w:p>
              </w:tc>
              <w:tc>
                <w:tcPr>
                  <w:tcW w:w="872" w:type="pct"/>
                  <w:tcBorders>
                    <w:tl2br w:val="nil"/>
                    <w:tr2bl w:val="nil"/>
                  </w:tcBorders>
                  <w:noWrap w:val="0"/>
                  <w:vAlign w:val="center"/>
                </w:tcPr>
                <w:p w14:paraId="5BD5337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二</w:t>
                  </w:r>
                  <w:r>
                    <w:rPr>
                      <w:rFonts w:hint="default" w:ascii="Times New Roman" w:hAnsi="Times New Roman" w:eastAsia="宋体" w:cs="Times New Roman"/>
                      <w:sz w:val="21"/>
                      <w:szCs w:val="21"/>
                    </w:rPr>
                    <w:t>期工程投产时同步验收</w:t>
                  </w:r>
                </w:p>
              </w:tc>
              <w:tc>
                <w:tcPr>
                  <w:tcW w:w="1050" w:type="pct"/>
                  <w:tcBorders>
                    <w:tl2br w:val="nil"/>
                    <w:tr2bl w:val="nil"/>
                  </w:tcBorders>
                  <w:noWrap w:val="0"/>
                  <w:vAlign w:val="center"/>
                </w:tcPr>
                <w:p w14:paraId="1FF35F78">
                  <w:pPr>
                    <w:pStyle w:val="21"/>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w:t>
                  </w:r>
                </w:p>
              </w:tc>
            </w:tr>
            <w:tr w14:paraId="73151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26" w:type="pct"/>
                  <w:vMerge w:val="restart"/>
                  <w:tcBorders>
                    <w:tl2br w:val="nil"/>
                    <w:tr2bl w:val="nil"/>
                  </w:tcBorders>
                  <w:noWrap w:val="0"/>
                  <w:vAlign w:val="center"/>
                </w:tcPr>
                <w:p w14:paraId="3081EE7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废水</w:t>
                  </w:r>
                </w:p>
              </w:tc>
              <w:tc>
                <w:tcPr>
                  <w:tcW w:w="772" w:type="pct"/>
                  <w:vMerge w:val="restart"/>
                  <w:tcBorders>
                    <w:tl2br w:val="nil"/>
                    <w:tr2bl w:val="nil"/>
                  </w:tcBorders>
                  <w:noWrap w:val="0"/>
                  <w:vAlign w:val="center"/>
                </w:tcPr>
                <w:p w14:paraId="3625605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生活污水</w:t>
                  </w:r>
                </w:p>
              </w:tc>
              <w:tc>
                <w:tcPr>
                  <w:tcW w:w="997" w:type="pct"/>
                  <w:vMerge w:val="restart"/>
                  <w:tcBorders>
                    <w:tl2br w:val="nil"/>
                    <w:tr2bl w:val="nil"/>
                  </w:tcBorders>
                  <w:noWrap w:val="0"/>
                  <w:vAlign w:val="center"/>
                </w:tcPr>
                <w:p w14:paraId="176BE08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由一体化污水处理设施处理，</w:t>
                  </w:r>
                  <w:r>
                    <w:rPr>
                      <w:rFonts w:hint="default" w:ascii="Times New Roman" w:hAnsi="Times New Roman" w:eastAsia="宋体" w:cs="Times New Roman"/>
                      <w:color w:val="auto"/>
                      <w:sz w:val="21"/>
                      <w:szCs w:val="21"/>
                      <w:highlight w:val="none"/>
                      <w:lang w:val="en-US" w:eastAsia="zh-CN" w:bidi="ar"/>
                    </w:rPr>
                    <w:t>水质达到《农村生活污水处理排放标准》（DB654275-2019）表2的B级标准，</w:t>
                  </w:r>
                  <w:r>
                    <w:rPr>
                      <w:rFonts w:hint="eastAsia" w:ascii="Times New Roman" w:hAnsi="Times New Roman" w:eastAsia="宋体" w:cs="Times New Roman"/>
                      <w:color w:val="auto"/>
                      <w:sz w:val="21"/>
                      <w:szCs w:val="21"/>
                      <w:vertAlign w:val="baseline"/>
                      <w:lang w:val="en-US" w:eastAsia="zh-CN"/>
                    </w:rPr>
                    <w:t>冬储夏灌</w:t>
                  </w:r>
                  <w:r>
                    <w:rPr>
                      <w:rFonts w:hint="eastAsia" w:cs="Times New Roman"/>
                      <w:color w:val="auto"/>
                      <w:sz w:val="21"/>
                      <w:szCs w:val="21"/>
                      <w:vertAlign w:val="baseline"/>
                      <w:lang w:val="en-US" w:eastAsia="zh-CN"/>
                    </w:rPr>
                    <w:t>，</w:t>
                  </w:r>
                  <w:r>
                    <w:rPr>
                      <w:rFonts w:hint="default" w:ascii="Times New Roman" w:hAnsi="Times New Roman" w:eastAsia="宋体" w:cs="Times New Roman"/>
                      <w:color w:val="auto"/>
                      <w:sz w:val="21"/>
                      <w:szCs w:val="21"/>
                      <w:highlight w:val="none"/>
                      <w:lang w:val="en-US" w:eastAsia="zh-CN" w:bidi="ar"/>
                    </w:rPr>
                    <w:t>用于荒漠灌溉。</w:t>
                  </w:r>
                </w:p>
              </w:tc>
              <w:tc>
                <w:tcPr>
                  <w:tcW w:w="980" w:type="pct"/>
                  <w:vMerge w:val="restart"/>
                  <w:tcBorders>
                    <w:tl2br w:val="nil"/>
                    <w:tr2bl w:val="nil"/>
                  </w:tcBorders>
                  <w:noWrap w:val="0"/>
                  <w:vAlign w:val="center"/>
                </w:tcPr>
                <w:p w14:paraId="110FDEF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highlight w:val="none"/>
                      <w:lang w:val="en-US" w:eastAsia="zh-CN" w:bidi="ar"/>
                    </w:rPr>
                    <w:t>《农村生活污水处理排放标准》（DB654275-2019）表2的B级标准</w:t>
                  </w:r>
                </w:p>
              </w:tc>
              <w:tc>
                <w:tcPr>
                  <w:tcW w:w="872" w:type="pct"/>
                  <w:vMerge w:val="restart"/>
                  <w:tcBorders>
                    <w:tl2br w:val="nil"/>
                    <w:tr2bl w:val="nil"/>
                  </w:tcBorders>
                  <w:noWrap w:val="0"/>
                  <w:vAlign w:val="center"/>
                </w:tcPr>
                <w:p w14:paraId="07CAEC0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bidi="ar"/>
                    </w:rPr>
                  </w:pPr>
                  <w:r>
                    <w:rPr>
                      <w:rFonts w:hint="default" w:ascii="Times New Roman" w:hAnsi="Times New Roman" w:eastAsia="宋体" w:cs="Times New Roman"/>
                      <w:sz w:val="21"/>
                      <w:szCs w:val="21"/>
                    </w:rPr>
                    <w:t>一期工程投产时同步验收</w:t>
                  </w:r>
                </w:p>
              </w:tc>
              <w:tc>
                <w:tcPr>
                  <w:tcW w:w="1050" w:type="pct"/>
                  <w:tcBorders>
                    <w:tl2br w:val="nil"/>
                    <w:tr2bl w:val="nil"/>
                  </w:tcBorders>
                  <w:noWrap w:val="0"/>
                  <w:vAlign w:val="center"/>
                </w:tcPr>
                <w:p w14:paraId="7205D4B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auto"/>
                      <w:kern w:val="2"/>
                      <w:sz w:val="21"/>
                      <w:szCs w:val="21"/>
                      <w:lang w:val="en-US" w:eastAsia="zh-CN" w:bidi="ar-SA"/>
                    </w:rPr>
                    <w:t>化粪池+A/O+沉淀+消毒一体化”，处理规模为5m</w:t>
                  </w:r>
                  <w:r>
                    <w:rPr>
                      <w:rFonts w:hint="default" w:ascii="Times New Roman" w:hAnsi="Times New Roman" w:eastAsia="宋体" w:cs="Times New Roman"/>
                      <w:color w:val="auto"/>
                      <w:kern w:val="2"/>
                      <w:sz w:val="21"/>
                      <w:szCs w:val="21"/>
                      <w:vertAlign w:val="superscript"/>
                      <w:lang w:val="en-US" w:eastAsia="zh-CN" w:bidi="ar-SA"/>
                    </w:rPr>
                    <w:t>3</w:t>
                  </w:r>
                  <w:r>
                    <w:rPr>
                      <w:rFonts w:hint="default" w:ascii="Times New Roman" w:hAnsi="Times New Roman" w:eastAsia="宋体" w:cs="Times New Roman"/>
                      <w:color w:val="auto"/>
                      <w:kern w:val="2"/>
                      <w:sz w:val="21"/>
                      <w:szCs w:val="21"/>
                      <w:lang w:val="en-US" w:eastAsia="zh-CN" w:bidi="ar-SA"/>
                    </w:rPr>
                    <w:t>/d</w:t>
                  </w:r>
                </w:p>
              </w:tc>
            </w:tr>
            <w:tr w14:paraId="7E13E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26" w:type="pct"/>
                  <w:vMerge w:val="continue"/>
                  <w:tcBorders>
                    <w:tl2br w:val="nil"/>
                    <w:tr2bl w:val="nil"/>
                  </w:tcBorders>
                  <w:noWrap w:val="0"/>
                  <w:vAlign w:val="center"/>
                </w:tcPr>
                <w:p w14:paraId="71D356B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772" w:type="pct"/>
                  <w:vMerge w:val="continue"/>
                  <w:tcBorders>
                    <w:tl2br w:val="nil"/>
                    <w:tr2bl w:val="nil"/>
                  </w:tcBorders>
                  <w:noWrap w:val="0"/>
                  <w:vAlign w:val="center"/>
                </w:tcPr>
                <w:p w14:paraId="6C79001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997" w:type="pct"/>
                  <w:vMerge w:val="continue"/>
                  <w:tcBorders>
                    <w:tl2br w:val="nil"/>
                    <w:tr2bl w:val="nil"/>
                  </w:tcBorders>
                  <w:noWrap w:val="0"/>
                  <w:vAlign w:val="center"/>
                </w:tcPr>
                <w:p w14:paraId="59DB195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p>
              </w:tc>
              <w:tc>
                <w:tcPr>
                  <w:tcW w:w="980" w:type="pct"/>
                  <w:vMerge w:val="continue"/>
                  <w:tcBorders>
                    <w:tl2br w:val="nil"/>
                    <w:tr2bl w:val="nil"/>
                  </w:tcBorders>
                  <w:noWrap w:val="0"/>
                  <w:vAlign w:val="center"/>
                </w:tcPr>
                <w:p w14:paraId="152CE3D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bidi="ar"/>
                    </w:rPr>
                  </w:pPr>
                </w:p>
              </w:tc>
              <w:tc>
                <w:tcPr>
                  <w:tcW w:w="872" w:type="pct"/>
                  <w:vMerge w:val="continue"/>
                  <w:tcBorders>
                    <w:tl2br w:val="nil"/>
                    <w:tr2bl w:val="nil"/>
                  </w:tcBorders>
                  <w:noWrap w:val="0"/>
                  <w:vAlign w:val="center"/>
                </w:tcPr>
                <w:p w14:paraId="5573694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rPr>
                  </w:pPr>
                </w:p>
              </w:tc>
              <w:tc>
                <w:tcPr>
                  <w:tcW w:w="1050" w:type="pct"/>
                  <w:tcBorders>
                    <w:tl2br w:val="nil"/>
                    <w:tr2bl w:val="nil"/>
                  </w:tcBorders>
                  <w:noWrap w:val="0"/>
                  <w:vAlign w:val="center"/>
                </w:tcPr>
                <w:p w14:paraId="0ED05CD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生活污水暂存池：容积200</w:t>
                  </w:r>
                  <w:r>
                    <w:rPr>
                      <w:rFonts w:hint="default" w:ascii="Times New Roman" w:hAnsi="Times New Roman" w:cs="Times New Roman"/>
                      <w:kern w:val="0"/>
                      <w:sz w:val="21"/>
                      <w:szCs w:val="21"/>
                      <w:lang w:val="en-US" w:eastAsia="zh-CN" w:bidi="ar"/>
                    </w:rPr>
                    <w:t>m</w:t>
                  </w:r>
                  <w:r>
                    <w:rPr>
                      <w:rFonts w:hint="default" w:ascii="Times New Roman" w:hAnsi="Times New Roman" w:cs="Times New Roman"/>
                      <w:kern w:val="0"/>
                      <w:sz w:val="21"/>
                      <w:szCs w:val="21"/>
                      <w:vertAlign w:val="superscript"/>
                      <w:lang w:val="en-US" w:eastAsia="zh-CN" w:bidi="ar"/>
                    </w:rPr>
                    <w:t>3</w:t>
                  </w:r>
                </w:p>
              </w:tc>
            </w:tr>
            <w:tr w14:paraId="0456D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26" w:type="pct"/>
                  <w:vMerge w:val="continue"/>
                  <w:tcBorders>
                    <w:tl2br w:val="nil"/>
                    <w:tr2bl w:val="nil"/>
                  </w:tcBorders>
                  <w:noWrap w:val="0"/>
                  <w:vAlign w:val="center"/>
                </w:tcPr>
                <w:p w14:paraId="4B539A0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772" w:type="pct"/>
                  <w:tcBorders>
                    <w:tl2br w:val="nil"/>
                    <w:tr2bl w:val="nil"/>
                  </w:tcBorders>
                  <w:noWrap w:val="0"/>
                  <w:vAlign w:val="center"/>
                </w:tcPr>
                <w:p w14:paraId="33AC90B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生产废水</w:t>
                  </w:r>
                </w:p>
              </w:tc>
              <w:tc>
                <w:tcPr>
                  <w:tcW w:w="997" w:type="pct"/>
                  <w:tcBorders>
                    <w:tl2br w:val="nil"/>
                    <w:tr2bl w:val="nil"/>
                  </w:tcBorders>
                  <w:noWrap w:val="0"/>
                  <w:vAlign w:val="center"/>
                </w:tcPr>
                <w:p w14:paraId="5A9003B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循环使用，不外排</w:t>
                  </w:r>
                </w:p>
              </w:tc>
              <w:tc>
                <w:tcPr>
                  <w:tcW w:w="980" w:type="pct"/>
                  <w:tcBorders>
                    <w:tl2br w:val="nil"/>
                    <w:tr2bl w:val="nil"/>
                  </w:tcBorders>
                  <w:noWrap w:val="0"/>
                  <w:vAlign w:val="center"/>
                </w:tcPr>
                <w:p w14:paraId="3911F33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872" w:type="pct"/>
                  <w:tcBorders>
                    <w:tl2br w:val="nil"/>
                    <w:tr2bl w:val="nil"/>
                  </w:tcBorders>
                  <w:noWrap w:val="0"/>
                  <w:vAlign w:val="center"/>
                </w:tcPr>
                <w:p w14:paraId="34780C3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sz w:val="21"/>
                      <w:szCs w:val="21"/>
                    </w:rPr>
                    <w:t>一期工程投产时同步验收</w:t>
                  </w:r>
                </w:p>
              </w:tc>
              <w:tc>
                <w:tcPr>
                  <w:tcW w:w="1050" w:type="pct"/>
                  <w:tcBorders>
                    <w:tl2br w:val="nil"/>
                    <w:tr2bl w:val="nil"/>
                  </w:tcBorders>
                  <w:noWrap w:val="0"/>
                  <w:vAlign w:val="center"/>
                </w:tcPr>
                <w:p w14:paraId="5C0EB03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cs="Times New Roman"/>
                      <w:kern w:val="0"/>
                      <w:sz w:val="21"/>
                      <w:szCs w:val="21"/>
                      <w:lang w:val="en-US" w:eastAsia="zh-CN" w:bidi="ar"/>
                    </w:rPr>
                    <w:t>循环水池：容积600m</w:t>
                  </w:r>
                  <w:r>
                    <w:rPr>
                      <w:rFonts w:hint="default" w:ascii="Times New Roman" w:hAnsi="Times New Roman" w:cs="Times New Roman"/>
                      <w:kern w:val="0"/>
                      <w:sz w:val="21"/>
                      <w:szCs w:val="21"/>
                      <w:vertAlign w:val="superscript"/>
                      <w:lang w:val="en-US" w:eastAsia="zh-CN" w:bidi="ar"/>
                    </w:rPr>
                    <w:t>3</w:t>
                  </w:r>
                  <w:r>
                    <w:rPr>
                      <w:rFonts w:hint="default" w:ascii="Times New Roman" w:hAnsi="Times New Roman" w:cs="Times New Roman"/>
                      <w:kern w:val="0"/>
                      <w:sz w:val="21"/>
                      <w:szCs w:val="21"/>
                      <w:vertAlign w:val="baseline"/>
                      <w:lang w:val="en-US" w:eastAsia="zh-CN" w:bidi="ar"/>
                    </w:rPr>
                    <w:t>（5m×40m×3m）</w:t>
                  </w:r>
                </w:p>
              </w:tc>
            </w:tr>
            <w:tr w14:paraId="7045F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26" w:type="pct"/>
                  <w:vMerge w:val="restart"/>
                  <w:tcBorders>
                    <w:tl2br w:val="nil"/>
                    <w:tr2bl w:val="nil"/>
                  </w:tcBorders>
                  <w:noWrap w:val="0"/>
                  <w:vAlign w:val="center"/>
                </w:tcPr>
                <w:p w14:paraId="3D11122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固废</w:t>
                  </w:r>
                </w:p>
              </w:tc>
              <w:tc>
                <w:tcPr>
                  <w:tcW w:w="772" w:type="pct"/>
                  <w:tcBorders>
                    <w:tl2br w:val="nil"/>
                    <w:tr2bl w:val="nil"/>
                  </w:tcBorders>
                  <w:noWrap w:val="0"/>
                  <w:vAlign w:val="center"/>
                </w:tcPr>
                <w:p w14:paraId="70490DCD">
                  <w:pPr>
                    <w:pStyle w:val="2"/>
                    <w:keepNext w:val="0"/>
                    <w:keepLines w:val="0"/>
                    <w:pageBreakBefore w:val="0"/>
                    <w:widowControl w:val="0"/>
                    <w:numPr>
                      <w:ilvl w:val="0"/>
                      <w:numId w:val="0"/>
                    </w:numPr>
                    <w:kinsoku/>
                    <w:wordWrap/>
                    <w:overflowPunct/>
                    <w:topLinePunct w:val="0"/>
                    <w:autoSpaceDE/>
                    <w:autoSpaceDN/>
                    <w:bidi w:val="0"/>
                    <w:spacing w:line="240" w:lineRule="auto"/>
                    <w:ind w:left="0" w:leftChars="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sz w:val="21"/>
                      <w:szCs w:val="21"/>
                      <w:lang w:val="en-US" w:eastAsia="zh-CN"/>
                    </w:rPr>
                    <w:t>煤泥除杂筛分杂质</w:t>
                  </w:r>
                </w:p>
              </w:tc>
              <w:tc>
                <w:tcPr>
                  <w:tcW w:w="997" w:type="pct"/>
                  <w:tcBorders>
                    <w:tl2br w:val="nil"/>
                    <w:tr2bl w:val="nil"/>
                  </w:tcBorders>
                  <w:noWrap w:val="0"/>
                  <w:vAlign w:val="center"/>
                </w:tcPr>
                <w:p w14:paraId="6A2072D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由环卫部门统一处理</w:t>
                  </w:r>
                </w:p>
              </w:tc>
              <w:tc>
                <w:tcPr>
                  <w:tcW w:w="980" w:type="pct"/>
                  <w:vMerge w:val="restart"/>
                  <w:tcBorders>
                    <w:tl2br w:val="nil"/>
                    <w:tr2bl w:val="nil"/>
                  </w:tcBorders>
                  <w:noWrap w:val="0"/>
                  <w:vAlign w:val="center"/>
                </w:tcPr>
                <w:p w14:paraId="5497304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不排入外环境</w:t>
                  </w:r>
                </w:p>
              </w:tc>
              <w:tc>
                <w:tcPr>
                  <w:tcW w:w="872" w:type="pct"/>
                  <w:tcBorders>
                    <w:tl2br w:val="nil"/>
                    <w:tr2bl w:val="nil"/>
                  </w:tcBorders>
                  <w:noWrap w:val="0"/>
                  <w:vAlign w:val="center"/>
                </w:tcPr>
                <w:p w14:paraId="051B663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sz w:val="21"/>
                      <w:szCs w:val="21"/>
                    </w:rPr>
                    <w:t>一期工程投产时同步验收</w:t>
                  </w:r>
                </w:p>
              </w:tc>
              <w:tc>
                <w:tcPr>
                  <w:tcW w:w="1050" w:type="pct"/>
                  <w:tcBorders>
                    <w:tl2br w:val="nil"/>
                    <w:tr2bl w:val="nil"/>
                  </w:tcBorders>
                  <w:noWrap w:val="0"/>
                  <w:vAlign w:val="center"/>
                </w:tcPr>
                <w:p w14:paraId="3E26752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cs="Times New Roman"/>
                      <w:color w:val="auto"/>
                      <w:sz w:val="21"/>
                      <w:szCs w:val="21"/>
                      <w:lang w:val="en-US" w:eastAsia="zh-CN"/>
                    </w:rPr>
                    <w:t>厂区内设置至少一处垃圾桶</w:t>
                  </w:r>
                </w:p>
              </w:tc>
            </w:tr>
            <w:tr w14:paraId="650E5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26" w:type="pct"/>
                  <w:vMerge w:val="continue"/>
                  <w:tcBorders>
                    <w:tl2br w:val="nil"/>
                    <w:tr2bl w:val="nil"/>
                  </w:tcBorders>
                  <w:noWrap w:val="0"/>
                  <w:vAlign w:val="center"/>
                </w:tcPr>
                <w:p w14:paraId="469291F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772" w:type="pct"/>
                  <w:tcBorders>
                    <w:tl2br w:val="nil"/>
                    <w:tr2bl w:val="nil"/>
                  </w:tcBorders>
                  <w:noWrap w:val="0"/>
                  <w:vAlign w:val="center"/>
                </w:tcPr>
                <w:p w14:paraId="1E6D226A">
                  <w:pPr>
                    <w:pStyle w:val="4"/>
                    <w:keepNext w:val="0"/>
                    <w:keepLines w:val="0"/>
                    <w:pageBreakBefore w:val="0"/>
                    <w:widowControl w:val="0"/>
                    <w:kinsoku/>
                    <w:wordWrap/>
                    <w:overflowPunct/>
                    <w:topLinePunct w:val="0"/>
                    <w:autoSpaceDE/>
                    <w:autoSpaceDN/>
                    <w:bidi w:val="0"/>
                    <w:adjustRightInd/>
                    <w:snapToGrid w:val="0"/>
                    <w:spacing w:before="0" w:after="0" w:line="240" w:lineRule="auto"/>
                    <w:ind w:right="0" w:rightChars="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sz w:val="21"/>
                      <w:szCs w:val="21"/>
                      <w:lang w:val="en-US" w:eastAsia="zh-CN"/>
                    </w:rPr>
                    <w:t>尾煤泥</w:t>
                  </w:r>
                </w:p>
              </w:tc>
              <w:tc>
                <w:tcPr>
                  <w:tcW w:w="997" w:type="pct"/>
                  <w:tcBorders>
                    <w:tl2br w:val="nil"/>
                    <w:tr2bl w:val="nil"/>
                  </w:tcBorders>
                  <w:noWrap w:val="0"/>
                  <w:vAlign w:val="center"/>
                </w:tcPr>
                <w:p w14:paraId="7673A65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外售至砖厂制砖</w:t>
                  </w:r>
                </w:p>
              </w:tc>
              <w:tc>
                <w:tcPr>
                  <w:tcW w:w="980" w:type="pct"/>
                  <w:vMerge w:val="continue"/>
                  <w:tcBorders>
                    <w:tl2br w:val="nil"/>
                    <w:tr2bl w:val="nil"/>
                  </w:tcBorders>
                  <w:noWrap w:val="0"/>
                  <w:vAlign w:val="center"/>
                </w:tcPr>
                <w:p w14:paraId="5D5BDF7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872" w:type="pct"/>
                  <w:tcBorders>
                    <w:tl2br w:val="nil"/>
                    <w:tr2bl w:val="nil"/>
                  </w:tcBorders>
                  <w:noWrap w:val="0"/>
                  <w:vAlign w:val="center"/>
                </w:tcPr>
                <w:p w14:paraId="1AFD921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sz w:val="21"/>
                      <w:szCs w:val="21"/>
                      <w:lang w:val="en-US" w:eastAsia="zh-CN"/>
                    </w:rPr>
                    <w:t>二</w:t>
                  </w:r>
                  <w:r>
                    <w:rPr>
                      <w:rFonts w:hint="default" w:ascii="Times New Roman" w:hAnsi="Times New Roman" w:eastAsia="宋体" w:cs="Times New Roman"/>
                      <w:sz w:val="21"/>
                      <w:szCs w:val="21"/>
                    </w:rPr>
                    <w:t>期工程投产时同步验收</w:t>
                  </w:r>
                </w:p>
              </w:tc>
              <w:tc>
                <w:tcPr>
                  <w:tcW w:w="1050" w:type="pct"/>
                  <w:tcBorders>
                    <w:tl2br w:val="nil"/>
                    <w:tr2bl w:val="nil"/>
                  </w:tcBorders>
                  <w:noWrap w:val="0"/>
                  <w:vAlign w:val="center"/>
                </w:tcPr>
                <w:p w14:paraId="6B04741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cs="Times New Roman"/>
                      <w:color w:val="auto"/>
                      <w:sz w:val="21"/>
                      <w:szCs w:val="21"/>
                      <w:lang w:val="en-US" w:eastAsia="zh-CN"/>
                    </w:rPr>
                    <w:t>一处20</w:t>
                  </w:r>
                  <w:r>
                    <w:rPr>
                      <w:rFonts w:hint="default" w:ascii="Times New Roman" w:hAnsi="Times New Roman" w:cs="Times New Roman"/>
                      <w:kern w:val="0"/>
                      <w:sz w:val="21"/>
                      <w:szCs w:val="21"/>
                      <w:lang w:val="en-US" w:eastAsia="zh-CN" w:bidi="ar"/>
                    </w:rPr>
                    <w:t>m</w:t>
                  </w:r>
                  <w:r>
                    <w:rPr>
                      <w:rFonts w:hint="default" w:ascii="Times New Roman" w:hAnsi="Times New Roman" w:cs="Times New Roman"/>
                      <w:kern w:val="0"/>
                      <w:sz w:val="21"/>
                      <w:szCs w:val="21"/>
                      <w:vertAlign w:val="superscript"/>
                      <w:lang w:val="en-US" w:eastAsia="zh-CN" w:bidi="ar"/>
                    </w:rPr>
                    <w:t>2</w:t>
                  </w:r>
                  <w:r>
                    <w:rPr>
                      <w:rFonts w:hint="default" w:ascii="Times New Roman" w:hAnsi="Times New Roman" w:cs="Times New Roman"/>
                      <w:kern w:val="0"/>
                      <w:sz w:val="21"/>
                      <w:szCs w:val="21"/>
                      <w:vertAlign w:val="baseline"/>
                      <w:lang w:val="en-US" w:eastAsia="zh-CN" w:bidi="ar"/>
                    </w:rPr>
                    <w:t>一般固废暂存区</w:t>
                  </w:r>
                </w:p>
              </w:tc>
            </w:tr>
            <w:tr w14:paraId="3D712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26" w:type="pct"/>
                  <w:vMerge w:val="continue"/>
                  <w:tcBorders>
                    <w:tl2br w:val="nil"/>
                    <w:tr2bl w:val="nil"/>
                  </w:tcBorders>
                  <w:noWrap w:val="0"/>
                  <w:vAlign w:val="center"/>
                </w:tcPr>
                <w:p w14:paraId="2858CD3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772" w:type="pct"/>
                  <w:tcBorders>
                    <w:tl2br w:val="nil"/>
                    <w:tr2bl w:val="nil"/>
                  </w:tcBorders>
                  <w:noWrap w:val="0"/>
                  <w:vAlign w:val="center"/>
                </w:tcPr>
                <w:p w14:paraId="2CC1525F">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sz w:val="21"/>
                      <w:szCs w:val="21"/>
                      <w:lang w:val="en-US" w:eastAsia="zh-CN"/>
                    </w:rPr>
                    <w:t>废柴油桶</w:t>
                  </w:r>
                </w:p>
              </w:tc>
              <w:tc>
                <w:tcPr>
                  <w:tcW w:w="997" w:type="pct"/>
                  <w:tcBorders>
                    <w:tl2br w:val="nil"/>
                    <w:tr2bl w:val="nil"/>
                  </w:tcBorders>
                  <w:noWrap w:val="0"/>
                  <w:vAlign w:val="center"/>
                </w:tcPr>
                <w:p w14:paraId="5FE6547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eastAsia="宋体" w:cs="Times New Roman"/>
                      <w:sz w:val="21"/>
                      <w:szCs w:val="21"/>
                      <w:lang w:val="en-US" w:eastAsia="zh-CN"/>
                    </w:rPr>
                    <w:t>暂存危废贮存点，交由有资质单位处置</w:t>
                  </w:r>
                </w:p>
              </w:tc>
              <w:tc>
                <w:tcPr>
                  <w:tcW w:w="980" w:type="pct"/>
                  <w:vMerge w:val="continue"/>
                  <w:tcBorders>
                    <w:tl2br w:val="nil"/>
                    <w:tr2bl w:val="nil"/>
                  </w:tcBorders>
                  <w:noWrap w:val="0"/>
                  <w:vAlign w:val="center"/>
                </w:tcPr>
                <w:p w14:paraId="26EF861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872" w:type="pct"/>
                  <w:tcBorders>
                    <w:tl2br w:val="nil"/>
                    <w:tr2bl w:val="nil"/>
                  </w:tcBorders>
                  <w:noWrap w:val="0"/>
                  <w:vAlign w:val="center"/>
                </w:tcPr>
                <w:p w14:paraId="2E52A7C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sz w:val="21"/>
                      <w:szCs w:val="21"/>
                      <w:lang w:val="en-US" w:eastAsia="zh-CN"/>
                    </w:rPr>
                    <w:t>二</w:t>
                  </w:r>
                  <w:r>
                    <w:rPr>
                      <w:rFonts w:hint="default" w:ascii="Times New Roman" w:hAnsi="Times New Roman" w:eastAsia="宋体" w:cs="Times New Roman"/>
                      <w:sz w:val="21"/>
                      <w:szCs w:val="21"/>
                    </w:rPr>
                    <w:t>期工程投产时同步验收</w:t>
                  </w:r>
                </w:p>
              </w:tc>
              <w:tc>
                <w:tcPr>
                  <w:tcW w:w="1050" w:type="pct"/>
                  <w:tcBorders>
                    <w:tl2br w:val="nil"/>
                    <w:tr2bl w:val="nil"/>
                  </w:tcBorders>
                  <w:noWrap w:val="0"/>
                  <w:vAlign w:val="center"/>
                </w:tcPr>
                <w:p w14:paraId="21B484C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cs="Times New Roman"/>
                      <w:color w:val="auto"/>
                      <w:sz w:val="21"/>
                      <w:szCs w:val="21"/>
                      <w:lang w:val="en-US" w:eastAsia="zh-CN"/>
                    </w:rPr>
                    <w:t>一处10</w:t>
                  </w:r>
                  <w:r>
                    <w:rPr>
                      <w:rFonts w:hint="default" w:ascii="Times New Roman" w:hAnsi="Times New Roman" w:cs="Times New Roman"/>
                      <w:kern w:val="0"/>
                      <w:sz w:val="21"/>
                      <w:szCs w:val="21"/>
                      <w:lang w:val="en-US" w:eastAsia="zh-CN" w:bidi="ar"/>
                    </w:rPr>
                    <w:t>m</w:t>
                  </w:r>
                  <w:r>
                    <w:rPr>
                      <w:rFonts w:hint="default" w:ascii="Times New Roman" w:hAnsi="Times New Roman" w:cs="Times New Roman"/>
                      <w:kern w:val="0"/>
                      <w:sz w:val="21"/>
                      <w:szCs w:val="21"/>
                      <w:vertAlign w:val="superscript"/>
                      <w:lang w:val="en-US" w:eastAsia="zh-CN" w:bidi="ar"/>
                    </w:rPr>
                    <w:t>2</w:t>
                  </w:r>
                  <w:r>
                    <w:rPr>
                      <w:rFonts w:hint="default" w:ascii="Times New Roman" w:hAnsi="Times New Roman" w:cs="Times New Roman"/>
                      <w:kern w:val="0"/>
                      <w:sz w:val="21"/>
                      <w:szCs w:val="21"/>
                      <w:vertAlign w:val="baseline"/>
                      <w:lang w:val="en-US" w:eastAsia="zh-CN" w:bidi="ar"/>
                    </w:rPr>
                    <w:t>危废贮存点</w:t>
                  </w:r>
                </w:p>
              </w:tc>
            </w:tr>
            <w:tr w14:paraId="6B073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26" w:type="pct"/>
                  <w:vMerge w:val="continue"/>
                  <w:tcBorders>
                    <w:tl2br w:val="nil"/>
                    <w:tr2bl w:val="nil"/>
                  </w:tcBorders>
                  <w:noWrap w:val="0"/>
                  <w:vAlign w:val="center"/>
                </w:tcPr>
                <w:p w14:paraId="07B1E81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772" w:type="pct"/>
                  <w:tcBorders>
                    <w:tl2br w:val="nil"/>
                    <w:tr2bl w:val="nil"/>
                  </w:tcBorders>
                  <w:noWrap w:val="0"/>
                  <w:vAlign w:val="center"/>
                </w:tcPr>
                <w:p w14:paraId="6A183B57">
                  <w:pPr>
                    <w:pStyle w:val="2"/>
                    <w:keepNext w:val="0"/>
                    <w:keepLines w:val="0"/>
                    <w:pageBreakBefore w:val="0"/>
                    <w:widowControl w:val="0"/>
                    <w:kinsoku/>
                    <w:wordWrap/>
                    <w:overflowPunct/>
                    <w:topLinePunct w:val="0"/>
                    <w:autoSpaceDE/>
                    <w:autoSpaceDN/>
                    <w:bidi w:val="0"/>
                    <w:adjustRightIn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kern w:val="2"/>
                      <w:sz w:val="21"/>
                      <w:szCs w:val="21"/>
                      <w:lang w:val="en-US" w:eastAsia="zh-CN" w:bidi="ar-SA"/>
                    </w:rPr>
                    <w:t>废</w:t>
                  </w:r>
                  <w:r>
                    <w:rPr>
                      <w:rFonts w:hint="default" w:ascii="Times New Roman" w:hAnsi="Times New Roman" w:cs="Times New Roman"/>
                      <w:sz w:val="21"/>
                      <w:szCs w:val="21"/>
                      <w:lang w:val="en-US" w:eastAsia="zh-CN"/>
                    </w:rPr>
                    <w:t>机油</w:t>
                  </w:r>
                </w:p>
              </w:tc>
              <w:tc>
                <w:tcPr>
                  <w:tcW w:w="997" w:type="pct"/>
                  <w:tcBorders>
                    <w:tl2br w:val="nil"/>
                    <w:tr2bl w:val="nil"/>
                  </w:tcBorders>
                  <w:noWrap w:val="0"/>
                  <w:vAlign w:val="center"/>
                </w:tcPr>
                <w:p w14:paraId="12E216D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eastAsia="宋体" w:cs="Times New Roman"/>
                      <w:sz w:val="21"/>
                      <w:szCs w:val="21"/>
                      <w:lang w:val="en-US" w:eastAsia="zh-CN"/>
                    </w:rPr>
                    <w:t>暂存危废贮存点，交由有资质单位处置</w:t>
                  </w:r>
                </w:p>
              </w:tc>
              <w:tc>
                <w:tcPr>
                  <w:tcW w:w="980" w:type="pct"/>
                  <w:vMerge w:val="continue"/>
                  <w:tcBorders>
                    <w:tl2br w:val="nil"/>
                    <w:tr2bl w:val="nil"/>
                  </w:tcBorders>
                  <w:noWrap w:val="0"/>
                  <w:vAlign w:val="center"/>
                </w:tcPr>
                <w:p w14:paraId="1A91F79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872" w:type="pct"/>
                  <w:tcBorders>
                    <w:tl2br w:val="nil"/>
                    <w:tr2bl w:val="nil"/>
                  </w:tcBorders>
                  <w:noWrap w:val="0"/>
                  <w:vAlign w:val="center"/>
                </w:tcPr>
                <w:p w14:paraId="28C58F4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sz w:val="21"/>
                      <w:szCs w:val="21"/>
                    </w:rPr>
                    <w:t>一期工程投产时同步验收</w:t>
                  </w:r>
                </w:p>
              </w:tc>
              <w:tc>
                <w:tcPr>
                  <w:tcW w:w="1050" w:type="pct"/>
                  <w:tcBorders>
                    <w:tl2br w:val="nil"/>
                    <w:tr2bl w:val="nil"/>
                  </w:tcBorders>
                  <w:noWrap w:val="0"/>
                  <w:vAlign w:val="center"/>
                </w:tcPr>
                <w:p w14:paraId="506FAB9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cs="Times New Roman"/>
                      <w:color w:val="auto"/>
                      <w:sz w:val="21"/>
                      <w:szCs w:val="21"/>
                      <w:lang w:val="en-US" w:eastAsia="zh-CN"/>
                    </w:rPr>
                    <w:t>一处10</w:t>
                  </w:r>
                  <w:r>
                    <w:rPr>
                      <w:rFonts w:hint="default" w:ascii="Times New Roman" w:hAnsi="Times New Roman" w:cs="Times New Roman"/>
                      <w:kern w:val="0"/>
                      <w:sz w:val="21"/>
                      <w:szCs w:val="21"/>
                      <w:lang w:val="en-US" w:eastAsia="zh-CN" w:bidi="ar"/>
                    </w:rPr>
                    <w:t>m</w:t>
                  </w:r>
                  <w:r>
                    <w:rPr>
                      <w:rFonts w:hint="default" w:ascii="Times New Roman" w:hAnsi="Times New Roman" w:cs="Times New Roman"/>
                      <w:kern w:val="0"/>
                      <w:sz w:val="21"/>
                      <w:szCs w:val="21"/>
                      <w:vertAlign w:val="superscript"/>
                      <w:lang w:val="en-US" w:eastAsia="zh-CN" w:bidi="ar"/>
                    </w:rPr>
                    <w:t>2</w:t>
                  </w:r>
                  <w:r>
                    <w:rPr>
                      <w:rFonts w:hint="default" w:ascii="Times New Roman" w:hAnsi="Times New Roman" w:cs="Times New Roman"/>
                      <w:kern w:val="0"/>
                      <w:sz w:val="21"/>
                      <w:szCs w:val="21"/>
                      <w:vertAlign w:val="baseline"/>
                      <w:lang w:val="en-US" w:eastAsia="zh-CN" w:bidi="ar"/>
                    </w:rPr>
                    <w:t>危废贮存点</w:t>
                  </w:r>
                </w:p>
              </w:tc>
            </w:tr>
            <w:tr w14:paraId="51C69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26" w:type="pct"/>
                  <w:vMerge w:val="continue"/>
                  <w:tcBorders>
                    <w:tl2br w:val="nil"/>
                    <w:tr2bl w:val="nil"/>
                  </w:tcBorders>
                  <w:noWrap w:val="0"/>
                  <w:vAlign w:val="center"/>
                </w:tcPr>
                <w:p w14:paraId="24C7CC4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772" w:type="pct"/>
                  <w:tcBorders>
                    <w:tl2br w:val="nil"/>
                    <w:tr2bl w:val="nil"/>
                  </w:tcBorders>
                  <w:noWrap w:val="0"/>
                  <w:vAlign w:val="center"/>
                </w:tcPr>
                <w:p w14:paraId="7C066ABE">
                  <w:pPr>
                    <w:pStyle w:val="2"/>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sz w:val="21"/>
                      <w:szCs w:val="21"/>
                      <w:lang w:val="en-US" w:eastAsia="zh-CN"/>
                    </w:rPr>
                    <w:t>洗车沉淀池沉渣</w:t>
                  </w:r>
                </w:p>
              </w:tc>
              <w:tc>
                <w:tcPr>
                  <w:tcW w:w="997" w:type="pct"/>
                  <w:tcBorders>
                    <w:tl2br w:val="nil"/>
                    <w:tr2bl w:val="nil"/>
                  </w:tcBorders>
                  <w:noWrap w:val="0"/>
                  <w:vAlign w:val="center"/>
                </w:tcPr>
                <w:p w14:paraId="39828FA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外售至砖厂制砖</w:t>
                  </w:r>
                </w:p>
              </w:tc>
              <w:tc>
                <w:tcPr>
                  <w:tcW w:w="980" w:type="pct"/>
                  <w:vMerge w:val="continue"/>
                  <w:tcBorders>
                    <w:tl2br w:val="nil"/>
                    <w:tr2bl w:val="nil"/>
                  </w:tcBorders>
                  <w:noWrap w:val="0"/>
                  <w:vAlign w:val="center"/>
                </w:tcPr>
                <w:p w14:paraId="0BECBF9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872" w:type="pct"/>
                  <w:tcBorders>
                    <w:tl2br w:val="nil"/>
                    <w:tr2bl w:val="nil"/>
                  </w:tcBorders>
                  <w:noWrap w:val="0"/>
                  <w:vAlign w:val="center"/>
                </w:tcPr>
                <w:p w14:paraId="1A66A72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sz w:val="21"/>
                      <w:szCs w:val="21"/>
                    </w:rPr>
                    <w:t>一期工程投产时同步验收</w:t>
                  </w:r>
                </w:p>
              </w:tc>
              <w:tc>
                <w:tcPr>
                  <w:tcW w:w="1050" w:type="pct"/>
                  <w:tcBorders>
                    <w:tl2br w:val="nil"/>
                    <w:tr2bl w:val="nil"/>
                  </w:tcBorders>
                  <w:noWrap w:val="0"/>
                  <w:vAlign w:val="center"/>
                </w:tcPr>
                <w:p w14:paraId="4247132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cs="Times New Roman"/>
                      <w:color w:val="auto"/>
                      <w:sz w:val="21"/>
                      <w:szCs w:val="21"/>
                      <w:lang w:val="en-US" w:eastAsia="zh-CN"/>
                    </w:rPr>
                    <w:t>一处20</w:t>
                  </w:r>
                  <w:r>
                    <w:rPr>
                      <w:rFonts w:hint="default" w:ascii="Times New Roman" w:hAnsi="Times New Roman" w:cs="Times New Roman"/>
                      <w:kern w:val="0"/>
                      <w:sz w:val="21"/>
                      <w:szCs w:val="21"/>
                      <w:lang w:val="en-US" w:eastAsia="zh-CN" w:bidi="ar"/>
                    </w:rPr>
                    <w:t>m</w:t>
                  </w:r>
                  <w:r>
                    <w:rPr>
                      <w:rFonts w:hint="default" w:ascii="Times New Roman" w:hAnsi="Times New Roman" w:cs="Times New Roman"/>
                      <w:kern w:val="0"/>
                      <w:sz w:val="21"/>
                      <w:szCs w:val="21"/>
                      <w:vertAlign w:val="superscript"/>
                      <w:lang w:val="en-US" w:eastAsia="zh-CN" w:bidi="ar"/>
                    </w:rPr>
                    <w:t>2</w:t>
                  </w:r>
                  <w:r>
                    <w:rPr>
                      <w:rFonts w:hint="default" w:ascii="Times New Roman" w:hAnsi="Times New Roman" w:cs="Times New Roman"/>
                      <w:kern w:val="0"/>
                      <w:sz w:val="21"/>
                      <w:szCs w:val="21"/>
                      <w:vertAlign w:val="baseline"/>
                      <w:lang w:val="en-US" w:eastAsia="zh-CN" w:bidi="ar"/>
                    </w:rPr>
                    <w:t>一般固废暂存区</w:t>
                  </w:r>
                </w:p>
              </w:tc>
            </w:tr>
            <w:tr w14:paraId="172FE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26" w:type="pct"/>
                  <w:vMerge w:val="continue"/>
                  <w:tcBorders>
                    <w:tl2br w:val="nil"/>
                    <w:tr2bl w:val="nil"/>
                  </w:tcBorders>
                  <w:noWrap w:val="0"/>
                  <w:vAlign w:val="center"/>
                </w:tcPr>
                <w:p w14:paraId="0C9C7B4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772" w:type="pct"/>
                  <w:tcBorders>
                    <w:tl2br w:val="nil"/>
                    <w:tr2bl w:val="nil"/>
                  </w:tcBorders>
                  <w:noWrap w:val="0"/>
                  <w:vAlign w:val="center"/>
                </w:tcPr>
                <w:p w14:paraId="054508BC">
                  <w:pPr>
                    <w:pStyle w:val="2"/>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sz w:val="21"/>
                      <w:szCs w:val="21"/>
                      <w:lang w:val="en-US" w:eastAsia="zh-CN"/>
                    </w:rPr>
                    <w:t>循环水池底泥</w:t>
                  </w:r>
                </w:p>
              </w:tc>
              <w:tc>
                <w:tcPr>
                  <w:tcW w:w="997" w:type="pct"/>
                  <w:tcBorders>
                    <w:tl2br w:val="nil"/>
                    <w:tr2bl w:val="nil"/>
                  </w:tcBorders>
                  <w:noWrap w:val="0"/>
                  <w:vAlign w:val="center"/>
                </w:tcPr>
                <w:p w14:paraId="7EAB903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外售至砖厂制砖</w:t>
                  </w:r>
                </w:p>
              </w:tc>
              <w:tc>
                <w:tcPr>
                  <w:tcW w:w="980" w:type="pct"/>
                  <w:vMerge w:val="continue"/>
                  <w:tcBorders>
                    <w:tl2br w:val="nil"/>
                    <w:tr2bl w:val="nil"/>
                  </w:tcBorders>
                  <w:noWrap w:val="0"/>
                  <w:vAlign w:val="center"/>
                </w:tcPr>
                <w:p w14:paraId="378FD0E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872" w:type="pct"/>
                  <w:tcBorders>
                    <w:tl2br w:val="nil"/>
                    <w:tr2bl w:val="nil"/>
                  </w:tcBorders>
                  <w:noWrap w:val="0"/>
                  <w:vAlign w:val="center"/>
                </w:tcPr>
                <w:p w14:paraId="21FA4C3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sz w:val="21"/>
                      <w:szCs w:val="21"/>
                    </w:rPr>
                    <w:t>一期工程投产时同步验收</w:t>
                  </w:r>
                </w:p>
              </w:tc>
              <w:tc>
                <w:tcPr>
                  <w:tcW w:w="1050" w:type="pct"/>
                  <w:tcBorders>
                    <w:tl2br w:val="nil"/>
                    <w:tr2bl w:val="nil"/>
                  </w:tcBorders>
                  <w:noWrap w:val="0"/>
                  <w:vAlign w:val="center"/>
                </w:tcPr>
                <w:p w14:paraId="05A08D7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cs="Times New Roman"/>
                      <w:color w:val="auto"/>
                      <w:sz w:val="21"/>
                      <w:szCs w:val="21"/>
                      <w:lang w:val="en-US" w:eastAsia="zh-CN"/>
                    </w:rPr>
                    <w:t>一处20</w:t>
                  </w:r>
                  <w:r>
                    <w:rPr>
                      <w:rFonts w:hint="default" w:ascii="Times New Roman" w:hAnsi="Times New Roman" w:cs="Times New Roman"/>
                      <w:kern w:val="0"/>
                      <w:sz w:val="21"/>
                      <w:szCs w:val="21"/>
                      <w:lang w:val="en-US" w:eastAsia="zh-CN" w:bidi="ar"/>
                    </w:rPr>
                    <w:t>m</w:t>
                  </w:r>
                  <w:r>
                    <w:rPr>
                      <w:rFonts w:hint="default" w:ascii="Times New Roman" w:hAnsi="Times New Roman" w:cs="Times New Roman"/>
                      <w:kern w:val="0"/>
                      <w:sz w:val="21"/>
                      <w:szCs w:val="21"/>
                      <w:vertAlign w:val="superscript"/>
                      <w:lang w:val="en-US" w:eastAsia="zh-CN" w:bidi="ar"/>
                    </w:rPr>
                    <w:t>2</w:t>
                  </w:r>
                  <w:r>
                    <w:rPr>
                      <w:rFonts w:hint="default" w:ascii="Times New Roman" w:hAnsi="Times New Roman" w:cs="Times New Roman"/>
                      <w:kern w:val="0"/>
                      <w:sz w:val="21"/>
                      <w:szCs w:val="21"/>
                      <w:vertAlign w:val="baseline"/>
                      <w:lang w:val="en-US" w:eastAsia="zh-CN" w:bidi="ar"/>
                    </w:rPr>
                    <w:t>一般固废暂存区</w:t>
                  </w:r>
                </w:p>
              </w:tc>
            </w:tr>
            <w:tr w14:paraId="6DC3A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26" w:type="pct"/>
                  <w:vMerge w:val="continue"/>
                  <w:tcBorders>
                    <w:tl2br w:val="nil"/>
                    <w:tr2bl w:val="nil"/>
                  </w:tcBorders>
                  <w:noWrap w:val="0"/>
                  <w:vAlign w:val="center"/>
                </w:tcPr>
                <w:p w14:paraId="3B7D6BC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772" w:type="pct"/>
                  <w:tcBorders>
                    <w:tl2br w:val="nil"/>
                    <w:tr2bl w:val="nil"/>
                  </w:tcBorders>
                  <w:noWrap w:val="0"/>
                  <w:vAlign w:val="center"/>
                </w:tcPr>
                <w:p w14:paraId="7FF4D4EB">
                  <w:pPr>
                    <w:pStyle w:val="3"/>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sz w:val="21"/>
                      <w:szCs w:val="21"/>
                      <w:lang w:val="en-US" w:eastAsia="zh-CN"/>
                    </w:rPr>
                    <w:t>生活垃圾</w:t>
                  </w:r>
                </w:p>
              </w:tc>
              <w:tc>
                <w:tcPr>
                  <w:tcW w:w="997" w:type="pct"/>
                  <w:tcBorders>
                    <w:tl2br w:val="nil"/>
                    <w:tr2bl w:val="nil"/>
                  </w:tcBorders>
                  <w:noWrap w:val="0"/>
                  <w:vAlign w:val="center"/>
                </w:tcPr>
                <w:p w14:paraId="0177EB9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由环卫部门统一处理</w:t>
                  </w:r>
                </w:p>
              </w:tc>
              <w:tc>
                <w:tcPr>
                  <w:tcW w:w="980" w:type="pct"/>
                  <w:vMerge w:val="continue"/>
                  <w:tcBorders>
                    <w:tl2br w:val="nil"/>
                    <w:tr2bl w:val="nil"/>
                  </w:tcBorders>
                  <w:noWrap w:val="0"/>
                  <w:vAlign w:val="center"/>
                </w:tcPr>
                <w:p w14:paraId="445925B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872" w:type="pct"/>
                  <w:tcBorders>
                    <w:tl2br w:val="nil"/>
                    <w:tr2bl w:val="nil"/>
                  </w:tcBorders>
                  <w:noWrap w:val="0"/>
                  <w:vAlign w:val="center"/>
                </w:tcPr>
                <w:p w14:paraId="0A4DA7B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sz w:val="21"/>
                      <w:szCs w:val="21"/>
                    </w:rPr>
                    <w:t>一期工程投产时同步验收</w:t>
                  </w:r>
                </w:p>
              </w:tc>
              <w:tc>
                <w:tcPr>
                  <w:tcW w:w="1050" w:type="pct"/>
                  <w:tcBorders>
                    <w:tl2br w:val="nil"/>
                    <w:tr2bl w:val="nil"/>
                  </w:tcBorders>
                  <w:noWrap w:val="0"/>
                  <w:vAlign w:val="center"/>
                </w:tcPr>
                <w:p w14:paraId="21C43B1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cs="Times New Roman"/>
                      <w:color w:val="auto"/>
                      <w:sz w:val="21"/>
                      <w:szCs w:val="21"/>
                      <w:lang w:val="en-US" w:eastAsia="zh-CN"/>
                    </w:rPr>
                    <w:t>厂区内设置至少一处垃圾桶</w:t>
                  </w:r>
                </w:p>
              </w:tc>
            </w:tr>
            <w:tr w14:paraId="00ECB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26" w:type="pct"/>
                  <w:tcBorders>
                    <w:tl2br w:val="nil"/>
                    <w:tr2bl w:val="nil"/>
                  </w:tcBorders>
                  <w:noWrap w:val="0"/>
                  <w:vAlign w:val="center"/>
                </w:tcPr>
                <w:p w14:paraId="08CB653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噪声</w:t>
                  </w:r>
                </w:p>
              </w:tc>
              <w:tc>
                <w:tcPr>
                  <w:tcW w:w="772" w:type="pct"/>
                  <w:tcBorders>
                    <w:tl2br w:val="nil"/>
                    <w:tr2bl w:val="nil"/>
                  </w:tcBorders>
                  <w:noWrap w:val="0"/>
                  <w:vAlign w:val="center"/>
                </w:tcPr>
                <w:p w14:paraId="4FE0A20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生产设备</w:t>
                  </w:r>
                </w:p>
              </w:tc>
              <w:tc>
                <w:tcPr>
                  <w:tcW w:w="997" w:type="pct"/>
                  <w:tcBorders>
                    <w:tl2br w:val="nil"/>
                    <w:tr2bl w:val="nil"/>
                  </w:tcBorders>
                  <w:noWrap w:val="0"/>
                  <w:vAlign w:val="center"/>
                </w:tcPr>
                <w:p w14:paraId="254A140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减振、隔声等措施</w:t>
                  </w:r>
                </w:p>
              </w:tc>
              <w:tc>
                <w:tcPr>
                  <w:tcW w:w="980" w:type="pct"/>
                  <w:tcBorders>
                    <w:tl2br w:val="nil"/>
                    <w:tr2bl w:val="nil"/>
                  </w:tcBorders>
                  <w:noWrap w:val="0"/>
                  <w:vAlign w:val="center"/>
                </w:tcPr>
                <w:p w14:paraId="3A3923E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《工业企业厂界环境噪声排放标准》（GB12348-2008）3类标准要求</w:t>
                  </w:r>
                </w:p>
              </w:tc>
              <w:tc>
                <w:tcPr>
                  <w:tcW w:w="872" w:type="pct"/>
                  <w:tcBorders>
                    <w:tl2br w:val="nil"/>
                    <w:tr2bl w:val="nil"/>
                  </w:tcBorders>
                  <w:noWrap w:val="0"/>
                  <w:vAlign w:val="center"/>
                </w:tcPr>
                <w:p w14:paraId="01AB1F7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sz w:val="21"/>
                      <w:szCs w:val="21"/>
                      <w:lang w:val="en-US" w:eastAsia="zh-CN"/>
                    </w:rPr>
                    <w:t>各</w:t>
                  </w:r>
                  <w:r>
                    <w:rPr>
                      <w:rFonts w:hint="default" w:ascii="Times New Roman" w:hAnsi="Times New Roman" w:eastAsia="宋体" w:cs="Times New Roman"/>
                      <w:sz w:val="21"/>
                      <w:szCs w:val="21"/>
                    </w:rPr>
                    <w:t>期工程投产时同步验收</w:t>
                  </w:r>
                </w:p>
              </w:tc>
              <w:tc>
                <w:tcPr>
                  <w:tcW w:w="1050" w:type="pct"/>
                  <w:tcBorders>
                    <w:tl2br w:val="nil"/>
                    <w:tr2bl w:val="nil"/>
                  </w:tcBorders>
                  <w:noWrap w:val="0"/>
                  <w:vAlign w:val="center"/>
                </w:tcPr>
                <w:p w14:paraId="5822336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color w:val="auto"/>
                      <w:sz w:val="21"/>
                      <w:szCs w:val="21"/>
                      <w:lang w:val="en-US" w:eastAsia="zh-CN"/>
                    </w:rPr>
                    <w:t>/</w:t>
                  </w:r>
                </w:p>
              </w:tc>
            </w:tr>
            <w:tr w14:paraId="24EEC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26" w:type="pct"/>
                  <w:tcBorders>
                    <w:tl2br w:val="nil"/>
                    <w:tr2bl w:val="nil"/>
                  </w:tcBorders>
                  <w:noWrap w:val="0"/>
                  <w:vAlign w:val="center"/>
                </w:tcPr>
                <w:p w14:paraId="77F86D8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风险</w:t>
                  </w:r>
                </w:p>
              </w:tc>
              <w:tc>
                <w:tcPr>
                  <w:tcW w:w="1770" w:type="pct"/>
                  <w:gridSpan w:val="2"/>
                  <w:tcBorders>
                    <w:tl2br w:val="nil"/>
                    <w:tr2bl w:val="nil"/>
                  </w:tcBorders>
                  <w:noWrap w:val="0"/>
                  <w:vAlign w:val="center"/>
                </w:tcPr>
                <w:p w14:paraId="351AFDC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风险防范措施</w:t>
                  </w:r>
                </w:p>
              </w:tc>
              <w:tc>
                <w:tcPr>
                  <w:tcW w:w="980" w:type="pct"/>
                  <w:tcBorders>
                    <w:tl2br w:val="nil"/>
                    <w:tr2bl w:val="nil"/>
                  </w:tcBorders>
                  <w:noWrap w:val="0"/>
                  <w:vAlign w:val="center"/>
                </w:tcPr>
                <w:p w14:paraId="2054957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编制突发环境事件应急预案，报主管生态环境局备案，定期演练</w:t>
                  </w:r>
                </w:p>
              </w:tc>
              <w:tc>
                <w:tcPr>
                  <w:tcW w:w="872" w:type="pct"/>
                  <w:tcBorders>
                    <w:tl2br w:val="nil"/>
                    <w:tr2bl w:val="nil"/>
                  </w:tcBorders>
                  <w:noWrap w:val="0"/>
                  <w:vAlign w:val="center"/>
                </w:tcPr>
                <w:p w14:paraId="5ECC66E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sz w:val="21"/>
                      <w:szCs w:val="21"/>
                      <w:lang w:val="en-US" w:eastAsia="zh-CN"/>
                    </w:rPr>
                    <w:t>各</w:t>
                  </w:r>
                  <w:r>
                    <w:rPr>
                      <w:rFonts w:hint="default" w:ascii="Times New Roman" w:hAnsi="Times New Roman" w:eastAsia="宋体" w:cs="Times New Roman"/>
                      <w:sz w:val="21"/>
                      <w:szCs w:val="21"/>
                    </w:rPr>
                    <w:t>期工程投产时同步验收</w:t>
                  </w:r>
                </w:p>
              </w:tc>
              <w:tc>
                <w:tcPr>
                  <w:tcW w:w="1050" w:type="pct"/>
                  <w:tcBorders>
                    <w:tl2br w:val="nil"/>
                    <w:tr2bl w:val="nil"/>
                  </w:tcBorders>
                  <w:noWrap w:val="0"/>
                  <w:vAlign w:val="center"/>
                </w:tcPr>
                <w:p w14:paraId="0F1D952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color w:val="auto"/>
                      <w:sz w:val="21"/>
                      <w:szCs w:val="21"/>
                      <w:lang w:val="en-US" w:eastAsia="zh-CN"/>
                    </w:rPr>
                    <w:t>/</w:t>
                  </w:r>
                </w:p>
              </w:tc>
            </w:tr>
          </w:tbl>
          <w:p w14:paraId="490BADFC">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Cs/>
                <w:color w:val="auto"/>
                <w:sz w:val="24"/>
                <w:szCs w:val="24"/>
              </w:rPr>
            </w:pPr>
          </w:p>
          <w:p w14:paraId="57D26AF8">
            <w:pPr>
              <w:adjustRightInd w:val="0"/>
              <w:snapToGrid w:val="0"/>
              <w:rPr>
                <w:rFonts w:hint="eastAsia" w:ascii="宋体" w:hAnsi="宋体" w:cs="宋体"/>
                <w:szCs w:val="21"/>
              </w:rPr>
            </w:pPr>
          </w:p>
        </w:tc>
      </w:tr>
    </w:tbl>
    <w:p w14:paraId="5B8D2C08">
      <w:pPr>
        <w:pStyle w:val="21"/>
        <w:jc w:val="center"/>
        <w:outlineLvl w:val="0"/>
        <w:rPr>
          <w:rFonts w:ascii="黑体" w:hAnsi="黑体" w:eastAsia="黑体"/>
          <w:snapToGrid w:val="0"/>
          <w:sz w:val="30"/>
          <w:szCs w:val="30"/>
        </w:rPr>
      </w:pPr>
      <w:r>
        <w:rPr>
          <w:snapToGrid w:val="0"/>
        </w:rPr>
        <w:br w:type="page"/>
      </w:r>
      <w:r>
        <w:rPr>
          <w:rFonts w:hint="eastAsia" w:ascii="黑体" w:hAnsi="黑体" w:eastAsia="黑体"/>
          <w:snapToGrid w:val="0"/>
          <w:sz w:val="30"/>
          <w:szCs w:val="30"/>
        </w:rPr>
        <w:t>六、结论</w:t>
      </w:r>
    </w:p>
    <w:tbl>
      <w:tblPr>
        <w:tblStyle w:val="25"/>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7448E8F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865" w:type="dxa"/>
            <w:noWrap w:val="0"/>
            <w:vAlign w:val="center"/>
          </w:tcPr>
          <w:p w14:paraId="5F28F513">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cs="宋体"/>
                <w:sz w:val="24"/>
              </w:rPr>
            </w:pPr>
            <w:r>
              <w:rPr>
                <w:rFonts w:hint="default" w:ascii="Times New Roman" w:hAnsi="Times New Roman" w:cs="Times New Roman"/>
                <w:sz w:val="24"/>
              </w:rPr>
              <w:t>项目</w:t>
            </w:r>
            <w:r>
              <w:rPr>
                <w:rFonts w:hint="default" w:ascii="Times New Roman" w:hAnsi="Times New Roman" w:cs="Times New Roman"/>
                <w:sz w:val="24"/>
                <w:lang w:eastAsia="zh-CN"/>
              </w:rPr>
              <w:t>要</w:t>
            </w:r>
            <w:r>
              <w:rPr>
                <w:rFonts w:hint="default" w:ascii="Times New Roman" w:hAnsi="Times New Roman" w:cs="Times New Roman"/>
                <w:sz w:val="24"/>
              </w:rPr>
              <w:t>切实落实报告表中提出的各项防治措施，严格执行各项污染物的排放标准，积极有效地进行污染治理和防范，并使各项污染物达标排放，从环境保护角度考虑，该项目的</w:t>
            </w:r>
            <w:r>
              <w:rPr>
                <w:rFonts w:hint="default" w:ascii="Times New Roman" w:hAnsi="Times New Roman" w:cs="Times New Roman"/>
                <w:sz w:val="24"/>
                <w:lang w:val="en-US" w:eastAsia="zh-CN"/>
              </w:rPr>
              <w:t>建设</w:t>
            </w:r>
            <w:r>
              <w:rPr>
                <w:rFonts w:hint="default" w:ascii="Times New Roman" w:hAnsi="Times New Roman" w:cs="Times New Roman"/>
                <w:sz w:val="24"/>
              </w:rPr>
              <w:t>是可行的。</w:t>
            </w:r>
          </w:p>
        </w:tc>
      </w:tr>
    </w:tbl>
    <w:p w14:paraId="061D5989">
      <w:pPr>
        <w:rPr>
          <w:rFonts w:ascii="宋体"/>
        </w:rPr>
        <w:sectPr>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26C4A356">
      <w:pPr>
        <w:pStyle w:val="21"/>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textAlignment w:val="auto"/>
        <w:outlineLvl w:val="0"/>
        <w:rPr>
          <w:rFonts w:ascii="黑体" w:hAnsi="黑体" w:eastAsia="黑体"/>
          <w:snapToGrid w:val="0"/>
          <w:sz w:val="32"/>
          <w:szCs w:val="32"/>
        </w:rPr>
      </w:pPr>
      <w:r>
        <w:rPr>
          <w:rFonts w:hint="eastAsia" w:ascii="黑体" w:hAnsi="黑体" w:eastAsia="黑体"/>
          <w:snapToGrid w:val="0"/>
          <w:sz w:val="32"/>
          <w:szCs w:val="32"/>
        </w:rPr>
        <w:t>附表</w:t>
      </w:r>
    </w:p>
    <w:p w14:paraId="1D73BB34">
      <w:pPr>
        <w:pStyle w:val="21"/>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jc w:val="center"/>
        <w:textAlignment w:val="auto"/>
        <w:outlineLvl w:val="0"/>
        <w:rPr>
          <w:rFonts w:hint="eastAsia" w:ascii="方正小标宋_GBK" w:hAnsi="黑体" w:eastAsia="方正小标宋_GBK"/>
          <w:snapToGrid w:val="0"/>
          <w:sz w:val="38"/>
          <w:szCs w:val="38"/>
        </w:rPr>
      </w:pPr>
      <w:r>
        <w:rPr>
          <w:rFonts w:hint="eastAsia" w:ascii="方正小标宋_GBK" w:hAnsi="黑体" w:eastAsia="方正小标宋_GBK"/>
          <w:snapToGrid w:val="0"/>
          <w:sz w:val="38"/>
          <w:szCs w:val="38"/>
        </w:rPr>
        <w:t>建设项目污染物排放量汇总表</w:t>
      </w:r>
    </w:p>
    <w:tbl>
      <w:tblPr>
        <w:tblStyle w:val="25"/>
        <w:tblW w:w="13788"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88"/>
        <w:gridCol w:w="1417"/>
        <w:gridCol w:w="1701"/>
        <w:gridCol w:w="1276"/>
        <w:gridCol w:w="1701"/>
        <w:gridCol w:w="1559"/>
        <w:gridCol w:w="1761"/>
        <w:gridCol w:w="1959"/>
        <w:gridCol w:w="826"/>
      </w:tblGrid>
      <w:tr w14:paraId="3C3FFC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588" w:type="dxa"/>
            <w:tcBorders>
              <w:tl2br w:val="single" w:color="auto" w:sz="4" w:space="0"/>
            </w:tcBorders>
            <w:noWrap w:val="0"/>
            <w:tcMar>
              <w:left w:w="28" w:type="dxa"/>
              <w:right w:w="28" w:type="dxa"/>
            </w:tcMar>
            <w:vAlign w:val="center"/>
          </w:tcPr>
          <w:p w14:paraId="17F701D8">
            <w:pPr>
              <w:pStyle w:val="43"/>
              <w:spacing w:beforeLines="0" w:afterLines="0" w:line="240" w:lineRule="auto"/>
              <w:jc w:val="right"/>
              <w:rPr>
                <w:rFonts w:hint="default" w:ascii="Times New Roman" w:hAnsi="Times New Roman" w:eastAsia="黑体" w:cs="Times New Roman"/>
                <w:snapToGrid w:val="0"/>
                <w:color w:val="000000"/>
                <w:spacing w:val="-6"/>
                <w:kern w:val="21"/>
                <w:sz w:val="21"/>
                <w:szCs w:val="21"/>
              </w:rPr>
            </w:pPr>
            <w:r>
              <w:rPr>
                <w:rFonts w:hint="default" w:ascii="Times New Roman" w:hAnsi="Times New Roman" w:eastAsia="黑体" w:cs="Times New Roman"/>
                <w:snapToGrid w:val="0"/>
                <w:color w:val="000000"/>
                <w:spacing w:val="-6"/>
                <w:kern w:val="21"/>
                <w:sz w:val="21"/>
                <w:szCs w:val="21"/>
              </w:rPr>
              <w:t>项目</w:t>
            </w:r>
          </w:p>
          <w:p w14:paraId="7366CE72">
            <w:pPr>
              <w:pStyle w:val="43"/>
              <w:spacing w:beforeLines="0" w:afterLines="0" w:line="240" w:lineRule="auto"/>
              <w:jc w:val="left"/>
              <w:rPr>
                <w:rFonts w:hint="default" w:ascii="Times New Roman" w:hAnsi="Times New Roman" w:eastAsia="黑体" w:cs="Times New Roman"/>
                <w:snapToGrid w:val="0"/>
                <w:color w:val="000000"/>
                <w:spacing w:val="-6"/>
                <w:kern w:val="21"/>
                <w:sz w:val="21"/>
                <w:szCs w:val="21"/>
              </w:rPr>
            </w:pPr>
            <w:r>
              <w:rPr>
                <w:rFonts w:hint="default" w:ascii="Times New Roman" w:hAnsi="Times New Roman" w:eastAsia="黑体" w:cs="Times New Roman"/>
                <w:snapToGrid w:val="0"/>
                <w:color w:val="000000"/>
                <w:spacing w:val="-6"/>
                <w:kern w:val="21"/>
                <w:sz w:val="21"/>
                <w:szCs w:val="21"/>
              </w:rPr>
              <w:t>分类</w:t>
            </w:r>
          </w:p>
        </w:tc>
        <w:tc>
          <w:tcPr>
            <w:tcW w:w="1417" w:type="dxa"/>
            <w:noWrap w:val="0"/>
            <w:tcMar>
              <w:left w:w="28" w:type="dxa"/>
              <w:right w:w="28" w:type="dxa"/>
            </w:tcMar>
            <w:vAlign w:val="center"/>
          </w:tcPr>
          <w:p w14:paraId="6E163E04">
            <w:pPr>
              <w:pStyle w:val="43"/>
              <w:spacing w:beforeLines="0" w:afterLines="0" w:line="240" w:lineRule="auto"/>
              <w:rPr>
                <w:rFonts w:hint="default" w:ascii="Times New Roman" w:hAnsi="Times New Roman" w:eastAsia="黑体" w:cs="Times New Roman"/>
                <w:snapToGrid w:val="0"/>
                <w:color w:val="000000"/>
                <w:spacing w:val="-6"/>
                <w:kern w:val="21"/>
                <w:sz w:val="21"/>
                <w:szCs w:val="21"/>
              </w:rPr>
            </w:pPr>
            <w:r>
              <w:rPr>
                <w:rFonts w:hint="default" w:ascii="Times New Roman" w:hAnsi="Times New Roman" w:eastAsia="黑体" w:cs="Times New Roman"/>
                <w:snapToGrid w:val="0"/>
                <w:color w:val="000000"/>
                <w:spacing w:val="-6"/>
                <w:kern w:val="21"/>
                <w:sz w:val="21"/>
                <w:szCs w:val="21"/>
              </w:rPr>
              <w:t>污染物名称</w:t>
            </w:r>
          </w:p>
        </w:tc>
        <w:tc>
          <w:tcPr>
            <w:tcW w:w="1701" w:type="dxa"/>
            <w:noWrap w:val="0"/>
            <w:tcMar>
              <w:left w:w="28" w:type="dxa"/>
              <w:right w:w="28" w:type="dxa"/>
            </w:tcMar>
            <w:vAlign w:val="center"/>
          </w:tcPr>
          <w:p w14:paraId="41346EC9">
            <w:pPr>
              <w:pStyle w:val="43"/>
              <w:spacing w:beforeLines="0" w:afterLines="0" w:line="240" w:lineRule="auto"/>
              <w:rPr>
                <w:rFonts w:hint="default" w:ascii="Times New Roman" w:hAnsi="Times New Roman" w:eastAsia="黑体" w:cs="Times New Roman"/>
                <w:snapToGrid w:val="0"/>
                <w:color w:val="000000"/>
                <w:spacing w:val="-6"/>
                <w:kern w:val="21"/>
                <w:sz w:val="21"/>
                <w:szCs w:val="21"/>
              </w:rPr>
            </w:pPr>
            <w:r>
              <w:rPr>
                <w:rFonts w:hint="default" w:ascii="Times New Roman" w:hAnsi="Times New Roman" w:eastAsia="黑体" w:cs="Times New Roman"/>
                <w:snapToGrid w:val="0"/>
                <w:color w:val="000000"/>
                <w:spacing w:val="-6"/>
                <w:kern w:val="21"/>
                <w:sz w:val="21"/>
                <w:szCs w:val="21"/>
              </w:rPr>
              <w:t>现有工程</w:t>
            </w:r>
          </w:p>
          <w:p w14:paraId="49DAB1B1">
            <w:pPr>
              <w:pStyle w:val="43"/>
              <w:spacing w:beforeLines="0" w:afterLines="0" w:line="240" w:lineRule="auto"/>
              <w:rPr>
                <w:rFonts w:hint="default" w:ascii="Times New Roman" w:hAnsi="Times New Roman" w:eastAsia="黑体" w:cs="Times New Roman"/>
                <w:snapToGrid w:val="0"/>
                <w:color w:val="000000"/>
                <w:spacing w:val="-6"/>
                <w:kern w:val="21"/>
                <w:sz w:val="21"/>
                <w:szCs w:val="21"/>
              </w:rPr>
            </w:pPr>
            <w:r>
              <w:rPr>
                <w:rFonts w:hint="default" w:ascii="Times New Roman" w:hAnsi="Times New Roman" w:eastAsia="黑体" w:cs="Times New Roman"/>
                <w:snapToGrid w:val="0"/>
                <w:color w:val="000000"/>
                <w:spacing w:val="-6"/>
                <w:kern w:val="21"/>
                <w:sz w:val="21"/>
                <w:szCs w:val="21"/>
              </w:rPr>
              <w:t>排放量（固体废物产生量）</w:t>
            </w:r>
            <w:r>
              <w:rPr>
                <w:rFonts w:hint="default" w:ascii="Times New Roman" w:hAnsi="Times New Roman" w:eastAsia="黑体" w:cs="Times New Roman"/>
                <w:snapToGrid w:val="0"/>
                <w:color w:val="000000"/>
                <w:spacing w:val="-6"/>
                <w:kern w:val="21"/>
                <w:sz w:val="21"/>
                <w:szCs w:val="21"/>
              </w:rPr>
              <w:fldChar w:fldCharType="begin"/>
            </w:r>
            <w:r>
              <w:rPr>
                <w:rFonts w:hint="default" w:ascii="Times New Roman" w:hAnsi="Times New Roman" w:eastAsia="黑体" w:cs="Times New Roman"/>
                <w:snapToGrid w:val="0"/>
                <w:color w:val="000000"/>
                <w:spacing w:val="-6"/>
                <w:kern w:val="21"/>
                <w:sz w:val="21"/>
                <w:szCs w:val="21"/>
              </w:rPr>
              <w:instrText xml:space="preserve"> = 1 \* GB3 \* MERGEFORMAT </w:instrText>
            </w:r>
            <w:r>
              <w:rPr>
                <w:rFonts w:hint="default" w:ascii="Times New Roman" w:hAnsi="Times New Roman" w:eastAsia="黑体" w:cs="Times New Roman"/>
                <w:snapToGrid w:val="0"/>
                <w:color w:val="000000"/>
                <w:spacing w:val="-6"/>
                <w:kern w:val="21"/>
                <w:sz w:val="21"/>
                <w:szCs w:val="21"/>
              </w:rPr>
              <w:fldChar w:fldCharType="separate"/>
            </w:r>
            <w:r>
              <w:rPr>
                <w:rFonts w:hint="default" w:ascii="Times New Roman" w:hAnsi="Times New Roman" w:eastAsia="黑体" w:cs="Times New Roman"/>
                <w:kern w:val="2"/>
                <w:sz w:val="21"/>
                <w:szCs w:val="21"/>
              </w:rPr>
              <w:t>①</w:t>
            </w:r>
            <w:r>
              <w:rPr>
                <w:rFonts w:hint="default" w:ascii="Times New Roman" w:hAnsi="Times New Roman" w:eastAsia="黑体" w:cs="Times New Roman"/>
                <w:snapToGrid w:val="0"/>
                <w:color w:val="000000"/>
                <w:spacing w:val="-6"/>
                <w:kern w:val="21"/>
                <w:sz w:val="21"/>
                <w:szCs w:val="21"/>
              </w:rPr>
              <w:fldChar w:fldCharType="end"/>
            </w:r>
          </w:p>
        </w:tc>
        <w:tc>
          <w:tcPr>
            <w:tcW w:w="1276" w:type="dxa"/>
            <w:noWrap w:val="0"/>
            <w:tcMar>
              <w:left w:w="28" w:type="dxa"/>
              <w:right w:w="28" w:type="dxa"/>
            </w:tcMar>
            <w:vAlign w:val="center"/>
          </w:tcPr>
          <w:p w14:paraId="028A828F">
            <w:pPr>
              <w:pStyle w:val="43"/>
              <w:spacing w:beforeLines="0" w:afterLines="0" w:line="240" w:lineRule="auto"/>
              <w:rPr>
                <w:rFonts w:hint="default" w:ascii="Times New Roman" w:hAnsi="Times New Roman" w:eastAsia="黑体" w:cs="Times New Roman"/>
                <w:snapToGrid w:val="0"/>
                <w:color w:val="000000"/>
                <w:spacing w:val="-6"/>
                <w:kern w:val="21"/>
                <w:sz w:val="21"/>
                <w:szCs w:val="21"/>
              </w:rPr>
            </w:pPr>
            <w:r>
              <w:rPr>
                <w:rFonts w:hint="default" w:ascii="Times New Roman" w:hAnsi="Times New Roman" w:eastAsia="黑体" w:cs="Times New Roman"/>
                <w:snapToGrid w:val="0"/>
                <w:color w:val="000000"/>
                <w:spacing w:val="-6"/>
                <w:kern w:val="21"/>
                <w:sz w:val="21"/>
                <w:szCs w:val="21"/>
              </w:rPr>
              <w:t>现有工程</w:t>
            </w:r>
          </w:p>
          <w:p w14:paraId="20F4ADDB">
            <w:pPr>
              <w:pStyle w:val="43"/>
              <w:spacing w:beforeLines="0" w:afterLines="0" w:line="240" w:lineRule="auto"/>
              <w:rPr>
                <w:rFonts w:hint="default" w:ascii="Times New Roman" w:hAnsi="Times New Roman" w:eastAsia="黑体" w:cs="Times New Roman"/>
                <w:snapToGrid w:val="0"/>
                <w:color w:val="000000"/>
                <w:spacing w:val="-6"/>
                <w:kern w:val="21"/>
                <w:sz w:val="21"/>
                <w:szCs w:val="21"/>
              </w:rPr>
            </w:pPr>
            <w:r>
              <w:rPr>
                <w:rFonts w:hint="default" w:ascii="Times New Roman" w:hAnsi="Times New Roman" w:eastAsia="黑体" w:cs="Times New Roman"/>
                <w:snapToGrid w:val="0"/>
                <w:color w:val="000000"/>
                <w:spacing w:val="-6"/>
                <w:kern w:val="21"/>
                <w:sz w:val="21"/>
                <w:szCs w:val="21"/>
              </w:rPr>
              <w:t>许可排放量</w:t>
            </w:r>
          </w:p>
          <w:p w14:paraId="28A4204F">
            <w:pPr>
              <w:pStyle w:val="43"/>
              <w:spacing w:beforeLines="0" w:afterLines="0"/>
              <w:rPr>
                <w:rFonts w:hint="default" w:ascii="Times New Roman" w:hAnsi="Times New Roman" w:eastAsia="黑体" w:cs="Times New Roman"/>
                <w:snapToGrid w:val="0"/>
                <w:color w:val="000000"/>
                <w:spacing w:val="-6"/>
                <w:kern w:val="21"/>
                <w:sz w:val="21"/>
                <w:szCs w:val="21"/>
              </w:rPr>
            </w:pPr>
            <w:r>
              <w:rPr>
                <w:rFonts w:hint="default" w:ascii="Times New Roman" w:hAnsi="Times New Roman" w:eastAsia="黑体" w:cs="Times New Roman"/>
                <w:snapToGrid w:val="0"/>
                <w:color w:val="000000"/>
                <w:spacing w:val="-6"/>
                <w:kern w:val="21"/>
                <w:sz w:val="21"/>
                <w:szCs w:val="21"/>
              </w:rPr>
              <w:fldChar w:fldCharType="begin"/>
            </w:r>
            <w:r>
              <w:rPr>
                <w:rFonts w:hint="default" w:ascii="Times New Roman" w:hAnsi="Times New Roman" w:eastAsia="黑体" w:cs="Times New Roman"/>
                <w:snapToGrid w:val="0"/>
                <w:color w:val="000000"/>
                <w:spacing w:val="-6"/>
                <w:kern w:val="21"/>
                <w:sz w:val="21"/>
                <w:szCs w:val="21"/>
              </w:rPr>
              <w:instrText xml:space="preserve"> = 2 \* GB3 \* MERGEFORMAT </w:instrText>
            </w:r>
            <w:r>
              <w:rPr>
                <w:rFonts w:hint="default" w:ascii="Times New Roman" w:hAnsi="Times New Roman" w:eastAsia="黑体" w:cs="Times New Roman"/>
                <w:snapToGrid w:val="0"/>
                <w:color w:val="000000"/>
                <w:spacing w:val="-6"/>
                <w:kern w:val="21"/>
                <w:sz w:val="21"/>
                <w:szCs w:val="21"/>
              </w:rPr>
              <w:fldChar w:fldCharType="separate"/>
            </w:r>
            <w:r>
              <w:rPr>
                <w:rFonts w:hint="default" w:ascii="Times New Roman" w:hAnsi="Times New Roman" w:eastAsia="黑体" w:cs="Times New Roman"/>
                <w:snapToGrid w:val="0"/>
                <w:color w:val="000000"/>
                <w:spacing w:val="-6"/>
                <w:kern w:val="21"/>
                <w:sz w:val="21"/>
                <w:szCs w:val="21"/>
              </w:rPr>
              <w:t>②</w:t>
            </w:r>
            <w:r>
              <w:rPr>
                <w:rFonts w:hint="default" w:ascii="Times New Roman" w:hAnsi="Times New Roman" w:eastAsia="黑体" w:cs="Times New Roman"/>
                <w:snapToGrid w:val="0"/>
                <w:color w:val="000000"/>
                <w:spacing w:val="-6"/>
                <w:kern w:val="21"/>
                <w:sz w:val="21"/>
                <w:szCs w:val="21"/>
              </w:rPr>
              <w:fldChar w:fldCharType="end"/>
            </w:r>
          </w:p>
        </w:tc>
        <w:tc>
          <w:tcPr>
            <w:tcW w:w="1701" w:type="dxa"/>
            <w:noWrap w:val="0"/>
            <w:tcMar>
              <w:left w:w="28" w:type="dxa"/>
              <w:right w:w="28" w:type="dxa"/>
            </w:tcMar>
            <w:vAlign w:val="center"/>
          </w:tcPr>
          <w:p w14:paraId="3058E3C4">
            <w:pPr>
              <w:pStyle w:val="43"/>
              <w:spacing w:beforeLines="0" w:afterLines="0" w:line="240" w:lineRule="auto"/>
              <w:rPr>
                <w:rFonts w:hint="default" w:ascii="Times New Roman" w:hAnsi="Times New Roman" w:eastAsia="黑体" w:cs="Times New Roman"/>
                <w:snapToGrid w:val="0"/>
                <w:color w:val="000000"/>
                <w:spacing w:val="-6"/>
                <w:kern w:val="21"/>
                <w:sz w:val="21"/>
                <w:szCs w:val="21"/>
              </w:rPr>
            </w:pPr>
            <w:r>
              <w:rPr>
                <w:rFonts w:hint="default" w:ascii="Times New Roman" w:hAnsi="Times New Roman" w:eastAsia="黑体" w:cs="Times New Roman"/>
                <w:snapToGrid w:val="0"/>
                <w:color w:val="000000"/>
                <w:spacing w:val="-6"/>
                <w:kern w:val="21"/>
                <w:sz w:val="21"/>
                <w:szCs w:val="21"/>
              </w:rPr>
              <w:t>在建工程</w:t>
            </w:r>
          </w:p>
          <w:p w14:paraId="3D8E9A7F">
            <w:pPr>
              <w:pStyle w:val="43"/>
              <w:spacing w:beforeLines="0" w:afterLines="0" w:line="240" w:lineRule="auto"/>
              <w:rPr>
                <w:rFonts w:hint="default" w:ascii="Times New Roman" w:hAnsi="Times New Roman" w:eastAsia="黑体" w:cs="Times New Roman"/>
                <w:snapToGrid w:val="0"/>
                <w:color w:val="000000"/>
                <w:spacing w:val="-6"/>
                <w:kern w:val="21"/>
                <w:sz w:val="21"/>
                <w:szCs w:val="21"/>
              </w:rPr>
            </w:pPr>
            <w:r>
              <w:rPr>
                <w:rFonts w:hint="default" w:ascii="Times New Roman" w:hAnsi="Times New Roman" w:eastAsia="黑体" w:cs="Times New Roman"/>
                <w:snapToGrid w:val="0"/>
                <w:color w:val="000000"/>
                <w:spacing w:val="-6"/>
                <w:kern w:val="21"/>
                <w:sz w:val="21"/>
                <w:szCs w:val="21"/>
              </w:rPr>
              <w:t>排放量（固体废物产生量）</w:t>
            </w:r>
            <w:r>
              <w:rPr>
                <w:rFonts w:hint="default" w:ascii="Times New Roman" w:hAnsi="Times New Roman" w:eastAsia="黑体" w:cs="Times New Roman"/>
                <w:snapToGrid w:val="0"/>
                <w:color w:val="000000"/>
                <w:spacing w:val="-6"/>
                <w:kern w:val="21"/>
                <w:sz w:val="21"/>
                <w:szCs w:val="21"/>
              </w:rPr>
              <w:fldChar w:fldCharType="begin"/>
            </w:r>
            <w:r>
              <w:rPr>
                <w:rFonts w:hint="default" w:ascii="Times New Roman" w:hAnsi="Times New Roman" w:eastAsia="黑体" w:cs="Times New Roman"/>
                <w:snapToGrid w:val="0"/>
                <w:color w:val="000000"/>
                <w:spacing w:val="-6"/>
                <w:kern w:val="21"/>
                <w:sz w:val="21"/>
                <w:szCs w:val="21"/>
              </w:rPr>
              <w:instrText xml:space="preserve"> = 3 \* GB3 \* MERGEFORMAT </w:instrText>
            </w:r>
            <w:r>
              <w:rPr>
                <w:rFonts w:hint="default" w:ascii="Times New Roman" w:hAnsi="Times New Roman" w:eastAsia="黑体" w:cs="Times New Roman"/>
                <w:snapToGrid w:val="0"/>
                <w:color w:val="000000"/>
                <w:spacing w:val="-6"/>
                <w:kern w:val="21"/>
                <w:sz w:val="21"/>
                <w:szCs w:val="21"/>
              </w:rPr>
              <w:fldChar w:fldCharType="separate"/>
            </w:r>
            <w:r>
              <w:rPr>
                <w:rFonts w:hint="default" w:ascii="Times New Roman" w:hAnsi="Times New Roman" w:eastAsia="黑体" w:cs="Times New Roman"/>
                <w:kern w:val="2"/>
                <w:sz w:val="21"/>
                <w:szCs w:val="21"/>
              </w:rPr>
              <w:t>③</w:t>
            </w:r>
            <w:r>
              <w:rPr>
                <w:rFonts w:hint="default" w:ascii="Times New Roman" w:hAnsi="Times New Roman" w:eastAsia="黑体" w:cs="Times New Roman"/>
                <w:snapToGrid w:val="0"/>
                <w:color w:val="000000"/>
                <w:spacing w:val="-6"/>
                <w:kern w:val="21"/>
                <w:sz w:val="21"/>
                <w:szCs w:val="21"/>
              </w:rPr>
              <w:fldChar w:fldCharType="end"/>
            </w:r>
          </w:p>
        </w:tc>
        <w:tc>
          <w:tcPr>
            <w:tcW w:w="1559" w:type="dxa"/>
            <w:noWrap w:val="0"/>
            <w:tcMar>
              <w:left w:w="28" w:type="dxa"/>
              <w:right w:w="28" w:type="dxa"/>
            </w:tcMar>
            <w:vAlign w:val="center"/>
          </w:tcPr>
          <w:p w14:paraId="4D1B1ADF">
            <w:pPr>
              <w:pStyle w:val="43"/>
              <w:spacing w:beforeLines="0" w:afterLines="0" w:line="240" w:lineRule="auto"/>
              <w:rPr>
                <w:rFonts w:hint="default" w:ascii="Times New Roman" w:hAnsi="Times New Roman" w:eastAsia="黑体" w:cs="Times New Roman"/>
                <w:snapToGrid w:val="0"/>
                <w:color w:val="000000"/>
                <w:spacing w:val="-6"/>
                <w:kern w:val="21"/>
                <w:sz w:val="21"/>
                <w:szCs w:val="21"/>
              </w:rPr>
            </w:pPr>
            <w:r>
              <w:rPr>
                <w:rFonts w:hint="default" w:ascii="Times New Roman" w:hAnsi="Times New Roman" w:eastAsia="黑体" w:cs="Times New Roman"/>
                <w:snapToGrid w:val="0"/>
                <w:color w:val="000000"/>
                <w:spacing w:val="-6"/>
                <w:kern w:val="21"/>
                <w:sz w:val="21"/>
                <w:szCs w:val="21"/>
              </w:rPr>
              <w:t>本项目</w:t>
            </w:r>
          </w:p>
          <w:p w14:paraId="40047833">
            <w:pPr>
              <w:pStyle w:val="43"/>
              <w:spacing w:beforeLines="0" w:afterLines="0" w:line="240" w:lineRule="auto"/>
              <w:rPr>
                <w:rFonts w:hint="default" w:ascii="Times New Roman" w:hAnsi="Times New Roman" w:eastAsia="黑体" w:cs="Times New Roman"/>
                <w:snapToGrid w:val="0"/>
                <w:color w:val="000000"/>
                <w:spacing w:val="-6"/>
                <w:kern w:val="21"/>
                <w:sz w:val="21"/>
                <w:szCs w:val="21"/>
              </w:rPr>
            </w:pPr>
            <w:r>
              <w:rPr>
                <w:rFonts w:hint="default" w:ascii="Times New Roman" w:hAnsi="Times New Roman" w:eastAsia="黑体" w:cs="Times New Roman"/>
                <w:snapToGrid w:val="0"/>
                <w:color w:val="000000"/>
                <w:spacing w:val="-6"/>
                <w:kern w:val="21"/>
                <w:sz w:val="21"/>
                <w:szCs w:val="21"/>
              </w:rPr>
              <w:t>排放量（固体废物产生量）</w:t>
            </w:r>
            <w:r>
              <w:rPr>
                <w:rFonts w:hint="default" w:ascii="Times New Roman" w:hAnsi="Times New Roman" w:eastAsia="黑体" w:cs="Times New Roman"/>
                <w:snapToGrid w:val="0"/>
                <w:color w:val="000000"/>
                <w:spacing w:val="-6"/>
                <w:kern w:val="21"/>
                <w:sz w:val="21"/>
                <w:szCs w:val="21"/>
              </w:rPr>
              <w:fldChar w:fldCharType="begin"/>
            </w:r>
            <w:r>
              <w:rPr>
                <w:rFonts w:hint="default" w:ascii="Times New Roman" w:hAnsi="Times New Roman" w:eastAsia="黑体" w:cs="Times New Roman"/>
                <w:snapToGrid w:val="0"/>
                <w:color w:val="000000"/>
                <w:spacing w:val="-6"/>
                <w:kern w:val="21"/>
                <w:sz w:val="21"/>
                <w:szCs w:val="21"/>
              </w:rPr>
              <w:instrText xml:space="preserve"> = 4 \* GB3 \* MERGEFORMAT </w:instrText>
            </w:r>
            <w:r>
              <w:rPr>
                <w:rFonts w:hint="default" w:ascii="Times New Roman" w:hAnsi="Times New Roman" w:eastAsia="黑体" w:cs="Times New Roman"/>
                <w:snapToGrid w:val="0"/>
                <w:color w:val="000000"/>
                <w:spacing w:val="-6"/>
                <w:kern w:val="21"/>
                <w:sz w:val="21"/>
                <w:szCs w:val="21"/>
              </w:rPr>
              <w:fldChar w:fldCharType="separate"/>
            </w:r>
            <w:r>
              <w:rPr>
                <w:rFonts w:hint="default" w:ascii="Times New Roman" w:hAnsi="Times New Roman" w:eastAsia="黑体" w:cs="Times New Roman"/>
                <w:kern w:val="2"/>
                <w:sz w:val="21"/>
                <w:szCs w:val="21"/>
              </w:rPr>
              <w:t>④</w:t>
            </w:r>
            <w:r>
              <w:rPr>
                <w:rFonts w:hint="default" w:ascii="Times New Roman" w:hAnsi="Times New Roman" w:eastAsia="黑体" w:cs="Times New Roman"/>
                <w:snapToGrid w:val="0"/>
                <w:color w:val="000000"/>
                <w:spacing w:val="-6"/>
                <w:kern w:val="21"/>
                <w:sz w:val="21"/>
                <w:szCs w:val="21"/>
              </w:rPr>
              <w:fldChar w:fldCharType="end"/>
            </w:r>
          </w:p>
        </w:tc>
        <w:tc>
          <w:tcPr>
            <w:tcW w:w="1761" w:type="dxa"/>
            <w:noWrap w:val="0"/>
            <w:tcMar>
              <w:left w:w="28" w:type="dxa"/>
              <w:right w:w="28" w:type="dxa"/>
            </w:tcMar>
            <w:vAlign w:val="center"/>
          </w:tcPr>
          <w:p w14:paraId="125F635F">
            <w:pPr>
              <w:pStyle w:val="43"/>
              <w:spacing w:beforeLines="0" w:afterLines="0" w:line="240" w:lineRule="auto"/>
              <w:rPr>
                <w:rFonts w:hint="default" w:ascii="Times New Roman" w:hAnsi="Times New Roman" w:eastAsia="黑体" w:cs="Times New Roman"/>
                <w:snapToGrid w:val="0"/>
                <w:color w:val="000000"/>
                <w:spacing w:val="-16"/>
                <w:kern w:val="21"/>
                <w:sz w:val="21"/>
                <w:szCs w:val="21"/>
              </w:rPr>
            </w:pPr>
            <w:r>
              <w:rPr>
                <w:rFonts w:hint="default" w:ascii="Times New Roman" w:hAnsi="Times New Roman" w:eastAsia="黑体" w:cs="Times New Roman"/>
                <w:snapToGrid w:val="0"/>
                <w:color w:val="000000"/>
                <w:spacing w:val="-16"/>
                <w:kern w:val="21"/>
                <w:sz w:val="21"/>
                <w:szCs w:val="21"/>
              </w:rPr>
              <w:t>以新带老削减量</w:t>
            </w:r>
          </w:p>
          <w:p w14:paraId="1C15A936">
            <w:pPr>
              <w:pStyle w:val="43"/>
              <w:spacing w:beforeLines="0" w:afterLines="0" w:line="240" w:lineRule="auto"/>
              <w:rPr>
                <w:rFonts w:hint="default" w:ascii="Times New Roman" w:hAnsi="Times New Roman" w:eastAsia="黑体" w:cs="Times New Roman"/>
                <w:snapToGrid w:val="0"/>
                <w:color w:val="000000"/>
                <w:spacing w:val="-16"/>
                <w:kern w:val="21"/>
                <w:sz w:val="21"/>
                <w:szCs w:val="21"/>
              </w:rPr>
            </w:pPr>
            <w:r>
              <w:rPr>
                <w:rFonts w:hint="default" w:ascii="Times New Roman" w:hAnsi="Times New Roman" w:eastAsia="黑体" w:cs="Times New Roman"/>
                <w:snapToGrid w:val="0"/>
                <w:color w:val="000000"/>
                <w:spacing w:val="-16"/>
                <w:kern w:val="21"/>
                <w:sz w:val="21"/>
                <w:szCs w:val="21"/>
              </w:rPr>
              <w:t>（新建项目不填）</w:t>
            </w:r>
            <w:r>
              <w:rPr>
                <w:rFonts w:hint="default" w:ascii="Times New Roman" w:hAnsi="Times New Roman" w:eastAsia="黑体" w:cs="Times New Roman"/>
                <w:snapToGrid w:val="0"/>
                <w:color w:val="000000"/>
                <w:spacing w:val="-16"/>
                <w:kern w:val="21"/>
                <w:sz w:val="21"/>
                <w:szCs w:val="21"/>
              </w:rPr>
              <w:fldChar w:fldCharType="begin"/>
            </w:r>
            <w:r>
              <w:rPr>
                <w:rFonts w:hint="default" w:ascii="Times New Roman" w:hAnsi="Times New Roman" w:eastAsia="黑体" w:cs="Times New Roman"/>
                <w:snapToGrid w:val="0"/>
                <w:color w:val="000000"/>
                <w:spacing w:val="-16"/>
                <w:kern w:val="21"/>
                <w:sz w:val="21"/>
                <w:szCs w:val="21"/>
              </w:rPr>
              <w:instrText xml:space="preserve"> = 5 \* GB3 \* MERGEFORMAT </w:instrText>
            </w:r>
            <w:r>
              <w:rPr>
                <w:rFonts w:hint="default" w:ascii="Times New Roman" w:hAnsi="Times New Roman" w:eastAsia="黑体" w:cs="Times New Roman"/>
                <w:snapToGrid w:val="0"/>
                <w:color w:val="000000"/>
                <w:spacing w:val="-16"/>
                <w:kern w:val="21"/>
                <w:sz w:val="21"/>
                <w:szCs w:val="21"/>
              </w:rPr>
              <w:fldChar w:fldCharType="separate"/>
            </w:r>
            <w:r>
              <w:rPr>
                <w:rFonts w:hint="default" w:ascii="Times New Roman" w:hAnsi="Times New Roman" w:eastAsia="黑体" w:cs="Times New Roman"/>
                <w:kern w:val="2"/>
                <w:sz w:val="21"/>
                <w:szCs w:val="21"/>
              </w:rPr>
              <w:t>⑤</w:t>
            </w:r>
            <w:r>
              <w:rPr>
                <w:rFonts w:hint="default" w:ascii="Times New Roman" w:hAnsi="Times New Roman" w:eastAsia="黑体" w:cs="Times New Roman"/>
                <w:snapToGrid w:val="0"/>
                <w:color w:val="000000"/>
                <w:spacing w:val="-16"/>
                <w:kern w:val="21"/>
                <w:sz w:val="21"/>
                <w:szCs w:val="21"/>
              </w:rPr>
              <w:fldChar w:fldCharType="end"/>
            </w:r>
          </w:p>
        </w:tc>
        <w:tc>
          <w:tcPr>
            <w:tcW w:w="1959" w:type="dxa"/>
            <w:noWrap w:val="0"/>
            <w:tcMar>
              <w:left w:w="28" w:type="dxa"/>
              <w:right w:w="28" w:type="dxa"/>
            </w:tcMar>
            <w:vAlign w:val="center"/>
          </w:tcPr>
          <w:p w14:paraId="4F9E467F">
            <w:pPr>
              <w:pStyle w:val="43"/>
              <w:spacing w:beforeLines="0" w:afterLines="0" w:line="240" w:lineRule="auto"/>
              <w:rPr>
                <w:rFonts w:hint="default" w:ascii="Times New Roman" w:hAnsi="Times New Roman" w:eastAsia="黑体" w:cs="Times New Roman"/>
                <w:snapToGrid w:val="0"/>
                <w:color w:val="000000"/>
                <w:spacing w:val="-16"/>
                <w:kern w:val="21"/>
                <w:sz w:val="21"/>
                <w:szCs w:val="21"/>
              </w:rPr>
            </w:pPr>
            <w:r>
              <w:rPr>
                <w:rFonts w:hint="default" w:ascii="Times New Roman" w:hAnsi="Times New Roman" w:eastAsia="黑体" w:cs="Times New Roman"/>
                <w:snapToGrid w:val="0"/>
                <w:color w:val="000000"/>
                <w:spacing w:val="-16"/>
                <w:kern w:val="21"/>
                <w:sz w:val="21"/>
                <w:szCs w:val="21"/>
              </w:rPr>
              <w:t>本项目建成后</w:t>
            </w:r>
          </w:p>
          <w:p w14:paraId="2751929B">
            <w:pPr>
              <w:pStyle w:val="43"/>
              <w:spacing w:beforeLines="0" w:afterLines="0" w:line="240" w:lineRule="auto"/>
              <w:rPr>
                <w:rFonts w:hint="default" w:ascii="Times New Roman" w:hAnsi="Times New Roman" w:eastAsia="黑体" w:cs="Times New Roman"/>
                <w:snapToGrid w:val="0"/>
                <w:color w:val="000000"/>
                <w:spacing w:val="-16"/>
                <w:kern w:val="21"/>
                <w:sz w:val="21"/>
                <w:szCs w:val="21"/>
              </w:rPr>
            </w:pPr>
            <w:r>
              <w:rPr>
                <w:rFonts w:hint="default" w:ascii="Times New Roman" w:hAnsi="Times New Roman" w:eastAsia="黑体" w:cs="Times New Roman"/>
                <w:snapToGrid w:val="0"/>
                <w:color w:val="000000"/>
                <w:spacing w:val="-16"/>
                <w:kern w:val="21"/>
                <w:sz w:val="21"/>
                <w:szCs w:val="21"/>
              </w:rPr>
              <w:t>全厂排放量（固体废物产生量）</w:t>
            </w:r>
            <w:r>
              <w:rPr>
                <w:rFonts w:hint="default" w:ascii="Times New Roman" w:hAnsi="Times New Roman" w:eastAsia="黑体" w:cs="Times New Roman"/>
                <w:snapToGrid w:val="0"/>
                <w:color w:val="000000"/>
                <w:spacing w:val="-16"/>
                <w:kern w:val="21"/>
                <w:sz w:val="21"/>
                <w:szCs w:val="21"/>
              </w:rPr>
              <w:fldChar w:fldCharType="begin"/>
            </w:r>
            <w:r>
              <w:rPr>
                <w:rFonts w:hint="default" w:ascii="Times New Roman" w:hAnsi="Times New Roman" w:eastAsia="黑体" w:cs="Times New Roman"/>
                <w:snapToGrid w:val="0"/>
                <w:color w:val="000000"/>
                <w:spacing w:val="-16"/>
                <w:kern w:val="21"/>
                <w:sz w:val="21"/>
                <w:szCs w:val="21"/>
              </w:rPr>
              <w:instrText xml:space="preserve"> = 6 \* GB3 \* MERGEFORMAT </w:instrText>
            </w:r>
            <w:r>
              <w:rPr>
                <w:rFonts w:hint="default" w:ascii="Times New Roman" w:hAnsi="Times New Roman" w:eastAsia="黑体" w:cs="Times New Roman"/>
                <w:snapToGrid w:val="0"/>
                <w:color w:val="000000"/>
                <w:spacing w:val="-16"/>
                <w:kern w:val="21"/>
                <w:sz w:val="21"/>
                <w:szCs w:val="21"/>
              </w:rPr>
              <w:fldChar w:fldCharType="separate"/>
            </w:r>
            <w:r>
              <w:rPr>
                <w:rFonts w:hint="default" w:ascii="Times New Roman" w:hAnsi="Times New Roman" w:eastAsia="黑体" w:cs="Times New Roman"/>
                <w:kern w:val="2"/>
                <w:sz w:val="21"/>
                <w:szCs w:val="21"/>
              </w:rPr>
              <w:t>⑥</w:t>
            </w:r>
            <w:r>
              <w:rPr>
                <w:rFonts w:hint="default" w:ascii="Times New Roman" w:hAnsi="Times New Roman" w:eastAsia="黑体" w:cs="Times New Roman"/>
                <w:snapToGrid w:val="0"/>
                <w:color w:val="000000"/>
                <w:spacing w:val="-16"/>
                <w:kern w:val="21"/>
                <w:sz w:val="21"/>
                <w:szCs w:val="21"/>
              </w:rPr>
              <w:fldChar w:fldCharType="end"/>
            </w:r>
          </w:p>
        </w:tc>
        <w:tc>
          <w:tcPr>
            <w:tcW w:w="826" w:type="dxa"/>
            <w:noWrap w:val="0"/>
            <w:tcMar>
              <w:left w:w="28" w:type="dxa"/>
              <w:right w:w="28" w:type="dxa"/>
            </w:tcMar>
            <w:vAlign w:val="center"/>
          </w:tcPr>
          <w:p w14:paraId="693703AF">
            <w:pPr>
              <w:pStyle w:val="43"/>
              <w:spacing w:beforeLines="0" w:afterLines="0" w:line="240" w:lineRule="auto"/>
              <w:rPr>
                <w:rFonts w:hint="default" w:ascii="Times New Roman" w:hAnsi="Times New Roman" w:eastAsia="黑体" w:cs="Times New Roman"/>
                <w:snapToGrid w:val="0"/>
                <w:color w:val="000000"/>
                <w:spacing w:val="-6"/>
                <w:kern w:val="21"/>
                <w:sz w:val="21"/>
                <w:szCs w:val="21"/>
              </w:rPr>
            </w:pPr>
            <w:r>
              <w:rPr>
                <w:rFonts w:hint="default" w:ascii="Times New Roman" w:hAnsi="Times New Roman" w:eastAsia="黑体" w:cs="Times New Roman"/>
                <w:snapToGrid w:val="0"/>
                <w:color w:val="000000"/>
                <w:spacing w:val="-6"/>
                <w:kern w:val="21"/>
                <w:sz w:val="21"/>
                <w:szCs w:val="21"/>
              </w:rPr>
              <w:t>变化量</w:t>
            </w:r>
          </w:p>
          <w:p w14:paraId="20CBE9DE">
            <w:pPr>
              <w:pStyle w:val="43"/>
              <w:spacing w:beforeLines="0" w:afterLines="0" w:line="240" w:lineRule="auto"/>
              <w:rPr>
                <w:rFonts w:hint="default" w:ascii="Times New Roman" w:hAnsi="Times New Roman" w:eastAsia="黑体" w:cs="Times New Roman"/>
                <w:snapToGrid w:val="0"/>
                <w:color w:val="000000"/>
                <w:spacing w:val="-6"/>
                <w:kern w:val="21"/>
                <w:sz w:val="21"/>
                <w:szCs w:val="21"/>
              </w:rPr>
            </w:pPr>
            <w:r>
              <w:rPr>
                <w:rFonts w:hint="default" w:ascii="Times New Roman" w:hAnsi="Times New Roman" w:eastAsia="黑体" w:cs="Times New Roman"/>
                <w:snapToGrid w:val="0"/>
                <w:color w:val="000000"/>
                <w:spacing w:val="-6"/>
                <w:kern w:val="21"/>
                <w:sz w:val="21"/>
                <w:szCs w:val="21"/>
              </w:rPr>
              <w:fldChar w:fldCharType="begin"/>
            </w:r>
            <w:r>
              <w:rPr>
                <w:rFonts w:hint="default" w:ascii="Times New Roman" w:hAnsi="Times New Roman" w:eastAsia="黑体" w:cs="Times New Roman"/>
                <w:snapToGrid w:val="0"/>
                <w:color w:val="000000"/>
                <w:spacing w:val="-6"/>
                <w:kern w:val="21"/>
                <w:sz w:val="21"/>
                <w:szCs w:val="21"/>
              </w:rPr>
              <w:instrText xml:space="preserve"> = 7 \* GB3 \* MERGEFORMAT </w:instrText>
            </w:r>
            <w:r>
              <w:rPr>
                <w:rFonts w:hint="default" w:ascii="Times New Roman" w:hAnsi="Times New Roman" w:eastAsia="黑体" w:cs="Times New Roman"/>
                <w:snapToGrid w:val="0"/>
                <w:color w:val="000000"/>
                <w:spacing w:val="-6"/>
                <w:kern w:val="21"/>
                <w:sz w:val="21"/>
                <w:szCs w:val="21"/>
              </w:rPr>
              <w:fldChar w:fldCharType="separate"/>
            </w:r>
            <w:r>
              <w:rPr>
                <w:rFonts w:hint="default" w:ascii="Times New Roman" w:hAnsi="Times New Roman" w:eastAsia="黑体" w:cs="Times New Roman"/>
                <w:kern w:val="2"/>
                <w:sz w:val="21"/>
                <w:szCs w:val="21"/>
              </w:rPr>
              <w:t>⑦</w:t>
            </w:r>
            <w:r>
              <w:rPr>
                <w:rFonts w:hint="default" w:ascii="Times New Roman" w:hAnsi="Times New Roman" w:eastAsia="黑体" w:cs="Times New Roman"/>
                <w:snapToGrid w:val="0"/>
                <w:color w:val="000000"/>
                <w:spacing w:val="-6"/>
                <w:kern w:val="21"/>
                <w:sz w:val="21"/>
                <w:szCs w:val="21"/>
              </w:rPr>
              <w:fldChar w:fldCharType="end"/>
            </w:r>
          </w:p>
        </w:tc>
      </w:tr>
      <w:tr w14:paraId="5F296C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noWrap w:val="0"/>
            <w:vAlign w:val="center"/>
          </w:tcPr>
          <w:p w14:paraId="79284D84">
            <w:pPr>
              <w:pStyle w:val="43"/>
              <w:spacing w:beforeLines="0" w:afterLines="0" w:line="240" w:lineRule="auto"/>
              <w:rPr>
                <w:rFonts w:hint="default" w:ascii="Times New Roman" w:hAnsi="Times New Roman" w:cs="Times New Roman"/>
                <w:snapToGrid w:val="0"/>
                <w:color w:val="000000"/>
                <w:kern w:val="21"/>
                <w:sz w:val="21"/>
                <w:szCs w:val="21"/>
              </w:rPr>
            </w:pPr>
            <w:r>
              <w:rPr>
                <w:rFonts w:hint="default" w:ascii="Times New Roman" w:hAnsi="Times New Roman" w:cs="Times New Roman"/>
                <w:snapToGrid w:val="0"/>
                <w:color w:val="000000"/>
                <w:kern w:val="21"/>
                <w:sz w:val="21"/>
                <w:szCs w:val="21"/>
              </w:rPr>
              <w:t>废气</w:t>
            </w:r>
          </w:p>
        </w:tc>
        <w:tc>
          <w:tcPr>
            <w:tcW w:w="1417" w:type="dxa"/>
            <w:noWrap w:val="0"/>
            <w:vAlign w:val="center"/>
          </w:tcPr>
          <w:p w14:paraId="76C2691C">
            <w:pPr>
              <w:pStyle w:val="43"/>
              <w:spacing w:beforeLines="0" w:afterLines="0" w:line="240" w:lineRule="auto"/>
              <w:rPr>
                <w:rFonts w:hint="default" w:ascii="Times New Roman" w:hAnsi="Times New Roman" w:eastAsia="宋体" w:cs="Times New Roman"/>
                <w:snapToGrid w:val="0"/>
                <w:color w:val="000000"/>
                <w:kern w:val="21"/>
                <w:sz w:val="21"/>
                <w:szCs w:val="21"/>
                <w:lang w:val="en-US" w:eastAsia="zh-CN"/>
              </w:rPr>
            </w:pPr>
            <w:r>
              <w:rPr>
                <w:rFonts w:hint="default" w:ascii="Times New Roman" w:hAnsi="Times New Roman" w:cs="Times New Roman"/>
                <w:snapToGrid w:val="0"/>
                <w:color w:val="000000"/>
                <w:kern w:val="21"/>
                <w:sz w:val="21"/>
                <w:szCs w:val="21"/>
                <w:lang w:val="en-US" w:eastAsia="zh-CN"/>
              </w:rPr>
              <w:t>/</w:t>
            </w:r>
          </w:p>
        </w:tc>
        <w:tc>
          <w:tcPr>
            <w:tcW w:w="1701" w:type="dxa"/>
            <w:noWrap w:val="0"/>
            <w:vAlign w:val="center"/>
          </w:tcPr>
          <w:p w14:paraId="37E4F721">
            <w:pPr>
              <w:pStyle w:val="43"/>
              <w:spacing w:beforeLines="0" w:afterLines="0" w:line="240" w:lineRule="auto"/>
              <w:rPr>
                <w:rFonts w:hint="default" w:ascii="Times New Roman" w:hAnsi="Times New Roman" w:eastAsia="宋体" w:cs="Times New Roman"/>
                <w:snapToGrid w:val="0"/>
                <w:color w:val="000000"/>
                <w:kern w:val="21"/>
                <w:sz w:val="21"/>
                <w:szCs w:val="21"/>
                <w:lang w:val="en-US" w:eastAsia="zh-CN"/>
              </w:rPr>
            </w:pPr>
          </w:p>
        </w:tc>
        <w:tc>
          <w:tcPr>
            <w:tcW w:w="1276" w:type="dxa"/>
            <w:noWrap w:val="0"/>
            <w:vAlign w:val="center"/>
          </w:tcPr>
          <w:p w14:paraId="6276106E">
            <w:pPr>
              <w:pStyle w:val="43"/>
              <w:spacing w:beforeLines="0" w:afterLines="0" w:line="240" w:lineRule="auto"/>
              <w:rPr>
                <w:rFonts w:hint="default" w:ascii="Times New Roman" w:hAnsi="Times New Roman" w:eastAsia="宋体" w:cs="Times New Roman"/>
                <w:snapToGrid w:val="0"/>
                <w:color w:val="000000"/>
                <w:kern w:val="21"/>
                <w:sz w:val="21"/>
                <w:szCs w:val="21"/>
                <w:lang w:val="en-US" w:eastAsia="zh-CN"/>
              </w:rPr>
            </w:pPr>
          </w:p>
        </w:tc>
        <w:tc>
          <w:tcPr>
            <w:tcW w:w="1701" w:type="dxa"/>
            <w:noWrap w:val="0"/>
            <w:vAlign w:val="center"/>
          </w:tcPr>
          <w:p w14:paraId="1D3593CE">
            <w:pPr>
              <w:pStyle w:val="43"/>
              <w:spacing w:beforeLines="0" w:afterLines="0" w:line="240" w:lineRule="auto"/>
              <w:rPr>
                <w:rFonts w:hint="default" w:ascii="Times New Roman" w:hAnsi="Times New Roman" w:eastAsia="宋体" w:cs="Times New Roman"/>
                <w:snapToGrid w:val="0"/>
                <w:color w:val="000000"/>
                <w:kern w:val="21"/>
                <w:sz w:val="21"/>
                <w:szCs w:val="21"/>
                <w:lang w:val="en-US" w:eastAsia="zh-CN"/>
              </w:rPr>
            </w:pPr>
          </w:p>
        </w:tc>
        <w:tc>
          <w:tcPr>
            <w:tcW w:w="1559" w:type="dxa"/>
            <w:noWrap w:val="0"/>
            <w:vAlign w:val="center"/>
          </w:tcPr>
          <w:p w14:paraId="342BABA0">
            <w:pPr>
              <w:pStyle w:val="43"/>
              <w:spacing w:beforeLines="0" w:afterLines="0" w:line="240" w:lineRule="auto"/>
              <w:rPr>
                <w:rFonts w:hint="default" w:ascii="Times New Roman" w:hAnsi="Times New Roman" w:eastAsia="宋体" w:cs="Times New Roman"/>
                <w:snapToGrid w:val="0"/>
                <w:color w:val="000000"/>
                <w:kern w:val="21"/>
                <w:sz w:val="21"/>
                <w:szCs w:val="21"/>
                <w:lang w:val="en-US" w:eastAsia="zh-CN"/>
              </w:rPr>
            </w:pPr>
            <w:r>
              <w:rPr>
                <w:rFonts w:hint="default" w:ascii="Times New Roman" w:hAnsi="Times New Roman" w:cs="Times New Roman"/>
                <w:snapToGrid w:val="0"/>
                <w:color w:val="000000"/>
                <w:kern w:val="21"/>
                <w:sz w:val="21"/>
                <w:szCs w:val="21"/>
                <w:lang w:val="en-US" w:eastAsia="zh-CN"/>
              </w:rPr>
              <w:t>/</w:t>
            </w:r>
          </w:p>
        </w:tc>
        <w:tc>
          <w:tcPr>
            <w:tcW w:w="1761" w:type="dxa"/>
            <w:noWrap w:val="0"/>
            <w:vAlign w:val="center"/>
          </w:tcPr>
          <w:p w14:paraId="48194B32">
            <w:pPr>
              <w:pStyle w:val="43"/>
              <w:spacing w:beforeLines="0" w:afterLines="0" w:line="240" w:lineRule="auto"/>
              <w:rPr>
                <w:rFonts w:hint="default" w:ascii="Times New Roman" w:hAnsi="Times New Roman" w:eastAsia="宋体" w:cs="Times New Roman"/>
                <w:snapToGrid w:val="0"/>
                <w:color w:val="000000"/>
                <w:kern w:val="21"/>
                <w:sz w:val="21"/>
                <w:szCs w:val="21"/>
                <w:lang w:val="en-US" w:eastAsia="zh-CN"/>
              </w:rPr>
            </w:pPr>
          </w:p>
        </w:tc>
        <w:tc>
          <w:tcPr>
            <w:tcW w:w="1959" w:type="dxa"/>
            <w:noWrap w:val="0"/>
            <w:vAlign w:val="center"/>
          </w:tcPr>
          <w:p w14:paraId="398D422F">
            <w:pPr>
              <w:pStyle w:val="43"/>
              <w:spacing w:beforeLines="0" w:afterLines="0" w:line="240" w:lineRule="auto"/>
              <w:rPr>
                <w:rFonts w:hint="default" w:ascii="Times New Roman" w:hAnsi="Times New Roman" w:eastAsia="宋体" w:cs="Times New Roman"/>
                <w:snapToGrid w:val="0"/>
                <w:color w:val="000000"/>
                <w:kern w:val="21"/>
                <w:sz w:val="21"/>
                <w:szCs w:val="21"/>
                <w:lang w:val="en-US" w:eastAsia="zh-CN"/>
              </w:rPr>
            </w:pPr>
          </w:p>
        </w:tc>
        <w:tc>
          <w:tcPr>
            <w:tcW w:w="826" w:type="dxa"/>
            <w:noWrap w:val="0"/>
            <w:vAlign w:val="center"/>
          </w:tcPr>
          <w:p w14:paraId="2B293B08">
            <w:pPr>
              <w:pStyle w:val="43"/>
              <w:spacing w:beforeLines="0" w:afterLines="0" w:line="240" w:lineRule="auto"/>
              <w:rPr>
                <w:rFonts w:hint="default" w:ascii="Times New Roman" w:hAnsi="Times New Roman" w:eastAsia="宋体" w:cs="Times New Roman"/>
                <w:snapToGrid w:val="0"/>
                <w:color w:val="000000"/>
                <w:kern w:val="21"/>
                <w:sz w:val="21"/>
                <w:szCs w:val="21"/>
                <w:lang w:val="en-US" w:eastAsia="zh-CN"/>
              </w:rPr>
            </w:pPr>
            <w:r>
              <w:rPr>
                <w:rFonts w:hint="default" w:ascii="Times New Roman" w:hAnsi="Times New Roman" w:cs="Times New Roman"/>
                <w:snapToGrid w:val="0"/>
                <w:color w:val="000000"/>
                <w:kern w:val="21"/>
                <w:sz w:val="21"/>
                <w:szCs w:val="21"/>
                <w:lang w:val="en-US" w:eastAsia="zh-CN"/>
              </w:rPr>
              <w:t>/</w:t>
            </w:r>
          </w:p>
        </w:tc>
      </w:tr>
      <w:tr w14:paraId="182DBD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restart"/>
            <w:noWrap w:val="0"/>
            <w:vAlign w:val="center"/>
          </w:tcPr>
          <w:p w14:paraId="5372F488">
            <w:pPr>
              <w:pStyle w:val="43"/>
              <w:spacing w:beforeLines="0" w:afterLines="0" w:line="240" w:lineRule="auto"/>
              <w:rPr>
                <w:rFonts w:hint="default" w:ascii="Times New Roman" w:hAnsi="Times New Roman" w:cs="Times New Roman"/>
                <w:snapToGrid w:val="0"/>
                <w:color w:val="000000"/>
                <w:kern w:val="21"/>
                <w:sz w:val="21"/>
                <w:szCs w:val="21"/>
              </w:rPr>
            </w:pPr>
            <w:r>
              <w:rPr>
                <w:rFonts w:hint="default" w:ascii="Times New Roman" w:hAnsi="Times New Roman" w:cs="Times New Roman"/>
                <w:snapToGrid w:val="0"/>
                <w:color w:val="000000"/>
                <w:kern w:val="21"/>
                <w:sz w:val="21"/>
                <w:szCs w:val="21"/>
              </w:rPr>
              <w:t>废水</w:t>
            </w:r>
          </w:p>
        </w:tc>
        <w:tc>
          <w:tcPr>
            <w:tcW w:w="1417" w:type="dxa"/>
            <w:noWrap w:val="0"/>
            <w:vAlign w:val="center"/>
          </w:tcPr>
          <w:p w14:paraId="73BE86FE">
            <w:pPr>
              <w:pStyle w:val="52"/>
              <w:jc w:val="center"/>
              <w:rPr>
                <w:rFonts w:hint="default" w:ascii="Times New Roman" w:hAnsi="Times New Roman" w:cs="Times New Roman"/>
                <w:snapToGrid w:val="0"/>
                <w:color w:val="000000"/>
                <w:kern w:val="21"/>
                <w:sz w:val="21"/>
                <w:szCs w:val="21"/>
              </w:rPr>
            </w:pPr>
            <w:r>
              <w:rPr>
                <w:rFonts w:hint="default" w:ascii="Times New Roman" w:hAnsi="Times New Roman" w:cs="Times New Roman"/>
                <w:snapToGrid w:val="0"/>
                <w:color w:val="auto"/>
                <w:sz w:val="21"/>
                <w:szCs w:val="21"/>
              </w:rPr>
              <w:t>SS</w:t>
            </w:r>
          </w:p>
        </w:tc>
        <w:tc>
          <w:tcPr>
            <w:tcW w:w="1701" w:type="dxa"/>
            <w:noWrap w:val="0"/>
            <w:vAlign w:val="center"/>
          </w:tcPr>
          <w:p w14:paraId="0114ADCD">
            <w:pPr>
              <w:pStyle w:val="43"/>
              <w:spacing w:beforeLines="0" w:afterLines="0" w:line="240" w:lineRule="auto"/>
              <w:rPr>
                <w:rFonts w:hint="default" w:ascii="Times New Roman" w:hAnsi="Times New Roman" w:cs="Times New Roman"/>
                <w:snapToGrid w:val="0"/>
                <w:color w:val="000000"/>
                <w:kern w:val="21"/>
                <w:sz w:val="21"/>
                <w:szCs w:val="21"/>
              </w:rPr>
            </w:pPr>
          </w:p>
        </w:tc>
        <w:tc>
          <w:tcPr>
            <w:tcW w:w="1276" w:type="dxa"/>
            <w:noWrap w:val="0"/>
            <w:vAlign w:val="center"/>
          </w:tcPr>
          <w:p w14:paraId="46D7B12F">
            <w:pPr>
              <w:pStyle w:val="43"/>
              <w:spacing w:beforeLines="0" w:afterLines="0" w:line="240" w:lineRule="auto"/>
              <w:rPr>
                <w:rFonts w:hint="default" w:ascii="Times New Roman" w:hAnsi="Times New Roman" w:cs="Times New Roman"/>
                <w:snapToGrid w:val="0"/>
                <w:color w:val="000000"/>
                <w:kern w:val="21"/>
                <w:sz w:val="21"/>
                <w:szCs w:val="21"/>
              </w:rPr>
            </w:pPr>
          </w:p>
        </w:tc>
        <w:tc>
          <w:tcPr>
            <w:tcW w:w="1701" w:type="dxa"/>
            <w:noWrap w:val="0"/>
            <w:vAlign w:val="center"/>
          </w:tcPr>
          <w:p w14:paraId="4377EBC2">
            <w:pPr>
              <w:pStyle w:val="43"/>
              <w:spacing w:beforeLines="0" w:afterLines="0" w:line="240" w:lineRule="auto"/>
              <w:rPr>
                <w:rFonts w:hint="default" w:ascii="Times New Roman" w:hAnsi="Times New Roman" w:cs="Times New Roman"/>
                <w:snapToGrid w:val="0"/>
                <w:color w:val="000000"/>
                <w:kern w:val="21"/>
                <w:sz w:val="21"/>
                <w:szCs w:val="21"/>
              </w:rPr>
            </w:pPr>
          </w:p>
        </w:tc>
        <w:tc>
          <w:tcPr>
            <w:tcW w:w="1559" w:type="dxa"/>
            <w:noWrap w:val="0"/>
            <w:vAlign w:val="center"/>
          </w:tcPr>
          <w:p w14:paraId="0E2E597A">
            <w:pPr>
              <w:pStyle w:val="52"/>
              <w:jc w:val="center"/>
              <w:rPr>
                <w:rFonts w:hint="default" w:ascii="Times New Roman" w:hAnsi="Times New Roman" w:cs="Times New Roman"/>
                <w:snapToGrid w:val="0"/>
                <w:color w:val="auto"/>
                <w:kern w:val="21"/>
                <w:sz w:val="21"/>
                <w:szCs w:val="21"/>
                <w:lang w:val="en-US"/>
              </w:rPr>
            </w:pPr>
            <w:r>
              <w:rPr>
                <w:rFonts w:hint="eastAsia" w:ascii="Times New Roman" w:hAnsi="Times New Roman" w:cs="Times New Roman"/>
                <w:snapToGrid w:val="0"/>
                <w:color w:val="auto"/>
                <w:sz w:val="21"/>
                <w:szCs w:val="21"/>
                <w:lang w:val="en-US" w:eastAsia="zh-CN"/>
              </w:rPr>
              <w:t>0.0518</w:t>
            </w:r>
          </w:p>
        </w:tc>
        <w:tc>
          <w:tcPr>
            <w:tcW w:w="1761" w:type="dxa"/>
            <w:noWrap w:val="0"/>
            <w:vAlign w:val="center"/>
          </w:tcPr>
          <w:p w14:paraId="72E8B2CE">
            <w:pPr>
              <w:pStyle w:val="43"/>
              <w:spacing w:beforeLines="0" w:afterLines="0" w:line="240" w:lineRule="auto"/>
              <w:rPr>
                <w:rFonts w:hint="default" w:ascii="Times New Roman" w:hAnsi="Times New Roman" w:cs="Times New Roman"/>
                <w:snapToGrid w:val="0"/>
                <w:color w:val="auto"/>
                <w:kern w:val="21"/>
                <w:sz w:val="21"/>
                <w:szCs w:val="21"/>
              </w:rPr>
            </w:pPr>
          </w:p>
        </w:tc>
        <w:tc>
          <w:tcPr>
            <w:tcW w:w="1959" w:type="dxa"/>
            <w:noWrap w:val="0"/>
            <w:vAlign w:val="center"/>
          </w:tcPr>
          <w:p w14:paraId="04544A7C">
            <w:pPr>
              <w:pStyle w:val="43"/>
              <w:spacing w:beforeLines="0" w:afterLines="0" w:line="240" w:lineRule="auto"/>
              <w:rPr>
                <w:rFonts w:hint="default" w:ascii="Times New Roman" w:hAnsi="Times New Roman" w:cs="Times New Roman"/>
                <w:snapToGrid w:val="0"/>
                <w:color w:val="auto"/>
                <w:kern w:val="21"/>
                <w:sz w:val="21"/>
                <w:szCs w:val="21"/>
              </w:rPr>
            </w:pPr>
          </w:p>
        </w:tc>
        <w:tc>
          <w:tcPr>
            <w:tcW w:w="826" w:type="dxa"/>
            <w:noWrap w:val="0"/>
            <w:vAlign w:val="center"/>
          </w:tcPr>
          <w:p w14:paraId="10026C89">
            <w:pPr>
              <w:pStyle w:val="52"/>
              <w:jc w:val="center"/>
              <w:rPr>
                <w:rFonts w:hint="default" w:ascii="Times New Roman" w:hAnsi="Times New Roman" w:cs="Times New Roman"/>
                <w:snapToGrid w:val="0"/>
                <w:color w:val="auto"/>
                <w:kern w:val="21"/>
                <w:sz w:val="21"/>
                <w:szCs w:val="21"/>
              </w:rPr>
            </w:pPr>
            <w:r>
              <w:rPr>
                <w:rFonts w:hint="eastAsia" w:ascii="Times New Roman" w:hAnsi="Times New Roman" w:cs="Times New Roman"/>
                <w:snapToGrid w:val="0"/>
                <w:color w:val="auto"/>
                <w:sz w:val="21"/>
                <w:szCs w:val="21"/>
                <w:lang w:val="en-US" w:eastAsia="zh-CN"/>
              </w:rPr>
              <w:t>+0.0518</w:t>
            </w:r>
          </w:p>
        </w:tc>
      </w:tr>
      <w:tr w14:paraId="24BC4DA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1064B839">
            <w:pPr>
              <w:pStyle w:val="43"/>
              <w:spacing w:beforeLines="0" w:afterLines="0" w:line="240" w:lineRule="auto"/>
              <w:rPr>
                <w:rFonts w:hint="default" w:ascii="Times New Roman" w:hAnsi="Times New Roman" w:cs="Times New Roman"/>
                <w:snapToGrid w:val="0"/>
                <w:color w:val="000000"/>
                <w:kern w:val="21"/>
                <w:sz w:val="21"/>
                <w:szCs w:val="21"/>
              </w:rPr>
            </w:pPr>
          </w:p>
        </w:tc>
        <w:tc>
          <w:tcPr>
            <w:tcW w:w="1417" w:type="dxa"/>
            <w:noWrap w:val="0"/>
            <w:vAlign w:val="center"/>
          </w:tcPr>
          <w:p w14:paraId="074B7ACD">
            <w:pPr>
              <w:pStyle w:val="52"/>
              <w:jc w:val="center"/>
              <w:rPr>
                <w:rFonts w:hint="default" w:ascii="Times New Roman" w:hAnsi="Times New Roman" w:cs="Times New Roman"/>
                <w:snapToGrid w:val="0"/>
                <w:color w:val="000000"/>
                <w:kern w:val="21"/>
                <w:sz w:val="21"/>
                <w:szCs w:val="21"/>
              </w:rPr>
            </w:pPr>
            <w:r>
              <w:rPr>
                <w:rFonts w:hint="default" w:ascii="Times New Roman" w:hAnsi="Times New Roman" w:cs="Times New Roman"/>
                <w:snapToGrid w:val="0"/>
                <w:color w:val="auto"/>
                <w:sz w:val="21"/>
                <w:szCs w:val="21"/>
              </w:rPr>
              <w:t>COD</w:t>
            </w:r>
            <w:r>
              <w:rPr>
                <w:rFonts w:hint="default" w:ascii="Times New Roman" w:hAnsi="Times New Roman" w:cs="Times New Roman"/>
                <w:snapToGrid w:val="0"/>
                <w:color w:val="auto"/>
                <w:sz w:val="21"/>
                <w:szCs w:val="21"/>
                <w:vertAlign w:val="subscript"/>
                <w:lang w:val="en-US" w:eastAsia="zh-CN"/>
              </w:rPr>
              <w:t>cr</w:t>
            </w:r>
          </w:p>
        </w:tc>
        <w:tc>
          <w:tcPr>
            <w:tcW w:w="1701" w:type="dxa"/>
            <w:noWrap w:val="0"/>
            <w:vAlign w:val="center"/>
          </w:tcPr>
          <w:p w14:paraId="2F2394EE">
            <w:pPr>
              <w:pStyle w:val="43"/>
              <w:spacing w:beforeLines="0" w:afterLines="0" w:line="240" w:lineRule="auto"/>
              <w:rPr>
                <w:rFonts w:hint="default" w:ascii="Times New Roman" w:hAnsi="Times New Roman" w:cs="Times New Roman"/>
                <w:snapToGrid w:val="0"/>
                <w:color w:val="000000"/>
                <w:kern w:val="21"/>
                <w:sz w:val="21"/>
                <w:szCs w:val="21"/>
              </w:rPr>
            </w:pPr>
          </w:p>
        </w:tc>
        <w:tc>
          <w:tcPr>
            <w:tcW w:w="1276" w:type="dxa"/>
            <w:noWrap w:val="0"/>
            <w:vAlign w:val="center"/>
          </w:tcPr>
          <w:p w14:paraId="2A5ED448">
            <w:pPr>
              <w:pStyle w:val="43"/>
              <w:spacing w:beforeLines="0" w:afterLines="0" w:line="240" w:lineRule="auto"/>
              <w:rPr>
                <w:rFonts w:hint="default" w:ascii="Times New Roman" w:hAnsi="Times New Roman" w:cs="Times New Roman"/>
                <w:snapToGrid w:val="0"/>
                <w:color w:val="000000"/>
                <w:kern w:val="21"/>
                <w:sz w:val="21"/>
                <w:szCs w:val="21"/>
              </w:rPr>
            </w:pPr>
          </w:p>
        </w:tc>
        <w:tc>
          <w:tcPr>
            <w:tcW w:w="1701" w:type="dxa"/>
            <w:noWrap w:val="0"/>
            <w:vAlign w:val="center"/>
          </w:tcPr>
          <w:p w14:paraId="030B3BF9">
            <w:pPr>
              <w:pStyle w:val="43"/>
              <w:spacing w:beforeLines="0" w:afterLines="0" w:line="240" w:lineRule="auto"/>
              <w:rPr>
                <w:rFonts w:hint="default" w:ascii="Times New Roman" w:hAnsi="Times New Roman" w:cs="Times New Roman"/>
                <w:snapToGrid w:val="0"/>
                <w:color w:val="000000"/>
                <w:kern w:val="21"/>
                <w:sz w:val="21"/>
                <w:szCs w:val="21"/>
              </w:rPr>
            </w:pPr>
          </w:p>
        </w:tc>
        <w:tc>
          <w:tcPr>
            <w:tcW w:w="1559" w:type="dxa"/>
            <w:noWrap w:val="0"/>
            <w:vAlign w:val="center"/>
          </w:tcPr>
          <w:p w14:paraId="18289240">
            <w:pPr>
              <w:pStyle w:val="52"/>
              <w:jc w:val="center"/>
              <w:rPr>
                <w:rFonts w:hint="default" w:ascii="Times New Roman" w:hAnsi="Times New Roman" w:cs="Times New Roman"/>
                <w:snapToGrid w:val="0"/>
                <w:color w:val="auto"/>
                <w:kern w:val="21"/>
                <w:sz w:val="21"/>
                <w:szCs w:val="21"/>
                <w:lang w:val="en-US"/>
              </w:rPr>
            </w:pPr>
            <w:r>
              <w:rPr>
                <w:rFonts w:hint="eastAsia" w:ascii="Times New Roman" w:hAnsi="Times New Roman" w:cs="Times New Roman"/>
                <w:snapToGrid w:val="0"/>
                <w:color w:val="auto"/>
                <w:sz w:val="21"/>
                <w:szCs w:val="21"/>
                <w:lang w:val="en-US" w:eastAsia="zh-CN"/>
              </w:rPr>
              <w:t>0.1037</w:t>
            </w:r>
          </w:p>
        </w:tc>
        <w:tc>
          <w:tcPr>
            <w:tcW w:w="1761" w:type="dxa"/>
            <w:noWrap w:val="0"/>
            <w:vAlign w:val="center"/>
          </w:tcPr>
          <w:p w14:paraId="67145B21">
            <w:pPr>
              <w:pStyle w:val="43"/>
              <w:spacing w:beforeLines="0" w:afterLines="0" w:line="240" w:lineRule="auto"/>
              <w:rPr>
                <w:rFonts w:hint="default" w:ascii="Times New Roman" w:hAnsi="Times New Roman" w:cs="Times New Roman"/>
                <w:snapToGrid w:val="0"/>
                <w:color w:val="auto"/>
                <w:kern w:val="21"/>
                <w:sz w:val="21"/>
                <w:szCs w:val="21"/>
              </w:rPr>
            </w:pPr>
          </w:p>
        </w:tc>
        <w:tc>
          <w:tcPr>
            <w:tcW w:w="1959" w:type="dxa"/>
            <w:noWrap w:val="0"/>
            <w:vAlign w:val="center"/>
          </w:tcPr>
          <w:p w14:paraId="47CA880F">
            <w:pPr>
              <w:pStyle w:val="43"/>
              <w:spacing w:beforeLines="0" w:afterLines="0" w:line="240" w:lineRule="auto"/>
              <w:rPr>
                <w:rFonts w:hint="default" w:ascii="Times New Roman" w:hAnsi="Times New Roman" w:cs="Times New Roman"/>
                <w:snapToGrid w:val="0"/>
                <w:color w:val="auto"/>
                <w:kern w:val="21"/>
                <w:sz w:val="21"/>
                <w:szCs w:val="21"/>
              </w:rPr>
            </w:pPr>
          </w:p>
        </w:tc>
        <w:tc>
          <w:tcPr>
            <w:tcW w:w="826" w:type="dxa"/>
            <w:noWrap w:val="0"/>
            <w:vAlign w:val="center"/>
          </w:tcPr>
          <w:p w14:paraId="65599B54">
            <w:pPr>
              <w:pStyle w:val="52"/>
              <w:jc w:val="center"/>
              <w:rPr>
                <w:rFonts w:hint="default" w:ascii="Times New Roman" w:hAnsi="Times New Roman" w:cs="Times New Roman"/>
                <w:snapToGrid w:val="0"/>
                <w:color w:val="auto"/>
                <w:kern w:val="21"/>
                <w:sz w:val="21"/>
                <w:szCs w:val="21"/>
              </w:rPr>
            </w:pPr>
            <w:r>
              <w:rPr>
                <w:rFonts w:hint="eastAsia" w:ascii="Times New Roman" w:hAnsi="Times New Roman" w:cs="Times New Roman"/>
                <w:snapToGrid w:val="0"/>
                <w:color w:val="auto"/>
                <w:sz w:val="21"/>
                <w:szCs w:val="21"/>
                <w:lang w:val="en-US" w:eastAsia="zh-CN"/>
              </w:rPr>
              <w:t>+0.1037</w:t>
            </w:r>
          </w:p>
        </w:tc>
      </w:tr>
      <w:tr w14:paraId="4323C0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restart"/>
            <w:noWrap w:val="0"/>
            <w:vAlign w:val="center"/>
          </w:tcPr>
          <w:p w14:paraId="55B16FD2">
            <w:pPr>
              <w:pStyle w:val="43"/>
              <w:spacing w:beforeLines="0" w:afterLines="0" w:line="240" w:lineRule="auto"/>
              <w:rPr>
                <w:rFonts w:hint="default" w:ascii="Times New Roman" w:hAnsi="Times New Roman" w:cs="Times New Roman"/>
                <w:snapToGrid w:val="0"/>
                <w:color w:val="000000"/>
                <w:kern w:val="21"/>
                <w:sz w:val="21"/>
                <w:szCs w:val="21"/>
              </w:rPr>
            </w:pPr>
            <w:r>
              <w:rPr>
                <w:rFonts w:hint="default" w:ascii="Times New Roman" w:hAnsi="Times New Roman" w:cs="Times New Roman"/>
                <w:snapToGrid w:val="0"/>
                <w:color w:val="000000"/>
                <w:kern w:val="21"/>
                <w:sz w:val="21"/>
                <w:szCs w:val="21"/>
              </w:rPr>
              <w:t>一般工业</w:t>
            </w:r>
          </w:p>
          <w:p w14:paraId="7B54391C">
            <w:pPr>
              <w:pStyle w:val="43"/>
              <w:spacing w:beforeLines="0" w:afterLines="0" w:line="240" w:lineRule="auto"/>
              <w:rPr>
                <w:rFonts w:hint="default" w:ascii="Times New Roman" w:hAnsi="Times New Roman" w:cs="Times New Roman"/>
                <w:snapToGrid w:val="0"/>
                <w:color w:val="000000"/>
                <w:kern w:val="21"/>
                <w:sz w:val="21"/>
                <w:szCs w:val="21"/>
              </w:rPr>
            </w:pPr>
            <w:r>
              <w:rPr>
                <w:rFonts w:hint="default" w:ascii="Times New Roman" w:hAnsi="Times New Roman" w:cs="Times New Roman"/>
                <w:snapToGrid w:val="0"/>
                <w:color w:val="000000"/>
                <w:kern w:val="21"/>
                <w:sz w:val="21"/>
                <w:szCs w:val="21"/>
              </w:rPr>
              <w:t>固体废物</w:t>
            </w:r>
          </w:p>
        </w:tc>
        <w:tc>
          <w:tcPr>
            <w:tcW w:w="1417" w:type="dxa"/>
            <w:noWrap w:val="0"/>
            <w:vAlign w:val="center"/>
          </w:tcPr>
          <w:p w14:paraId="235F40E0">
            <w:pPr>
              <w:pStyle w:val="2"/>
              <w:keepNext w:val="0"/>
              <w:keepLines w:val="0"/>
              <w:pageBreakBefore w:val="0"/>
              <w:widowControl w:val="0"/>
              <w:numPr>
                <w:ilvl w:val="0"/>
                <w:numId w:val="0"/>
              </w:numPr>
              <w:kinsoku/>
              <w:wordWrap/>
              <w:overflowPunct/>
              <w:topLinePunct w:val="0"/>
              <w:autoSpaceDE/>
              <w:autoSpaceDN/>
              <w:bidi w:val="0"/>
              <w:spacing w:line="240" w:lineRule="auto"/>
              <w:ind w:left="0" w:leftChars="0" w:firstLine="0" w:firstLineChars="0"/>
              <w:jc w:val="center"/>
              <w:textAlignment w:val="auto"/>
              <w:rPr>
                <w:rFonts w:hint="default" w:ascii="Times New Roman" w:hAnsi="Times New Roman" w:cs="Times New Roman"/>
                <w:snapToGrid w:val="0"/>
                <w:color w:val="000000"/>
                <w:kern w:val="21"/>
                <w:sz w:val="21"/>
                <w:szCs w:val="21"/>
              </w:rPr>
            </w:pPr>
            <w:r>
              <w:rPr>
                <w:rFonts w:hint="default" w:ascii="Times New Roman" w:hAnsi="Times New Roman" w:cs="Times New Roman"/>
                <w:sz w:val="21"/>
                <w:szCs w:val="21"/>
                <w:lang w:val="en-US" w:eastAsia="zh-CN"/>
              </w:rPr>
              <w:t>煤泥除杂筛分杂质</w:t>
            </w:r>
          </w:p>
        </w:tc>
        <w:tc>
          <w:tcPr>
            <w:tcW w:w="1701" w:type="dxa"/>
            <w:noWrap w:val="0"/>
            <w:vAlign w:val="center"/>
          </w:tcPr>
          <w:p w14:paraId="127CADDD">
            <w:pPr>
              <w:pStyle w:val="43"/>
              <w:spacing w:beforeLines="0" w:afterLines="0" w:line="240" w:lineRule="auto"/>
              <w:rPr>
                <w:rFonts w:hint="default" w:ascii="Times New Roman" w:hAnsi="Times New Roman" w:cs="Times New Roman"/>
                <w:snapToGrid w:val="0"/>
                <w:color w:val="000000"/>
                <w:kern w:val="21"/>
                <w:sz w:val="21"/>
                <w:szCs w:val="21"/>
              </w:rPr>
            </w:pPr>
          </w:p>
        </w:tc>
        <w:tc>
          <w:tcPr>
            <w:tcW w:w="1276" w:type="dxa"/>
            <w:noWrap w:val="0"/>
            <w:vAlign w:val="center"/>
          </w:tcPr>
          <w:p w14:paraId="718A2671">
            <w:pPr>
              <w:pStyle w:val="43"/>
              <w:spacing w:beforeLines="0" w:afterLines="0" w:line="240" w:lineRule="auto"/>
              <w:rPr>
                <w:rFonts w:hint="default" w:ascii="Times New Roman" w:hAnsi="Times New Roman" w:cs="Times New Roman"/>
                <w:snapToGrid w:val="0"/>
                <w:color w:val="000000"/>
                <w:kern w:val="21"/>
                <w:sz w:val="21"/>
                <w:szCs w:val="21"/>
              </w:rPr>
            </w:pPr>
          </w:p>
        </w:tc>
        <w:tc>
          <w:tcPr>
            <w:tcW w:w="1701" w:type="dxa"/>
            <w:noWrap w:val="0"/>
            <w:vAlign w:val="center"/>
          </w:tcPr>
          <w:p w14:paraId="379B1F09">
            <w:pPr>
              <w:pStyle w:val="43"/>
              <w:spacing w:beforeLines="0" w:afterLines="0" w:line="240" w:lineRule="auto"/>
              <w:rPr>
                <w:rFonts w:hint="default" w:ascii="Times New Roman" w:hAnsi="Times New Roman" w:cs="Times New Roman"/>
                <w:snapToGrid w:val="0"/>
                <w:color w:val="000000"/>
                <w:kern w:val="21"/>
                <w:sz w:val="21"/>
                <w:szCs w:val="21"/>
              </w:rPr>
            </w:pPr>
          </w:p>
        </w:tc>
        <w:tc>
          <w:tcPr>
            <w:tcW w:w="1559" w:type="dxa"/>
            <w:noWrap w:val="0"/>
            <w:vAlign w:val="center"/>
          </w:tcPr>
          <w:p w14:paraId="07A91CE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snapToGrid w:val="0"/>
                <w:color w:val="000000"/>
                <w:kern w:val="21"/>
                <w:sz w:val="21"/>
                <w:szCs w:val="21"/>
                <w:lang w:val="en-US"/>
              </w:rPr>
            </w:pPr>
            <w:r>
              <w:rPr>
                <w:rFonts w:hint="eastAsia" w:cs="Times New Roman"/>
                <w:color w:val="auto"/>
                <w:sz w:val="21"/>
                <w:szCs w:val="21"/>
                <w:lang w:val="en-US" w:eastAsia="zh-CN"/>
              </w:rPr>
              <w:t>14.33</w:t>
            </w:r>
          </w:p>
        </w:tc>
        <w:tc>
          <w:tcPr>
            <w:tcW w:w="1761" w:type="dxa"/>
            <w:noWrap w:val="0"/>
            <w:vAlign w:val="center"/>
          </w:tcPr>
          <w:p w14:paraId="0E77D368">
            <w:pPr>
              <w:pStyle w:val="43"/>
              <w:spacing w:beforeLines="0" w:afterLines="0" w:line="240" w:lineRule="auto"/>
              <w:rPr>
                <w:rFonts w:hint="default" w:ascii="Times New Roman" w:hAnsi="Times New Roman" w:cs="Times New Roman"/>
                <w:snapToGrid w:val="0"/>
                <w:color w:val="000000"/>
                <w:kern w:val="21"/>
                <w:sz w:val="21"/>
                <w:szCs w:val="21"/>
              </w:rPr>
            </w:pPr>
          </w:p>
        </w:tc>
        <w:tc>
          <w:tcPr>
            <w:tcW w:w="1959" w:type="dxa"/>
            <w:noWrap w:val="0"/>
            <w:vAlign w:val="center"/>
          </w:tcPr>
          <w:p w14:paraId="1D122204">
            <w:pPr>
              <w:pStyle w:val="43"/>
              <w:spacing w:beforeLines="0" w:afterLines="0" w:line="240" w:lineRule="auto"/>
              <w:rPr>
                <w:rFonts w:hint="default" w:ascii="Times New Roman" w:hAnsi="Times New Roman" w:cs="Times New Roman"/>
                <w:snapToGrid w:val="0"/>
                <w:color w:val="000000"/>
                <w:kern w:val="21"/>
                <w:sz w:val="21"/>
                <w:szCs w:val="21"/>
              </w:rPr>
            </w:pPr>
          </w:p>
        </w:tc>
        <w:tc>
          <w:tcPr>
            <w:tcW w:w="826" w:type="dxa"/>
            <w:noWrap w:val="0"/>
            <w:vAlign w:val="center"/>
          </w:tcPr>
          <w:p w14:paraId="4A14300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snapToGrid w:val="0"/>
                <w:color w:val="000000"/>
                <w:kern w:val="21"/>
                <w:sz w:val="21"/>
                <w:szCs w:val="21"/>
              </w:rPr>
            </w:pPr>
            <w:r>
              <w:rPr>
                <w:rFonts w:hint="eastAsia" w:ascii="Times New Roman" w:hAnsi="Times New Roman" w:eastAsia="宋体" w:cs="Times New Roman"/>
                <w:color w:val="auto"/>
                <w:sz w:val="21"/>
                <w:szCs w:val="21"/>
                <w:lang w:val="en-US" w:eastAsia="zh-CN"/>
              </w:rPr>
              <w:t>+</w:t>
            </w:r>
            <w:r>
              <w:rPr>
                <w:rFonts w:hint="eastAsia" w:cs="Times New Roman"/>
                <w:color w:val="auto"/>
                <w:sz w:val="21"/>
                <w:szCs w:val="21"/>
                <w:lang w:val="en-US" w:eastAsia="zh-CN"/>
              </w:rPr>
              <w:t>14.33</w:t>
            </w:r>
          </w:p>
        </w:tc>
      </w:tr>
      <w:tr w14:paraId="03ED1A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460B26BF">
            <w:pPr>
              <w:pStyle w:val="43"/>
              <w:spacing w:beforeLines="0" w:afterLines="0" w:line="240" w:lineRule="auto"/>
              <w:rPr>
                <w:rFonts w:hint="default" w:ascii="Times New Roman" w:hAnsi="Times New Roman" w:cs="Times New Roman"/>
                <w:snapToGrid w:val="0"/>
                <w:color w:val="000000"/>
                <w:kern w:val="21"/>
                <w:sz w:val="21"/>
                <w:szCs w:val="21"/>
              </w:rPr>
            </w:pPr>
          </w:p>
        </w:tc>
        <w:tc>
          <w:tcPr>
            <w:tcW w:w="1417" w:type="dxa"/>
            <w:noWrap w:val="0"/>
            <w:vAlign w:val="center"/>
          </w:tcPr>
          <w:p w14:paraId="1E512DBB">
            <w:pPr>
              <w:pStyle w:val="4"/>
              <w:keepNext w:val="0"/>
              <w:keepLines w:val="0"/>
              <w:pageBreakBefore w:val="0"/>
              <w:widowControl w:val="0"/>
              <w:kinsoku/>
              <w:wordWrap/>
              <w:overflowPunct/>
              <w:topLinePunct w:val="0"/>
              <w:autoSpaceDE/>
              <w:autoSpaceDN/>
              <w:bidi w:val="0"/>
              <w:adjustRightInd/>
              <w:snapToGrid w:val="0"/>
              <w:spacing w:before="0" w:after="0" w:line="240" w:lineRule="auto"/>
              <w:ind w:right="0" w:rightChars="0" w:firstLine="0" w:firstLineChars="0"/>
              <w:jc w:val="center"/>
              <w:textAlignment w:val="auto"/>
              <w:rPr>
                <w:rFonts w:hint="default" w:ascii="Times New Roman" w:hAnsi="Times New Roman" w:cs="Times New Roman"/>
                <w:snapToGrid w:val="0"/>
                <w:color w:val="000000"/>
                <w:kern w:val="21"/>
                <w:sz w:val="21"/>
                <w:szCs w:val="21"/>
                <w:lang w:val="en-US"/>
              </w:rPr>
            </w:pPr>
            <w:r>
              <w:rPr>
                <w:rFonts w:hint="default" w:ascii="Times New Roman" w:hAnsi="Times New Roman" w:cs="Times New Roman"/>
                <w:sz w:val="21"/>
                <w:szCs w:val="21"/>
                <w:lang w:val="en-US" w:eastAsia="zh-CN"/>
              </w:rPr>
              <w:t>尾煤</w:t>
            </w:r>
            <w:r>
              <w:rPr>
                <w:rFonts w:hint="eastAsia" w:ascii="Times New Roman" w:hAnsi="Times New Roman" w:cs="Times New Roman"/>
                <w:sz w:val="21"/>
                <w:szCs w:val="21"/>
                <w:lang w:val="en-US" w:eastAsia="zh-CN"/>
              </w:rPr>
              <w:t>泥</w:t>
            </w:r>
          </w:p>
        </w:tc>
        <w:tc>
          <w:tcPr>
            <w:tcW w:w="1701" w:type="dxa"/>
            <w:noWrap w:val="0"/>
            <w:vAlign w:val="center"/>
          </w:tcPr>
          <w:p w14:paraId="558373A3">
            <w:pPr>
              <w:pStyle w:val="43"/>
              <w:spacing w:beforeLines="0" w:afterLines="0" w:line="240" w:lineRule="auto"/>
              <w:rPr>
                <w:rFonts w:hint="default" w:ascii="Times New Roman" w:hAnsi="Times New Roman" w:cs="Times New Roman"/>
                <w:snapToGrid w:val="0"/>
                <w:color w:val="000000"/>
                <w:kern w:val="21"/>
                <w:sz w:val="21"/>
                <w:szCs w:val="21"/>
              </w:rPr>
            </w:pPr>
          </w:p>
        </w:tc>
        <w:tc>
          <w:tcPr>
            <w:tcW w:w="1276" w:type="dxa"/>
            <w:noWrap w:val="0"/>
            <w:vAlign w:val="center"/>
          </w:tcPr>
          <w:p w14:paraId="7F2D1662">
            <w:pPr>
              <w:pStyle w:val="43"/>
              <w:spacing w:beforeLines="0" w:afterLines="0" w:line="240" w:lineRule="auto"/>
              <w:rPr>
                <w:rFonts w:hint="default" w:ascii="Times New Roman" w:hAnsi="Times New Roman" w:cs="Times New Roman"/>
                <w:snapToGrid w:val="0"/>
                <w:color w:val="000000"/>
                <w:kern w:val="21"/>
                <w:sz w:val="21"/>
                <w:szCs w:val="21"/>
              </w:rPr>
            </w:pPr>
          </w:p>
        </w:tc>
        <w:tc>
          <w:tcPr>
            <w:tcW w:w="1701" w:type="dxa"/>
            <w:noWrap w:val="0"/>
            <w:vAlign w:val="center"/>
          </w:tcPr>
          <w:p w14:paraId="77A408C2">
            <w:pPr>
              <w:pStyle w:val="43"/>
              <w:spacing w:beforeLines="0" w:afterLines="0" w:line="240" w:lineRule="auto"/>
              <w:rPr>
                <w:rFonts w:hint="default" w:ascii="Times New Roman" w:hAnsi="Times New Roman" w:cs="Times New Roman"/>
                <w:snapToGrid w:val="0"/>
                <w:color w:val="000000"/>
                <w:kern w:val="21"/>
                <w:sz w:val="21"/>
                <w:szCs w:val="21"/>
              </w:rPr>
            </w:pPr>
          </w:p>
        </w:tc>
        <w:tc>
          <w:tcPr>
            <w:tcW w:w="1559" w:type="dxa"/>
            <w:noWrap w:val="0"/>
            <w:vAlign w:val="center"/>
          </w:tcPr>
          <w:p w14:paraId="0B4DC6B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snapToGrid w:val="0"/>
                <w:color w:val="000000"/>
                <w:kern w:val="21"/>
                <w:sz w:val="21"/>
                <w:szCs w:val="21"/>
                <w:lang w:val="en-US"/>
              </w:rPr>
            </w:pPr>
            <w:r>
              <w:rPr>
                <w:rFonts w:hint="eastAsia" w:cs="Times New Roman"/>
                <w:color w:val="auto"/>
                <w:sz w:val="21"/>
                <w:szCs w:val="21"/>
                <w:lang w:val="en-US" w:eastAsia="zh-CN"/>
              </w:rPr>
              <w:t>220429.17</w:t>
            </w:r>
          </w:p>
        </w:tc>
        <w:tc>
          <w:tcPr>
            <w:tcW w:w="1761" w:type="dxa"/>
            <w:noWrap w:val="0"/>
            <w:vAlign w:val="center"/>
          </w:tcPr>
          <w:p w14:paraId="1392A319">
            <w:pPr>
              <w:pStyle w:val="43"/>
              <w:spacing w:beforeLines="0" w:afterLines="0" w:line="240" w:lineRule="auto"/>
              <w:rPr>
                <w:rFonts w:hint="default" w:ascii="Times New Roman" w:hAnsi="Times New Roman" w:cs="Times New Roman"/>
                <w:snapToGrid w:val="0"/>
                <w:color w:val="000000"/>
                <w:kern w:val="21"/>
                <w:sz w:val="21"/>
                <w:szCs w:val="21"/>
              </w:rPr>
            </w:pPr>
          </w:p>
        </w:tc>
        <w:tc>
          <w:tcPr>
            <w:tcW w:w="1959" w:type="dxa"/>
            <w:noWrap w:val="0"/>
            <w:vAlign w:val="center"/>
          </w:tcPr>
          <w:p w14:paraId="4AC81696">
            <w:pPr>
              <w:pStyle w:val="43"/>
              <w:spacing w:beforeLines="0" w:afterLines="0" w:line="240" w:lineRule="auto"/>
              <w:rPr>
                <w:rFonts w:hint="default" w:ascii="Times New Roman" w:hAnsi="Times New Roman" w:cs="Times New Roman"/>
                <w:snapToGrid w:val="0"/>
                <w:color w:val="000000"/>
                <w:kern w:val="21"/>
                <w:sz w:val="21"/>
                <w:szCs w:val="21"/>
              </w:rPr>
            </w:pPr>
          </w:p>
        </w:tc>
        <w:tc>
          <w:tcPr>
            <w:tcW w:w="826" w:type="dxa"/>
            <w:noWrap w:val="0"/>
            <w:vAlign w:val="center"/>
          </w:tcPr>
          <w:p w14:paraId="0A61826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snapToGrid w:val="0"/>
                <w:color w:val="000000"/>
                <w:kern w:val="21"/>
                <w:sz w:val="21"/>
                <w:szCs w:val="21"/>
              </w:rPr>
            </w:pPr>
            <w:r>
              <w:rPr>
                <w:rFonts w:hint="eastAsia" w:ascii="Times New Roman" w:hAnsi="Times New Roman" w:eastAsia="宋体" w:cs="Times New Roman"/>
                <w:color w:val="auto"/>
                <w:sz w:val="21"/>
                <w:szCs w:val="21"/>
                <w:lang w:val="en-US" w:eastAsia="zh-CN"/>
              </w:rPr>
              <w:t>+</w:t>
            </w:r>
            <w:r>
              <w:rPr>
                <w:rFonts w:hint="eastAsia" w:cs="Times New Roman"/>
                <w:color w:val="auto"/>
                <w:sz w:val="21"/>
                <w:szCs w:val="21"/>
                <w:lang w:val="en-US" w:eastAsia="zh-CN"/>
              </w:rPr>
              <w:t>220429.17</w:t>
            </w:r>
          </w:p>
        </w:tc>
      </w:tr>
      <w:tr w14:paraId="4BCCED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32C12682">
            <w:pPr>
              <w:pStyle w:val="43"/>
              <w:spacing w:beforeLines="0" w:afterLines="0" w:line="240" w:lineRule="auto"/>
              <w:rPr>
                <w:rFonts w:hint="default" w:ascii="Times New Roman" w:hAnsi="Times New Roman" w:cs="Times New Roman"/>
                <w:snapToGrid w:val="0"/>
                <w:color w:val="000000"/>
                <w:kern w:val="21"/>
                <w:sz w:val="21"/>
                <w:szCs w:val="21"/>
              </w:rPr>
            </w:pPr>
          </w:p>
        </w:tc>
        <w:tc>
          <w:tcPr>
            <w:tcW w:w="1417" w:type="dxa"/>
            <w:noWrap w:val="0"/>
            <w:vAlign w:val="center"/>
          </w:tcPr>
          <w:p w14:paraId="7EE3B4DB">
            <w:pPr>
              <w:pStyle w:val="2"/>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snapToGrid w:val="0"/>
                <w:color w:val="000000"/>
                <w:kern w:val="21"/>
                <w:sz w:val="21"/>
                <w:szCs w:val="21"/>
              </w:rPr>
            </w:pPr>
            <w:r>
              <w:rPr>
                <w:rFonts w:hint="default" w:ascii="Times New Roman" w:hAnsi="Times New Roman" w:cs="Times New Roman"/>
                <w:sz w:val="21"/>
                <w:szCs w:val="21"/>
                <w:lang w:val="en-US" w:eastAsia="zh-CN"/>
              </w:rPr>
              <w:t>洗车沉淀池沉渣</w:t>
            </w:r>
          </w:p>
        </w:tc>
        <w:tc>
          <w:tcPr>
            <w:tcW w:w="1701" w:type="dxa"/>
            <w:noWrap w:val="0"/>
            <w:vAlign w:val="center"/>
          </w:tcPr>
          <w:p w14:paraId="0125C80E">
            <w:pPr>
              <w:pStyle w:val="43"/>
              <w:spacing w:beforeLines="0" w:afterLines="0" w:line="240" w:lineRule="auto"/>
              <w:rPr>
                <w:rFonts w:hint="default" w:ascii="Times New Roman" w:hAnsi="Times New Roman" w:cs="Times New Roman"/>
                <w:snapToGrid w:val="0"/>
                <w:color w:val="000000"/>
                <w:kern w:val="21"/>
                <w:sz w:val="21"/>
                <w:szCs w:val="21"/>
              </w:rPr>
            </w:pPr>
          </w:p>
        </w:tc>
        <w:tc>
          <w:tcPr>
            <w:tcW w:w="1276" w:type="dxa"/>
            <w:noWrap w:val="0"/>
            <w:vAlign w:val="center"/>
          </w:tcPr>
          <w:p w14:paraId="61BC2D0B">
            <w:pPr>
              <w:pStyle w:val="43"/>
              <w:spacing w:beforeLines="0" w:afterLines="0" w:line="240" w:lineRule="auto"/>
              <w:rPr>
                <w:rFonts w:hint="default" w:ascii="Times New Roman" w:hAnsi="Times New Roman" w:cs="Times New Roman"/>
                <w:snapToGrid w:val="0"/>
                <w:color w:val="000000"/>
                <w:kern w:val="21"/>
                <w:sz w:val="21"/>
                <w:szCs w:val="21"/>
              </w:rPr>
            </w:pPr>
          </w:p>
        </w:tc>
        <w:tc>
          <w:tcPr>
            <w:tcW w:w="1701" w:type="dxa"/>
            <w:noWrap w:val="0"/>
            <w:vAlign w:val="center"/>
          </w:tcPr>
          <w:p w14:paraId="4722A53B">
            <w:pPr>
              <w:pStyle w:val="43"/>
              <w:spacing w:beforeLines="0" w:afterLines="0" w:line="240" w:lineRule="auto"/>
              <w:rPr>
                <w:rFonts w:hint="default" w:ascii="Times New Roman" w:hAnsi="Times New Roman" w:cs="Times New Roman"/>
                <w:snapToGrid w:val="0"/>
                <w:color w:val="000000"/>
                <w:kern w:val="21"/>
                <w:sz w:val="21"/>
                <w:szCs w:val="21"/>
              </w:rPr>
            </w:pPr>
          </w:p>
        </w:tc>
        <w:tc>
          <w:tcPr>
            <w:tcW w:w="1559" w:type="dxa"/>
            <w:noWrap w:val="0"/>
            <w:vAlign w:val="center"/>
          </w:tcPr>
          <w:p w14:paraId="4DD1887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snapToGrid w:val="0"/>
                <w:color w:val="000000"/>
                <w:kern w:val="21"/>
                <w:sz w:val="21"/>
                <w:szCs w:val="21"/>
              </w:rPr>
            </w:pPr>
            <w:r>
              <w:rPr>
                <w:rFonts w:hint="eastAsia" w:ascii="Times New Roman" w:hAnsi="Times New Roman" w:eastAsia="宋体" w:cs="Times New Roman"/>
                <w:color w:val="auto"/>
                <w:sz w:val="21"/>
                <w:szCs w:val="21"/>
                <w:lang w:val="en-US" w:eastAsia="zh-CN"/>
              </w:rPr>
              <w:t>7</w:t>
            </w:r>
          </w:p>
        </w:tc>
        <w:tc>
          <w:tcPr>
            <w:tcW w:w="1761" w:type="dxa"/>
            <w:noWrap w:val="0"/>
            <w:vAlign w:val="center"/>
          </w:tcPr>
          <w:p w14:paraId="7EF9D7BE">
            <w:pPr>
              <w:pStyle w:val="43"/>
              <w:spacing w:beforeLines="0" w:afterLines="0" w:line="240" w:lineRule="auto"/>
              <w:rPr>
                <w:rFonts w:hint="default" w:ascii="Times New Roman" w:hAnsi="Times New Roman" w:cs="Times New Roman"/>
                <w:snapToGrid w:val="0"/>
                <w:color w:val="000000"/>
                <w:kern w:val="21"/>
                <w:sz w:val="21"/>
                <w:szCs w:val="21"/>
              </w:rPr>
            </w:pPr>
          </w:p>
        </w:tc>
        <w:tc>
          <w:tcPr>
            <w:tcW w:w="1959" w:type="dxa"/>
            <w:noWrap w:val="0"/>
            <w:vAlign w:val="center"/>
          </w:tcPr>
          <w:p w14:paraId="112B21E7">
            <w:pPr>
              <w:pStyle w:val="43"/>
              <w:spacing w:beforeLines="0" w:afterLines="0" w:line="240" w:lineRule="auto"/>
              <w:rPr>
                <w:rFonts w:hint="default" w:ascii="Times New Roman" w:hAnsi="Times New Roman" w:cs="Times New Roman"/>
                <w:snapToGrid w:val="0"/>
                <w:color w:val="000000"/>
                <w:kern w:val="21"/>
                <w:sz w:val="21"/>
                <w:szCs w:val="21"/>
              </w:rPr>
            </w:pPr>
          </w:p>
        </w:tc>
        <w:tc>
          <w:tcPr>
            <w:tcW w:w="826" w:type="dxa"/>
            <w:noWrap w:val="0"/>
            <w:vAlign w:val="center"/>
          </w:tcPr>
          <w:p w14:paraId="305A38D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snapToGrid w:val="0"/>
                <w:color w:val="000000"/>
                <w:kern w:val="21"/>
                <w:sz w:val="21"/>
                <w:szCs w:val="21"/>
              </w:rPr>
            </w:pPr>
            <w:r>
              <w:rPr>
                <w:rFonts w:hint="eastAsia" w:ascii="Times New Roman" w:hAnsi="Times New Roman" w:eastAsia="宋体" w:cs="Times New Roman"/>
                <w:color w:val="auto"/>
                <w:sz w:val="21"/>
                <w:szCs w:val="21"/>
                <w:lang w:val="en-US" w:eastAsia="zh-CN"/>
              </w:rPr>
              <w:t>+7</w:t>
            </w:r>
          </w:p>
        </w:tc>
      </w:tr>
      <w:tr w14:paraId="552EB2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4C699207">
            <w:pPr>
              <w:pStyle w:val="43"/>
              <w:spacing w:beforeLines="0" w:afterLines="0" w:line="240" w:lineRule="auto"/>
              <w:rPr>
                <w:rFonts w:hint="default" w:ascii="Times New Roman" w:hAnsi="Times New Roman" w:cs="Times New Roman"/>
                <w:snapToGrid w:val="0"/>
                <w:color w:val="000000"/>
                <w:kern w:val="21"/>
                <w:sz w:val="21"/>
                <w:szCs w:val="21"/>
              </w:rPr>
            </w:pPr>
          </w:p>
        </w:tc>
        <w:tc>
          <w:tcPr>
            <w:tcW w:w="1417" w:type="dxa"/>
            <w:noWrap w:val="0"/>
            <w:vAlign w:val="center"/>
          </w:tcPr>
          <w:p w14:paraId="483DE7A5">
            <w:pPr>
              <w:pStyle w:val="2"/>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snapToGrid w:val="0"/>
                <w:color w:val="000000"/>
                <w:kern w:val="21"/>
                <w:sz w:val="21"/>
                <w:szCs w:val="21"/>
              </w:rPr>
            </w:pPr>
            <w:r>
              <w:rPr>
                <w:rFonts w:hint="default" w:ascii="Times New Roman" w:hAnsi="Times New Roman" w:cs="Times New Roman"/>
                <w:sz w:val="21"/>
                <w:szCs w:val="21"/>
                <w:lang w:val="en-US" w:eastAsia="zh-CN"/>
              </w:rPr>
              <w:t>循环水池底泥</w:t>
            </w:r>
          </w:p>
        </w:tc>
        <w:tc>
          <w:tcPr>
            <w:tcW w:w="1701" w:type="dxa"/>
            <w:noWrap w:val="0"/>
            <w:vAlign w:val="center"/>
          </w:tcPr>
          <w:p w14:paraId="046D4AC4">
            <w:pPr>
              <w:pStyle w:val="43"/>
              <w:spacing w:beforeLines="0" w:afterLines="0" w:line="240" w:lineRule="auto"/>
              <w:rPr>
                <w:rFonts w:hint="default" w:ascii="Times New Roman" w:hAnsi="Times New Roman" w:cs="Times New Roman"/>
                <w:snapToGrid w:val="0"/>
                <w:color w:val="000000"/>
                <w:kern w:val="21"/>
                <w:sz w:val="21"/>
                <w:szCs w:val="21"/>
              </w:rPr>
            </w:pPr>
          </w:p>
        </w:tc>
        <w:tc>
          <w:tcPr>
            <w:tcW w:w="1276" w:type="dxa"/>
            <w:noWrap w:val="0"/>
            <w:vAlign w:val="center"/>
          </w:tcPr>
          <w:p w14:paraId="5D81F61F">
            <w:pPr>
              <w:pStyle w:val="43"/>
              <w:spacing w:beforeLines="0" w:afterLines="0" w:line="240" w:lineRule="auto"/>
              <w:rPr>
                <w:rFonts w:hint="default" w:ascii="Times New Roman" w:hAnsi="Times New Roman" w:cs="Times New Roman"/>
                <w:snapToGrid w:val="0"/>
                <w:color w:val="000000"/>
                <w:kern w:val="21"/>
                <w:sz w:val="21"/>
                <w:szCs w:val="21"/>
              </w:rPr>
            </w:pPr>
          </w:p>
        </w:tc>
        <w:tc>
          <w:tcPr>
            <w:tcW w:w="1701" w:type="dxa"/>
            <w:noWrap w:val="0"/>
            <w:vAlign w:val="center"/>
          </w:tcPr>
          <w:p w14:paraId="72E73AAC">
            <w:pPr>
              <w:pStyle w:val="43"/>
              <w:spacing w:beforeLines="0" w:afterLines="0" w:line="240" w:lineRule="auto"/>
              <w:rPr>
                <w:rFonts w:hint="default" w:ascii="Times New Roman" w:hAnsi="Times New Roman" w:cs="Times New Roman"/>
                <w:snapToGrid w:val="0"/>
                <w:color w:val="000000"/>
                <w:kern w:val="21"/>
                <w:sz w:val="21"/>
                <w:szCs w:val="21"/>
              </w:rPr>
            </w:pPr>
          </w:p>
        </w:tc>
        <w:tc>
          <w:tcPr>
            <w:tcW w:w="1559" w:type="dxa"/>
            <w:noWrap w:val="0"/>
            <w:vAlign w:val="center"/>
          </w:tcPr>
          <w:p w14:paraId="5FECD47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snapToGrid w:val="0"/>
                <w:color w:val="000000"/>
                <w:kern w:val="21"/>
                <w:sz w:val="21"/>
                <w:szCs w:val="21"/>
                <w:lang w:val="en-US"/>
              </w:rPr>
            </w:pPr>
            <w:r>
              <w:rPr>
                <w:rFonts w:hint="eastAsia" w:ascii="Times New Roman" w:hAnsi="Times New Roman" w:eastAsia="宋体" w:cs="Times New Roman"/>
                <w:color w:val="auto"/>
                <w:sz w:val="21"/>
                <w:szCs w:val="21"/>
                <w:lang w:val="en-US" w:eastAsia="zh-CN"/>
              </w:rPr>
              <w:t>10</w:t>
            </w:r>
          </w:p>
        </w:tc>
        <w:tc>
          <w:tcPr>
            <w:tcW w:w="1761" w:type="dxa"/>
            <w:noWrap w:val="0"/>
            <w:vAlign w:val="center"/>
          </w:tcPr>
          <w:p w14:paraId="3F0A0EAC">
            <w:pPr>
              <w:pStyle w:val="43"/>
              <w:spacing w:beforeLines="0" w:afterLines="0" w:line="240" w:lineRule="auto"/>
              <w:rPr>
                <w:rFonts w:hint="default" w:ascii="Times New Roman" w:hAnsi="Times New Roman" w:cs="Times New Roman"/>
                <w:snapToGrid w:val="0"/>
                <w:color w:val="000000"/>
                <w:kern w:val="21"/>
                <w:sz w:val="21"/>
                <w:szCs w:val="21"/>
              </w:rPr>
            </w:pPr>
          </w:p>
        </w:tc>
        <w:tc>
          <w:tcPr>
            <w:tcW w:w="1959" w:type="dxa"/>
            <w:noWrap w:val="0"/>
            <w:vAlign w:val="center"/>
          </w:tcPr>
          <w:p w14:paraId="2A222436">
            <w:pPr>
              <w:pStyle w:val="43"/>
              <w:spacing w:beforeLines="0" w:afterLines="0" w:line="240" w:lineRule="auto"/>
              <w:rPr>
                <w:rFonts w:hint="default" w:ascii="Times New Roman" w:hAnsi="Times New Roman" w:cs="Times New Roman"/>
                <w:snapToGrid w:val="0"/>
                <w:color w:val="000000"/>
                <w:kern w:val="21"/>
                <w:sz w:val="21"/>
                <w:szCs w:val="21"/>
              </w:rPr>
            </w:pPr>
          </w:p>
        </w:tc>
        <w:tc>
          <w:tcPr>
            <w:tcW w:w="826" w:type="dxa"/>
            <w:noWrap w:val="0"/>
            <w:vAlign w:val="center"/>
          </w:tcPr>
          <w:p w14:paraId="4AA7ED8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snapToGrid w:val="0"/>
                <w:color w:val="000000"/>
                <w:kern w:val="21"/>
                <w:sz w:val="21"/>
                <w:szCs w:val="21"/>
              </w:rPr>
            </w:pPr>
            <w:r>
              <w:rPr>
                <w:rFonts w:hint="eastAsia" w:ascii="Times New Roman" w:hAnsi="Times New Roman" w:eastAsia="宋体" w:cs="Times New Roman"/>
                <w:color w:val="auto"/>
                <w:sz w:val="21"/>
                <w:szCs w:val="21"/>
                <w:lang w:val="en-US" w:eastAsia="zh-CN"/>
              </w:rPr>
              <w:t>+10</w:t>
            </w:r>
          </w:p>
        </w:tc>
      </w:tr>
      <w:tr w14:paraId="683102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32DEEF9D">
            <w:pPr>
              <w:pStyle w:val="43"/>
              <w:spacing w:beforeLines="0" w:afterLines="0" w:line="240" w:lineRule="auto"/>
              <w:rPr>
                <w:rFonts w:hint="default" w:ascii="Times New Roman" w:hAnsi="Times New Roman" w:cs="Times New Roman"/>
                <w:snapToGrid w:val="0"/>
                <w:color w:val="000000"/>
                <w:kern w:val="21"/>
                <w:sz w:val="21"/>
                <w:szCs w:val="21"/>
              </w:rPr>
            </w:pPr>
          </w:p>
        </w:tc>
        <w:tc>
          <w:tcPr>
            <w:tcW w:w="1417" w:type="dxa"/>
            <w:noWrap w:val="0"/>
            <w:vAlign w:val="center"/>
          </w:tcPr>
          <w:p w14:paraId="0F5661F6">
            <w:pPr>
              <w:pStyle w:val="3"/>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snapToGrid w:val="0"/>
                <w:color w:val="000000"/>
                <w:kern w:val="21"/>
                <w:sz w:val="21"/>
                <w:szCs w:val="21"/>
              </w:rPr>
            </w:pPr>
            <w:r>
              <w:rPr>
                <w:rFonts w:hint="default" w:ascii="Times New Roman" w:hAnsi="Times New Roman" w:cs="Times New Roman"/>
                <w:sz w:val="21"/>
                <w:szCs w:val="21"/>
                <w:lang w:val="en-US" w:eastAsia="zh-CN"/>
              </w:rPr>
              <w:t>生活垃圾</w:t>
            </w:r>
          </w:p>
        </w:tc>
        <w:tc>
          <w:tcPr>
            <w:tcW w:w="1701" w:type="dxa"/>
            <w:noWrap w:val="0"/>
            <w:vAlign w:val="center"/>
          </w:tcPr>
          <w:p w14:paraId="05392027">
            <w:pPr>
              <w:pStyle w:val="43"/>
              <w:spacing w:beforeLines="0" w:afterLines="0" w:line="240" w:lineRule="auto"/>
              <w:rPr>
                <w:rFonts w:hint="default" w:ascii="Times New Roman" w:hAnsi="Times New Roman" w:cs="Times New Roman"/>
                <w:snapToGrid w:val="0"/>
                <w:color w:val="000000"/>
                <w:kern w:val="21"/>
                <w:sz w:val="21"/>
                <w:szCs w:val="21"/>
              </w:rPr>
            </w:pPr>
          </w:p>
        </w:tc>
        <w:tc>
          <w:tcPr>
            <w:tcW w:w="1276" w:type="dxa"/>
            <w:noWrap w:val="0"/>
            <w:vAlign w:val="center"/>
          </w:tcPr>
          <w:p w14:paraId="4ACEC246">
            <w:pPr>
              <w:pStyle w:val="43"/>
              <w:spacing w:beforeLines="0" w:afterLines="0" w:line="240" w:lineRule="auto"/>
              <w:rPr>
                <w:rFonts w:hint="default" w:ascii="Times New Roman" w:hAnsi="Times New Roman" w:cs="Times New Roman"/>
                <w:snapToGrid w:val="0"/>
                <w:color w:val="000000"/>
                <w:kern w:val="21"/>
                <w:sz w:val="21"/>
                <w:szCs w:val="21"/>
              </w:rPr>
            </w:pPr>
          </w:p>
        </w:tc>
        <w:tc>
          <w:tcPr>
            <w:tcW w:w="1701" w:type="dxa"/>
            <w:noWrap w:val="0"/>
            <w:vAlign w:val="center"/>
          </w:tcPr>
          <w:p w14:paraId="6C365BCF">
            <w:pPr>
              <w:pStyle w:val="43"/>
              <w:spacing w:beforeLines="0" w:afterLines="0" w:line="240" w:lineRule="auto"/>
              <w:rPr>
                <w:rFonts w:hint="default" w:ascii="Times New Roman" w:hAnsi="Times New Roman" w:cs="Times New Roman"/>
                <w:snapToGrid w:val="0"/>
                <w:color w:val="000000"/>
                <w:kern w:val="21"/>
                <w:sz w:val="21"/>
                <w:szCs w:val="21"/>
              </w:rPr>
            </w:pPr>
          </w:p>
        </w:tc>
        <w:tc>
          <w:tcPr>
            <w:tcW w:w="1559" w:type="dxa"/>
            <w:noWrap w:val="0"/>
            <w:vAlign w:val="center"/>
          </w:tcPr>
          <w:p w14:paraId="66C2951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snapToGrid w:val="0"/>
                <w:color w:val="000000"/>
                <w:kern w:val="21"/>
                <w:sz w:val="21"/>
                <w:szCs w:val="21"/>
              </w:rPr>
            </w:pPr>
            <w:r>
              <w:rPr>
                <w:rFonts w:hint="default" w:ascii="Times New Roman" w:hAnsi="Times New Roman" w:cs="Times New Roman"/>
                <w:color w:val="auto"/>
                <w:sz w:val="21"/>
                <w:szCs w:val="21"/>
                <w:lang w:val="en-US" w:eastAsia="zh-CN"/>
              </w:rPr>
              <w:t>4.5</w:t>
            </w:r>
          </w:p>
        </w:tc>
        <w:tc>
          <w:tcPr>
            <w:tcW w:w="1761" w:type="dxa"/>
            <w:noWrap w:val="0"/>
            <w:vAlign w:val="center"/>
          </w:tcPr>
          <w:p w14:paraId="53F50BCF">
            <w:pPr>
              <w:pStyle w:val="43"/>
              <w:spacing w:beforeLines="0" w:afterLines="0" w:line="240" w:lineRule="auto"/>
              <w:rPr>
                <w:rFonts w:hint="default" w:ascii="Times New Roman" w:hAnsi="Times New Roman" w:cs="Times New Roman"/>
                <w:snapToGrid w:val="0"/>
                <w:color w:val="000000"/>
                <w:kern w:val="21"/>
                <w:sz w:val="21"/>
                <w:szCs w:val="21"/>
              </w:rPr>
            </w:pPr>
          </w:p>
        </w:tc>
        <w:tc>
          <w:tcPr>
            <w:tcW w:w="1959" w:type="dxa"/>
            <w:noWrap w:val="0"/>
            <w:vAlign w:val="center"/>
          </w:tcPr>
          <w:p w14:paraId="2A99CE8E">
            <w:pPr>
              <w:pStyle w:val="43"/>
              <w:spacing w:beforeLines="0" w:afterLines="0" w:line="240" w:lineRule="auto"/>
              <w:rPr>
                <w:rFonts w:hint="default" w:ascii="Times New Roman" w:hAnsi="Times New Roman" w:cs="Times New Roman"/>
                <w:snapToGrid w:val="0"/>
                <w:color w:val="000000"/>
                <w:kern w:val="21"/>
                <w:sz w:val="21"/>
                <w:szCs w:val="21"/>
              </w:rPr>
            </w:pPr>
          </w:p>
        </w:tc>
        <w:tc>
          <w:tcPr>
            <w:tcW w:w="826" w:type="dxa"/>
            <w:noWrap w:val="0"/>
            <w:vAlign w:val="center"/>
          </w:tcPr>
          <w:p w14:paraId="7910356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snapToGrid w:val="0"/>
                <w:color w:val="000000"/>
                <w:kern w:val="21"/>
                <w:sz w:val="21"/>
                <w:szCs w:val="21"/>
              </w:rPr>
            </w:pPr>
            <w:r>
              <w:rPr>
                <w:rFonts w:hint="eastAsia" w:ascii="Times New Roman" w:hAnsi="Times New Roman" w:cs="Times New Roman"/>
                <w:color w:val="auto"/>
                <w:sz w:val="21"/>
                <w:szCs w:val="21"/>
                <w:lang w:val="en-US" w:eastAsia="zh-CN"/>
              </w:rPr>
              <w:t>+</w:t>
            </w:r>
            <w:r>
              <w:rPr>
                <w:rFonts w:hint="default" w:ascii="Times New Roman" w:hAnsi="Times New Roman" w:cs="Times New Roman"/>
                <w:color w:val="auto"/>
                <w:sz w:val="21"/>
                <w:szCs w:val="21"/>
                <w:lang w:val="en-US" w:eastAsia="zh-CN"/>
              </w:rPr>
              <w:t>4.5</w:t>
            </w:r>
          </w:p>
        </w:tc>
      </w:tr>
      <w:tr w14:paraId="31FC89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restart"/>
            <w:noWrap w:val="0"/>
            <w:vAlign w:val="center"/>
          </w:tcPr>
          <w:p w14:paraId="6F05FF64">
            <w:pPr>
              <w:pStyle w:val="43"/>
              <w:spacing w:beforeLines="0" w:afterLines="0" w:line="240" w:lineRule="auto"/>
              <w:rPr>
                <w:rFonts w:hint="default" w:ascii="Times New Roman" w:hAnsi="Times New Roman" w:cs="Times New Roman"/>
                <w:snapToGrid w:val="0"/>
                <w:color w:val="000000"/>
                <w:kern w:val="21"/>
                <w:sz w:val="21"/>
                <w:szCs w:val="21"/>
              </w:rPr>
            </w:pPr>
            <w:r>
              <w:rPr>
                <w:rFonts w:hint="default" w:ascii="Times New Roman" w:hAnsi="Times New Roman" w:cs="Times New Roman"/>
                <w:snapToGrid w:val="0"/>
                <w:color w:val="000000"/>
                <w:kern w:val="21"/>
                <w:sz w:val="21"/>
                <w:szCs w:val="21"/>
              </w:rPr>
              <w:t>危险废物</w:t>
            </w:r>
          </w:p>
        </w:tc>
        <w:tc>
          <w:tcPr>
            <w:tcW w:w="1417" w:type="dxa"/>
            <w:noWrap w:val="0"/>
            <w:vAlign w:val="center"/>
          </w:tcPr>
          <w:p w14:paraId="2A921D8B">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snapToGrid w:val="0"/>
                <w:color w:val="000000"/>
                <w:kern w:val="21"/>
                <w:sz w:val="21"/>
                <w:szCs w:val="21"/>
                <w:lang w:val="en-US"/>
              </w:rPr>
            </w:pPr>
            <w:r>
              <w:rPr>
                <w:rFonts w:hint="eastAsia" w:ascii="Times New Roman" w:hAnsi="Times New Roman" w:cs="Times New Roman"/>
                <w:sz w:val="21"/>
                <w:szCs w:val="21"/>
                <w:lang w:val="en-US" w:eastAsia="zh-CN"/>
              </w:rPr>
              <w:t>废柴油桶</w:t>
            </w:r>
          </w:p>
        </w:tc>
        <w:tc>
          <w:tcPr>
            <w:tcW w:w="1701" w:type="dxa"/>
            <w:noWrap w:val="0"/>
            <w:vAlign w:val="center"/>
          </w:tcPr>
          <w:p w14:paraId="43D26381">
            <w:pPr>
              <w:pStyle w:val="43"/>
              <w:spacing w:beforeLines="0" w:afterLines="0" w:line="240" w:lineRule="auto"/>
              <w:rPr>
                <w:rFonts w:hint="default" w:ascii="Times New Roman" w:hAnsi="Times New Roman" w:cs="Times New Roman"/>
                <w:snapToGrid w:val="0"/>
                <w:color w:val="000000"/>
                <w:kern w:val="21"/>
                <w:sz w:val="21"/>
                <w:szCs w:val="21"/>
              </w:rPr>
            </w:pPr>
          </w:p>
        </w:tc>
        <w:tc>
          <w:tcPr>
            <w:tcW w:w="1276" w:type="dxa"/>
            <w:noWrap w:val="0"/>
            <w:vAlign w:val="center"/>
          </w:tcPr>
          <w:p w14:paraId="5B1538B4">
            <w:pPr>
              <w:pStyle w:val="43"/>
              <w:spacing w:beforeLines="0" w:afterLines="0" w:line="240" w:lineRule="auto"/>
              <w:rPr>
                <w:rFonts w:hint="default" w:ascii="Times New Roman" w:hAnsi="Times New Roman" w:cs="Times New Roman"/>
                <w:snapToGrid w:val="0"/>
                <w:color w:val="000000"/>
                <w:kern w:val="21"/>
                <w:sz w:val="21"/>
                <w:szCs w:val="21"/>
              </w:rPr>
            </w:pPr>
          </w:p>
        </w:tc>
        <w:tc>
          <w:tcPr>
            <w:tcW w:w="1701" w:type="dxa"/>
            <w:noWrap w:val="0"/>
            <w:vAlign w:val="center"/>
          </w:tcPr>
          <w:p w14:paraId="136429F7">
            <w:pPr>
              <w:pStyle w:val="43"/>
              <w:spacing w:beforeLines="0" w:afterLines="0" w:line="240" w:lineRule="auto"/>
              <w:rPr>
                <w:rFonts w:hint="default" w:ascii="Times New Roman" w:hAnsi="Times New Roman" w:cs="Times New Roman"/>
                <w:snapToGrid w:val="0"/>
                <w:color w:val="000000"/>
                <w:kern w:val="21"/>
                <w:sz w:val="21"/>
                <w:szCs w:val="21"/>
              </w:rPr>
            </w:pPr>
          </w:p>
        </w:tc>
        <w:tc>
          <w:tcPr>
            <w:tcW w:w="1559" w:type="dxa"/>
            <w:noWrap w:val="0"/>
            <w:vAlign w:val="center"/>
          </w:tcPr>
          <w:p w14:paraId="1D96EB2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snapToGrid w:val="0"/>
                <w:color w:val="auto"/>
                <w:kern w:val="21"/>
                <w:sz w:val="21"/>
                <w:szCs w:val="21"/>
              </w:rPr>
            </w:pPr>
            <w:r>
              <w:rPr>
                <w:rFonts w:hint="eastAsia" w:ascii="Times New Roman" w:hAnsi="Times New Roman" w:cs="Times New Roman"/>
                <w:color w:val="auto"/>
                <w:sz w:val="21"/>
                <w:szCs w:val="21"/>
                <w:lang w:val="en-US" w:eastAsia="zh-CN"/>
              </w:rPr>
              <w:t>1</w:t>
            </w:r>
          </w:p>
        </w:tc>
        <w:tc>
          <w:tcPr>
            <w:tcW w:w="1761" w:type="dxa"/>
            <w:noWrap w:val="0"/>
            <w:vAlign w:val="center"/>
          </w:tcPr>
          <w:p w14:paraId="5E128B7E">
            <w:pPr>
              <w:pStyle w:val="43"/>
              <w:spacing w:beforeLines="0" w:afterLines="0" w:line="240" w:lineRule="auto"/>
              <w:rPr>
                <w:rFonts w:hint="default" w:ascii="Times New Roman" w:hAnsi="Times New Roman" w:cs="Times New Roman"/>
                <w:snapToGrid w:val="0"/>
                <w:color w:val="auto"/>
                <w:kern w:val="21"/>
                <w:sz w:val="21"/>
                <w:szCs w:val="21"/>
              </w:rPr>
            </w:pPr>
          </w:p>
        </w:tc>
        <w:tc>
          <w:tcPr>
            <w:tcW w:w="1959" w:type="dxa"/>
            <w:noWrap w:val="0"/>
            <w:vAlign w:val="center"/>
          </w:tcPr>
          <w:p w14:paraId="1D59660C">
            <w:pPr>
              <w:pStyle w:val="43"/>
              <w:spacing w:beforeLines="0" w:afterLines="0" w:line="240" w:lineRule="auto"/>
              <w:rPr>
                <w:rFonts w:hint="default" w:ascii="Times New Roman" w:hAnsi="Times New Roman" w:cs="Times New Roman"/>
                <w:snapToGrid w:val="0"/>
                <w:color w:val="auto"/>
                <w:kern w:val="21"/>
                <w:sz w:val="21"/>
                <w:szCs w:val="21"/>
              </w:rPr>
            </w:pPr>
          </w:p>
        </w:tc>
        <w:tc>
          <w:tcPr>
            <w:tcW w:w="826" w:type="dxa"/>
            <w:noWrap w:val="0"/>
            <w:vAlign w:val="center"/>
          </w:tcPr>
          <w:p w14:paraId="3D27DC9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snapToGrid w:val="0"/>
                <w:color w:val="auto"/>
                <w:kern w:val="21"/>
                <w:sz w:val="21"/>
                <w:szCs w:val="21"/>
              </w:rPr>
            </w:pPr>
            <w:r>
              <w:rPr>
                <w:rFonts w:hint="eastAsia" w:ascii="Times New Roman" w:hAnsi="Times New Roman" w:cs="Times New Roman"/>
                <w:color w:val="auto"/>
                <w:sz w:val="21"/>
                <w:szCs w:val="21"/>
                <w:lang w:val="en-US" w:eastAsia="zh-CN"/>
              </w:rPr>
              <w:t>+1</w:t>
            </w:r>
          </w:p>
        </w:tc>
      </w:tr>
      <w:tr w14:paraId="448596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0B96947B">
            <w:pPr>
              <w:pStyle w:val="43"/>
              <w:spacing w:beforeLines="0" w:afterLines="0" w:line="240" w:lineRule="auto"/>
              <w:rPr>
                <w:rFonts w:hint="default" w:ascii="Times New Roman" w:hAnsi="Times New Roman" w:cs="Times New Roman"/>
                <w:snapToGrid w:val="0"/>
                <w:color w:val="000000"/>
                <w:kern w:val="21"/>
                <w:sz w:val="21"/>
                <w:szCs w:val="21"/>
              </w:rPr>
            </w:pPr>
          </w:p>
        </w:tc>
        <w:tc>
          <w:tcPr>
            <w:tcW w:w="1417" w:type="dxa"/>
            <w:noWrap w:val="0"/>
            <w:vAlign w:val="center"/>
          </w:tcPr>
          <w:p w14:paraId="4BEC1078">
            <w:pPr>
              <w:pStyle w:val="2"/>
              <w:keepNext w:val="0"/>
              <w:keepLines w:val="0"/>
              <w:pageBreakBefore w:val="0"/>
              <w:widowControl w:val="0"/>
              <w:kinsoku/>
              <w:wordWrap/>
              <w:overflowPunct/>
              <w:topLinePunct w:val="0"/>
              <w:autoSpaceDE/>
              <w:autoSpaceDN/>
              <w:bidi w:val="0"/>
              <w:adjustRightInd/>
              <w:spacing w:line="240" w:lineRule="auto"/>
              <w:ind w:firstLine="0" w:firstLineChars="0"/>
              <w:jc w:val="center"/>
              <w:textAlignment w:val="auto"/>
              <w:rPr>
                <w:rFonts w:hint="default" w:ascii="Times New Roman" w:hAnsi="Times New Roman" w:cs="Times New Roman"/>
                <w:snapToGrid w:val="0"/>
                <w:color w:val="000000"/>
                <w:kern w:val="21"/>
                <w:sz w:val="21"/>
                <w:szCs w:val="21"/>
              </w:rPr>
            </w:pPr>
            <w:r>
              <w:rPr>
                <w:rFonts w:hint="default" w:ascii="Times New Roman" w:hAnsi="Times New Roman" w:eastAsia="宋体" w:cs="Times New Roman"/>
                <w:kern w:val="2"/>
                <w:sz w:val="21"/>
                <w:szCs w:val="21"/>
                <w:lang w:val="en-US" w:eastAsia="zh-CN" w:bidi="ar-SA"/>
              </w:rPr>
              <w:t>废</w:t>
            </w:r>
            <w:r>
              <w:rPr>
                <w:rFonts w:hint="default" w:ascii="Times New Roman" w:hAnsi="Times New Roman" w:cs="Times New Roman"/>
                <w:sz w:val="21"/>
                <w:szCs w:val="21"/>
                <w:lang w:val="en-US" w:eastAsia="zh-CN"/>
              </w:rPr>
              <w:t>机油</w:t>
            </w:r>
          </w:p>
        </w:tc>
        <w:tc>
          <w:tcPr>
            <w:tcW w:w="1701" w:type="dxa"/>
            <w:noWrap w:val="0"/>
            <w:vAlign w:val="center"/>
          </w:tcPr>
          <w:p w14:paraId="539168ED">
            <w:pPr>
              <w:pStyle w:val="43"/>
              <w:spacing w:beforeLines="0" w:afterLines="0" w:line="240" w:lineRule="auto"/>
              <w:rPr>
                <w:rFonts w:hint="default" w:ascii="Times New Roman" w:hAnsi="Times New Roman" w:cs="Times New Roman"/>
                <w:snapToGrid w:val="0"/>
                <w:color w:val="000000"/>
                <w:kern w:val="21"/>
                <w:sz w:val="21"/>
                <w:szCs w:val="21"/>
              </w:rPr>
            </w:pPr>
          </w:p>
        </w:tc>
        <w:tc>
          <w:tcPr>
            <w:tcW w:w="1276" w:type="dxa"/>
            <w:noWrap w:val="0"/>
            <w:vAlign w:val="center"/>
          </w:tcPr>
          <w:p w14:paraId="5B954933">
            <w:pPr>
              <w:pStyle w:val="43"/>
              <w:spacing w:beforeLines="0" w:afterLines="0" w:line="240" w:lineRule="auto"/>
              <w:rPr>
                <w:rFonts w:hint="default" w:ascii="Times New Roman" w:hAnsi="Times New Roman" w:cs="Times New Roman"/>
                <w:snapToGrid w:val="0"/>
                <w:color w:val="000000"/>
                <w:kern w:val="21"/>
                <w:sz w:val="21"/>
                <w:szCs w:val="21"/>
              </w:rPr>
            </w:pPr>
          </w:p>
        </w:tc>
        <w:tc>
          <w:tcPr>
            <w:tcW w:w="1701" w:type="dxa"/>
            <w:noWrap w:val="0"/>
            <w:vAlign w:val="center"/>
          </w:tcPr>
          <w:p w14:paraId="6905CCFA">
            <w:pPr>
              <w:pStyle w:val="43"/>
              <w:spacing w:beforeLines="0" w:afterLines="0" w:line="240" w:lineRule="auto"/>
              <w:rPr>
                <w:rFonts w:hint="default" w:ascii="Times New Roman" w:hAnsi="Times New Roman" w:cs="Times New Roman"/>
                <w:snapToGrid w:val="0"/>
                <w:color w:val="000000"/>
                <w:kern w:val="21"/>
                <w:sz w:val="21"/>
                <w:szCs w:val="21"/>
              </w:rPr>
            </w:pPr>
          </w:p>
        </w:tc>
        <w:tc>
          <w:tcPr>
            <w:tcW w:w="1559" w:type="dxa"/>
            <w:noWrap w:val="0"/>
            <w:vAlign w:val="center"/>
          </w:tcPr>
          <w:p w14:paraId="4EDC70E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snapToGrid w:val="0"/>
                <w:color w:val="000000"/>
                <w:kern w:val="21"/>
                <w:sz w:val="21"/>
                <w:szCs w:val="21"/>
              </w:rPr>
            </w:pPr>
            <w:r>
              <w:rPr>
                <w:rFonts w:hint="eastAsia" w:ascii="Times New Roman" w:hAnsi="Times New Roman" w:eastAsia="宋体" w:cs="Times New Roman"/>
                <w:color w:val="auto"/>
                <w:sz w:val="21"/>
                <w:szCs w:val="21"/>
                <w:lang w:val="en-US" w:eastAsia="zh-CN"/>
              </w:rPr>
              <w:t>1</w:t>
            </w:r>
          </w:p>
        </w:tc>
        <w:tc>
          <w:tcPr>
            <w:tcW w:w="1761" w:type="dxa"/>
            <w:noWrap w:val="0"/>
            <w:vAlign w:val="center"/>
          </w:tcPr>
          <w:p w14:paraId="1A7ED8DA">
            <w:pPr>
              <w:pStyle w:val="43"/>
              <w:spacing w:beforeLines="0" w:afterLines="0" w:line="240" w:lineRule="auto"/>
              <w:rPr>
                <w:rFonts w:hint="default" w:ascii="Times New Roman" w:hAnsi="Times New Roman" w:cs="Times New Roman"/>
                <w:snapToGrid w:val="0"/>
                <w:color w:val="000000"/>
                <w:kern w:val="21"/>
                <w:sz w:val="21"/>
                <w:szCs w:val="21"/>
              </w:rPr>
            </w:pPr>
          </w:p>
        </w:tc>
        <w:tc>
          <w:tcPr>
            <w:tcW w:w="1959" w:type="dxa"/>
            <w:noWrap w:val="0"/>
            <w:vAlign w:val="center"/>
          </w:tcPr>
          <w:p w14:paraId="5B6C9B59">
            <w:pPr>
              <w:pStyle w:val="43"/>
              <w:spacing w:beforeLines="0" w:afterLines="0" w:line="240" w:lineRule="auto"/>
              <w:rPr>
                <w:rFonts w:hint="default" w:ascii="Times New Roman" w:hAnsi="Times New Roman" w:cs="Times New Roman"/>
                <w:snapToGrid w:val="0"/>
                <w:color w:val="000000"/>
                <w:kern w:val="21"/>
                <w:sz w:val="21"/>
                <w:szCs w:val="21"/>
              </w:rPr>
            </w:pPr>
          </w:p>
        </w:tc>
        <w:tc>
          <w:tcPr>
            <w:tcW w:w="826" w:type="dxa"/>
            <w:noWrap w:val="0"/>
            <w:vAlign w:val="center"/>
          </w:tcPr>
          <w:p w14:paraId="6E0EB7A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snapToGrid w:val="0"/>
                <w:color w:val="000000"/>
                <w:kern w:val="21"/>
                <w:sz w:val="21"/>
                <w:szCs w:val="21"/>
              </w:rPr>
            </w:pPr>
            <w:r>
              <w:rPr>
                <w:rFonts w:hint="eastAsia" w:ascii="Times New Roman" w:hAnsi="Times New Roman" w:eastAsia="宋体" w:cs="Times New Roman"/>
                <w:color w:val="auto"/>
                <w:sz w:val="21"/>
                <w:szCs w:val="21"/>
                <w:lang w:val="en-US" w:eastAsia="zh-CN"/>
              </w:rPr>
              <w:t>+1</w:t>
            </w:r>
          </w:p>
        </w:tc>
      </w:tr>
    </w:tbl>
    <w:p w14:paraId="61E3146F">
      <w:pPr>
        <w:pStyle w:val="43"/>
        <w:spacing w:before="192" w:beforeLines="80" w:after="24"/>
        <w:jc w:val="left"/>
        <w:rPr>
          <w:rFonts w:hint="eastAsia" w:hAnsi="宋体"/>
          <w:snapToGrid w:val="0"/>
          <w:color w:val="000000"/>
          <w:spacing w:val="-6"/>
          <w:kern w:val="21"/>
          <w:szCs w:val="21"/>
        </w:rPr>
      </w:pPr>
      <w:r>
        <w:rPr>
          <w:rFonts w:hAnsi="宋体"/>
          <w:snapToGrid w:val="0"/>
          <w:color w:val="000000"/>
          <w:kern w:val="21"/>
          <w:szCs w:val="21"/>
        </w:rPr>
        <w:t>注：</w:t>
      </w:r>
      <w:r>
        <w:rPr>
          <w:rFonts w:hAnsi="宋体"/>
          <w:snapToGrid w:val="0"/>
          <w:color w:val="000000"/>
          <w:spacing w:val="-16"/>
          <w:kern w:val="21"/>
          <w:szCs w:val="21"/>
        </w:rPr>
        <w:fldChar w:fldCharType="begin"/>
      </w:r>
      <w:r>
        <w:rPr>
          <w:rFonts w:hAnsi="宋体"/>
          <w:snapToGrid w:val="0"/>
          <w:color w:val="000000"/>
          <w:spacing w:val="-16"/>
          <w:kern w:val="21"/>
          <w:szCs w:val="21"/>
        </w:rPr>
        <w:instrText xml:space="preserve"> = 6 \* GB3 \* MERGEFORMAT </w:instrText>
      </w:r>
      <w:r>
        <w:rPr>
          <w:rFonts w:hAnsi="宋体"/>
          <w:snapToGrid w:val="0"/>
          <w:color w:val="000000"/>
          <w:spacing w:val="-16"/>
          <w:kern w:val="21"/>
          <w:szCs w:val="21"/>
        </w:rPr>
        <w:fldChar w:fldCharType="separate"/>
      </w:r>
      <w:r>
        <w:rPr>
          <w:rFonts w:hint="eastAsia" w:hAnsi="宋体"/>
          <w:szCs w:val="21"/>
        </w:rPr>
        <w:t>⑥</w:t>
      </w:r>
      <w:r>
        <w:rPr>
          <w:rFonts w:hAnsi="宋体"/>
          <w:snapToGrid w:val="0"/>
          <w:color w:val="000000"/>
          <w:spacing w:val="-16"/>
          <w:kern w:val="21"/>
          <w:szCs w:val="21"/>
        </w:rPr>
        <w:fldChar w:fldCharType="end"/>
      </w:r>
      <w:r>
        <w:rPr>
          <w:rFonts w:hAnsi="宋体"/>
          <w:snapToGrid w:val="0"/>
          <w:color w:val="000000"/>
          <w:spacing w:val="-16"/>
          <w:kern w:val="21"/>
          <w:szCs w:val="21"/>
        </w:rPr>
        <w:t>=</w:t>
      </w:r>
      <w:r>
        <w:rPr>
          <w:rFonts w:hAnsi="宋体"/>
          <w:snapToGrid w:val="0"/>
          <w:color w:val="000000"/>
          <w:spacing w:val="-6"/>
          <w:kern w:val="21"/>
          <w:szCs w:val="21"/>
        </w:rPr>
        <w:fldChar w:fldCharType="begin"/>
      </w:r>
      <w:r>
        <w:rPr>
          <w:rFonts w:hAnsi="宋体"/>
          <w:snapToGrid w:val="0"/>
          <w:color w:val="000000"/>
          <w:spacing w:val="-6"/>
          <w:kern w:val="21"/>
          <w:szCs w:val="21"/>
        </w:rPr>
        <w:instrText xml:space="preserve"> = 1 \* GB3 \* MERGEFORMAT </w:instrText>
      </w:r>
      <w:r>
        <w:rPr>
          <w:rFonts w:hAnsi="宋体"/>
          <w:snapToGrid w:val="0"/>
          <w:color w:val="000000"/>
          <w:spacing w:val="-6"/>
          <w:kern w:val="21"/>
          <w:szCs w:val="21"/>
        </w:rPr>
        <w:fldChar w:fldCharType="separate"/>
      </w:r>
      <w:r>
        <w:rPr>
          <w:rFonts w:hint="eastAsia" w:hAnsi="宋体"/>
          <w:szCs w:val="21"/>
        </w:rPr>
        <w:t>①</w:t>
      </w:r>
      <w:r>
        <w:rPr>
          <w:rFonts w:hAnsi="宋体"/>
          <w:snapToGrid w:val="0"/>
          <w:color w:val="000000"/>
          <w:spacing w:val="-6"/>
          <w:kern w:val="21"/>
          <w:szCs w:val="21"/>
        </w:rPr>
        <w:fldChar w:fldCharType="end"/>
      </w:r>
      <w:r>
        <w:rPr>
          <w:rFonts w:hAnsi="宋体"/>
          <w:snapToGrid w:val="0"/>
          <w:color w:val="000000"/>
          <w:spacing w:val="-6"/>
          <w:kern w:val="21"/>
          <w:szCs w:val="21"/>
        </w:rPr>
        <w:t>+</w:t>
      </w:r>
      <w:r>
        <w:rPr>
          <w:rFonts w:hAnsi="宋体"/>
          <w:snapToGrid w:val="0"/>
          <w:color w:val="000000"/>
          <w:spacing w:val="-6"/>
          <w:kern w:val="21"/>
          <w:szCs w:val="21"/>
        </w:rPr>
        <w:fldChar w:fldCharType="begin"/>
      </w:r>
      <w:r>
        <w:rPr>
          <w:rFonts w:hAnsi="宋体"/>
          <w:snapToGrid w:val="0"/>
          <w:color w:val="000000"/>
          <w:spacing w:val="-6"/>
          <w:kern w:val="21"/>
          <w:szCs w:val="21"/>
        </w:rPr>
        <w:instrText xml:space="preserve"> = 3 \* GB3 \* MERGEFORMAT </w:instrText>
      </w:r>
      <w:r>
        <w:rPr>
          <w:rFonts w:hAnsi="宋体"/>
          <w:snapToGrid w:val="0"/>
          <w:color w:val="000000"/>
          <w:spacing w:val="-6"/>
          <w:kern w:val="21"/>
          <w:szCs w:val="21"/>
        </w:rPr>
        <w:fldChar w:fldCharType="separate"/>
      </w:r>
      <w:r>
        <w:rPr>
          <w:rFonts w:hint="eastAsia" w:hAnsi="宋体"/>
          <w:szCs w:val="21"/>
        </w:rPr>
        <w:t>③</w:t>
      </w:r>
      <w:r>
        <w:rPr>
          <w:rFonts w:hAnsi="宋体"/>
          <w:snapToGrid w:val="0"/>
          <w:color w:val="000000"/>
          <w:spacing w:val="-6"/>
          <w:kern w:val="21"/>
          <w:szCs w:val="21"/>
        </w:rPr>
        <w:fldChar w:fldCharType="end"/>
      </w:r>
      <w:r>
        <w:rPr>
          <w:rFonts w:hAnsi="宋体"/>
          <w:snapToGrid w:val="0"/>
          <w:color w:val="000000"/>
          <w:spacing w:val="-6"/>
          <w:kern w:val="21"/>
          <w:szCs w:val="21"/>
        </w:rPr>
        <w:t>+</w:t>
      </w:r>
      <w:r>
        <w:rPr>
          <w:rFonts w:hAnsi="宋体"/>
          <w:snapToGrid w:val="0"/>
          <w:color w:val="000000"/>
          <w:spacing w:val="-6"/>
          <w:kern w:val="21"/>
          <w:szCs w:val="21"/>
        </w:rPr>
        <w:fldChar w:fldCharType="begin"/>
      </w:r>
      <w:r>
        <w:rPr>
          <w:rFonts w:hAnsi="宋体"/>
          <w:snapToGrid w:val="0"/>
          <w:color w:val="000000"/>
          <w:spacing w:val="-6"/>
          <w:kern w:val="21"/>
          <w:szCs w:val="21"/>
        </w:rPr>
        <w:instrText xml:space="preserve"> = 4 \* GB3 \* MERGEFORMAT </w:instrText>
      </w:r>
      <w:r>
        <w:rPr>
          <w:rFonts w:hAnsi="宋体"/>
          <w:snapToGrid w:val="0"/>
          <w:color w:val="000000"/>
          <w:spacing w:val="-6"/>
          <w:kern w:val="21"/>
          <w:szCs w:val="21"/>
        </w:rPr>
        <w:fldChar w:fldCharType="separate"/>
      </w:r>
      <w:r>
        <w:rPr>
          <w:rFonts w:hint="eastAsia" w:hAnsi="宋体"/>
          <w:szCs w:val="21"/>
        </w:rPr>
        <w:t>④</w:t>
      </w:r>
      <w:r>
        <w:rPr>
          <w:rFonts w:hAnsi="宋体"/>
          <w:snapToGrid w:val="0"/>
          <w:color w:val="000000"/>
          <w:spacing w:val="-6"/>
          <w:kern w:val="21"/>
          <w:szCs w:val="21"/>
        </w:rPr>
        <w:fldChar w:fldCharType="end"/>
      </w:r>
      <w:r>
        <w:rPr>
          <w:rFonts w:hAnsi="宋体"/>
          <w:snapToGrid w:val="0"/>
          <w:color w:val="000000"/>
          <w:spacing w:val="-6"/>
          <w:kern w:val="21"/>
          <w:szCs w:val="21"/>
        </w:rPr>
        <w:t>-</w:t>
      </w:r>
      <w:r>
        <w:rPr>
          <w:rFonts w:hAnsi="宋体"/>
          <w:snapToGrid w:val="0"/>
          <w:color w:val="000000"/>
          <w:spacing w:val="-16"/>
          <w:kern w:val="21"/>
          <w:szCs w:val="21"/>
        </w:rPr>
        <w:fldChar w:fldCharType="begin"/>
      </w:r>
      <w:r>
        <w:rPr>
          <w:rFonts w:hAnsi="宋体"/>
          <w:snapToGrid w:val="0"/>
          <w:color w:val="000000"/>
          <w:spacing w:val="-16"/>
          <w:kern w:val="21"/>
          <w:szCs w:val="21"/>
        </w:rPr>
        <w:instrText xml:space="preserve"> = 5 \* GB3 \* MERGEFORMAT </w:instrText>
      </w:r>
      <w:r>
        <w:rPr>
          <w:rFonts w:hAnsi="宋体"/>
          <w:snapToGrid w:val="0"/>
          <w:color w:val="000000"/>
          <w:spacing w:val="-16"/>
          <w:kern w:val="21"/>
          <w:szCs w:val="21"/>
        </w:rPr>
        <w:fldChar w:fldCharType="separate"/>
      </w:r>
      <w:r>
        <w:rPr>
          <w:rFonts w:hint="eastAsia" w:hAnsi="宋体"/>
          <w:szCs w:val="21"/>
        </w:rPr>
        <w:t>⑤</w:t>
      </w:r>
      <w:r>
        <w:rPr>
          <w:rFonts w:hAnsi="宋体"/>
          <w:snapToGrid w:val="0"/>
          <w:color w:val="000000"/>
          <w:spacing w:val="-16"/>
          <w:kern w:val="21"/>
          <w:szCs w:val="21"/>
        </w:rPr>
        <w:fldChar w:fldCharType="end"/>
      </w:r>
      <w:r>
        <w:rPr>
          <w:rFonts w:hAnsi="宋体"/>
          <w:snapToGrid w:val="0"/>
          <w:color w:val="000000"/>
          <w:spacing w:val="-16"/>
          <w:kern w:val="21"/>
          <w:szCs w:val="21"/>
        </w:rPr>
        <w:t>；</w:t>
      </w:r>
      <w:r>
        <w:rPr>
          <w:rFonts w:hAnsi="宋体"/>
          <w:snapToGrid w:val="0"/>
          <w:color w:val="000000"/>
          <w:spacing w:val="-6"/>
          <w:kern w:val="21"/>
          <w:szCs w:val="21"/>
        </w:rPr>
        <w:fldChar w:fldCharType="begin"/>
      </w:r>
      <w:r>
        <w:rPr>
          <w:rFonts w:hAnsi="宋体"/>
          <w:snapToGrid w:val="0"/>
          <w:color w:val="000000"/>
          <w:spacing w:val="-6"/>
          <w:kern w:val="21"/>
          <w:szCs w:val="21"/>
        </w:rPr>
        <w:instrText xml:space="preserve"> = 7 \* GB3 \* MERGEFORMAT </w:instrText>
      </w:r>
      <w:r>
        <w:rPr>
          <w:rFonts w:hAnsi="宋体"/>
          <w:snapToGrid w:val="0"/>
          <w:color w:val="000000"/>
          <w:spacing w:val="-6"/>
          <w:kern w:val="21"/>
          <w:szCs w:val="21"/>
        </w:rPr>
        <w:fldChar w:fldCharType="separate"/>
      </w:r>
      <w:r>
        <w:rPr>
          <w:rFonts w:hint="eastAsia" w:hAnsi="宋体"/>
          <w:szCs w:val="21"/>
        </w:rPr>
        <w:t>⑦</w:t>
      </w:r>
      <w:r>
        <w:rPr>
          <w:rFonts w:hAnsi="宋体"/>
          <w:snapToGrid w:val="0"/>
          <w:color w:val="000000"/>
          <w:spacing w:val="-6"/>
          <w:kern w:val="21"/>
          <w:szCs w:val="21"/>
        </w:rPr>
        <w:fldChar w:fldCharType="end"/>
      </w:r>
      <w:r>
        <w:rPr>
          <w:rFonts w:hAnsi="宋体"/>
          <w:snapToGrid w:val="0"/>
          <w:color w:val="000000"/>
          <w:spacing w:val="-6"/>
          <w:kern w:val="21"/>
          <w:szCs w:val="21"/>
        </w:rPr>
        <w:t>=</w:t>
      </w:r>
      <w:r>
        <w:rPr>
          <w:rFonts w:hAnsi="宋体"/>
          <w:snapToGrid w:val="0"/>
          <w:color w:val="000000"/>
          <w:spacing w:val="-16"/>
          <w:kern w:val="21"/>
          <w:szCs w:val="21"/>
        </w:rPr>
        <w:fldChar w:fldCharType="begin"/>
      </w:r>
      <w:r>
        <w:rPr>
          <w:rFonts w:hAnsi="宋体"/>
          <w:snapToGrid w:val="0"/>
          <w:color w:val="000000"/>
          <w:spacing w:val="-16"/>
          <w:kern w:val="21"/>
          <w:szCs w:val="21"/>
        </w:rPr>
        <w:instrText xml:space="preserve"> = 6 \* GB3 \* MERGEFORMAT </w:instrText>
      </w:r>
      <w:r>
        <w:rPr>
          <w:rFonts w:hAnsi="宋体"/>
          <w:snapToGrid w:val="0"/>
          <w:color w:val="000000"/>
          <w:spacing w:val="-16"/>
          <w:kern w:val="21"/>
          <w:szCs w:val="21"/>
        </w:rPr>
        <w:fldChar w:fldCharType="separate"/>
      </w:r>
      <w:r>
        <w:rPr>
          <w:rFonts w:hint="eastAsia" w:hAnsi="宋体"/>
          <w:szCs w:val="21"/>
        </w:rPr>
        <w:t>⑥</w:t>
      </w:r>
      <w:r>
        <w:rPr>
          <w:rFonts w:hAnsi="宋体"/>
          <w:snapToGrid w:val="0"/>
          <w:color w:val="000000"/>
          <w:spacing w:val="-16"/>
          <w:kern w:val="21"/>
          <w:szCs w:val="21"/>
        </w:rPr>
        <w:fldChar w:fldCharType="end"/>
      </w:r>
      <w:r>
        <w:rPr>
          <w:rFonts w:hAnsi="宋体"/>
          <w:snapToGrid w:val="0"/>
          <w:color w:val="000000"/>
          <w:spacing w:val="-16"/>
          <w:kern w:val="21"/>
          <w:szCs w:val="21"/>
        </w:rPr>
        <w:t>-</w:t>
      </w:r>
      <w:r>
        <w:rPr>
          <w:rFonts w:hAnsi="宋体"/>
          <w:snapToGrid w:val="0"/>
          <w:color w:val="000000"/>
          <w:spacing w:val="-6"/>
          <w:kern w:val="21"/>
          <w:szCs w:val="21"/>
        </w:rPr>
        <w:fldChar w:fldCharType="begin"/>
      </w:r>
      <w:r>
        <w:rPr>
          <w:rFonts w:hAnsi="宋体"/>
          <w:snapToGrid w:val="0"/>
          <w:color w:val="000000"/>
          <w:spacing w:val="-6"/>
          <w:kern w:val="21"/>
          <w:szCs w:val="21"/>
        </w:rPr>
        <w:instrText xml:space="preserve"> = 1 \* GB3 \* MERGEFORMAT </w:instrText>
      </w:r>
      <w:r>
        <w:rPr>
          <w:rFonts w:hAnsi="宋体"/>
          <w:snapToGrid w:val="0"/>
          <w:color w:val="000000"/>
          <w:spacing w:val="-6"/>
          <w:kern w:val="21"/>
          <w:szCs w:val="21"/>
        </w:rPr>
        <w:fldChar w:fldCharType="separate"/>
      </w:r>
      <w:r>
        <w:rPr>
          <w:rFonts w:hint="eastAsia" w:hAnsi="宋体"/>
          <w:szCs w:val="21"/>
        </w:rPr>
        <w:t>①</w:t>
      </w:r>
      <w:r>
        <w:rPr>
          <w:rFonts w:hAnsi="宋体"/>
          <w:snapToGrid w:val="0"/>
          <w:color w:val="000000"/>
          <w:spacing w:val="-6"/>
          <w:kern w:val="21"/>
          <w:szCs w:val="21"/>
        </w:rPr>
        <w:fldChar w:fldCharType="end"/>
      </w:r>
    </w:p>
    <w:sectPr>
      <w:footerReference r:id="rId7" w:type="default"/>
      <w:pgSz w:w="16838" w:h="11906" w:orient="landscape"/>
      <w:pgMar w:top="1531" w:right="1701" w:bottom="1531" w:left="1701" w:header="851" w:footer="851" w:gutter="0"/>
      <w:pgBorders>
        <w:top w:val="none" w:sz="0" w:space="0"/>
        <w:left w:val="none" w:sz="0" w:space="0"/>
        <w:bottom w:val="none" w:sz="0" w:space="0"/>
        <w:right w:val="none" w:sz="0" w:space="0"/>
      </w:pgBorders>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方正小标宋_GBK">
    <w:altName w:val="Arial Unicode MS"/>
    <w:panose1 w:val="02000000000000000000"/>
    <w:charset w:val="86"/>
    <w:family w:val="script"/>
    <w:pitch w:val="default"/>
    <w:sig w:usb0="00000000" w:usb1="00000000" w:usb2="00082016" w:usb3="00000000" w:csb0="00040001" w:csb1="00000000"/>
  </w:font>
  <w:font w:name="楷体_GB2312">
    <w:panose1 w:val="02010609030101010101"/>
    <w:charset w:val="86"/>
    <w:family w:val="modern"/>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Wingdings 2">
    <w:panose1 w:val="05020102010507070707"/>
    <w:charset w:val="02"/>
    <w:family w:val="auto"/>
    <w:pitch w:val="default"/>
    <w:sig w:usb0="00000000" w:usb1="00000000" w:usb2="00000000" w:usb3="00000000" w:csb0="80000000" w:csb1="00000000"/>
  </w:font>
  <w:font w:name="新宋体">
    <w:panose1 w:val="02010609030101010101"/>
    <w:charset w:val="86"/>
    <w:family w:val="auto"/>
    <w:pitch w:val="default"/>
    <w:sig w:usb0="00000203" w:usb1="288F0000" w:usb2="00000006" w:usb3="00000000" w:csb0="00040001" w:csb1="00000000"/>
  </w:font>
  <w:font w:name="Arial Unicode MS">
    <w:panose1 w:val="020B0604020202020204"/>
    <w:charset w:val="86"/>
    <w:family w:val="auto"/>
    <w:pitch w:val="default"/>
    <w:sig w:usb0="F7FFAEFF" w:usb1="F9DFFFFF" w:usb2="0000007F" w:usb3="00000000" w:csb0="203F01FF" w:csb1="DFFF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6D6836">
    <w:pPr>
      <w:pStyle w:val="17"/>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8E629F">
    <w:pPr>
      <w:pStyle w:val="17"/>
      <w:framePr w:wrap="around" w:vAnchor="text" w:hAnchor="margin" w:xAlign="center" w:y="1"/>
      <w:rPr>
        <w:rStyle w:val="29"/>
      </w:rPr>
    </w:pPr>
    <w:r>
      <w:fldChar w:fldCharType="begin"/>
    </w:r>
    <w:r>
      <w:rPr>
        <w:rStyle w:val="29"/>
      </w:rPr>
      <w:instrText xml:space="preserve">PAGE  </w:instrText>
    </w:r>
    <w:r>
      <w:fldChar w:fldCharType="end"/>
    </w:r>
  </w:p>
  <w:p w14:paraId="600292D9">
    <w:pPr>
      <w:pStyle w:val="17"/>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B13C3A">
    <w:pPr>
      <w:pStyle w:val="17"/>
      <w:ind w:right="360" w:firstLine="36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0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7EAA96E">
                          <w:pPr>
                            <w:pStyle w:val="17"/>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103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zql5uc8AAAAFAQAADwAAAAAAAAAB&#10;ACAAAAAiAAAAZHJzL2Rvd25yZXYueG1sUEsBAhQAFAAAAAgAh07iQDqbATDgAQAAwgMAAA4AAAAA&#10;AAAAAQAgAAAAHgEAAGRycy9lMm9Eb2MueG1sUEsFBgAAAAAGAAYAWQEAAHAFAAAAAA==&#10;">
              <v:fill on="f" focussize="0,0"/>
              <v:stroke on="f"/>
              <v:imagedata o:title=""/>
              <o:lock v:ext="edit" aspectratio="f"/>
              <v:textbox inset="0mm,0mm,0mm,0mm" style="mso-fit-shape-to-text:t;">
                <w:txbxContent>
                  <w:p w14:paraId="37EAA96E">
                    <w:pPr>
                      <w:pStyle w:val="1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77C669">
    <w:pPr>
      <w:pStyle w:val="17"/>
      <w:ind w:right="360" w:firstLine="36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3998481">
                          <w:pPr>
                            <w:pStyle w:val="17"/>
                          </w:pPr>
                          <w:r>
                            <w:fldChar w:fldCharType="begin"/>
                          </w:r>
                          <w:r>
                            <w:instrText xml:space="preserve"> PAGE  \* MERGEFORMAT </w:instrText>
                          </w:r>
                          <w:r>
                            <w:fldChar w:fldCharType="separate"/>
                          </w:r>
                          <w:r>
                            <w:t>2</w:t>
                          </w:r>
                          <w:r>
                            <w:fldChar w:fldCharType="end"/>
                          </w:r>
                        </w:p>
                      </w:txbxContent>
                    </wps:txbx>
                    <wps:bodyPr vert="horz" wrap="none" lIns="0" tIns="0" rIns="0" bIns="0" anchor="t" anchorCtr="0" upright="0">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zql5uc8AAAAFAQAADwAAAAAAAAAB&#10;ACAAAAAiAAAAZHJzL2Rvd25yZXYueG1sUEsBAhQAFAAAAAgAh07iQAxKDUDgAQAAwgMAAA4AAAAA&#10;AAAAAQAgAAAAHgEAAGRycy9lMm9Eb2MueG1sUEsFBgAAAAAGAAYAWQEAAHAFAAAAAA==&#10;">
              <v:fill on="f" focussize="0,0"/>
              <v:stroke on="f"/>
              <v:imagedata o:title=""/>
              <o:lock v:ext="edit" aspectratio="f"/>
              <v:textbox inset="0mm,0mm,0mm,0mm" style="mso-fit-shape-to-text:t;">
                <w:txbxContent>
                  <w:p w14:paraId="43998481">
                    <w:pPr>
                      <w:pStyle w:val="17"/>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8E5EC3">
    <w:pPr>
      <w:pStyle w:val="17"/>
      <w:ind w:right="360" w:firstLine="360"/>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0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4F03978">
                          <w:pPr>
                            <w:pStyle w:val="17"/>
                          </w:pPr>
                          <w:r>
                            <w:fldChar w:fldCharType="begin"/>
                          </w:r>
                          <w:r>
                            <w:instrText xml:space="preserve"> PAGE  \* MERGEFORMAT </w:instrText>
                          </w:r>
                          <w:r>
                            <w:fldChar w:fldCharType="separate"/>
                          </w:r>
                          <w:r>
                            <w:t>8</w:t>
                          </w:r>
                          <w:r>
                            <w:fldChar w:fldCharType="end"/>
                          </w:r>
                        </w:p>
                      </w:txbxContent>
                    </wps:txbx>
                    <wps:bodyPr vert="horz" wrap="none" lIns="0" tIns="0" rIns="0" bIns="0" anchor="t" anchorCtr="0" upright="0">
                      <a:spAutoFit/>
                    </wps:bodyPr>
                  </wps:wsp>
                </a:graphicData>
              </a:graphic>
            </wp:anchor>
          </w:drawing>
        </mc:Choice>
        <mc:Fallback>
          <w:pict>
            <v:shape id="文本框 1035"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AXbY9C4QEAAMIDAAAOAAAA&#10;AAAAAAEAIAAAAB4BAABkcnMvZTJvRG9jLnhtbFBLBQYAAAAABgAGAFkBAABxBQAAAAA=&#10;">
              <v:fill on="f" focussize="0,0"/>
              <v:stroke on="f"/>
              <v:imagedata o:title=""/>
              <o:lock v:ext="edit" aspectratio="f"/>
              <v:textbox inset="0mm,0mm,0mm,0mm" style="mso-fit-shape-to-text:t;">
                <w:txbxContent>
                  <w:p w14:paraId="64F03978">
                    <w:pPr>
                      <w:pStyle w:val="17"/>
                    </w:pPr>
                    <w:r>
                      <w:fldChar w:fldCharType="begin"/>
                    </w:r>
                    <w:r>
                      <w:instrText xml:space="preserve"> PAGE  \* MERGEFORMAT </w:instrText>
                    </w:r>
                    <w:r>
                      <w:fldChar w:fldCharType="separate"/>
                    </w:r>
                    <w:r>
                      <w:t>8</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A734D2"/>
    <w:multiLevelType w:val="singleLevel"/>
    <w:tmpl w:val="A0A734D2"/>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NotDisplayPageBoundaries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dit="trackedChanges" w:enforcement="0"/>
  <w:defaultTabStop w:val="420"/>
  <w:hyphenationZone w:val="36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hdrShapeDefaults>
    <o:shapelayout v:ext="edit">
      <o:idmap v:ext="edit" data="2,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RkYTEyNWVmNDE5OTZiMjg3MjRhYWMzMTRhZjI5YTUifQ=="/>
  </w:docVars>
  <w:rsids>
    <w:rsidRoot w:val="00A14947"/>
    <w:rsid w:val="000060B3"/>
    <w:rsid w:val="0004364B"/>
    <w:rsid w:val="00061B1F"/>
    <w:rsid w:val="000733C4"/>
    <w:rsid w:val="00074783"/>
    <w:rsid w:val="0008070B"/>
    <w:rsid w:val="000810AC"/>
    <w:rsid w:val="00081A02"/>
    <w:rsid w:val="00082231"/>
    <w:rsid w:val="00092D38"/>
    <w:rsid w:val="0009377B"/>
    <w:rsid w:val="000A20C9"/>
    <w:rsid w:val="000B058F"/>
    <w:rsid w:val="000B4467"/>
    <w:rsid w:val="000B4DB9"/>
    <w:rsid w:val="000C09AC"/>
    <w:rsid w:val="000C767F"/>
    <w:rsid w:val="000D5A44"/>
    <w:rsid w:val="000E3ED2"/>
    <w:rsid w:val="00131F42"/>
    <w:rsid w:val="001357F1"/>
    <w:rsid w:val="00140FA8"/>
    <w:rsid w:val="00142FEB"/>
    <w:rsid w:val="00143A2D"/>
    <w:rsid w:val="00145A41"/>
    <w:rsid w:val="00151675"/>
    <w:rsid w:val="00157435"/>
    <w:rsid w:val="0017504D"/>
    <w:rsid w:val="0017671A"/>
    <w:rsid w:val="00177422"/>
    <w:rsid w:val="00184590"/>
    <w:rsid w:val="001870D1"/>
    <w:rsid w:val="0018781E"/>
    <w:rsid w:val="0019262D"/>
    <w:rsid w:val="001A1B35"/>
    <w:rsid w:val="001A48A2"/>
    <w:rsid w:val="001A6F61"/>
    <w:rsid w:val="001B72B8"/>
    <w:rsid w:val="001C69B3"/>
    <w:rsid w:val="001D5595"/>
    <w:rsid w:val="001D7874"/>
    <w:rsid w:val="001D7F22"/>
    <w:rsid w:val="001F0F17"/>
    <w:rsid w:val="001F3347"/>
    <w:rsid w:val="001F69E4"/>
    <w:rsid w:val="002125B4"/>
    <w:rsid w:val="002155B8"/>
    <w:rsid w:val="00224839"/>
    <w:rsid w:val="002249B2"/>
    <w:rsid w:val="00226574"/>
    <w:rsid w:val="002278EC"/>
    <w:rsid w:val="0023280E"/>
    <w:rsid w:val="002377D1"/>
    <w:rsid w:val="002506BC"/>
    <w:rsid w:val="00254345"/>
    <w:rsid w:val="00264557"/>
    <w:rsid w:val="002805AB"/>
    <w:rsid w:val="00284204"/>
    <w:rsid w:val="00291773"/>
    <w:rsid w:val="002A168C"/>
    <w:rsid w:val="002A3DC7"/>
    <w:rsid w:val="002B49E2"/>
    <w:rsid w:val="002B7B00"/>
    <w:rsid w:val="002B7C44"/>
    <w:rsid w:val="002C2B17"/>
    <w:rsid w:val="002D3DD0"/>
    <w:rsid w:val="002E1F3A"/>
    <w:rsid w:val="002E298A"/>
    <w:rsid w:val="00301978"/>
    <w:rsid w:val="0030332C"/>
    <w:rsid w:val="003051C2"/>
    <w:rsid w:val="00312296"/>
    <w:rsid w:val="00314F0E"/>
    <w:rsid w:val="00321D8E"/>
    <w:rsid w:val="00325928"/>
    <w:rsid w:val="00332863"/>
    <w:rsid w:val="0033684D"/>
    <w:rsid w:val="00337B42"/>
    <w:rsid w:val="00341B42"/>
    <w:rsid w:val="0034348F"/>
    <w:rsid w:val="00356653"/>
    <w:rsid w:val="0035743F"/>
    <w:rsid w:val="00357BE2"/>
    <w:rsid w:val="0036170C"/>
    <w:rsid w:val="00366E0F"/>
    <w:rsid w:val="00381A72"/>
    <w:rsid w:val="00384676"/>
    <w:rsid w:val="00390857"/>
    <w:rsid w:val="003A4BF3"/>
    <w:rsid w:val="003B420D"/>
    <w:rsid w:val="003C6C16"/>
    <w:rsid w:val="003D794D"/>
    <w:rsid w:val="003E3058"/>
    <w:rsid w:val="003E76A9"/>
    <w:rsid w:val="003F0809"/>
    <w:rsid w:val="003F6A8C"/>
    <w:rsid w:val="003F755C"/>
    <w:rsid w:val="00406F01"/>
    <w:rsid w:val="00416D50"/>
    <w:rsid w:val="00416FD5"/>
    <w:rsid w:val="00417772"/>
    <w:rsid w:val="00420E6A"/>
    <w:rsid w:val="00425A9E"/>
    <w:rsid w:val="00426D6B"/>
    <w:rsid w:val="00431E6C"/>
    <w:rsid w:val="00433CE7"/>
    <w:rsid w:val="00452738"/>
    <w:rsid w:val="00456091"/>
    <w:rsid w:val="00466321"/>
    <w:rsid w:val="00484B9B"/>
    <w:rsid w:val="004855F6"/>
    <w:rsid w:val="0048661E"/>
    <w:rsid w:val="00494670"/>
    <w:rsid w:val="004A3823"/>
    <w:rsid w:val="004E6946"/>
    <w:rsid w:val="004F1AD8"/>
    <w:rsid w:val="005039CB"/>
    <w:rsid w:val="0050558F"/>
    <w:rsid w:val="00506286"/>
    <w:rsid w:val="00510813"/>
    <w:rsid w:val="00511990"/>
    <w:rsid w:val="00511DE0"/>
    <w:rsid w:val="00514870"/>
    <w:rsid w:val="00514B9B"/>
    <w:rsid w:val="00517F02"/>
    <w:rsid w:val="00524303"/>
    <w:rsid w:val="005258A2"/>
    <w:rsid w:val="005401AE"/>
    <w:rsid w:val="00542E07"/>
    <w:rsid w:val="00545424"/>
    <w:rsid w:val="00554A7B"/>
    <w:rsid w:val="0055572C"/>
    <w:rsid w:val="0056106A"/>
    <w:rsid w:val="005720AE"/>
    <w:rsid w:val="00594D77"/>
    <w:rsid w:val="005969E4"/>
    <w:rsid w:val="005A06B7"/>
    <w:rsid w:val="005A1759"/>
    <w:rsid w:val="005A68A7"/>
    <w:rsid w:val="005D36AB"/>
    <w:rsid w:val="005F0D0D"/>
    <w:rsid w:val="00617CC3"/>
    <w:rsid w:val="006377A6"/>
    <w:rsid w:val="00637A3D"/>
    <w:rsid w:val="006411EF"/>
    <w:rsid w:val="006748B8"/>
    <w:rsid w:val="006775C3"/>
    <w:rsid w:val="0069290A"/>
    <w:rsid w:val="0069775A"/>
    <w:rsid w:val="00697813"/>
    <w:rsid w:val="006A3EE8"/>
    <w:rsid w:val="006A72BF"/>
    <w:rsid w:val="006B03F2"/>
    <w:rsid w:val="006B37DC"/>
    <w:rsid w:val="006B4F68"/>
    <w:rsid w:val="006C0592"/>
    <w:rsid w:val="006C272E"/>
    <w:rsid w:val="006C5479"/>
    <w:rsid w:val="006D13B5"/>
    <w:rsid w:val="006E12FF"/>
    <w:rsid w:val="006E607E"/>
    <w:rsid w:val="00706C5D"/>
    <w:rsid w:val="00732922"/>
    <w:rsid w:val="0075162E"/>
    <w:rsid w:val="00754034"/>
    <w:rsid w:val="00756556"/>
    <w:rsid w:val="007618C4"/>
    <w:rsid w:val="00767980"/>
    <w:rsid w:val="00770B19"/>
    <w:rsid w:val="0077463F"/>
    <w:rsid w:val="007836EA"/>
    <w:rsid w:val="00784CDA"/>
    <w:rsid w:val="007906C4"/>
    <w:rsid w:val="007940EA"/>
    <w:rsid w:val="007967E8"/>
    <w:rsid w:val="007A2170"/>
    <w:rsid w:val="007A22BF"/>
    <w:rsid w:val="007A3323"/>
    <w:rsid w:val="007B72B8"/>
    <w:rsid w:val="007B7A58"/>
    <w:rsid w:val="007C21B5"/>
    <w:rsid w:val="007E4BD2"/>
    <w:rsid w:val="00801393"/>
    <w:rsid w:val="00802F88"/>
    <w:rsid w:val="0081293E"/>
    <w:rsid w:val="00815465"/>
    <w:rsid w:val="00817E9A"/>
    <w:rsid w:val="008306BD"/>
    <w:rsid w:val="00831A80"/>
    <w:rsid w:val="00833743"/>
    <w:rsid w:val="008340A4"/>
    <w:rsid w:val="0087135F"/>
    <w:rsid w:val="00872D94"/>
    <w:rsid w:val="00880364"/>
    <w:rsid w:val="00891592"/>
    <w:rsid w:val="00891E9E"/>
    <w:rsid w:val="008A2F68"/>
    <w:rsid w:val="008B4FA6"/>
    <w:rsid w:val="008B5282"/>
    <w:rsid w:val="008B7C17"/>
    <w:rsid w:val="008C2D01"/>
    <w:rsid w:val="008C40E6"/>
    <w:rsid w:val="008D0F7A"/>
    <w:rsid w:val="008D68E4"/>
    <w:rsid w:val="008E0506"/>
    <w:rsid w:val="008E0CFF"/>
    <w:rsid w:val="008E5D6B"/>
    <w:rsid w:val="008E76F0"/>
    <w:rsid w:val="008F15FE"/>
    <w:rsid w:val="008F2D29"/>
    <w:rsid w:val="008F5187"/>
    <w:rsid w:val="008F60D8"/>
    <w:rsid w:val="00902727"/>
    <w:rsid w:val="0090312B"/>
    <w:rsid w:val="0091736D"/>
    <w:rsid w:val="0093037A"/>
    <w:rsid w:val="0094154D"/>
    <w:rsid w:val="0095155F"/>
    <w:rsid w:val="00954429"/>
    <w:rsid w:val="009563CE"/>
    <w:rsid w:val="00976328"/>
    <w:rsid w:val="0097680D"/>
    <w:rsid w:val="00982438"/>
    <w:rsid w:val="0098404C"/>
    <w:rsid w:val="00985283"/>
    <w:rsid w:val="00995992"/>
    <w:rsid w:val="009A03E5"/>
    <w:rsid w:val="009A0F3B"/>
    <w:rsid w:val="009A1BB4"/>
    <w:rsid w:val="009A2628"/>
    <w:rsid w:val="009A3200"/>
    <w:rsid w:val="009B0897"/>
    <w:rsid w:val="009B7BD9"/>
    <w:rsid w:val="009C7DD5"/>
    <w:rsid w:val="009E227D"/>
    <w:rsid w:val="009E5019"/>
    <w:rsid w:val="00A04F1B"/>
    <w:rsid w:val="00A0501B"/>
    <w:rsid w:val="00A14947"/>
    <w:rsid w:val="00A32A83"/>
    <w:rsid w:val="00A368DB"/>
    <w:rsid w:val="00A423AA"/>
    <w:rsid w:val="00A53EC6"/>
    <w:rsid w:val="00A55C0F"/>
    <w:rsid w:val="00A8713F"/>
    <w:rsid w:val="00A90BA1"/>
    <w:rsid w:val="00A97A9A"/>
    <w:rsid w:val="00AA0671"/>
    <w:rsid w:val="00AA2531"/>
    <w:rsid w:val="00AB1E09"/>
    <w:rsid w:val="00AB5330"/>
    <w:rsid w:val="00AB7747"/>
    <w:rsid w:val="00AC14CE"/>
    <w:rsid w:val="00AC2A56"/>
    <w:rsid w:val="00AD055E"/>
    <w:rsid w:val="00AD47A7"/>
    <w:rsid w:val="00AF0CBF"/>
    <w:rsid w:val="00AF257F"/>
    <w:rsid w:val="00AF33CF"/>
    <w:rsid w:val="00AF4D50"/>
    <w:rsid w:val="00AF6179"/>
    <w:rsid w:val="00B1295A"/>
    <w:rsid w:val="00B20A45"/>
    <w:rsid w:val="00B22C5C"/>
    <w:rsid w:val="00B24F30"/>
    <w:rsid w:val="00B31ABF"/>
    <w:rsid w:val="00B33BE3"/>
    <w:rsid w:val="00B53B5D"/>
    <w:rsid w:val="00B6055E"/>
    <w:rsid w:val="00B6317D"/>
    <w:rsid w:val="00B7723F"/>
    <w:rsid w:val="00B80534"/>
    <w:rsid w:val="00B8433C"/>
    <w:rsid w:val="00B87491"/>
    <w:rsid w:val="00BA29E9"/>
    <w:rsid w:val="00BA7142"/>
    <w:rsid w:val="00BB237C"/>
    <w:rsid w:val="00BB41A3"/>
    <w:rsid w:val="00BC32DC"/>
    <w:rsid w:val="00BC35B6"/>
    <w:rsid w:val="00BD1B51"/>
    <w:rsid w:val="00BD4596"/>
    <w:rsid w:val="00BE1405"/>
    <w:rsid w:val="00BE312D"/>
    <w:rsid w:val="00BF1C20"/>
    <w:rsid w:val="00C10578"/>
    <w:rsid w:val="00C135BC"/>
    <w:rsid w:val="00C15C95"/>
    <w:rsid w:val="00C2596A"/>
    <w:rsid w:val="00C27537"/>
    <w:rsid w:val="00C328FE"/>
    <w:rsid w:val="00C33507"/>
    <w:rsid w:val="00C4409D"/>
    <w:rsid w:val="00C44E72"/>
    <w:rsid w:val="00C45A06"/>
    <w:rsid w:val="00C47E5B"/>
    <w:rsid w:val="00C61E4B"/>
    <w:rsid w:val="00C64BFF"/>
    <w:rsid w:val="00C704E9"/>
    <w:rsid w:val="00C763C9"/>
    <w:rsid w:val="00C80057"/>
    <w:rsid w:val="00C82232"/>
    <w:rsid w:val="00C82913"/>
    <w:rsid w:val="00C972B1"/>
    <w:rsid w:val="00CA2CCE"/>
    <w:rsid w:val="00CA43FD"/>
    <w:rsid w:val="00CA7EF8"/>
    <w:rsid w:val="00CC489B"/>
    <w:rsid w:val="00CD2BCD"/>
    <w:rsid w:val="00CD3A4C"/>
    <w:rsid w:val="00CE10E9"/>
    <w:rsid w:val="00CE2910"/>
    <w:rsid w:val="00CE5393"/>
    <w:rsid w:val="00CF36BE"/>
    <w:rsid w:val="00CF6000"/>
    <w:rsid w:val="00D003F3"/>
    <w:rsid w:val="00D0364F"/>
    <w:rsid w:val="00D06834"/>
    <w:rsid w:val="00D308ED"/>
    <w:rsid w:val="00D36D86"/>
    <w:rsid w:val="00D428AA"/>
    <w:rsid w:val="00D50A34"/>
    <w:rsid w:val="00D53EFA"/>
    <w:rsid w:val="00D94A7C"/>
    <w:rsid w:val="00D95896"/>
    <w:rsid w:val="00DA3580"/>
    <w:rsid w:val="00DB2983"/>
    <w:rsid w:val="00DC1257"/>
    <w:rsid w:val="00DC3DC0"/>
    <w:rsid w:val="00DC5B2B"/>
    <w:rsid w:val="00DD318D"/>
    <w:rsid w:val="00DF2E12"/>
    <w:rsid w:val="00DF514A"/>
    <w:rsid w:val="00DF6690"/>
    <w:rsid w:val="00DF6804"/>
    <w:rsid w:val="00E0358D"/>
    <w:rsid w:val="00E04323"/>
    <w:rsid w:val="00E070A2"/>
    <w:rsid w:val="00E2656A"/>
    <w:rsid w:val="00E412D0"/>
    <w:rsid w:val="00E56322"/>
    <w:rsid w:val="00E60982"/>
    <w:rsid w:val="00E62C62"/>
    <w:rsid w:val="00E654C1"/>
    <w:rsid w:val="00E65D97"/>
    <w:rsid w:val="00E72A5A"/>
    <w:rsid w:val="00E73354"/>
    <w:rsid w:val="00E9242D"/>
    <w:rsid w:val="00EB5255"/>
    <w:rsid w:val="00EB5C47"/>
    <w:rsid w:val="00EB60B2"/>
    <w:rsid w:val="00ED0639"/>
    <w:rsid w:val="00EF4755"/>
    <w:rsid w:val="00EF7135"/>
    <w:rsid w:val="00F027DB"/>
    <w:rsid w:val="00F14A7A"/>
    <w:rsid w:val="00F22985"/>
    <w:rsid w:val="00F3383E"/>
    <w:rsid w:val="00F465A7"/>
    <w:rsid w:val="00F50B7C"/>
    <w:rsid w:val="00F550E6"/>
    <w:rsid w:val="00F74345"/>
    <w:rsid w:val="00F80A0A"/>
    <w:rsid w:val="00F82B19"/>
    <w:rsid w:val="00F9212D"/>
    <w:rsid w:val="00F965DA"/>
    <w:rsid w:val="00FA406A"/>
    <w:rsid w:val="00FB503A"/>
    <w:rsid w:val="00FB516C"/>
    <w:rsid w:val="00FD0236"/>
    <w:rsid w:val="00FD18F4"/>
    <w:rsid w:val="00FD54DB"/>
    <w:rsid w:val="00FD619F"/>
    <w:rsid w:val="01185E50"/>
    <w:rsid w:val="01290F7E"/>
    <w:rsid w:val="015D1E09"/>
    <w:rsid w:val="016D7686"/>
    <w:rsid w:val="01A7022B"/>
    <w:rsid w:val="01A86D70"/>
    <w:rsid w:val="02697903"/>
    <w:rsid w:val="02BD239A"/>
    <w:rsid w:val="02F96569"/>
    <w:rsid w:val="03824AAC"/>
    <w:rsid w:val="03D251BA"/>
    <w:rsid w:val="03EA7B21"/>
    <w:rsid w:val="04C61518"/>
    <w:rsid w:val="04CE5ACF"/>
    <w:rsid w:val="04F454D9"/>
    <w:rsid w:val="05F81055"/>
    <w:rsid w:val="05F83EAE"/>
    <w:rsid w:val="0628014F"/>
    <w:rsid w:val="063E7D85"/>
    <w:rsid w:val="06E5281B"/>
    <w:rsid w:val="07005924"/>
    <w:rsid w:val="07293586"/>
    <w:rsid w:val="07295285"/>
    <w:rsid w:val="074A3B33"/>
    <w:rsid w:val="07636392"/>
    <w:rsid w:val="076E3F95"/>
    <w:rsid w:val="07770C56"/>
    <w:rsid w:val="09085F9D"/>
    <w:rsid w:val="092217DD"/>
    <w:rsid w:val="093A7294"/>
    <w:rsid w:val="09AF4352"/>
    <w:rsid w:val="09B3459F"/>
    <w:rsid w:val="09C91E87"/>
    <w:rsid w:val="0A263993"/>
    <w:rsid w:val="0A2D3AC2"/>
    <w:rsid w:val="0AA755DF"/>
    <w:rsid w:val="0B120D44"/>
    <w:rsid w:val="0BB42D93"/>
    <w:rsid w:val="0BD27BF6"/>
    <w:rsid w:val="0C3B3C7D"/>
    <w:rsid w:val="0C601702"/>
    <w:rsid w:val="0CAB2EAE"/>
    <w:rsid w:val="0D4B52D8"/>
    <w:rsid w:val="0D621C7D"/>
    <w:rsid w:val="0D7D4536"/>
    <w:rsid w:val="0D943E29"/>
    <w:rsid w:val="0E73034D"/>
    <w:rsid w:val="0EEE56EB"/>
    <w:rsid w:val="0F052A35"/>
    <w:rsid w:val="0F113188"/>
    <w:rsid w:val="0F13775A"/>
    <w:rsid w:val="0F447297"/>
    <w:rsid w:val="0F5F45FE"/>
    <w:rsid w:val="0F7607FB"/>
    <w:rsid w:val="0F9A112B"/>
    <w:rsid w:val="0FDE23D0"/>
    <w:rsid w:val="10030D22"/>
    <w:rsid w:val="1045758D"/>
    <w:rsid w:val="106D2F64"/>
    <w:rsid w:val="10B52DFF"/>
    <w:rsid w:val="10B63710"/>
    <w:rsid w:val="10F10820"/>
    <w:rsid w:val="111C2F7A"/>
    <w:rsid w:val="11665CA1"/>
    <w:rsid w:val="11B60016"/>
    <w:rsid w:val="11D97709"/>
    <w:rsid w:val="12525F91"/>
    <w:rsid w:val="125C471A"/>
    <w:rsid w:val="12A01039"/>
    <w:rsid w:val="13022F20"/>
    <w:rsid w:val="13951726"/>
    <w:rsid w:val="13973C12"/>
    <w:rsid w:val="14396509"/>
    <w:rsid w:val="14DB21E0"/>
    <w:rsid w:val="14DD2C3C"/>
    <w:rsid w:val="1597465D"/>
    <w:rsid w:val="16087E1D"/>
    <w:rsid w:val="16FF23A3"/>
    <w:rsid w:val="17701D14"/>
    <w:rsid w:val="17735226"/>
    <w:rsid w:val="189F624C"/>
    <w:rsid w:val="197E766C"/>
    <w:rsid w:val="19F13D4D"/>
    <w:rsid w:val="1A1C66C0"/>
    <w:rsid w:val="1A42393B"/>
    <w:rsid w:val="1A602B40"/>
    <w:rsid w:val="1AAD45DE"/>
    <w:rsid w:val="1AB23A71"/>
    <w:rsid w:val="1B046F80"/>
    <w:rsid w:val="1B3267B5"/>
    <w:rsid w:val="1B40161D"/>
    <w:rsid w:val="1B441859"/>
    <w:rsid w:val="1B6606B1"/>
    <w:rsid w:val="1B8454BF"/>
    <w:rsid w:val="1BA764C1"/>
    <w:rsid w:val="1BC53E8D"/>
    <w:rsid w:val="1C5E7925"/>
    <w:rsid w:val="1CB3587E"/>
    <w:rsid w:val="1CFD070F"/>
    <w:rsid w:val="1D5F6196"/>
    <w:rsid w:val="1D6132A5"/>
    <w:rsid w:val="1D8E56D5"/>
    <w:rsid w:val="1E036392"/>
    <w:rsid w:val="1E7A43DA"/>
    <w:rsid w:val="1ED015A4"/>
    <w:rsid w:val="1F301408"/>
    <w:rsid w:val="1F834796"/>
    <w:rsid w:val="1FE67D19"/>
    <w:rsid w:val="1FE7539E"/>
    <w:rsid w:val="20671BE0"/>
    <w:rsid w:val="20963CB8"/>
    <w:rsid w:val="20A81A1B"/>
    <w:rsid w:val="20B07FB6"/>
    <w:rsid w:val="20B646FB"/>
    <w:rsid w:val="20E92D0F"/>
    <w:rsid w:val="2100305C"/>
    <w:rsid w:val="212A726B"/>
    <w:rsid w:val="213B74B1"/>
    <w:rsid w:val="215A2310"/>
    <w:rsid w:val="21881B1F"/>
    <w:rsid w:val="21AE56AF"/>
    <w:rsid w:val="21BB2681"/>
    <w:rsid w:val="21C45D42"/>
    <w:rsid w:val="21DB6CBA"/>
    <w:rsid w:val="21DE318A"/>
    <w:rsid w:val="21EF5B80"/>
    <w:rsid w:val="22576990"/>
    <w:rsid w:val="22C92C4D"/>
    <w:rsid w:val="22F47480"/>
    <w:rsid w:val="2322550C"/>
    <w:rsid w:val="232F4EF7"/>
    <w:rsid w:val="23316E1D"/>
    <w:rsid w:val="2372337F"/>
    <w:rsid w:val="23DE1C48"/>
    <w:rsid w:val="240210CD"/>
    <w:rsid w:val="244F06AA"/>
    <w:rsid w:val="24BF09F7"/>
    <w:rsid w:val="252D53FE"/>
    <w:rsid w:val="25EC2D81"/>
    <w:rsid w:val="266F3730"/>
    <w:rsid w:val="26712A32"/>
    <w:rsid w:val="272D5B8C"/>
    <w:rsid w:val="277057A2"/>
    <w:rsid w:val="281149BF"/>
    <w:rsid w:val="288A0E11"/>
    <w:rsid w:val="28B112DC"/>
    <w:rsid w:val="28E026ED"/>
    <w:rsid w:val="29206EB8"/>
    <w:rsid w:val="29431AD4"/>
    <w:rsid w:val="29595666"/>
    <w:rsid w:val="29874881"/>
    <w:rsid w:val="29BA515E"/>
    <w:rsid w:val="29E325E0"/>
    <w:rsid w:val="2A047719"/>
    <w:rsid w:val="2A452503"/>
    <w:rsid w:val="2A780832"/>
    <w:rsid w:val="2B3318B3"/>
    <w:rsid w:val="2BA936A8"/>
    <w:rsid w:val="2C1B6F9C"/>
    <w:rsid w:val="2C315A5A"/>
    <w:rsid w:val="2C387B4E"/>
    <w:rsid w:val="2C4B1C25"/>
    <w:rsid w:val="2C603307"/>
    <w:rsid w:val="2D100A42"/>
    <w:rsid w:val="2D7C3C60"/>
    <w:rsid w:val="2D9E56F5"/>
    <w:rsid w:val="2DF47AA5"/>
    <w:rsid w:val="2E667F96"/>
    <w:rsid w:val="2E8226AB"/>
    <w:rsid w:val="2E913A09"/>
    <w:rsid w:val="2F320885"/>
    <w:rsid w:val="2F6A44C2"/>
    <w:rsid w:val="2F6C3459"/>
    <w:rsid w:val="2FD065E6"/>
    <w:rsid w:val="2FD96870"/>
    <w:rsid w:val="30580BC9"/>
    <w:rsid w:val="31024FC4"/>
    <w:rsid w:val="310E60D5"/>
    <w:rsid w:val="311E2ED7"/>
    <w:rsid w:val="313308E4"/>
    <w:rsid w:val="315619EE"/>
    <w:rsid w:val="315C449C"/>
    <w:rsid w:val="316F0601"/>
    <w:rsid w:val="3173493B"/>
    <w:rsid w:val="31946274"/>
    <w:rsid w:val="31B82709"/>
    <w:rsid w:val="31D05482"/>
    <w:rsid w:val="32135F41"/>
    <w:rsid w:val="32400B34"/>
    <w:rsid w:val="329E6876"/>
    <w:rsid w:val="333015F2"/>
    <w:rsid w:val="334B6320"/>
    <w:rsid w:val="339C2D2C"/>
    <w:rsid w:val="33D934D4"/>
    <w:rsid w:val="33E54F7B"/>
    <w:rsid w:val="33FE2F6A"/>
    <w:rsid w:val="340E07E5"/>
    <w:rsid w:val="34125129"/>
    <w:rsid w:val="34235BF7"/>
    <w:rsid w:val="34757B91"/>
    <w:rsid w:val="349C02D4"/>
    <w:rsid w:val="35301D0A"/>
    <w:rsid w:val="358C5FA8"/>
    <w:rsid w:val="35C12962"/>
    <w:rsid w:val="35C15DF1"/>
    <w:rsid w:val="36074A7F"/>
    <w:rsid w:val="362A34DE"/>
    <w:rsid w:val="36784723"/>
    <w:rsid w:val="36923549"/>
    <w:rsid w:val="369A2841"/>
    <w:rsid w:val="36B75FBF"/>
    <w:rsid w:val="36BD0C45"/>
    <w:rsid w:val="36C559EF"/>
    <w:rsid w:val="374C2FFD"/>
    <w:rsid w:val="378974B0"/>
    <w:rsid w:val="37E00298"/>
    <w:rsid w:val="386328A1"/>
    <w:rsid w:val="388768DE"/>
    <w:rsid w:val="38B302F9"/>
    <w:rsid w:val="38F12CD3"/>
    <w:rsid w:val="38F94775"/>
    <w:rsid w:val="391C2552"/>
    <w:rsid w:val="392971ED"/>
    <w:rsid w:val="39325651"/>
    <w:rsid w:val="39504729"/>
    <w:rsid w:val="395A1FF8"/>
    <w:rsid w:val="39625302"/>
    <w:rsid w:val="3A872856"/>
    <w:rsid w:val="3B3763D1"/>
    <w:rsid w:val="3BDB6EB7"/>
    <w:rsid w:val="3BE51ED5"/>
    <w:rsid w:val="3C0A30C1"/>
    <w:rsid w:val="3C2F6E1E"/>
    <w:rsid w:val="3C4F64BA"/>
    <w:rsid w:val="3C662A48"/>
    <w:rsid w:val="3C8A7C0A"/>
    <w:rsid w:val="3CDA245A"/>
    <w:rsid w:val="3D1E06B7"/>
    <w:rsid w:val="3E235573"/>
    <w:rsid w:val="3E566026"/>
    <w:rsid w:val="3E682A40"/>
    <w:rsid w:val="3EDA0523"/>
    <w:rsid w:val="3F0C7C4B"/>
    <w:rsid w:val="3F4A407F"/>
    <w:rsid w:val="3F622EF2"/>
    <w:rsid w:val="407A6407"/>
    <w:rsid w:val="40F40121"/>
    <w:rsid w:val="4200449D"/>
    <w:rsid w:val="423A3BCC"/>
    <w:rsid w:val="42417305"/>
    <w:rsid w:val="424E57D2"/>
    <w:rsid w:val="425026EE"/>
    <w:rsid w:val="42B26C49"/>
    <w:rsid w:val="42BF46CD"/>
    <w:rsid w:val="43200F30"/>
    <w:rsid w:val="433A6FE6"/>
    <w:rsid w:val="43480868"/>
    <w:rsid w:val="4350713C"/>
    <w:rsid w:val="436653E0"/>
    <w:rsid w:val="43BD2379"/>
    <w:rsid w:val="43C4431A"/>
    <w:rsid w:val="43D03296"/>
    <w:rsid w:val="44044A8E"/>
    <w:rsid w:val="44323D41"/>
    <w:rsid w:val="444255B6"/>
    <w:rsid w:val="447357CF"/>
    <w:rsid w:val="44B951CC"/>
    <w:rsid w:val="44CD14E0"/>
    <w:rsid w:val="44F20B0B"/>
    <w:rsid w:val="452E5F4C"/>
    <w:rsid w:val="45612018"/>
    <w:rsid w:val="458946E9"/>
    <w:rsid w:val="45A339D0"/>
    <w:rsid w:val="45A47C0E"/>
    <w:rsid w:val="45E00FB9"/>
    <w:rsid w:val="46577FD6"/>
    <w:rsid w:val="465F56D9"/>
    <w:rsid w:val="46892305"/>
    <w:rsid w:val="46B911C6"/>
    <w:rsid w:val="46D955A7"/>
    <w:rsid w:val="470D3C59"/>
    <w:rsid w:val="47133957"/>
    <w:rsid w:val="47482EE3"/>
    <w:rsid w:val="47A07E0C"/>
    <w:rsid w:val="4870272E"/>
    <w:rsid w:val="48BD267B"/>
    <w:rsid w:val="498D2D3D"/>
    <w:rsid w:val="49B20AE8"/>
    <w:rsid w:val="49DC7715"/>
    <w:rsid w:val="4A023139"/>
    <w:rsid w:val="4A7B576F"/>
    <w:rsid w:val="4AF561A9"/>
    <w:rsid w:val="4B5E1D4B"/>
    <w:rsid w:val="4B766DDB"/>
    <w:rsid w:val="4BD35F6A"/>
    <w:rsid w:val="4C2A2BB8"/>
    <w:rsid w:val="4C4A0649"/>
    <w:rsid w:val="4C4F3B58"/>
    <w:rsid w:val="4C7E5ECA"/>
    <w:rsid w:val="4C876AA5"/>
    <w:rsid w:val="4CFA4C80"/>
    <w:rsid w:val="4D0E00FB"/>
    <w:rsid w:val="4D176606"/>
    <w:rsid w:val="4D2158B2"/>
    <w:rsid w:val="4D714816"/>
    <w:rsid w:val="4DD620D3"/>
    <w:rsid w:val="4DEC4FB0"/>
    <w:rsid w:val="4E075D8A"/>
    <w:rsid w:val="4EC00FAD"/>
    <w:rsid w:val="4F8D1DDB"/>
    <w:rsid w:val="4F9843DC"/>
    <w:rsid w:val="4FC62A8C"/>
    <w:rsid w:val="4FE17A31"/>
    <w:rsid w:val="4FE20F0D"/>
    <w:rsid w:val="4FE51552"/>
    <w:rsid w:val="50485D02"/>
    <w:rsid w:val="50504C4B"/>
    <w:rsid w:val="509C6E7C"/>
    <w:rsid w:val="50CC248F"/>
    <w:rsid w:val="51177FF0"/>
    <w:rsid w:val="5162104E"/>
    <w:rsid w:val="51AE428B"/>
    <w:rsid w:val="51D00906"/>
    <w:rsid w:val="526B3F2A"/>
    <w:rsid w:val="52C5188C"/>
    <w:rsid w:val="52D63D56"/>
    <w:rsid w:val="5339770C"/>
    <w:rsid w:val="5386477B"/>
    <w:rsid w:val="53A039CC"/>
    <w:rsid w:val="53A1505A"/>
    <w:rsid w:val="54063E08"/>
    <w:rsid w:val="54295E4B"/>
    <w:rsid w:val="543437E8"/>
    <w:rsid w:val="54F73313"/>
    <w:rsid w:val="54F80955"/>
    <w:rsid w:val="55264138"/>
    <w:rsid w:val="555170A7"/>
    <w:rsid w:val="5587536D"/>
    <w:rsid w:val="559B174B"/>
    <w:rsid w:val="55CE0CF4"/>
    <w:rsid w:val="560674C5"/>
    <w:rsid w:val="563D3E2F"/>
    <w:rsid w:val="56B22A9C"/>
    <w:rsid w:val="570E7792"/>
    <w:rsid w:val="57B72A76"/>
    <w:rsid w:val="57C3426C"/>
    <w:rsid w:val="57CE1F93"/>
    <w:rsid w:val="57F16032"/>
    <w:rsid w:val="5878114F"/>
    <w:rsid w:val="588743D1"/>
    <w:rsid w:val="5887701A"/>
    <w:rsid w:val="589B7C55"/>
    <w:rsid w:val="59543F1F"/>
    <w:rsid w:val="59593744"/>
    <w:rsid w:val="59C0439F"/>
    <w:rsid w:val="5ABE2233"/>
    <w:rsid w:val="5BDF5D95"/>
    <w:rsid w:val="5BFE7528"/>
    <w:rsid w:val="5C4F3653"/>
    <w:rsid w:val="5C8541EA"/>
    <w:rsid w:val="5CC22998"/>
    <w:rsid w:val="5DC5333F"/>
    <w:rsid w:val="5E2467F1"/>
    <w:rsid w:val="5E290DED"/>
    <w:rsid w:val="5E8C5954"/>
    <w:rsid w:val="5F1A2B43"/>
    <w:rsid w:val="5F5C5FB8"/>
    <w:rsid w:val="5F697A43"/>
    <w:rsid w:val="5FA8585C"/>
    <w:rsid w:val="5FB837BB"/>
    <w:rsid w:val="604D4C6F"/>
    <w:rsid w:val="60CC405A"/>
    <w:rsid w:val="61004C07"/>
    <w:rsid w:val="61161505"/>
    <w:rsid w:val="61763A37"/>
    <w:rsid w:val="61B05F38"/>
    <w:rsid w:val="61E215D8"/>
    <w:rsid w:val="621B3775"/>
    <w:rsid w:val="62364782"/>
    <w:rsid w:val="62814656"/>
    <w:rsid w:val="62945689"/>
    <w:rsid w:val="62B22353"/>
    <w:rsid w:val="6394356A"/>
    <w:rsid w:val="63C61B2C"/>
    <w:rsid w:val="63D40BE9"/>
    <w:rsid w:val="63FC0431"/>
    <w:rsid w:val="64102431"/>
    <w:rsid w:val="64103F57"/>
    <w:rsid w:val="6445045C"/>
    <w:rsid w:val="64A5243A"/>
    <w:rsid w:val="64F531DE"/>
    <w:rsid w:val="650E0E71"/>
    <w:rsid w:val="65373578"/>
    <w:rsid w:val="660D737A"/>
    <w:rsid w:val="664769BF"/>
    <w:rsid w:val="671F124A"/>
    <w:rsid w:val="677A33C6"/>
    <w:rsid w:val="67BA495C"/>
    <w:rsid w:val="681F6961"/>
    <w:rsid w:val="68541290"/>
    <w:rsid w:val="68610A2F"/>
    <w:rsid w:val="68756DC9"/>
    <w:rsid w:val="68805514"/>
    <w:rsid w:val="688B4586"/>
    <w:rsid w:val="69316E2F"/>
    <w:rsid w:val="694E2071"/>
    <w:rsid w:val="69766163"/>
    <w:rsid w:val="697A3B33"/>
    <w:rsid w:val="69D44760"/>
    <w:rsid w:val="6A520EC7"/>
    <w:rsid w:val="6A7C6EA9"/>
    <w:rsid w:val="6AF87E20"/>
    <w:rsid w:val="6AFB4C9B"/>
    <w:rsid w:val="6B322639"/>
    <w:rsid w:val="6C264CF2"/>
    <w:rsid w:val="6C3C2767"/>
    <w:rsid w:val="6C636C38"/>
    <w:rsid w:val="6C8B0FF9"/>
    <w:rsid w:val="6CAB1849"/>
    <w:rsid w:val="6D2055BE"/>
    <w:rsid w:val="6D765106"/>
    <w:rsid w:val="6D771A05"/>
    <w:rsid w:val="6DB34098"/>
    <w:rsid w:val="6DB545B6"/>
    <w:rsid w:val="6DE02FB4"/>
    <w:rsid w:val="6E514CED"/>
    <w:rsid w:val="6EB2165A"/>
    <w:rsid w:val="6EB563D5"/>
    <w:rsid w:val="6ED92677"/>
    <w:rsid w:val="6EDE7B06"/>
    <w:rsid w:val="6F225983"/>
    <w:rsid w:val="6FFC5590"/>
    <w:rsid w:val="703B7CF7"/>
    <w:rsid w:val="704020FA"/>
    <w:rsid w:val="706D1DD0"/>
    <w:rsid w:val="70856B87"/>
    <w:rsid w:val="709C4360"/>
    <w:rsid w:val="70D527EE"/>
    <w:rsid w:val="71265D44"/>
    <w:rsid w:val="715B5300"/>
    <w:rsid w:val="71D27F8A"/>
    <w:rsid w:val="72553024"/>
    <w:rsid w:val="728F1979"/>
    <w:rsid w:val="729D55E2"/>
    <w:rsid w:val="730B69EF"/>
    <w:rsid w:val="73122968"/>
    <w:rsid w:val="731F5D5E"/>
    <w:rsid w:val="73417D31"/>
    <w:rsid w:val="73555EBD"/>
    <w:rsid w:val="73C51AD5"/>
    <w:rsid w:val="73C65A24"/>
    <w:rsid w:val="740D2C3B"/>
    <w:rsid w:val="741E793C"/>
    <w:rsid w:val="744A04A3"/>
    <w:rsid w:val="74534355"/>
    <w:rsid w:val="745E3944"/>
    <w:rsid w:val="745E5245"/>
    <w:rsid w:val="74926714"/>
    <w:rsid w:val="74BD01BD"/>
    <w:rsid w:val="7535244A"/>
    <w:rsid w:val="7635099D"/>
    <w:rsid w:val="763E7E1D"/>
    <w:rsid w:val="76C27D0D"/>
    <w:rsid w:val="77762421"/>
    <w:rsid w:val="7785391A"/>
    <w:rsid w:val="778F37EE"/>
    <w:rsid w:val="77AA48B7"/>
    <w:rsid w:val="77B56B1F"/>
    <w:rsid w:val="780F09F4"/>
    <w:rsid w:val="78A70F68"/>
    <w:rsid w:val="78A90480"/>
    <w:rsid w:val="790A7462"/>
    <w:rsid w:val="796F1266"/>
    <w:rsid w:val="79AB4A88"/>
    <w:rsid w:val="7A266805"/>
    <w:rsid w:val="7A364017"/>
    <w:rsid w:val="7A460BE1"/>
    <w:rsid w:val="7A8265E1"/>
    <w:rsid w:val="7B0A1C83"/>
    <w:rsid w:val="7B686D42"/>
    <w:rsid w:val="7B841746"/>
    <w:rsid w:val="7C6C5AC7"/>
    <w:rsid w:val="7C8C28EB"/>
    <w:rsid w:val="7C9A6E0E"/>
    <w:rsid w:val="7CBA5AF1"/>
    <w:rsid w:val="7CC6544B"/>
    <w:rsid w:val="7D0239FF"/>
    <w:rsid w:val="7D080444"/>
    <w:rsid w:val="7D2C615F"/>
    <w:rsid w:val="7D5E40CD"/>
    <w:rsid w:val="7D8D42A9"/>
    <w:rsid w:val="7DCD56F2"/>
    <w:rsid w:val="7E9006F1"/>
    <w:rsid w:val="7F001CE7"/>
    <w:rsid w:val="7F323556"/>
    <w:rsid w:val="7FD3347C"/>
    <w:rsid w:val="7FE47E5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iPriority="0" w:name="heading 2" w:locked="1"/>
    <w:lsdException w:qFormat="1" w:uiPriority="0" w:semiHidden="0" w:name="heading 3" w:locked="1"/>
    <w:lsdException w:qFormat="1" w:unhideWhenUsed="0" w:uiPriority="0" w:semiHidden="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qFormat="1" w:unhideWhenUsed="0" w:uiPriority="0" w:semiHidden="0" w:name="index 1" w:locked="1"/>
    <w:lsdException w:unhideWhenUsed="0" w:uiPriority="0" w:semiHidden="0" w:name="index 2" w:locked="1"/>
    <w:lsdException w:unhideWhenUsed="0" w:uiPriority="0" w:semiHidden="0" w:name="index 3" w:locked="1"/>
    <w:lsdException w:unhideWhenUsed="0" w:uiPriority="0" w:semiHidden="0" w:name="index 4" w:locked="1"/>
    <w:lsdException w:unhideWhenUsed="0" w:uiPriority="0" w:semiHidden="0" w:name="index 5" w:locked="1"/>
    <w:lsdException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iPriority="0" w:semiHidden="0" w:name="Normal Indent" w:locked="1"/>
    <w:lsdException w:unhideWhenUsed="0" w:uiPriority="0" w:semiHidden="0" w:name="footnote text" w:locked="1"/>
    <w:lsdException w:qFormat="1" w:unhideWhenUsed="0" w:uiPriority="0" w:name="annotation text"/>
    <w:lsdException w:qFormat="1" w:unhideWhenUsed="0" w:uiPriority="0" w:semiHidden="0" w:name="header"/>
    <w:lsdException w:qFormat="1" w:unhideWhenUsed="0" w:uiPriority="99" w:semiHidden="0" w:name="footer"/>
    <w:lsdException w:qFormat="1" w:uiPriority="99" w:semiHidden="0" w:name="index heading" w:locked="1"/>
    <w:lsdException w:qFormat="1" w:uiPriority="0" w:name="caption" w:locked="1"/>
    <w:lsdException w:unhideWhenUsed="0" w:uiPriority="0" w:semiHidden="0" w:name="table of figures" w:locked="1"/>
    <w:lsdException w:unhideWhenUsed="0" w:uiPriority="0" w:semiHidden="0" w:name="envelope address" w:locked="1"/>
    <w:lsdException w:unhideWhenUsed="0" w:uiPriority="0" w:semiHidden="0" w:name="envelope return" w:locked="1"/>
    <w:lsdException w:unhideWhenUsed="0" w:uiPriority="0" w:semiHidden="0" w:name="footnote reference" w:locked="1"/>
    <w:lsdException w:qFormat="1" w:unhideWhenUsed="0" w:uiPriority="0" w:name="annotation reference"/>
    <w:lsdException w:unhideWhenUsed="0" w:uiPriority="0" w:semiHidden="0" w:name="line number" w:locked="1"/>
    <w:lsdException w:qFormat="1" w:unhideWhenUsed="0" w:uiPriority="0" w:semiHidden="0" w:name="page number" w:locked="1"/>
    <w:lsdException w:unhideWhenUsed="0" w:uiPriority="0" w:semiHidden="0" w:name="endnote reference" w:locked="1"/>
    <w:lsdException w:unhideWhenUsed="0" w:uiPriority="0" w:semiHidden="0" w:name="endnote text" w:locked="1"/>
    <w:lsdException w:unhideWhenUsed="0" w:uiPriority="0" w:semiHidden="0" w:name="table of authorities" w:locked="1"/>
    <w:lsdException w:unhideWhenUsed="0" w:uiPriority="0" w:semiHidden="0" w:name="macro" w:locked="1"/>
    <w:lsdException w:unhideWhenUsed="0" w:uiPriority="0" w:semiHidden="0" w:name="toa heading" w:locked="1"/>
    <w:lsdException w:unhideWhenUsed="0" w:uiPriority="0" w:semiHidden="0" w:name="List" w:locked="1"/>
    <w:lsdException w:unhideWhenUsed="0" w:uiPriority="0" w:semiHidden="0" w:name="List Bullet" w:locked="1"/>
    <w:lsdException w:unhideWhenUsed="0" w:uiPriority="0" w:semiHidden="0" w:name="List Number" w:locked="1"/>
    <w:lsdException w:unhideWhenUsed="0" w:uiPriority="0" w:semiHidden="0" w:name="List 2" w:locked="1"/>
    <w:lsdException w:unhideWhenUsed="0" w:uiPriority="0" w:semiHidden="0" w:name="List 3" w:locked="1"/>
    <w:lsdException w:unhideWhenUsed="0" w:uiPriority="0" w:semiHidden="0" w:name="List 4" w:locked="1"/>
    <w:lsdException w:unhideWhenUsed="0" w:uiPriority="0" w:semiHidden="0" w:name="List 5" w:locked="1"/>
    <w:lsdException w:unhideWhenUsed="0" w:uiPriority="0" w:semiHidden="0" w:name="List Bullet 2" w:locked="1"/>
    <w:lsdException w:unhideWhenUsed="0" w:uiPriority="0" w:semiHidden="0" w:name="List Bullet 3" w:locked="1"/>
    <w:lsdException w:unhideWhenUsed="0" w:uiPriority="0" w:semiHidden="0" w:name="List Bullet 4" w:locked="1"/>
    <w:lsdException w:unhideWhenUsed="0" w:uiPriority="0" w:semiHidden="0" w:name="List Bullet 5" w:locked="1"/>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qFormat="1" w:unhideWhenUsed="0" w:uiPriority="0" w:semiHidden="0" w:name="Title" w:locked="1"/>
    <w:lsdException w:unhideWhenUsed="0" w:uiPriority="0" w:semiHidden="0" w:name="Closing" w:locked="1"/>
    <w:lsdException w:unhideWhenUsed="0" w:uiPriority="0" w:semiHidden="0" w:name="Signature" w:locked="1"/>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unhideWhenUsed="0" w:uiPriority="0" w:semiHidden="0" w:name="Message Header" w:locked="1"/>
    <w:lsdException w:qFormat="1" w:unhideWhenUsed="0" w:uiPriority="0" w:semiHidden="0" w:name="Subtitle" w:locked="1"/>
    <w:lsdException w:unhideWhenUsed="0" w:uiPriority="0" w:semiHidden="0" w:name="Salutation" w:locked="1"/>
    <w:lsdException w:qFormat="1" w:unhideWhenUsed="0" w:uiPriority="0" w:semiHidden="0" w:name="Date"/>
    <w:lsdException w:qFormat="1" w:unhideWhenUsed="0" w:uiPriority="0" w:semiHidden="0" w:name="Body Text First Indent" w:locked="1"/>
    <w:lsdException w:qFormat="1" w:unhideWhenUsed="0" w:uiPriority="0" w:semiHidden="0" w:name="Body Text First Indent 2" w:locked="1"/>
    <w:lsdException w:unhideWhenUsed="0" w:uiPriority="0" w:semiHidden="0" w:name="Note Heading" w:locked="1"/>
    <w:lsdException w:unhideWhenUsed="0" w:uiPriority="0" w:semiHidden="0" w:name="Body Text 2" w:locked="1"/>
    <w:lsdException w:unhideWhenUsed="0" w:uiPriority="0" w:semiHidden="0" w:name="Body Text 3" w:locked="1"/>
    <w:lsdException w:unhideWhenUsed="0" w:uiPriority="0" w:semiHidden="0" w:name="Body Text Indent 2" w:locked="1"/>
    <w:lsdException w:unhideWhenUsed="0" w:uiPriority="0" w:semiHidden="0" w:name="Body Text Indent 3" w:locked="1"/>
    <w:lsdException w:unhideWhenUsed="0" w:uiPriority="0" w:semiHidden="0" w:name="Block Text" w:locked="1"/>
    <w:lsdException w:unhideWhenUsed="0" w:uiPriority="0" w:semiHidden="0" w:name="Hyperlink" w:locked="1"/>
    <w:lsdException w:unhideWhenUsed="0" w:uiPriority="0" w:semiHidden="0" w:name="FollowedHyperlink" w:locked="1"/>
    <w:lsdException w:qFormat="1" w:unhideWhenUsed="0" w:uiPriority="0" w:semiHidden="0" w:name="Strong" w:locked="1"/>
    <w:lsdException w:qFormat="1" w:unhideWhenUsed="0" w:uiPriority="0" w:semiHidden="0" w:name="Emphasis" w:locked="1"/>
    <w:lsdException w:unhideWhenUsed="0" w:uiPriority="0" w:semiHidden="0" w:name="Document Map" w:locked="1"/>
    <w:lsdException w:qFormat="1" w:unhideWhenUsed="0" w:uiPriority="0" w:semiHidden="0" w:name="Plain Text" w:locked="1"/>
    <w:lsdException w:unhideWhenUsed="0" w:uiPriority="0" w:semiHidden="0" w:name="E-mail Signature" w:locked="1"/>
    <w:lsdException w:qFormat="1" w:unhideWhenUsed="0" w:uiPriority="0" w:semiHidden="0" w:name="Normal (Web)"/>
    <w:lsdException w:unhideWhenUsed="0" w:uiPriority="0" w:semiHidden="0" w:name="HTML Acronym" w:locked="1"/>
    <w:lsdException w:unhideWhenUsed="0" w:uiPriority="0" w:semiHidden="0" w:name="HTML Address" w:locked="1"/>
    <w:lsdException w:unhideWhenUsed="0" w:uiPriority="0" w:semiHidden="0" w:name="HTML Cite" w:locked="1"/>
    <w:lsdException w:unhideWhenUsed="0" w:uiPriority="0" w:semiHidden="0" w:name="HTML Code" w:locked="1"/>
    <w:lsdException w:unhideWhenUsed="0" w:uiPriority="0" w:semiHidden="0" w:name="HTML Definition" w:locked="1"/>
    <w:lsdException w:unhideWhenUsed="0" w:uiPriority="0" w:semiHidden="0" w:name="HTML Keyboard" w:locked="1"/>
    <w:lsdException w:unhideWhenUsed="0" w:uiPriority="0" w:semiHidden="0" w:name="HTML Preformatted" w:locked="1"/>
    <w:lsdException w:unhideWhenUsed="0" w:uiPriority="0" w:semiHidden="0" w:name="HTML Sample" w:locked="1"/>
    <w:lsdException w:unhideWhenUsed="0" w:uiPriority="0" w:semiHidden="0" w:name="HTML Typewriter" w:locked="1"/>
    <w:lsdException w:unhideWhenUsed="0" w:uiPriority="0" w:semiHidden="0" w:name="HTML Variable" w:locked="1"/>
    <w:lsdException w:qFormat="1" w:unhideWhenUsed="0" w:uiPriority="0" w:name="Normal Table"/>
    <w:lsdException w:qFormat="1" w:unhideWhenUsed="0" w:uiPriority="0" w:name="annotation subject"/>
    <w:lsdException w:unhideWhenUsed="0" w:uiPriority="0" w:semiHidden="0" w:name="Table Simple 1" w:locked="1"/>
    <w:lsdException w:unhideWhenUsed="0" w:uiPriority="0" w:semiHidden="0" w:name="Table Simple 2" w:locked="1"/>
    <w:lsdException w:unhideWhenUsed="0" w:uiPriority="0" w:semiHidden="0" w:name="Table Simple 3" w:locked="1"/>
    <w:lsdException w:unhideWhenUsed="0" w:uiPriority="0" w:semiHidden="0" w:name="Table Classic 1" w:locked="1"/>
    <w:lsdException w:unhideWhenUsed="0" w:uiPriority="0" w:semiHidden="0" w:name="Table Classic 2" w:locked="1"/>
    <w:lsdException w:unhideWhenUsed="0" w:uiPriority="0" w:semiHidden="0" w:name="Table Classic 3" w:locked="1"/>
    <w:lsdException w:unhideWhenUsed="0" w:uiPriority="0" w:semiHidden="0" w:name="Table Classic 4" w:locked="1"/>
    <w:lsdException w:unhideWhenUsed="0" w:uiPriority="0" w:semiHidden="0" w:name="Table Colorful 1" w:locked="1"/>
    <w:lsdException w:unhideWhenUsed="0" w:uiPriority="0" w:semiHidden="0" w:name="Table Colorful 2" w:locked="1"/>
    <w:lsdException w:unhideWhenUsed="0" w:uiPriority="0" w:semiHidden="0" w:name="Table Colorful 3" w:locked="1"/>
    <w:lsdException w:unhideWhenUsed="0" w:uiPriority="0" w:semiHidden="0" w:name="Table Columns 1" w:locked="1"/>
    <w:lsdException w:unhideWhenUsed="0" w:uiPriority="0" w:semiHidden="0" w:name="Table Columns 2" w:locked="1"/>
    <w:lsdException w:unhideWhenUsed="0" w:uiPriority="0" w:semiHidden="0" w:name="Table Columns 3" w:locked="1"/>
    <w:lsdException w:unhideWhenUsed="0" w:uiPriority="0" w:semiHidden="0" w:name="Table Columns 4" w:locked="1"/>
    <w:lsdException w:unhideWhenUsed="0" w:uiPriority="0" w:semiHidden="0" w:name="Table Columns 5" w:locked="1"/>
    <w:lsdException w:unhideWhenUsed="0" w:uiPriority="0" w:semiHidden="0" w:name="Table Grid 1" w:locked="1"/>
    <w:lsdException w:unhideWhenUsed="0" w:uiPriority="0" w:semiHidden="0" w:name="Table Grid 2" w:locked="1"/>
    <w:lsdException w:unhideWhenUsed="0" w:uiPriority="0" w:semiHidden="0" w:name="Table Grid 3" w:locked="1"/>
    <w:lsdException w:unhideWhenUsed="0" w:uiPriority="0" w:semiHidden="0" w:name="Table Grid 4" w:locked="1"/>
    <w:lsdException w:unhideWhenUsed="0" w:uiPriority="0" w:semiHidden="0" w:name="Table Grid 5" w:locked="1"/>
    <w:lsdException w:unhideWhenUsed="0" w:uiPriority="0" w:semiHidden="0" w:name="Table Grid 6" w:locked="1"/>
    <w:lsdException w:unhideWhenUsed="0" w:uiPriority="0" w:semiHidden="0" w:name="Table Grid 7" w:locked="1"/>
    <w:lsdException w:unhideWhenUsed="0" w:uiPriority="0" w:semiHidden="0" w:name="Table Grid 8" w:locked="1"/>
    <w:lsdException w:unhideWhenUsed="0" w:uiPriority="0" w:semiHidden="0" w:name="Table List 1" w:locked="1"/>
    <w:lsdException w:unhideWhenUsed="0" w:uiPriority="0" w:semiHidden="0" w:name="Table List 2" w:locked="1"/>
    <w:lsdException w:unhideWhenUsed="0" w:uiPriority="0" w:semiHidden="0" w:name="Table List 3" w:locked="1"/>
    <w:lsdException w:unhideWhenUsed="0" w:uiPriority="0" w:semiHidden="0" w:name="Table List 4" w:locked="1"/>
    <w:lsdException w:unhideWhenUsed="0" w:uiPriority="0" w:semiHidden="0" w:name="Table List 5" w:locked="1"/>
    <w:lsdException w:unhideWhenUsed="0" w:uiPriority="0" w:semiHidden="0" w:name="Table List 6" w:locked="1"/>
    <w:lsdException w:unhideWhenUsed="0" w:uiPriority="0" w:semiHidden="0" w:name="Table List 7" w:locked="1"/>
    <w:lsdException w:unhideWhenUsed="0" w:uiPriority="0" w:semiHidden="0" w:name="Table List 8" w:locked="1"/>
    <w:lsdException w:unhideWhenUsed="0" w:uiPriority="0" w:semiHidden="0" w:name="Table 3D effects 1" w:locked="1"/>
    <w:lsdException w:unhideWhenUsed="0" w:uiPriority="0" w:semiHidden="0" w:name="Table 3D effects 2" w:locked="1"/>
    <w:lsdException w:unhideWhenUsed="0" w:uiPriority="0" w:semiHidden="0" w:name="Table 3D effects 3" w:locked="1"/>
    <w:lsdException w:unhideWhenUsed="0" w:uiPriority="0" w:semiHidden="0" w:name="Table Contemporary" w:locked="1"/>
    <w:lsdException w:unhideWhenUsed="0" w:uiPriority="0" w:semiHidden="0" w:name="Table Elegant" w:locked="1"/>
    <w:lsdException w:unhideWhenUsed="0" w:uiPriority="0" w:semiHidden="0" w:name="Table Professional" w:locked="1"/>
    <w:lsdException w:unhideWhenUsed="0" w:uiPriority="0" w:semiHidden="0" w:name="Table Subtle 1" w:locked="1"/>
    <w:lsdException w:unhideWhenUsed="0" w:uiPriority="0" w:semiHidden="0" w:name="Table Subtle 2" w:locked="1"/>
    <w:lsdException w:unhideWhenUsed="0" w:uiPriority="0" w:semiHidden="0" w:name="Table Web 1" w:locked="1"/>
    <w:lsdException w:unhideWhenUsed="0" w:uiPriority="0" w:semiHidden="0" w:name="Table Web 2" w:locked="1"/>
    <w:lsdException w:unhideWhenUsed="0" w:uiPriority="0" w:semiHidden="0" w:name="Table Web 3" w:locked="1"/>
    <w:lsdException w:qFormat="1" w:unhideWhenUsed="0" w:uiPriority="0" w:name="Balloon Text"/>
    <w:lsdException w:qFormat="1" w:unhideWhenUsed="0" w:uiPriority="0" w:semiHidden="0" w:name="Table Grid"/>
    <w:lsdException w:unhideWhenUsed="0" w:uiPriority="0" w:semiHidden="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7">
    <w:name w:val="heading 1"/>
    <w:basedOn w:val="1"/>
    <w:next w:val="1"/>
    <w:qFormat/>
    <w:locked/>
    <w:uiPriority w:val="99"/>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8">
    <w:name w:val="heading 3"/>
    <w:basedOn w:val="1"/>
    <w:next w:val="1"/>
    <w:unhideWhenUsed/>
    <w:qFormat/>
    <w:locked/>
    <w:uiPriority w:val="0"/>
    <w:pPr>
      <w:keepNext/>
      <w:keepLines/>
      <w:spacing w:before="260" w:beforeLines="0" w:beforeAutospacing="0" w:after="260" w:afterLines="0" w:afterAutospacing="0" w:line="413" w:lineRule="auto"/>
      <w:outlineLvl w:val="2"/>
    </w:pPr>
    <w:rPr>
      <w:rFonts w:ascii="Times New Roman" w:hAnsi="Times New Roman" w:eastAsia="宋体"/>
      <w:b/>
      <w:sz w:val="24"/>
    </w:rPr>
  </w:style>
  <w:style w:type="paragraph" w:styleId="9">
    <w:name w:val="heading 4"/>
    <w:basedOn w:val="1"/>
    <w:next w:val="1"/>
    <w:qFormat/>
    <w:locked/>
    <w:uiPriority w:val="0"/>
    <w:pPr>
      <w:keepNext/>
      <w:keepLines/>
      <w:autoSpaceDE w:val="0"/>
      <w:autoSpaceDN w:val="0"/>
      <w:spacing w:line="240" w:lineRule="auto"/>
      <w:ind w:firstLine="0" w:firstLineChars="0"/>
      <w:jc w:val="center"/>
      <w:outlineLvl w:val="3"/>
    </w:pPr>
    <w:rPr>
      <w:rFonts w:ascii="Times New Roman" w:hAnsi="Times New Roman" w:eastAsia="宋体"/>
      <w:sz w:val="21"/>
      <w:szCs w:val="21"/>
    </w:rPr>
  </w:style>
  <w:style w:type="character" w:default="1" w:styleId="27">
    <w:name w:val="Default Paragraph Font"/>
    <w:semiHidden/>
    <w:qFormat/>
    <w:uiPriority w:val="0"/>
  </w:style>
  <w:style w:type="table" w:default="1" w:styleId="25">
    <w:name w:val="Normal Table"/>
    <w:semiHidden/>
    <w:qFormat/>
    <w:uiPriority w:val="0"/>
    <w:tblPr>
      <w:tblCellMar>
        <w:top w:w="0" w:type="dxa"/>
        <w:left w:w="108" w:type="dxa"/>
        <w:bottom w:w="0" w:type="dxa"/>
        <w:right w:w="108" w:type="dxa"/>
      </w:tblCellMar>
    </w:tblPr>
  </w:style>
  <w:style w:type="paragraph" w:styleId="2">
    <w:name w:val="Normal Indent"/>
    <w:basedOn w:val="1"/>
    <w:next w:val="3"/>
    <w:unhideWhenUsed/>
    <w:qFormat/>
    <w:locked/>
    <w:uiPriority w:val="0"/>
    <w:pPr>
      <w:ind w:firstLine="420" w:firstLineChars="200"/>
    </w:pPr>
    <w:rPr>
      <w:rFonts w:ascii="Calibri" w:hAnsi="Calibri"/>
      <w:szCs w:val="22"/>
    </w:rPr>
  </w:style>
  <w:style w:type="paragraph" w:customStyle="1" w:styleId="3">
    <w:name w:val="Char Char Char Char Char Char Char Char Char1 Char"/>
    <w:basedOn w:val="1"/>
    <w:next w:val="4"/>
    <w:qFormat/>
    <w:uiPriority w:val="0"/>
    <w:pPr>
      <w:spacing w:line="360" w:lineRule="auto"/>
      <w:ind w:firstLine="200" w:firstLineChars="200"/>
    </w:pPr>
    <w:rPr>
      <w:rFonts w:hAnsi="宋体" w:cs="宋体"/>
      <w:spacing w:val="0"/>
      <w:sz w:val="24"/>
      <w:szCs w:val="24"/>
    </w:rPr>
  </w:style>
  <w:style w:type="paragraph" w:customStyle="1" w:styleId="4">
    <w:name w:val="Body Text First Indent1"/>
    <w:basedOn w:val="5"/>
    <w:next w:val="1"/>
    <w:qFormat/>
    <w:uiPriority w:val="0"/>
    <w:pPr>
      <w:widowControl w:val="0"/>
      <w:tabs>
        <w:tab w:val="left" w:pos="480"/>
      </w:tabs>
      <w:spacing w:after="120"/>
      <w:ind w:firstLine="420"/>
      <w:jc w:val="both"/>
    </w:pPr>
    <w:rPr>
      <w:sz w:val="21"/>
      <w:szCs w:val="22"/>
      <w:lang w:val="en-US" w:eastAsia="zh-CN" w:bidi="ar-SA"/>
    </w:rPr>
  </w:style>
  <w:style w:type="paragraph" w:styleId="5">
    <w:name w:val="Body Text"/>
    <w:basedOn w:val="1"/>
    <w:next w:val="6"/>
    <w:link w:val="32"/>
    <w:qFormat/>
    <w:uiPriority w:val="0"/>
    <w:pPr>
      <w:widowControl/>
      <w:snapToGrid w:val="0"/>
      <w:spacing w:before="60" w:after="160" w:line="259" w:lineRule="auto"/>
      <w:ind w:right="113"/>
    </w:pPr>
    <w:rPr>
      <w:kern w:val="0"/>
      <w:sz w:val="18"/>
      <w:szCs w:val="20"/>
    </w:rPr>
  </w:style>
  <w:style w:type="paragraph" w:customStyle="1" w:styleId="6">
    <w:name w:val="默认段落"/>
    <w:basedOn w:val="1"/>
    <w:qFormat/>
    <w:uiPriority w:val="0"/>
  </w:style>
  <w:style w:type="paragraph" w:styleId="10">
    <w:name w:val="annotation text"/>
    <w:basedOn w:val="1"/>
    <w:link w:val="31"/>
    <w:semiHidden/>
    <w:qFormat/>
    <w:uiPriority w:val="0"/>
    <w:pPr>
      <w:jc w:val="left"/>
    </w:pPr>
    <w:rPr>
      <w:kern w:val="0"/>
      <w:sz w:val="24"/>
      <w:szCs w:val="20"/>
    </w:rPr>
  </w:style>
  <w:style w:type="paragraph" w:styleId="11">
    <w:name w:val="Body Text Indent"/>
    <w:basedOn w:val="1"/>
    <w:link w:val="33"/>
    <w:qFormat/>
    <w:uiPriority w:val="0"/>
    <w:pPr>
      <w:spacing w:after="120"/>
      <w:ind w:left="420" w:leftChars="200"/>
    </w:pPr>
    <w:rPr>
      <w:kern w:val="0"/>
      <w:sz w:val="24"/>
      <w:szCs w:val="20"/>
    </w:rPr>
  </w:style>
  <w:style w:type="paragraph" w:styleId="12">
    <w:name w:val="Plain Text"/>
    <w:basedOn w:val="1"/>
    <w:next w:val="13"/>
    <w:qFormat/>
    <w:locked/>
    <w:uiPriority w:val="0"/>
    <w:rPr>
      <w:rFonts w:ascii="宋体" w:hAnsi="Courier New"/>
      <w:kern w:val="0"/>
    </w:rPr>
  </w:style>
  <w:style w:type="paragraph" w:customStyle="1" w:styleId="13">
    <w:name w:val="Default"/>
    <w:basedOn w:val="14"/>
    <w:unhideWhenUsed/>
    <w:qFormat/>
    <w:uiPriority w:val="0"/>
    <w:pPr>
      <w:widowControl w:val="0"/>
      <w:autoSpaceDE w:val="0"/>
      <w:autoSpaceDN w:val="0"/>
    </w:pPr>
    <w:rPr>
      <w:rFonts w:hint="eastAsia" w:ascii="宋体" w:hAnsi="宋体"/>
      <w:color w:val="000000"/>
      <w:sz w:val="24"/>
      <w:lang w:val="en-US" w:eastAsia="zh-CN" w:bidi="ar-SA"/>
    </w:rPr>
  </w:style>
  <w:style w:type="paragraph" w:customStyle="1" w:styleId="14">
    <w:name w:val="A-表格文字"/>
    <w:basedOn w:val="1"/>
    <w:next w:val="1"/>
    <w:qFormat/>
    <w:uiPriority w:val="0"/>
    <w:pPr>
      <w:autoSpaceDE w:val="0"/>
      <w:autoSpaceDN w:val="0"/>
      <w:adjustRightInd w:val="0"/>
      <w:jc w:val="center"/>
      <w:textAlignment w:val="center"/>
    </w:pPr>
    <w:rPr>
      <w:rFonts w:ascii="Times New Roman" w:hAnsi="Times New Roman"/>
      <w:kern w:val="0"/>
      <w:szCs w:val="21"/>
    </w:rPr>
  </w:style>
  <w:style w:type="paragraph" w:styleId="15">
    <w:name w:val="Date"/>
    <w:basedOn w:val="1"/>
    <w:next w:val="1"/>
    <w:link w:val="34"/>
    <w:qFormat/>
    <w:uiPriority w:val="0"/>
    <w:pPr>
      <w:ind w:left="100" w:leftChars="2500"/>
    </w:pPr>
    <w:rPr>
      <w:kern w:val="0"/>
      <w:sz w:val="24"/>
      <w:szCs w:val="20"/>
    </w:rPr>
  </w:style>
  <w:style w:type="paragraph" w:styleId="16">
    <w:name w:val="Balloon Text"/>
    <w:basedOn w:val="1"/>
    <w:link w:val="35"/>
    <w:semiHidden/>
    <w:qFormat/>
    <w:uiPriority w:val="0"/>
    <w:rPr>
      <w:kern w:val="0"/>
      <w:sz w:val="18"/>
      <w:szCs w:val="20"/>
    </w:rPr>
  </w:style>
  <w:style w:type="paragraph" w:styleId="17">
    <w:name w:val="footer"/>
    <w:basedOn w:val="1"/>
    <w:link w:val="36"/>
    <w:qFormat/>
    <w:uiPriority w:val="99"/>
    <w:pPr>
      <w:tabs>
        <w:tab w:val="center" w:pos="4153"/>
        <w:tab w:val="right" w:pos="8306"/>
      </w:tabs>
      <w:snapToGrid w:val="0"/>
      <w:jc w:val="left"/>
    </w:pPr>
    <w:rPr>
      <w:kern w:val="0"/>
      <w:sz w:val="18"/>
      <w:szCs w:val="20"/>
    </w:rPr>
  </w:style>
  <w:style w:type="paragraph" w:styleId="18">
    <w:name w:val="header"/>
    <w:basedOn w:val="1"/>
    <w:link w:val="37"/>
    <w:qFormat/>
    <w:uiPriority w:val="0"/>
    <w:pPr>
      <w:pBdr>
        <w:bottom w:val="single" w:color="auto" w:sz="6" w:space="1"/>
      </w:pBdr>
      <w:tabs>
        <w:tab w:val="center" w:pos="4153"/>
        <w:tab w:val="right" w:pos="8306"/>
      </w:tabs>
      <w:snapToGrid w:val="0"/>
      <w:jc w:val="center"/>
    </w:pPr>
    <w:rPr>
      <w:kern w:val="0"/>
      <w:sz w:val="18"/>
      <w:szCs w:val="20"/>
    </w:rPr>
  </w:style>
  <w:style w:type="paragraph" w:styleId="19">
    <w:name w:val="index heading"/>
    <w:basedOn w:val="1"/>
    <w:next w:val="20"/>
    <w:unhideWhenUsed/>
    <w:qFormat/>
    <w:locked/>
    <w:uiPriority w:val="99"/>
    <w:rPr>
      <w:rFonts w:ascii="Cambria" w:hAnsi="Cambria" w:eastAsia="宋体" w:cs="Times New Roman"/>
      <w:b/>
      <w:bCs/>
      <w:spacing w:val="5"/>
      <w:sz w:val="25"/>
      <w:szCs w:val="25"/>
    </w:rPr>
  </w:style>
  <w:style w:type="paragraph" w:styleId="20">
    <w:name w:val="index 1"/>
    <w:basedOn w:val="1"/>
    <w:next w:val="1"/>
    <w:qFormat/>
    <w:locked/>
    <w:uiPriority w:val="0"/>
  </w:style>
  <w:style w:type="paragraph" w:styleId="21">
    <w:name w:val="Normal (Web)"/>
    <w:basedOn w:val="1"/>
    <w:link w:val="38"/>
    <w:qFormat/>
    <w:uiPriority w:val="0"/>
    <w:pPr>
      <w:widowControl/>
      <w:spacing w:before="100" w:beforeAutospacing="1" w:after="100" w:afterAutospacing="1"/>
      <w:jc w:val="left"/>
    </w:pPr>
    <w:rPr>
      <w:rFonts w:ascii="宋体" w:hAnsi="宋体"/>
      <w:kern w:val="0"/>
      <w:sz w:val="24"/>
      <w:szCs w:val="20"/>
    </w:rPr>
  </w:style>
  <w:style w:type="paragraph" w:styleId="22">
    <w:name w:val="annotation subject"/>
    <w:basedOn w:val="10"/>
    <w:next w:val="10"/>
    <w:link w:val="39"/>
    <w:semiHidden/>
    <w:qFormat/>
    <w:uiPriority w:val="0"/>
    <w:rPr>
      <w:b/>
      <w:sz w:val="24"/>
      <w:szCs w:val="20"/>
    </w:rPr>
  </w:style>
  <w:style w:type="paragraph" w:styleId="23">
    <w:name w:val="Body Text First Indent"/>
    <w:basedOn w:val="5"/>
    <w:next w:val="11"/>
    <w:qFormat/>
    <w:locked/>
    <w:uiPriority w:val="0"/>
    <w:pPr>
      <w:keepNext w:val="0"/>
      <w:keepLines w:val="0"/>
      <w:widowControl w:val="0"/>
      <w:suppressLineNumbers w:val="0"/>
      <w:spacing w:after="120" w:afterLines="0" w:afterAutospacing="0"/>
      <w:ind w:firstLine="420" w:firstLineChars="100"/>
      <w:jc w:val="both"/>
    </w:pPr>
    <w:rPr>
      <w:rFonts w:hint="default" w:ascii="Times New Roman" w:hAnsi="Times New Roman" w:cs="Times New Roman"/>
      <w:kern w:val="2"/>
      <w:sz w:val="21"/>
      <w:szCs w:val="21"/>
      <w:lang w:val="en-US" w:eastAsia="zh-CN" w:bidi="ar"/>
    </w:rPr>
  </w:style>
  <w:style w:type="paragraph" w:styleId="24">
    <w:name w:val="Body Text First Indent 2"/>
    <w:basedOn w:val="11"/>
    <w:qFormat/>
    <w:locked/>
    <w:uiPriority w:val="0"/>
    <w:pPr>
      <w:spacing w:after="120" w:afterLines="0" w:line="240" w:lineRule="auto"/>
      <w:ind w:left="420" w:leftChars="200" w:firstLine="420" w:firstLineChars="200"/>
    </w:pPr>
    <w:rPr>
      <w:rFonts w:eastAsia="宋体"/>
      <w:sz w:val="21"/>
    </w:rPr>
  </w:style>
  <w:style w:type="table" w:styleId="26">
    <w:name w:val="Table Grid"/>
    <w:basedOn w:val="25"/>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basedOn w:val="27"/>
    <w:qFormat/>
    <w:locked/>
    <w:uiPriority w:val="0"/>
    <w:rPr>
      <w:b/>
    </w:rPr>
  </w:style>
  <w:style w:type="character" w:styleId="29">
    <w:name w:val="page number"/>
    <w:basedOn w:val="27"/>
    <w:qFormat/>
    <w:locked/>
    <w:uiPriority w:val="0"/>
  </w:style>
  <w:style w:type="character" w:styleId="30">
    <w:name w:val="annotation reference"/>
    <w:semiHidden/>
    <w:qFormat/>
    <w:uiPriority w:val="0"/>
    <w:rPr>
      <w:sz w:val="21"/>
    </w:rPr>
  </w:style>
  <w:style w:type="character" w:customStyle="1" w:styleId="31">
    <w:name w:val="批注文字 Char"/>
    <w:link w:val="10"/>
    <w:qFormat/>
    <w:locked/>
    <w:uiPriority w:val="0"/>
    <w:rPr>
      <w:rFonts w:ascii="Times New Roman" w:hAnsi="Times New Roman" w:eastAsia="宋体"/>
      <w:sz w:val="24"/>
    </w:rPr>
  </w:style>
  <w:style w:type="character" w:customStyle="1" w:styleId="32">
    <w:name w:val="正文文本 Char"/>
    <w:link w:val="5"/>
    <w:qFormat/>
    <w:locked/>
    <w:uiPriority w:val="0"/>
    <w:rPr>
      <w:sz w:val="18"/>
    </w:rPr>
  </w:style>
  <w:style w:type="character" w:customStyle="1" w:styleId="33">
    <w:name w:val="正文文本缩进 Char"/>
    <w:link w:val="11"/>
    <w:semiHidden/>
    <w:qFormat/>
    <w:locked/>
    <w:uiPriority w:val="0"/>
    <w:rPr>
      <w:rFonts w:ascii="Times New Roman" w:hAnsi="Times New Roman" w:eastAsia="宋体"/>
      <w:sz w:val="24"/>
    </w:rPr>
  </w:style>
  <w:style w:type="character" w:customStyle="1" w:styleId="34">
    <w:name w:val="日期 Char"/>
    <w:link w:val="15"/>
    <w:qFormat/>
    <w:locked/>
    <w:uiPriority w:val="0"/>
    <w:rPr>
      <w:rFonts w:ascii="Times New Roman" w:hAnsi="Times New Roman" w:eastAsia="宋体"/>
      <w:sz w:val="24"/>
    </w:rPr>
  </w:style>
  <w:style w:type="character" w:customStyle="1" w:styleId="35">
    <w:name w:val="批注框文本 Char"/>
    <w:link w:val="16"/>
    <w:semiHidden/>
    <w:qFormat/>
    <w:locked/>
    <w:uiPriority w:val="0"/>
    <w:rPr>
      <w:rFonts w:ascii="Times New Roman" w:hAnsi="Times New Roman" w:eastAsia="宋体"/>
      <w:sz w:val="18"/>
    </w:rPr>
  </w:style>
  <w:style w:type="character" w:customStyle="1" w:styleId="36">
    <w:name w:val="页脚 Char"/>
    <w:link w:val="17"/>
    <w:qFormat/>
    <w:locked/>
    <w:uiPriority w:val="99"/>
    <w:rPr>
      <w:sz w:val="18"/>
    </w:rPr>
  </w:style>
  <w:style w:type="character" w:customStyle="1" w:styleId="37">
    <w:name w:val="页眉 Char"/>
    <w:link w:val="18"/>
    <w:qFormat/>
    <w:locked/>
    <w:uiPriority w:val="0"/>
    <w:rPr>
      <w:sz w:val="18"/>
    </w:rPr>
  </w:style>
  <w:style w:type="character" w:customStyle="1" w:styleId="38">
    <w:name w:val="普通(网站) Char"/>
    <w:link w:val="21"/>
    <w:qFormat/>
    <w:locked/>
    <w:uiPriority w:val="0"/>
    <w:rPr>
      <w:rFonts w:ascii="宋体" w:hAnsi="宋体" w:eastAsia="宋体"/>
      <w:sz w:val="24"/>
    </w:rPr>
  </w:style>
  <w:style w:type="character" w:customStyle="1" w:styleId="39">
    <w:name w:val="批注主题 Char"/>
    <w:link w:val="22"/>
    <w:semiHidden/>
    <w:qFormat/>
    <w:locked/>
    <w:uiPriority w:val="0"/>
    <w:rPr>
      <w:rFonts w:ascii="Times New Roman" w:hAnsi="Times New Roman" w:eastAsia="宋体"/>
      <w:b/>
      <w:kern w:val="2"/>
      <w:sz w:val="24"/>
    </w:rPr>
  </w:style>
  <w:style w:type="character" w:customStyle="1" w:styleId="40">
    <w:name w:val="页脚 字符"/>
    <w:basedOn w:val="27"/>
    <w:qFormat/>
    <w:uiPriority w:val="99"/>
  </w:style>
  <w:style w:type="character" w:customStyle="1" w:styleId="41">
    <w:name w:val="正文文本 字符1"/>
    <w:semiHidden/>
    <w:qFormat/>
    <w:uiPriority w:val="0"/>
    <w:rPr>
      <w:rFonts w:ascii="Times New Roman" w:hAnsi="Times New Roman" w:eastAsia="宋体"/>
      <w:sz w:val="24"/>
    </w:rPr>
  </w:style>
  <w:style w:type="character" w:customStyle="1" w:styleId="42">
    <w:name w:val="表格 Char"/>
    <w:link w:val="43"/>
    <w:qFormat/>
    <w:locked/>
    <w:uiPriority w:val="0"/>
    <w:rPr>
      <w:rFonts w:ascii="宋体"/>
      <w:sz w:val="21"/>
    </w:rPr>
  </w:style>
  <w:style w:type="paragraph" w:customStyle="1" w:styleId="43">
    <w:name w:val="表格"/>
    <w:basedOn w:val="1"/>
    <w:next w:val="1"/>
    <w:link w:val="42"/>
    <w:qFormat/>
    <w:uiPriority w:val="0"/>
    <w:pPr>
      <w:adjustRightInd w:val="0"/>
      <w:snapToGrid w:val="0"/>
      <w:spacing w:beforeLines="10" w:afterLines="10" w:line="259" w:lineRule="auto"/>
      <w:jc w:val="center"/>
    </w:pPr>
    <w:rPr>
      <w:rFonts w:ascii="宋体"/>
      <w:kern w:val="0"/>
      <w:szCs w:val="20"/>
    </w:rPr>
  </w:style>
  <w:style w:type="character" w:customStyle="1" w:styleId="44">
    <w:name w:val="日期 字符"/>
    <w:semiHidden/>
    <w:qFormat/>
    <w:uiPriority w:val="0"/>
    <w:rPr>
      <w:rFonts w:ascii="Times New Roman" w:hAnsi="Times New Roman" w:eastAsia="宋体"/>
      <w:sz w:val="24"/>
    </w:rPr>
  </w:style>
  <w:style w:type="character" w:customStyle="1" w:styleId="45">
    <w:name w:val="批注文字 字符1"/>
    <w:semiHidden/>
    <w:qFormat/>
    <w:uiPriority w:val="0"/>
    <w:rPr>
      <w:rFonts w:ascii="Times New Roman" w:hAnsi="Times New Roman" w:eastAsia="宋体"/>
      <w:sz w:val="24"/>
    </w:rPr>
  </w:style>
  <w:style w:type="paragraph" w:customStyle="1" w:styleId="46">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7">
    <w:name w:val="普通(网站)2"/>
    <w:basedOn w:val="1"/>
    <w:qFormat/>
    <w:uiPriority w:val="0"/>
    <w:pPr>
      <w:widowControl/>
      <w:spacing w:before="100" w:beforeAutospacing="1" w:after="100" w:afterAutospacing="1"/>
      <w:jc w:val="left"/>
    </w:pPr>
    <w:rPr>
      <w:rFonts w:ascii="宋体" w:hAnsi="宋体"/>
      <w:sz w:val="24"/>
      <w:szCs w:val="20"/>
    </w:rPr>
  </w:style>
  <w:style w:type="paragraph" w:customStyle="1" w:styleId="48">
    <w:name w:val="Table Text"/>
    <w:basedOn w:val="1"/>
    <w:semiHidden/>
    <w:qFormat/>
    <w:uiPriority w:val="0"/>
    <w:rPr>
      <w:rFonts w:ascii="宋体" w:hAnsi="宋体" w:eastAsia="宋体" w:cs="宋体"/>
      <w:sz w:val="24"/>
      <w:szCs w:val="24"/>
      <w:lang w:val="en-US" w:eastAsia="en-US" w:bidi="ar-SA"/>
    </w:rPr>
  </w:style>
  <w:style w:type="paragraph" w:customStyle="1" w:styleId="49">
    <w:name w:val="1 表头"/>
    <w:basedOn w:val="1"/>
    <w:qFormat/>
    <w:uiPriority w:val="0"/>
    <w:pPr>
      <w:adjustRightInd w:val="0"/>
      <w:snapToGrid w:val="0"/>
      <w:spacing w:line="240" w:lineRule="auto"/>
      <w:ind w:firstLine="0" w:firstLineChars="0"/>
      <w:jc w:val="center"/>
    </w:pPr>
    <w:rPr>
      <w:b/>
      <w:color w:val="000000"/>
      <w:sz w:val="21"/>
      <w:szCs w:val="21"/>
    </w:rPr>
  </w:style>
  <w:style w:type="paragraph" w:customStyle="1" w:styleId="50">
    <w:name w:val="正文001"/>
    <w:basedOn w:val="1"/>
    <w:qFormat/>
    <w:uiPriority w:val="0"/>
    <w:pPr>
      <w:spacing w:before="60" w:line="460" w:lineRule="exact"/>
      <w:ind w:firstLine="200" w:firstLineChars="200"/>
    </w:pPr>
    <w:rPr>
      <w:sz w:val="24"/>
    </w:rPr>
  </w:style>
  <w:style w:type="character" w:customStyle="1" w:styleId="51">
    <w:name w:val="font21"/>
    <w:basedOn w:val="27"/>
    <w:qFormat/>
    <w:uiPriority w:val="0"/>
    <w:rPr>
      <w:rFonts w:ascii="宋体" w:hAnsi="宋体" w:eastAsia="宋体" w:cs="宋体"/>
      <w:color w:val="000000"/>
      <w:sz w:val="12"/>
      <w:szCs w:val="12"/>
      <w:u w:val="none"/>
    </w:rPr>
  </w:style>
  <w:style w:type="paragraph" w:customStyle="1" w:styleId="52">
    <w:name w:val="表内居中"/>
    <w:qFormat/>
    <w:uiPriority w:val="0"/>
    <w:pPr>
      <w:tabs>
        <w:tab w:val="right" w:leader="middleDot" w:pos="7938"/>
      </w:tabs>
      <w:adjustRightInd w:val="0"/>
      <w:snapToGrid w:val="0"/>
      <w:jc w:val="center"/>
    </w:pPr>
    <w:rPr>
      <w:rFonts w:ascii="宋体" w:hAnsi="Times New Roman" w:eastAsia="宋体" w:cs="Times New Roman"/>
      <w:sz w:val="21"/>
      <w:lang w:val="en-US" w:eastAsia="zh-CN" w:bidi="ar-SA"/>
    </w:rPr>
  </w:style>
  <w:style w:type="paragraph" w:customStyle="1" w:styleId="53">
    <w:name w:val="无间隔1"/>
    <w:qFormat/>
    <w:uiPriority w:val="99"/>
    <w:pPr>
      <w:widowControl w:val="0"/>
    </w:pPr>
    <w:rPr>
      <w:rFonts w:ascii="Times New Roman" w:hAnsi="Times New Roman" w:eastAsia="仿宋_GB2312" w:cs="Times New Roman"/>
      <w:kern w:val="2"/>
      <w:sz w:val="28"/>
      <w:szCs w:val="21"/>
      <w:lang w:val="en-US" w:eastAsia="zh-CN" w:bidi="ar-SA"/>
    </w:rPr>
  </w:style>
  <w:style w:type="character" w:customStyle="1" w:styleId="54">
    <w:name w:val="font31"/>
    <w:basedOn w:val="27"/>
    <w:qFormat/>
    <w:uiPriority w:val="0"/>
    <w:rPr>
      <w:rFonts w:ascii="宋体" w:hAnsi="宋体" w:eastAsia="宋体" w:cs="宋体"/>
      <w:color w:val="000000"/>
      <w:sz w:val="26"/>
      <w:szCs w:val="26"/>
      <w:u w:val="none"/>
    </w:rPr>
  </w:style>
  <w:style w:type="character" w:customStyle="1" w:styleId="55">
    <w:name w:val="font41"/>
    <w:basedOn w:val="27"/>
    <w:qFormat/>
    <w:uiPriority w:val="0"/>
    <w:rPr>
      <w:rFonts w:ascii="宋体" w:hAnsi="宋体" w:eastAsia="宋体" w:cs="宋体"/>
      <w:b/>
      <w:bCs/>
      <w:color w:val="000000"/>
      <w:sz w:val="26"/>
      <w:szCs w:val="26"/>
      <w:u w:val="none"/>
    </w:rPr>
  </w:style>
  <w:style w:type="character" w:customStyle="1" w:styleId="56">
    <w:name w:val="font91"/>
    <w:basedOn w:val="27"/>
    <w:qFormat/>
    <w:uiPriority w:val="0"/>
    <w:rPr>
      <w:rFonts w:hint="eastAsia" w:ascii="宋体" w:hAnsi="宋体" w:eastAsia="宋体" w:cs="宋体"/>
      <w:color w:val="000000"/>
      <w:sz w:val="28"/>
      <w:szCs w:val="28"/>
      <w:u w:val="none"/>
      <w:vertAlign w:val="superscript"/>
    </w:rPr>
  </w:style>
  <w:style w:type="character" w:customStyle="1" w:styleId="57">
    <w:name w:val="font51"/>
    <w:basedOn w:val="27"/>
    <w:qFormat/>
    <w:uiPriority w:val="0"/>
    <w:rPr>
      <w:rFonts w:hint="eastAsia" w:ascii="宋体" w:hAnsi="宋体" w:eastAsia="宋体" w:cs="宋体"/>
      <w:color w:val="000000"/>
      <w:sz w:val="28"/>
      <w:szCs w:val="28"/>
      <w:u w:val="none"/>
    </w:rPr>
  </w:style>
  <w:style w:type="character" w:customStyle="1" w:styleId="58">
    <w:name w:val="font101"/>
    <w:basedOn w:val="27"/>
    <w:qFormat/>
    <w:uiPriority w:val="0"/>
    <w:rPr>
      <w:rFonts w:hint="eastAsia" w:ascii="宋体" w:hAnsi="宋体" w:eastAsia="宋体" w:cs="宋体"/>
      <w:color w:val="000000"/>
      <w:sz w:val="28"/>
      <w:szCs w:val="28"/>
      <w:u w:val="none"/>
      <w:vertAlign w:val="superscript"/>
    </w:rPr>
  </w:style>
  <w:style w:type="character" w:customStyle="1" w:styleId="59">
    <w:name w:val="font61"/>
    <w:basedOn w:val="27"/>
    <w:qFormat/>
    <w:uiPriority w:val="0"/>
    <w:rPr>
      <w:rFonts w:hint="eastAsia" w:ascii="楷体" w:hAnsi="楷体" w:eastAsia="楷体" w:cs="楷体"/>
      <w:color w:val="000000"/>
      <w:sz w:val="28"/>
      <w:szCs w:val="28"/>
      <w:u w:val="none"/>
    </w:rPr>
  </w:style>
  <w:style w:type="character" w:customStyle="1" w:styleId="60">
    <w:name w:val="font112"/>
    <w:basedOn w:val="27"/>
    <w:qFormat/>
    <w:uiPriority w:val="0"/>
    <w:rPr>
      <w:rFonts w:hint="eastAsia" w:ascii="楷体" w:hAnsi="楷体" w:eastAsia="楷体" w:cs="楷体"/>
      <w:color w:val="000000"/>
      <w:sz w:val="28"/>
      <w:szCs w:val="28"/>
      <w:u w:val="none"/>
      <w:vertAlign w:val="superscript"/>
    </w:rPr>
  </w:style>
  <w:style w:type="character" w:customStyle="1" w:styleId="61">
    <w:name w:val="font81"/>
    <w:basedOn w:val="27"/>
    <w:qFormat/>
    <w:uiPriority w:val="0"/>
    <w:rPr>
      <w:rFonts w:hint="eastAsia" w:ascii="宋体" w:hAnsi="宋体" w:eastAsia="宋体" w:cs="宋体"/>
      <w:b/>
      <w:bCs/>
      <w:color w:val="000000"/>
      <w:sz w:val="32"/>
      <w:szCs w:val="32"/>
      <w:u w:val="none"/>
    </w:rPr>
  </w:style>
  <w:style w:type="character" w:customStyle="1" w:styleId="62">
    <w:name w:val="font12"/>
    <w:basedOn w:val="27"/>
    <w:qFormat/>
    <w:uiPriority w:val="0"/>
    <w:rPr>
      <w:rFonts w:ascii="宋体" w:hAnsi="宋体" w:eastAsia="宋体" w:cs="宋体"/>
      <w:b/>
      <w:bCs/>
      <w:color w:val="000000"/>
      <w:sz w:val="14"/>
      <w:szCs w:val="14"/>
      <w:u w:val="none"/>
    </w:rPr>
  </w:style>
  <w:style w:type="character" w:customStyle="1" w:styleId="63">
    <w:name w:val="font111"/>
    <w:basedOn w:val="27"/>
    <w:qFormat/>
    <w:uiPriority w:val="0"/>
    <w:rPr>
      <w:rFonts w:ascii="宋体" w:hAnsi="宋体" w:eastAsia="宋体" w:cs="宋体"/>
      <w:color w:val="1060A0"/>
      <w:sz w:val="14"/>
      <w:szCs w:val="14"/>
      <w:u w:val="none"/>
    </w:rPr>
  </w:style>
  <w:style w:type="character" w:customStyle="1" w:styleId="64">
    <w:name w:val="font122"/>
    <w:basedOn w:val="27"/>
    <w:qFormat/>
    <w:uiPriority w:val="0"/>
    <w:rPr>
      <w:rFonts w:ascii="宋体" w:hAnsi="宋体" w:eastAsia="宋体" w:cs="宋体"/>
      <w:b/>
      <w:bCs/>
      <w:color w:val="1050C0"/>
      <w:sz w:val="14"/>
      <w:szCs w:val="14"/>
      <w:u w:val="none"/>
    </w:rPr>
  </w:style>
  <w:style w:type="character" w:customStyle="1" w:styleId="65">
    <w:name w:val="font131"/>
    <w:basedOn w:val="27"/>
    <w:qFormat/>
    <w:uiPriority w:val="0"/>
    <w:rPr>
      <w:rFonts w:ascii="宋体" w:hAnsi="宋体" w:eastAsia="宋体" w:cs="宋体"/>
      <w:color w:val="1050C0"/>
      <w:sz w:val="14"/>
      <w:szCs w:val="14"/>
      <w:u w:val="none"/>
    </w:rPr>
  </w:style>
  <w:style w:type="character" w:customStyle="1" w:styleId="66">
    <w:name w:val="font141"/>
    <w:basedOn w:val="27"/>
    <w:qFormat/>
    <w:uiPriority w:val="0"/>
    <w:rPr>
      <w:rFonts w:ascii="宋体" w:hAnsi="宋体" w:eastAsia="宋体" w:cs="宋体"/>
      <w:color w:val="000000"/>
      <w:sz w:val="14"/>
      <w:szCs w:val="14"/>
      <w:u w:val="none"/>
    </w:rPr>
  </w:style>
  <w:style w:type="table" w:customStyle="1" w:styleId="67">
    <w:name w:val="Table Normal"/>
    <w:unhideWhenUsed/>
    <w:qFormat/>
    <w:uiPriority w:val="2"/>
    <w:pPr>
      <w:widowControl w:val="0"/>
    </w:pPr>
    <w:rPr>
      <w:rFonts w:ascii="Calibri" w:hAnsi="Calibri"/>
      <w:sz w:val="22"/>
      <w:szCs w:val="22"/>
      <w:lang w:val="en-US" w:eastAsia="en-US" w:bidi="ar-SA"/>
    </w:rPr>
    <w:tblPr>
      <w:tblCellMar>
        <w:top w:w="0" w:type="dxa"/>
        <w:left w:w="0" w:type="dxa"/>
        <w:bottom w:w="0" w:type="dxa"/>
        <w:right w:w="0" w:type="dxa"/>
      </w:tblCellMar>
    </w:tblPr>
  </w:style>
  <w:style w:type="paragraph" w:customStyle="1" w:styleId="68">
    <w:name w:val="正文2"/>
    <w:basedOn w:val="1"/>
    <w:qFormat/>
    <w:uiPriority w:val="0"/>
    <w:pPr>
      <w:adjustRightInd w:val="0"/>
      <w:snapToGrid w:val="0"/>
      <w:spacing w:before="100" w:beforeAutospacing="1" w:after="100" w:afterAutospacing="1" w:line="500" w:lineRule="atLeast"/>
      <w:ind w:firstLine="567"/>
    </w:pPr>
    <w:rPr>
      <w:rFonts w:ascii="Calibri" w:hAnsi="Calibri"/>
      <w:sz w:val="24"/>
      <w:szCs w:val="20"/>
    </w:rPr>
  </w:style>
  <w:style w:type="paragraph" w:customStyle="1" w:styleId="69">
    <w:name w:val="0正文"/>
    <w:basedOn w:val="21"/>
    <w:qFormat/>
    <w:uiPriority w:val="0"/>
    <w:pPr>
      <w:adjustRightInd w:val="0"/>
      <w:snapToGrid w:val="0"/>
      <w:spacing w:before="0" w:beforeAutospacing="0" w:after="0" w:afterAutospacing="0" w:line="500" w:lineRule="exact"/>
      <w:ind w:firstLine="200" w:firstLineChars="200"/>
      <w:jc w:val="both"/>
    </w:pPr>
    <w:rPr>
      <w:rFonts w:ascii="Times New Roman" w:hAnsi="Times New Roman" w:eastAsia="宋体" w:cs="Times New Roman"/>
      <w:kern w:val="2"/>
    </w:rPr>
  </w:style>
  <w:style w:type="paragraph" w:customStyle="1" w:styleId="70">
    <w:name w:val="【正文】"/>
    <w:qFormat/>
    <w:uiPriority w:val="0"/>
    <w:pPr>
      <w:widowControl w:val="0"/>
      <w:spacing w:line="440" w:lineRule="exact"/>
      <w:ind w:firstLine="544" w:firstLineChars="200"/>
      <w:jc w:val="both"/>
    </w:pPr>
    <w:rPr>
      <w:rFonts w:ascii="Times New Roman" w:hAnsi="Times New Roman" w:eastAsia="宋体" w:cs="宋体"/>
      <w:sz w:val="24"/>
      <w:lang w:val="en-US" w:eastAsia="zh-CN" w:bidi="ar-SA"/>
    </w:rPr>
  </w:style>
  <w:style w:type="paragraph" w:customStyle="1" w:styleId="71">
    <w:name w:val="《正文》"/>
    <w:basedOn w:val="1"/>
    <w:qFormat/>
    <w:uiPriority w:val="0"/>
    <w:pPr>
      <w:spacing w:line="360" w:lineRule="auto"/>
      <w:ind w:firstLine="200" w:firstLineChars="200"/>
    </w:pPr>
    <w:rPr>
      <w:sz w:val="24"/>
    </w:rPr>
  </w:style>
  <w:style w:type="paragraph" w:customStyle="1" w:styleId="72">
    <w:name w:val="Table Paragraph"/>
    <w:basedOn w:val="1"/>
    <w:unhideWhenUsed/>
    <w:qFormat/>
    <w:uiPriority w:val="1"/>
    <w:rPr>
      <w:rFonts w:hint="default"/>
      <w:sz w:val="21"/>
      <w:szCs w:val="24"/>
    </w:rPr>
  </w:style>
  <w:style w:type="paragraph" w:customStyle="1" w:styleId="73">
    <w:name w:val="表名称"/>
    <w:qFormat/>
    <w:uiPriority w:val="0"/>
    <w:pPr>
      <w:adjustRightInd w:val="0"/>
      <w:snapToGrid w:val="0"/>
      <w:jc w:val="center"/>
    </w:pPr>
    <w:rPr>
      <w:rFonts w:ascii="宋体" w:hAnsi="宋体" w:eastAsia="宋体" w:cs="宋体"/>
      <w:b/>
      <w:kern w:val="2"/>
      <w:sz w:val="21"/>
      <w:szCs w:val="21"/>
      <w:lang w:val="en-US" w:eastAsia="zh-CN" w:bidi="ar-SA"/>
    </w:rPr>
  </w:style>
  <w:style w:type="character" w:customStyle="1" w:styleId="74">
    <w:name w:val="content1"/>
    <w:qFormat/>
    <w:uiPriority w:val="0"/>
    <w:rPr>
      <w:sz w:val="21"/>
      <w:szCs w:val="21"/>
    </w:rPr>
  </w:style>
  <w:style w:type="paragraph" w:customStyle="1" w:styleId="75">
    <w:name w:val="表内两端"/>
    <w:qFormat/>
    <w:uiPriority w:val="0"/>
    <w:pPr>
      <w:adjustRightInd w:val="0"/>
      <w:snapToGrid w:val="0"/>
      <w:jc w:val="both"/>
    </w:pPr>
    <w:rPr>
      <w:rFonts w:ascii="宋体" w:hAnsi="Times New Roman" w:eastAsia="宋体" w:cs="Times New Roman"/>
      <w:sz w:val="21"/>
      <w:lang w:val="en-US" w:eastAsia="zh-CN" w:bidi="ar-SA"/>
    </w:rPr>
  </w:style>
  <w:style w:type="paragraph" w:customStyle="1" w:styleId="76">
    <w:name w:val="插图3磅"/>
    <w:qFormat/>
    <w:uiPriority w:val="0"/>
    <w:pPr>
      <w:spacing w:line="60" w:lineRule="exact"/>
      <w:jc w:val="center"/>
    </w:pPr>
    <w:rPr>
      <w:rFonts w:ascii="宋体" w:hAnsi="宋体" w:eastAsia="宋体" w:cs="宋体"/>
      <w:snapToGrid w:val="0"/>
      <w:sz w:val="21"/>
      <w:szCs w:val="21"/>
      <w:lang w:val="en-US" w:eastAsia="zh-CN" w:bidi="ar-SA"/>
    </w:rPr>
  </w:style>
  <w:style w:type="paragraph" w:customStyle="1" w:styleId="77">
    <w:name w:val="表格内"/>
    <w:basedOn w:val="1"/>
    <w:qFormat/>
    <w:uiPriority w:val="0"/>
    <w:pPr>
      <w:widowControl/>
      <w:adjustRightInd w:val="0"/>
      <w:snapToGrid w:val="0"/>
      <w:spacing w:after="200" w:line="360" w:lineRule="exact"/>
      <w:jc w:val="center"/>
    </w:pPr>
    <w:rPr>
      <w:rFonts w:eastAsia="微软雅黑"/>
      <w:snapToGrid w:val="0"/>
      <w:kern w:val="0"/>
      <w:sz w:val="22"/>
      <w:szCs w:val="21"/>
    </w:rPr>
  </w:style>
  <w:style w:type="paragraph" w:customStyle="1" w:styleId="78">
    <w:name w:val="00.正文格式"/>
    <w:basedOn w:val="2"/>
    <w:qFormat/>
    <w:uiPriority w:val="0"/>
    <w:pPr>
      <w:widowControl/>
      <w:spacing w:line="360" w:lineRule="auto"/>
      <w:ind w:firstLine="200"/>
      <w:jc w:val="left"/>
    </w:pPr>
    <w:rPr>
      <w:rFonts w:hAnsi="宋体"/>
      <w:color w:val="000000"/>
      <w:kern w:val="0"/>
      <w:sz w:val="24"/>
      <w:szCs w:val="24"/>
    </w:rPr>
  </w:style>
  <w:style w:type="paragraph" w:customStyle="1" w:styleId="79">
    <w:name w:val="表格样式"/>
    <w:basedOn w:val="1"/>
    <w:qFormat/>
    <w:uiPriority w:val="0"/>
    <w:pPr>
      <w:autoSpaceDE w:val="0"/>
      <w:autoSpaceDN w:val="0"/>
      <w:spacing w:line="360" w:lineRule="exact"/>
      <w:jc w:val="center"/>
    </w:pPr>
    <w:rPr>
      <w:rFonts w:ascii="Times New Roman" w:hAnsi="Times New Roman" w:cs="Times New Roman"/>
      <w:sz w:val="21"/>
      <w:szCs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12.png"/><Relationship Id="rId20" Type="http://schemas.openxmlformats.org/officeDocument/2006/relationships/image" Target="media/image11.jpeg"/><Relationship Id="rId2" Type="http://schemas.openxmlformats.org/officeDocument/2006/relationships/settings" Target="settings.xml"/><Relationship Id="rId19" Type="http://schemas.openxmlformats.org/officeDocument/2006/relationships/image" Target="media/image10.jpeg"/><Relationship Id="rId18" Type="http://schemas.openxmlformats.org/officeDocument/2006/relationships/image" Target="media/image9.wmf"/><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emf"/><Relationship Id="rId10" Type="http://schemas.openxmlformats.org/officeDocument/2006/relationships/oleObject" Target="embeddings/oleObject1.bin"/><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soa\wdzx97.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wdzx97</Template>
  <Company>微软中国</Company>
  <Pages>71</Pages>
  <Words>11094</Words>
  <Characters>11564</Characters>
  <Lines>13</Lines>
  <Paragraphs>3</Paragraphs>
  <TotalTime>187</TotalTime>
  <ScaleCrop>false</ScaleCrop>
  <LinksUpToDate>false</LinksUpToDate>
  <CharactersWithSpaces>11616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2020-12-24T01:29:00Z</dcterms:created>
  <dc:creator>lhj</dc:creator>
  <cp:lastModifiedBy>学会珍惜</cp:lastModifiedBy>
  <cp:lastPrinted>2020-12-29T02:43:00Z</cp:lastPrinted>
  <dcterms:modified xsi:type="dcterms:W3CDTF">2026-09-29T03:38:36Z</dcterms:modified>
  <dc:title>附件2</dc:title>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D5A94426CA28454D9AC2FDB186EADCC3_13</vt:lpwstr>
  </property>
  <property fmtid="{D5CDD505-2E9C-101B-9397-08002B2CF9AE}" pid="4" name="KSOTemplateDocerSaveRecord">
    <vt:lpwstr>eyJoZGlkIjoiNDU2MDM5YmZmYjM1YWVjZWY0NTc1OGZjZWFhZDc5Y2QiLCJ1c2VySWQiOiI1Mjc0MDY4NTEifQ==</vt:lpwstr>
  </property>
</Properties>
</file>